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6844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03"/>
        <w:rPr>
          <w:lang w:val="es-ES_tradnl"/>
        </w:rPr>
      </w:pPr>
      <w:r>
        <w:rPr>
          <w:lang w:val="es-ES_tradnl"/>
        </w:rPr>
        <w:t>Distr.</w:t>
      </w:r>
      <w:r>
        <w:rPr>
          <w:lang w:val="es-ES_tradnl"/>
        </w:rPr>
        <w:br/>
        <w:t>GENERAL</w:t>
      </w:r>
    </w:p>
    <w:p w:rsidR="00000000" w:rsidRDefault="00000000">
      <w:pPr>
        <w:spacing w:after="240"/>
        <w:ind w:left="6903"/>
        <w:rPr>
          <w:lang w:val="es-ES_tradnl"/>
        </w:rPr>
      </w:pPr>
      <w:r>
        <w:rPr>
          <w:lang w:val="es-ES_tradnl"/>
        </w:rPr>
        <w:t>E/1990/6/</w:t>
      </w:r>
      <w:proofErr w:type="spellStart"/>
      <w:r>
        <w:rPr>
          <w:lang w:val="es-ES_tradnl"/>
        </w:rPr>
        <w:t>Add</w:t>
      </w:r>
      <w:proofErr w:type="spellEnd"/>
      <w:r>
        <w:rPr>
          <w:lang w:val="es-ES_tradnl"/>
        </w:rPr>
        <w:t>.36</w:t>
      </w:r>
      <w:r>
        <w:rPr>
          <w:lang w:val="es-ES_tradnl"/>
        </w:rPr>
        <w:br/>
        <w:t>20 de diciembre de 2002</w:t>
      </w:r>
    </w:p>
    <w:p w:rsidR="00000000" w:rsidRDefault="00000000">
      <w:pPr>
        <w:spacing w:after="720"/>
        <w:ind w:left="6900"/>
        <w:rPr>
          <w:lang w:val="es-ES_tradnl"/>
        </w:rPr>
      </w:pPr>
      <w:r>
        <w:rPr>
          <w:lang w:val="es-ES_tradnl"/>
        </w:rPr>
        <w:t>Original:  ESPAÑOL</w:t>
      </w:r>
    </w:p>
    <w:p w:rsidR="00000000" w:rsidRDefault="00000000">
      <w:pPr>
        <w:spacing w:after="1200"/>
        <w:rPr>
          <w:lang w:val="es-ES_tradnl"/>
        </w:rPr>
      </w:pPr>
      <w:r>
        <w:rPr>
          <w:lang w:val="es-ES_tradnl"/>
        </w:rPr>
        <w:t>Período de sesiones sustantivo de 2003</w:t>
      </w:r>
    </w:p>
    <w:p w:rsidR="00000000" w:rsidRDefault="00000000">
      <w:pPr>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Segundos informes periódicos presentados por los Estados Partes</w:t>
      </w:r>
      <w:r>
        <w:rPr>
          <w:b/>
          <w:bCs/>
          <w:lang w:val="es-ES_tradnl"/>
        </w:rPr>
        <w:br/>
        <w:t>de conformidad con los artículos 16 y 17 del Pacto</w:t>
      </w:r>
    </w:p>
    <w:p w:rsidR="00000000" w:rsidRDefault="00000000">
      <w:pPr>
        <w:spacing w:after="240"/>
        <w:jc w:val="center"/>
        <w:rPr>
          <w:b/>
          <w:bCs/>
          <w:lang w:val="es-ES_tradnl"/>
        </w:rPr>
      </w:pPr>
      <w:r>
        <w:rPr>
          <w:b/>
          <w:bCs/>
          <w:lang w:val="es-ES_tradnl"/>
        </w:rPr>
        <w:t>Adición</w:t>
      </w:r>
    </w:p>
    <w:p w:rsidR="00000000" w:rsidRDefault="00000000">
      <w:pPr>
        <w:spacing w:after="240"/>
        <w:jc w:val="center"/>
        <w:rPr>
          <w:b/>
          <w:lang w:val="es-ES_tradnl"/>
        </w:rPr>
      </w:pPr>
      <w:r>
        <w:rPr>
          <w:b/>
          <w:bCs/>
          <w:lang w:val="es-ES_tradnl"/>
        </w:rPr>
        <w:t>ECUADOR</w:t>
      </w:r>
      <w:r>
        <w:rPr>
          <w:rStyle w:val="FootnoteReference"/>
          <w:b w:val="0"/>
          <w:bCs/>
          <w:lang w:val="es-ES_tradnl"/>
        </w:rPr>
        <w:footnoteReference w:customMarkFollows="1" w:id="1"/>
        <w:t>*</w:t>
      </w:r>
      <w:r>
        <w:rPr>
          <w:bCs/>
          <w:vertAlign w:val="superscript"/>
          <w:lang w:val="es-ES_tradnl"/>
        </w:rPr>
        <w:t>,</w:t>
      </w:r>
      <w:r>
        <w:rPr>
          <w:b/>
          <w:bCs/>
          <w:lang w:val="es-ES_tradnl"/>
        </w:rPr>
        <w:t xml:space="preserve"> </w:t>
      </w:r>
      <w:r>
        <w:rPr>
          <w:rStyle w:val="FootnoteReference"/>
          <w:b w:val="0"/>
          <w:bCs/>
          <w:lang w:val="es-ES_tradnl"/>
        </w:rPr>
        <w:footnoteReference w:customMarkFollows="1" w:id="2"/>
        <w:t>**</w:t>
      </w:r>
    </w:p>
    <w:p w:rsidR="00000000" w:rsidRDefault="00000000">
      <w:pPr>
        <w:spacing w:after="240"/>
        <w:jc w:val="right"/>
        <w:rPr>
          <w:lang w:val="es-ES_tradnl"/>
        </w:rPr>
      </w:pPr>
      <w:r>
        <w:rPr>
          <w:lang w:val="es-ES_tradnl"/>
        </w:rPr>
        <w:t>[25 de octubre de 2002]</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15"/>
          <w:tab w:val="right" w:pos="7739"/>
          <w:tab w:val="center" w:pos="7920"/>
          <w:tab w:val="right" w:pos="8460"/>
          <w:tab w:val="right" w:pos="9090"/>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5</w:t>
      </w:r>
      <w:r>
        <w:rPr>
          <w:lang w:val="es-ES_tradnl"/>
        </w:rPr>
        <w:tab/>
        <w:t>3</w:t>
      </w:r>
    </w:p>
    <w:p w:rsidR="00000000" w:rsidRDefault="00000000">
      <w:pPr>
        <w:tabs>
          <w:tab w:val="left" w:pos="540"/>
          <w:tab w:val="right" w:leader="dot" w:pos="7215"/>
          <w:tab w:val="right" w:pos="7722"/>
          <w:tab w:val="center" w:pos="7920"/>
          <w:tab w:val="right" w:pos="8460"/>
          <w:tab w:val="right" w:pos="9090"/>
        </w:tabs>
        <w:spacing w:after="240"/>
        <w:rPr>
          <w:lang w:val="es-ES_tradnl"/>
        </w:rPr>
      </w:pPr>
      <w:r>
        <w:rPr>
          <w:lang w:val="es-ES_tradnl"/>
        </w:rPr>
        <w:tab/>
        <w:t>Artículo 1</w:t>
      </w:r>
      <w:r>
        <w:rPr>
          <w:lang w:val="es-ES_tradnl"/>
        </w:rPr>
        <w:tab/>
      </w:r>
      <w:r>
        <w:rPr>
          <w:lang w:val="es-ES_tradnl"/>
        </w:rPr>
        <w:tab/>
      </w:r>
      <w:r>
        <w:rPr>
          <w:lang w:val="es-ES_tradnl"/>
        </w:rPr>
        <w:tab/>
        <w:t>6</w:t>
      </w:r>
      <w:r>
        <w:rPr>
          <w:lang w:val="es-ES_tradnl"/>
        </w:rPr>
        <w:tab/>
      </w:r>
      <w:r>
        <w:rPr>
          <w:lang w:val="es-ES_tradnl"/>
        </w:rPr>
        <w:tab/>
        <w:t>3</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2</w:t>
      </w:r>
      <w:r>
        <w:rPr>
          <w:lang w:val="es-ES_tradnl"/>
        </w:rPr>
        <w:tab/>
      </w:r>
      <w:r>
        <w:rPr>
          <w:lang w:val="es-ES_tradnl"/>
        </w:rPr>
        <w:tab/>
        <w:t>7</w:t>
      </w:r>
      <w:r>
        <w:rPr>
          <w:lang w:val="es-ES_tradnl"/>
        </w:rPr>
        <w:tab/>
        <w:t>-</w:t>
      </w:r>
      <w:r>
        <w:rPr>
          <w:lang w:val="es-ES_tradnl"/>
        </w:rPr>
        <w:tab/>
        <w:t>11</w:t>
      </w:r>
      <w:r>
        <w:rPr>
          <w:lang w:val="es-ES_tradnl"/>
        </w:rPr>
        <w:tab/>
        <w:t>4</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3</w:t>
      </w:r>
      <w:r>
        <w:rPr>
          <w:lang w:val="es-ES_tradnl"/>
        </w:rPr>
        <w:tab/>
      </w:r>
      <w:r>
        <w:rPr>
          <w:lang w:val="es-ES_tradnl"/>
        </w:rPr>
        <w:tab/>
        <w:t>12</w:t>
      </w:r>
      <w:r>
        <w:rPr>
          <w:lang w:val="es-ES_tradnl"/>
        </w:rPr>
        <w:tab/>
        <w:t>-</w:t>
      </w:r>
      <w:r>
        <w:rPr>
          <w:lang w:val="es-ES_tradnl"/>
        </w:rPr>
        <w:tab/>
        <w:t>35</w:t>
      </w:r>
      <w:r>
        <w:rPr>
          <w:lang w:val="es-ES_tradnl"/>
        </w:rPr>
        <w:tab/>
        <w:t>4</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4</w:t>
      </w:r>
      <w:r>
        <w:rPr>
          <w:lang w:val="es-ES_tradnl"/>
        </w:rPr>
        <w:tab/>
      </w:r>
      <w:r>
        <w:rPr>
          <w:lang w:val="es-ES_tradnl"/>
        </w:rPr>
        <w:tab/>
      </w:r>
      <w:r>
        <w:rPr>
          <w:lang w:val="es-ES_tradnl"/>
        </w:rPr>
        <w:tab/>
        <w:t>36</w:t>
      </w:r>
      <w:r>
        <w:rPr>
          <w:lang w:val="es-ES_tradnl"/>
        </w:rPr>
        <w:tab/>
      </w:r>
      <w:r>
        <w:rPr>
          <w:lang w:val="es-ES_tradnl"/>
        </w:rPr>
        <w:tab/>
        <w:t>9</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5</w:t>
      </w:r>
      <w:r>
        <w:rPr>
          <w:lang w:val="es-ES_tradnl"/>
        </w:rPr>
        <w:tab/>
      </w:r>
      <w:r>
        <w:rPr>
          <w:lang w:val="es-ES_tradnl"/>
        </w:rPr>
        <w:tab/>
        <w:t>37</w:t>
      </w:r>
      <w:r>
        <w:rPr>
          <w:lang w:val="es-ES_tradnl"/>
        </w:rPr>
        <w:tab/>
        <w:t>-</w:t>
      </w:r>
      <w:r>
        <w:rPr>
          <w:lang w:val="es-ES_tradnl"/>
        </w:rPr>
        <w:tab/>
        <w:t>41</w:t>
      </w:r>
      <w:r>
        <w:rPr>
          <w:lang w:val="es-ES_tradnl"/>
        </w:rPr>
        <w:tab/>
        <w:t>9</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6</w:t>
      </w:r>
      <w:r>
        <w:rPr>
          <w:lang w:val="es-ES_tradnl"/>
        </w:rPr>
        <w:tab/>
      </w:r>
      <w:r>
        <w:rPr>
          <w:lang w:val="es-ES_tradnl"/>
        </w:rPr>
        <w:tab/>
        <w:t>42</w:t>
      </w:r>
      <w:r>
        <w:rPr>
          <w:lang w:val="es-ES_tradnl"/>
        </w:rPr>
        <w:tab/>
        <w:t>-</w:t>
      </w:r>
      <w:r>
        <w:rPr>
          <w:lang w:val="es-ES_tradnl"/>
        </w:rPr>
        <w:tab/>
        <w:t>83</w:t>
      </w:r>
      <w:r>
        <w:rPr>
          <w:lang w:val="es-ES_tradnl"/>
        </w:rPr>
        <w:tab/>
        <w:t>11</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7</w:t>
      </w:r>
      <w:r>
        <w:rPr>
          <w:lang w:val="es-ES_tradnl"/>
        </w:rPr>
        <w:tab/>
      </w:r>
      <w:r>
        <w:rPr>
          <w:lang w:val="es-ES_tradnl"/>
        </w:rPr>
        <w:tab/>
        <w:t>84</w:t>
      </w:r>
      <w:r>
        <w:rPr>
          <w:lang w:val="es-ES_tradnl"/>
        </w:rPr>
        <w:tab/>
        <w:t>-</w:t>
      </w:r>
      <w:r>
        <w:rPr>
          <w:lang w:val="es-ES_tradnl"/>
        </w:rPr>
        <w:tab/>
        <w:t>138</w:t>
      </w:r>
      <w:r>
        <w:rPr>
          <w:lang w:val="es-ES_tradnl"/>
        </w:rPr>
        <w:tab/>
        <w:t>22</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8</w:t>
      </w:r>
      <w:r>
        <w:rPr>
          <w:lang w:val="es-ES_tradnl"/>
        </w:rPr>
        <w:tab/>
      </w:r>
      <w:r>
        <w:rPr>
          <w:lang w:val="es-ES_tradnl"/>
        </w:rPr>
        <w:tab/>
        <w:t>139</w:t>
      </w:r>
      <w:r>
        <w:rPr>
          <w:lang w:val="es-ES_tradnl"/>
        </w:rPr>
        <w:tab/>
        <w:t>-</w:t>
      </w:r>
      <w:r>
        <w:rPr>
          <w:lang w:val="es-ES_tradnl"/>
        </w:rPr>
        <w:tab/>
        <w:t>158</w:t>
      </w:r>
      <w:r>
        <w:rPr>
          <w:lang w:val="es-ES_tradnl"/>
        </w:rPr>
        <w:tab/>
        <w:t>36</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9</w:t>
      </w:r>
      <w:r>
        <w:rPr>
          <w:lang w:val="es-ES_tradnl"/>
        </w:rPr>
        <w:tab/>
      </w:r>
      <w:r>
        <w:rPr>
          <w:lang w:val="es-ES_tradnl"/>
        </w:rPr>
        <w:tab/>
        <w:t>159</w:t>
      </w:r>
      <w:r>
        <w:rPr>
          <w:lang w:val="es-ES_tradnl"/>
        </w:rPr>
        <w:tab/>
        <w:t>-</w:t>
      </w:r>
      <w:r>
        <w:rPr>
          <w:lang w:val="es-ES_tradnl"/>
        </w:rPr>
        <w:tab/>
        <w:t>209</w:t>
      </w:r>
      <w:r>
        <w:rPr>
          <w:lang w:val="es-ES_tradnl"/>
        </w:rPr>
        <w:tab/>
        <w:t>40</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10</w:t>
      </w:r>
      <w:r>
        <w:rPr>
          <w:lang w:val="es-ES_tradnl"/>
        </w:rPr>
        <w:tab/>
      </w:r>
      <w:r>
        <w:rPr>
          <w:lang w:val="es-ES_tradnl"/>
        </w:rPr>
        <w:tab/>
        <w:t>210</w:t>
      </w:r>
      <w:r>
        <w:rPr>
          <w:lang w:val="es-ES_tradnl"/>
        </w:rPr>
        <w:tab/>
        <w:t>-</w:t>
      </w:r>
      <w:r>
        <w:rPr>
          <w:lang w:val="es-ES_tradnl"/>
        </w:rPr>
        <w:tab/>
        <w:t>274</w:t>
      </w:r>
      <w:r>
        <w:rPr>
          <w:lang w:val="es-ES_tradnl"/>
        </w:rPr>
        <w:tab/>
        <w:t>48</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11</w:t>
      </w:r>
      <w:r>
        <w:rPr>
          <w:lang w:val="es-ES_tradnl"/>
        </w:rPr>
        <w:tab/>
      </w:r>
      <w:r>
        <w:rPr>
          <w:lang w:val="es-ES_tradnl"/>
        </w:rPr>
        <w:tab/>
        <w:t>275</w:t>
      </w:r>
      <w:r>
        <w:rPr>
          <w:lang w:val="es-ES_tradnl"/>
        </w:rPr>
        <w:tab/>
        <w:t>-</w:t>
      </w:r>
      <w:r>
        <w:rPr>
          <w:lang w:val="es-ES_tradnl"/>
        </w:rPr>
        <w:tab/>
        <w:t>376</w:t>
      </w:r>
      <w:r>
        <w:rPr>
          <w:lang w:val="es-ES_tradnl"/>
        </w:rPr>
        <w:tab/>
        <w:t>59</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12</w:t>
      </w:r>
      <w:r>
        <w:rPr>
          <w:lang w:val="es-ES_tradnl"/>
        </w:rPr>
        <w:tab/>
      </w:r>
      <w:r>
        <w:rPr>
          <w:lang w:val="es-ES_tradnl"/>
        </w:rPr>
        <w:tab/>
        <w:t>377</w:t>
      </w:r>
      <w:r>
        <w:rPr>
          <w:lang w:val="es-ES_tradnl"/>
        </w:rPr>
        <w:tab/>
        <w:t>-</w:t>
      </w:r>
      <w:r>
        <w:rPr>
          <w:lang w:val="es-ES_tradnl"/>
        </w:rPr>
        <w:tab/>
        <w:t>480</w:t>
      </w:r>
      <w:r>
        <w:rPr>
          <w:lang w:val="es-ES_tradnl"/>
        </w:rPr>
        <w:tab/>
        <w:t>83</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13</w:t>
      </w:r>
      <w:r>
        <w:rPr>
          <w:lang w:val="es-ES_tradnl"/>
        </w:rPr>
        <w:tab/>
      </w:r>
      <w:r>
        <w:rPr>
          <w:lang w:val="es-ES_tradnl"/>
        </w:rPr>
        <w:tab/>
        <w:t>481</w:t>
      </w:r>
      <w:r>
        <w:rPr>
          <w:lang w:val="es-ES_tradnl"/>
        </w:rPr>
        <w:tab/>
        <w:t>-</w:t>
      </w:r>
      <w:r>
        <w:rPr>
          <w:lang w:val="es-ES_tradnl"/>
        </w:rPr>
        <w:tab/>
        <w:t>544</w:t>
      </w:r>
      <w:r>
        <w:rPr>
          <w:lang w:val="es-ES_tradnl"/>
        </w:rPr>
        <w:tab/>
        <w:t>107</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14</w:t>
      </w:r>
      <w:r>
        <w:rPr>
          <w:lang w:val="es-ES_tradnl"/>
        </w:rPr>
        <w:tab/>
      </w:r>
      <w:r>
        <w:rPr>
          <w:lang w:val="es-ES_tradnl"/>
        </w:rPr>
        <w:tab/>
      </w:r>
      <w:r>
        <w:rPr>
          <w:lang w:val="es-ES_tradnl"/>
        </w:rPr>
        <w:tab/>
        <w:t>545</w:t>
      </w:r>
      <w:r>
        <w:rPr>
          <w:lang w:val="es-ES_tradnl"/>
        </w:rPr>
        <w:tab/>
      </w:r>
      <w:r>
        <w:rPr>
          <w:lang w:val="es-ES_tradnl"/>
        </w:rPr>
        <w:tab/>
        <w:t>125</w:t>
      </w:r>
    </w:p>
    <w:p w:rsidR="00000000" w:rsidRDefault="00000000">
      <w:pPr>
        <w:tabs>
          <w:tab w:val="left" w:pos="540"/>
          <w:tab w:val="right" w:leader="dot" w:pos="7215"/>
          <w:tab w:val="right" w:pos="7739"/>
          <w:tab w:val="center" w:pos="7920"/>
          <w:tab w:val="right" w:pos="8460"/>
          <w:tab w:val="right" w:pos="9090"/>
        </w:tabs>
        <w:spacing w:after="240"/>
        <w:rPr>
          <w:lang w:val="es-ES_tradnl"/>
        </w:rPr>
      </w:pPr>
      <w:r>
        <w:rPr>
          <w:lang w:val="es-ES_tradnl"/>
        </w:rPr>
        <w:tab/>
        <w:t>Artículo 15</w:t>
      </w:r>
      <w:r>
        <w:rPr>
          <w:lang w:val="es-ES_tradnl"/>
        </w:rPr>
        <w:tab/>
      </w:r>
      <w:r>
        <w:rPr>
          <w:lang w:val="es-ES_tradnl"/>
        </w:rPr>
        <w:tab/>
        <w:t>546</w:t>
      </w:r>
      <w:r>
        <w:rPr>
          <w:lang w:val="es-ES_tradnl"/>
        </w:rPr>
        <w:tab/>
        <w:t>-</w:t>
      </w:r>
      <w:r>
        <w:rPr>
          <w:lang w:val="es-ES_tradnl"/>
        </w:rPr>
        <w:tab/>
        <w:t>615</w:t>
      </w:r>
      <w:r>
        <w:rPr>
          <w:lang w:val="es-ES_tradnl"/>
        </w:rPr>
        <w:tab/>
        <w:t>125</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presente informe del Ecuador sobre los derechos económicos y sociales abarca el período del decenio de 1990, con proyecciones hasta el año 2002.</w:t>
      </w:r>
    </w:p>
    <w:p w:rsidR="00000000" w:rsidRDefault="00000000">
      <w:pPr>
        <w:spacing w:after="240"/>
        <w:rPr>
          <w:lang w:val="es-ES_tradnl"/>
        </w:rPr>
      </w:pPr>
      <w:r>
        <w:rPr>
          <w:lang w:val="es-ES_tradnl"/>
        </w:rPr>
        <w:t>2.</w:t>
      </w:r>
      <w:r>
        <w:rPr>
          <w:lang w:val="es-ES_tradnl"/>
        </w:rPr>
        <w:tab/>
        <w:t>El Ecuador, conforme a lo señalado, defendió sus informes iniciales y su segundo informe periódico relativo a los derechos comprendidos en los artículos 6 a 9 al Pacto Internacional de Derechos Económicos, Sociales y Culturales</w:t>
      </w:r>
      <w:r>
        <w:rPr>
          <w:rStyle w:val="FootnoteReference"/>
          <w:lang w:val="es-ES_tradnl"/>
        </w:rPr>
        <w:footnoteReference w:id="3"/>
      </w:r>
      <w:r>
        <w:rPr>
          <w:lang w:val="es-ES_tradnl"/>
        </w:rPr>
        <w:t>.  Cabe señalar que en forma previa se han presentado los informes respectivos a los nuevos Comités creados por las Naciones Unidas, específicamente el informe sobre las medidas contra la discriminación de la mujer, el informe sobre la protección de la infancia y el de discriminación racial, lo que permite reforzar ciertos capítulos de este documento que podrían verse como incompletos.</w:t>
      </w:r>
    </w:p>
    <w:p w:rsidR="00000000" w:rsidRDefault="00000000">
      <w:pPr>
        <w:spacing w:after="240"/>
        <w:rPr>
          <w:lang w:val="es-ES_tradnl"/>
        </w:rPr>
      </w:pPr>
      <w:r>
        <w:rPr>
          <w:lang w:val="es-ES_tradnl"/>
        </w:rPr>
        <w:t>3.</w:t>
      </w:r>
      <w:r>
        <w:rPr>
          <w:lang w:val="es-ES_tradnl"/>
        </w:rPr>
        <w:tab/>
        <w:t xml:space="preserve">La población de nuestro país ha disminuido.  Si tomamos en cuenta las proyecciones hechas en el censo nacional de 1990, existe un desfase de casi medio millón de personas.  Ello obedece en lo principal a la ola de </w:t>
      </w:r>
      <w:proofErr w:type="spellStart"/>
      <w:r>
        <w:rPr>
          <w:lang w:val="es-ES_tradnl"/>
        </w:rPr>
        <w:t>migrantes</w:t>
      </w:r>
      <w:proofErr w:type="spellEnd"/>
      <w:r>
        <w:rPr>
          <w:lang w:val="es-ES_tradnl"/>
        </w:rPr>
        <w:t xml:space="preserve"> que han salido del Ecuador hacia nuevos destinos:  los Estados Unidos, España e Italia como los más representativos</w:t>
      </w:r>
      <w:r>
        <w:rPr>
          <w:rStyle w:val="FootnoteReference"/>
          <w:lang w:val="es-ES_tradnl"/>
        </w:rPr>
        <w:footnoteReference w:id="4"/>
      </w:r>
      <w:r>
        <w:rPr>
          <w:lang w:val="es-ES_tradnl"/>
        </w:rPr>
        <w:t>.</w:t>
      </w:r>
    </w:p>
    <w:p w:rsidR="00000000" w:rsidRDefault="00000000">
      <w:pPr>
        <w:spacing w:after="240"/>
        <w:rPr>
          <w:lang w:val="es-ES_tradnl"/>
        </w:rPr>
      </w:pPr>
      <w:r>
        <w:rPr>
          <w:lang w:val="es-ES_tradnl"/>
        </w:rPr>
        <w:t>4.</w:t>
      </w:r>
      <w:r>
        <w:rPr>
          <w:lang w:val="es-ES_tradnl"/>
        </w:rPr>
        <w:tab/>
        <w:t>La nueva Constitución Política, aprobada en el año 1998 por la Asamblea Constituyente, consagra algunos derechos básicos, como el reconocimiento de las minorías étnicas, su idioma y culturas ancestrales, un elemento que las anteriores constituciones no contemplaban.  El igual acceso a los derechos de primera y segunda generación, el establecimiento de mecanismos para su defensa como el amparo constitucional, el hábeas data y la figura del defensor del pueblo son elementos de innovación.</w:t>
      </w:r>
    </w:p>
    <w:p w:rsidR="00000000" w:rsidRDefault="00000000">
      <w:pPr>
        <w:spacing w:after="240"/>
        <w:rPr>
          <w:lang w:val="es-ES_tradnl"/>
        </w:rPr>
      </w:pPr>
      <w:r>
        <w:rPr>
          <w:lang w:val="es-ES_tradnl"/>
        </w:rPr>
        <w:t>5.</w:t>
      </w:r>
      <w:r>
        <w:rPr>
          <w:lang w:val="es-ES_tradnl"/>
        </w:rPr>
        <w:tab/>
        <w:t>Para entender mejor las estadísticas presentadas en este informe que se basan en el sistema del tipo de cambio en sucres, vigente hasta el año 2000, hemos incorporado como anexo un cuadro con las equivalencias del tipo de cambio durante la década de los noventa.</w:t>
      </w:r>
    </w:p>
    <w:p w:rsidR="00000000" w:rsidRDefault="00000000">
      <w:pPr>
        <w:shd w:val="clear" w:color="auto" w:fill="FFFFFF"/>
        <w:spacing w:after="240"/>
      </w:pPr>
      <w:r>
        <w:rPr>
          <w:b/>
          <w:bCs/>
          <w:color w:val="000000"/>
          <w:szCs w:val="28"/>
          <w:lang w:val="es-ES_tradnl"/>
        </w:rPr>
        <w:t>Artículo 1</w:t>
      </w:r>
    </w:p>
    <w:p w:rsidR="00000000" w:rsidRDefault="00000000">
      <w:pPr>
        <w:shd w:val="clear" w:color="auto" w:fill="FFFFFF"/>
        <w:spacing w:after="240"/>
        <w:rPr>
          <w:color w:val="000000"/>
          <w:lang w:val="es-ES_tradnl"/>
        </w:rPr>
      </w:pPr>
      <w:r>
        <w:rPr>
          <w:color w:val="000000"/>
          <w:lang w:val="es-ES_tradnl"/>
        </w:rPr>
        <w:t>6.</w:t>
      </w:r>
      <w:r>
        <w:rPr>
          <w:color w:val="000000"/>
          <w:lang w:val="es-ES_tradnl"/>
        </w:rPr>
        <w:tab/>
        <w:t xml:space="preserve">La Constitución Política del Estado consagra en el artículo 1 que:  "El Ecuador es un Estado social de derecho, soberano, unitario, independiente, democrático, </w:t>
      </w:r>
      <w:proofErr w:type="spellStart"/>
      <w:r>
        <w:rPr>
          <w:color w:val="000000"/>
          <w:lang w:val="es-ES_tradnl"/>
        </w:rPr>
        <w:t>pluricultural</w:t>
      </w:r>
      <w:proofErr w:type="spellEnd"/>
      <w:r>
        <w:rPr>
          <w:color w:val="000000"/>
          <w:lang w:val="es-ES_tradnl"/>
        </w:rPr>
        <w:t xml:space="preserve"> y </w:t>
      </w:r>
      <w:proofErr w:type="spellStart"/>
      <w:r>
        <w:rPr>
          <w:color w:val="000000"/>
          <w:lang w:val="es-ES_tradnl"/>
        </w:rPr>
        <w:t>multiétnico</w:t>
      </w:r>
      <w:proofErr w:type="spellEnd"/>
      <w:r>
        <w:rPr>
          <w:color w:val="000000"/>
          <w:lang w:val="es-ES_tradnl"/>
        </w:rPr>
        <w:t>.  [...]  La soberanía radica en el pueblo, cuya voluntad es la base de la autoridad, que ejerce a través de los órganos del poder público y de los medios democráticos previstos en esta Constitución".  Y consagra el derecho a la libre determinación en el artículo 4:  "El Ecuador en sus relaciones con la comunidad internacional:  [...] rechaza toda forma de colonialismo, de neocolonialismo, de discriminación o segregación, reconoce el derecho de los pueblos a su autodeterminación y a liberarse de los sistemas opresivos".</w:t>
      </w:r>
    </w:p>
    <w:p w:rsidR="00000000" w:rsidRDefault="00000000">
      <w:pPr>
        <w:shd w:val="clear" w:color="auto" w:fill="FFFFFF"/>
        <w:spacing w:after="240"/>
        <w:rPr>
          <w:b/>
          <w:bCs/>
          <w:color w:val="000000"/>
          <w:lang w:val="es-ES_tradnl"/>
        </w:rPr>
      </w:pPr>
      <w:r>
        <w:rPr>
          <w:b/>
          <w:bCs/>
          <w:color w:val="000000"/>
          <w:lang w:val="es-ES_tradnl"/>
        </w:rPr>
        <w:t>Artículo 2</w:t>
      </w:r>
    </w:p>
    <w:p w:rsidR="00000000" w:rsidRDefault="00000000">
      <w:pPr>
        <w:shd w:val="clear" w:color="auto" w:fill="FFFFFF"/>
        <w:spacing w:after="240"/>
      </w:pPr>
      <w:r>
        <w:rPr>
          <w:color w:val="000000"/>
          <w:lang w:val="es-ES_tradnl"/>
        </w:rPr>
        <w:t>7.</w:t>
      </w:r>
      <w:r>
        <w:rPr>
          <w:color w:val="000000"/>
          <w:lang w:val="es-ES_tradnl"/>
        </w:rPr>
        <w:tab/>
        <w:t>La Constitución Política del Ecuador, en su artículo 23, determina lo siguiente:  "La igualdad ante la ley.  Todas las personas serán consideradas iguales y gozarán de los mismos derechos, libertades y oportunidades, sin discriminación en razón de nacimiento, edad, sexo, etnia, color, origen social, idioma, religión, filiación política, posición económica, orientación sexual, estado de salud, discapacidad, o diferencia de cualquier índole".</w:t>
      </w:r>
    </w:p>
    <w:p w:rsidR="00000000" w:rsidRDefault="00000000">
      <w:pPr>
        <w:shd w:val="clear" w:color="auto" w:fill="FFFFFF"/>
        <w:spacing w:after="240"/>
      </w:pPr>
      <w:r>
        <w:rPr>
          <w:color w:val="000000"/>
          <w:lang w:val="es-ES_tradnl"/>
        </w:rPr>
        <w:t>8.</w:t>
      </w:r>
      <w:r>
        <w:rPr>
          <w:color w:val="000000"/>
          <w:lang w:val="es-ES_tradnl"/>
        </w:rPr>
        <w:tab/>
        <w:t>El Estado ecuatoriano a través de sus instituciones tiene el deber supremo de garantizar la vigencia, el respeto y el cumplimiento de los derechos fundamentales del hombre y de los ciudadanos, sin distinción de su nacionalidad, sea por así disponerlo en nuestra Constitución o en cumplimiento de convenios internacionales.</w:t>
      </w:r>
    </w:p>
    <w:p w:rsidR="00000000" w:rsidRDefault="00000000">
      <w:pPr>
        <w:shd w:val="clear" w:color="auto" w:fill="FFFFFF"/>
        <w:spacing w:after="240"/>
      </w:pPr>
      <w:r>
        <w:rPr>
          <w:color w:val="000000"/>
          <w:lang w:val="es-ES_tradnl"/>
        </w:rPr>
        <w:t>9.</w:t>
      </w:r>
      <w:r>
        <w:rPr>
          <w:color w:val="000000"/>
          <w:lang w:val="es-ES_tradnl"/>
        </w:rPr>
        <w:tab/>
        <w:t>Por mandato del artículo 3 de la Constitución, es un deber del Estado "asegurar la vigencia de los derechos humanos".</w:t>
      </w:r>
    </w:p>
    <w:p w:rsidR="00000000" w:rsidRDefault="00000000">
      <w:pPr>
        <w:shd w:val="clear" w:color="auto" w:fill="FFFFFF"/>
        <w:spacing w:after="240"/>
      </w:pPr>
      <w:r>
        <w:rPr>
          <w:color w:val="000000"/>
          <w:lang w:val="es-ES_tradnl"/>
        </w:rPr>
        <w:t>10.</w:t>
      </w:r>
      <w:r>
        <w:rPr>
          <w:color w:val="000000"/>
          <w:lang w:val="es-ES_tradnl"/>
        </w:rPr>
        <w:tab/>
        <w:t>La Constitución Política, en su artículo 13, reconoce la igualdad de derechos para los extranjeros y los ecuatorianos, salvo aquellos derechos civiles y políticos propios de los ecuatorianos de conformidad con la Constitución Política y las leyes.</w:t>
      </w:r>
    </w:p>
    <w:p w:rsidR="00000000" w:rsidRDefault="00000000">
      <w:pPr>
        <w:shd w:val="clear" w:color="auto" w:fill="FFFFFF"/>
        <w:spacing w:after="240"/>
        <w:rPr>
          <w:color w:val="000000"/>
          <w:lang w:val="es-ES_tradnl"/>
        </w:rPr>
      </w:pPr>
      <w:r>
        <w:rPr>
          <w:color w:val="000000"/>
          <w:lang w:val="es-ES_tradnl"/>
        </w:rPr>
        <w:t>11.</w:t>
      </w:r>
      <w:r>
        <w:rPr>
          <w:color w:val="000000"/>
          <w:lang w:val="es-ES_tradnl"/>
        </w:rPr>
        <w:tab/>
        <w:t>La Ley de extranjería en su artículo l compromete al Estado ecuatoriano a regular la situación de los extranjeros en el país</w:t>
      </w:r>
    </w:p>
    <w:p w:rsidR="00000000" w:rsidRDefault="00000000">
      <w:pPr>
        <w:shd w:val="clear" w:color="auto" w:fill="FFFFFF"/>
        <w:spacing w:after="240"/>
      </w:pPr>
      <w:r>
        <w:rPr>
          <w:b/>
          <w:bCs/>
        </w:rPr>
        <w:t>Artículo 3</w:t>
      </w:r>
    </w:p>
    <w:p w:rsidR="00000000" w:rsidRDefault="00000000">
      <w:pPr>
        <w:shd w:val="clear" w:color="auto" w:fill="FFFFFF"/>
        <w:spacing w:after="240"/>
      </w:pPr>
      <w:r>
        <w:rPr>
          <w:color w:val="000000"/>
          <w:lang w:val="es-ES_tradnl"/>
        </w:rPr>
        <w:t>12.</w:t>
      </w:r>
      <w:r>
        <w:rPr>
          <w:color w:val="000000"/>
          <w:lang w:val="es-ES_tradnl"/>
        </w:rPr>
        <w:tab/>
        <w:t xml:space="preserve">El texto constitucional, preparado por la Asamblea Nacional Constituyente y publicado en el </w:t>
      </w:r>
      <w:r>
        <w:rPr>
          <w:i/>
          <w:iCs/>
          <w:color w:val="000000"/>
          <w:lang w:val="es-ES_tradnl"/>
        </w:rPr>
        <w:t>Registro Oficial</w:t>
      </w:r>
      <w:r>
        <w:rPr>
          <w:color w:val="000000"/>
          <w:lang w:val="es-ES_tradnl"/>
        </w:rPr>
        <w:t xml:space="preserve"> </w:t>
      </w:r>
      <w:proofErr w:type="spellStart"/>
      <w:r>
        <w:rPr>
          <w:color w:val="000000"/>
          <w:lang w:val="es-ES_tradnl"/>
        </w:rPr>
        <w:t>Nº</w:t>
      </w:r>
      <w:proofErr w:type="spellEnd"/>
      <w:r>
        <w:rPr>
          <w:color w:val="000000"/>
          <w:lang w:val="es-ES_tradnl"/>
        </w:rPr>
        <w:t xml:space="preserve"> 1, el 11 de agosto de 1998, recogió los planteamientos de la sociedad civil y logró incorporar en la actual Constitución aspectos relacionados con la equidad de género, la justicia social, la identidad </w:t>
      </w:r>
      <w:proofErr w:type="spellStart"/>
      <w:r>
        <w:rPr>
          <w:color w:val="000000"/>
          <w:lang w:val="es-ES_tradnl"/>
        </w:rPr>
        <w:t>pluricultural</w:t>
      </w:r>
      <w:proofErr w:type="spellEnd"/>
      <w:r>
        <w:rPr>
          <w:color w:val="000000"/>
          <w:lang w:val="es-ES_tradnl"/>
        </w:rPr>
        <w:t>, los derechos humanos, el medio ambiente, la promoción de los derechos económicos, sociales y culturales de los habitantes y la vigencia del sistema democrático entre otros.  Los artículos 34, 41 y 102 de la Constitución vigente se refieren a los derechos relacionados con la igualdad de género.</w:t>
      </w:r>
    </w:p>
    <w:p w:rsidR="00000000" w:rsidRDefault="00000000">
      <w:pPr>
        <w:shd w:val="clear" w:color="auto" w:fill="FFFFFF"/>
        <w:spacing w:after="240"/>
      </w:pPr>
      <w:r>
        <w:rPr>
          <w:color w:val="000000"/>
          <w:lang w:val="es-ES_tradnl"/>
        </w:rPr>
        <w:t>13.</w:t>
      </w:r>
      <w:r>
        <w:rPr>
          <w:color w:val="000000"/>
          <w:lang w:val="es-ES_tradnl"/>
        </w:rPr>
        <w:tab/>
        <w:t>De este modo, el artículo 34 dice:  "El Estado garantizará la igualdad de derechos y oportunidades de mujeres y hombres en el acceso a recursos para la producción y en la toma de decisiones económicas para la administración de la sociedad conyugal y de la propiedad"; el artículo 41 dice:  "El Estado formulará y ejecutará políticas para alcanzar la igualdad de oportunidades entre hombres y mujeres"; y según el artículo 102, "la participación equitativa de mujeres y hombres como candidatos en los procesos de elección popular, en las instancias de dirección y decisión en el ámbito público".  Estos artículos complementan al artículo 23 de los derechos constitucionales, numeral 3, en el que se consagra explícitamente la no discriminación por razones de sexo, etnia, color, discapacidad, o de cualquier índole.</w:t>
      </w:r>
    </w:p>
    <w:p w:rsidR="00000000" w:rsidRDefault="00000000">
      <w:pPr>
        <w:shd w:val="clear" w:color="auto" w:fill="FFFFFF"/>
        <w:spacing w:after="240"/>
        <w:rPr>
          <w:color w:val="000000"/>
          <w:lang w:val="es-ES_tradnl"/>
        </w:rPr>
      </w:pPr>
      <w:r>
        <w:rPr>
          <w:color w:val="000000"/>
          <w:lang w:val="es-ES_tradnl"/>
        </w:rPr>
        <w:t>14.</w:t>
      </w:r>
      <w:r>
        <w:rPr>
          <w:color w:val="000000"/>
          <w:lang w:val="es-ES_tradnl"/>
        </w:rPr>
        <w:tab/>
        <w:t>Con respecto a los niños, adolescentes, mujeres embarazadas, personas con discapacidad, de la tercera edad y aquellas que adolecen de enfermedades graves, el texto constitucional en el artículo 47 los considera como grupos vulnerables y señala que recibirán atención preferente de los organismos públicos y privados.</w:t>
      </w:r>
    </w:p>
    <w:p w:rsidR="00000000" w:rsidRDefault="00000000">
      <w:pPr>
        <w:shd w:val="clear" w:color="auto" w:fill="FFFFFF"/>
        <w:spacing w:after="240"/>
      </w:pPr>
      <w:r>
        <w:rPr>
          <w:color w:val="000000"/>
          <w:lang w:val="es-ES_tradnl"/>
        </w:rPr>
        <w:t>15.</w:t>
      </w:r>
      <w:r>
        <w:rPr>
          <w:color w:val="000000"/>
          <w:lang w:val="es-ES_tradnl"/>
        </w:rPr>
        <w:tab/>
        <w:t>La Constitución ecuatoriana reafirma la convicción de que la legislación ecuatoriana actualmente prohíbe todo tipo de discriminación por razones de raza, sexo, religión o discapacidades y que se encuentra trabajando en políticas encaminadas a completar la participación real de las mujeres en cuanto a derechos y a igualdad de oportunidades, en las que toda la sociedad debe involucrarse, apartando la idea de considerar la igualdad como un problema exclusivo de las mujeres.</w:t>
      </w:r>
    </w:p>
    <w:p w:rsidR="00000000" w:rsidRDefault="00000000">
      <w:pPr>
        <w:shd w:val="clear" w:color="auto" w:fill="FFFFFF"/>
        <w:spacing w:after="240"/>
      </w:pPr>
      <w:r>
        <w:rPr>
          <w:color w:val="000000"/>
          <w:lang w:val="es-ES_tradnl"/>
        </w:rPr>
        <w:t>16.</w:t>
      </w:r>
      <w:r>
        <w:rPr>
          <w:color w:val="000000"/>
          <w:lang w:val="es-ES_tradnl"/>
        </w:rPr>
        <w:tab/>
        <w:t>El protagonismo de la mujer en el devenir de la sociedad ecuatoriana, marcado fundamentalmente por el cambio de su papel y el que han asumido las mujeres en la toma de decisiones en estos últimos años fueron conseguidos con mucho esfuerzo, y es cada vez más fuerte la presencia de las mujeres en la política con una voz que quiere ser oída como parte de la población del país.</w:t>
      </w:r>
    </w:p>
    <w:p w:rsidR="00000000" w:rsidRDefault="00000000">
      <w:pPr>
        <w:shd w:val="clear" w:color="auto" w:fill="FFFFFF"/>
        <w:spacing w:after="240"/>
      </w:pPr>
      <w:r>
        <w:rPr>
          <w:color w:val="000000"/>
          <w:lang w:val="es-ES_tradnl"/>
        </w:rPr>
        <w:t>17.</w:t>
      </w:r>
      <w:r>
        <w:rPr>
          <w:color w:val="000000"/>
          <w:lang w:val="es-ES_tradnl"/>
        </w:rPr>
        <w:tab/>
        <w:t>Ha sido notoria en la última década la presencia de la mujer en el campo político.  En el período presidencial 1980-1984 fue designada por primera vez una mujer como Ministra de Estado que ocupó la Cartera de Bienestar Social.  En 1990 ninguno de los ministerios fue ocupado por una mujer.  En el período presidencial 1993-1996 fueron nombradas dos Ministras de Estado para los Ministerios de Educación y Bienestar Social.  De los 74 diputados, 3 eran mujeres.  En 1978 sólo el 4% del total de electos para concejos municipales fueron mujeres, mientras que durante el período presidencial 1997-2000 se presentaron 86 candidatas para las diferentes dignidades, 58 para diputaciones alternas y 5 para diputaciones provinciales.</w:t>
      </w:r>
    </w:p>
    <w:p w:rsidR="00000000" w:rsidRDefault="00000000">
      <w:pPr>
        <w:shd w:val="clear" w:color="auto" w:fill="FFFFFF"/>
        <w:spacing w:after="240"/>
        <w:rPr>
          <w:color w:val="000000"/>
          <w:lang w:val="es-ES_tradnl"/>
        </w:rPr>
      </w:pPr>
      <w:r>
        <w:rPr>
          <w:color w:val="000000"/>
          <w:lang w:val="es-ES_tradnl"/>
        </w:rPr>
        <w:t>18.</w:t>
      </w:r>
      <w:r>
        <w:rPr>
          <w:color w:val="000000"/>
          <w:lang w:val="es-ES_tradnl"/>
        </w:rPr>
        <w:tab/>
        <w:t>Hoy, sin embargo ya es normal, aunque todavía no muy frecuente, ver a mujeres al frente de grandes corporaciones, en juntas directivas, organizaciones gremiales, asociaciones de la más variada índole, etc.  Y están también cada vez más en gabinetes y congresos, tomando decisiones políticas difíciles y de trascendencia.</w:t>
      </w:r>
    </w:p>
    <w:p w:rsidR="00000000" w:rsidRDefault="00000000">
      <w:pPr>
        <w:shd w:val="clear" w:color="auto" w:fill="FFFFFF"/>
        <w:spacing w:after="240"/>
      </w:pPr>
      <w:r>
        <w:rPr>
          <w:color w:val="000000"/>
          <w:szCs w:val="25"/>
          <w:lang w:val="es-ES_tradnl"/>
        </w:rPr>
        <w:t>19.</w:t>
      </w:r>
      <w:r>
        <w:rPr>
          <w:color w:val="000000"/>
          <w:szCs w:val="25"/>
          <w:lang w:val="es-ES_tradnl"/>
        </w:rPr>
        <w:tab/>
        <w:t>De acuerdo con el censo de población realizado en 1990, en el país había 4.851.777 mujeres y 4.796.412 hombres; las mujeres constituyen el 50,3% de la población total.  Entre las edades de 0 a 14 años los hombres son más numerosos y a partir de 15 a 64 años la proporción de mujeres es mayor a la registrada por los hombres, fundamentalmente porque las mujeres tienen una mayor esperanza de vida al nacer.</w:t>
      </w:r>
    </w:p>
    <w:p w:rsidR="00000000" w:rsidRDefault="00000000">
      <w:pPr>
        <w:shd w:val="clear" w:color="auto" w:fill="FFFFFF"/>
        <w:spacing w:after="240"/>
      </w:pPr>
      <w:r>
        <w:rPr>
          <w:color w:val="000000"/>
          <w:szCs w:val="25"/>
          <w:lang w:val="es-ES_tradnl"/>
        </w:rPr>
        <w:t>20.</w:t>
      </w:r>
      <w:r>
        <w:rPr>
          <w:color w:val="000000"/>
          <w:szCs w:val="25"/>
          <w:lang w:val="es-ES_tradnl"/>
        </w:rPr>
        <w:tab/>
        <w:t>En las zonas rurales las mujeres constituyen el 48,9%, mientras que en las zonas urbanas las mujeres representan el 51,4% de la población.  Esto quiere decir que en las zonas urbanas existe mayor número de mujeres que en las zonas rurales.</w:t>
      </w:r>
    </w:p>
    <w:p w:rsidR="00000000" w:rsidRDefault="00000000">
      <w:pPr>
        <w:shd w:val="clear" w:color="auto" w:fill="FFFFFF"/>
        <w:spacing w:after="240"/>
      </w:pPr>
      <w:r>
        <w:rPr>
          <w:color w:val="000000"/>
          <w:szCs w:val="25"/>
          <w:lang w:val="es-ES_tradnl"/>
        </w:rPr>
        <w:t>21.</w:t>
      </w:r>
      <w:r>
        <w:rPr>
          <w:color w:val="000000"/>
          <w:szCs w:val="25"/>
          <w:lang w:val="es-ES_tradnl"/>
        </w:rPr>
        <w:tab/>
        <w:t>Las mujeres conforman una familia a edades más tempranas que los hombres.  Según datos del INEC a 1997, los matrimonios por grupos de edad menores de 15 años y de 15 a 19 en su mayoría son contraídos por mujeres, mientras que los hombres en su mayoría contraen matrimonio entre los 20 y 24 años.</w:t>
      </w:r>
    </w:p>
    <w:p w:rsidR="00000000" w:rsidRDefault="00000000">
      <w:pPr>
        <w:shd w:val="clear" w:color="auto" w:fill="FFFFFF"/>
        <w:spacing w:after="240"/>
        <w:rPr>
          <w:color w:val="000000"/>
          <w:szCs w:val="25"/>
          <w:lang w:val="es-ES_tradnl"/>
        </w:rPr>
      </w:pPr>
      <w:r>
        <w:rPr>
          <w:color w:val="000000"/>
          <w:szCs w:val="25"/>
          <w:lang w:val="es-ES_tradnl"/>
        </w:rPr>
        <w:t>22.</w:t>
      </w:r>
      <w:r>
        <w:rPr>
          <w:color w:val="000000"/>
          <w:szCs w:val="25"/>
          <w:lang w:val="es-ES_tradnl"/>
        </w:rPr>
        <w:tab/>
        <w:t>La Constitución Política del Estado protege el matrimonio, así como también la unión de hecho, mediante la cual un hombre y una mujer, libres de vínculo matrimonial con otra persona, podrán formar un hogar de hecho, generarán los mismos derechos y obligaciones que tienen las familias constituidas en matrimonio.  "La unión libre es mucho más frecuente entre las mujeres de la Costa, hay mas costeñas unidas que casadas, en tanto que el matrimonio es más común en la Sierra"</w:t>
      </w:r>
      <w:r>
        <w:rPr>
          <w:rStyle w:val="FootnoteReference"/>
          <w:color w:val="000000"/>
          <w:szCs w:val="25"/>
          <w:lang w:val="es-ES_tradnl"/>
        </w:rPr>
        <w:footnoteReference w:id="5"/>
      </w:r>
      <w:r>
        <w:rPr>
          <w:color w:val="000000"/>
          <w:szCs w:val="25"/>
          <w:lang w:val="es-ES_tradnl"/>
        </w:rPr>
        <w:t>.</w:t>
      </w:r>
    </w:p>
    <w:p w:rsidR="00000000" w:rsidRDefault="00000000">
      <w:pPr>
        <w:shd w:val="clear" w:color="auto" w:fill="FFFFFF"/>
        <w:spacing w:after="240"/>
        <w:rPr>
          <w:color w:val="000000"/>
          <w:szCs w:val="25"/>
          <w:lang w:val="es-ES_tradnl"/>
        </w:rPr>
      </w:pPr>
      <w:r>
        <w:rPr>
          <w:color w:val="000000"/>
          <w:szCs w:val="25"/>
          <w:lang w:val="es-ES_tradnl"/>
        </w:rPr>
        <w:t>23.</w:t>
      </w:r>
      <w:r>
        <w:rPr>
          <w:color w:val="000000"/>
          <w:szCs w:val="25"/>
          <w:lang w:val="es-ES_tradnl"/>
        </w:rPr>
        <w:tab/>
        <w:t>La fecundidad de las mujeres en el país ha disminuido, como se puede apreciar en la siguiente tabla:</w:t>
      </w:r>
    </w:p>
    <w:p w:rsidR="00000000" w:rsidRDefault="00000000">
      <w:pPr>
        <w:shd w:val="clear" w:color="auto" w:fill="FFFFFF"/>
        <w:spacing w:after="240"/>
        <w:jc w:val="center"/>
      </w:pPr>
      <w:r>
        <w:rPr>
          <w:b/>
          <w:bCs/>
        </w:rPr>
        <w:t>Tasa global de fecundidad de las mujeres entre 15 y 49 años</w:t>
      </w:r>
      <w:r>
        <w:rPr>
          <w:b/>
          <w:bCs/>
        </w:rPr>
        <w:br/>
        <w:t>(Número esperado de hijos 1965-1994)</w:t>
      </w:r>
    </w:p>
    <w:tbl>
      <w:tblPr>
        <w:tblW w:w="0" w:type="auto"/>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35"/>
        <w:gridCol w:w="2118"/>
      </w:tblGrid>
      <w:tr w:rsidR="00000000">
        <w:tblPrEx>
          <w:tblCellMar>
            <w:top w:w="0" w:type="dxa"/>
            <w:bottom w:w="0" w:type="dxa"/>
          </w:tblCellMar>
        </w:tblPrEx>
        <w:trPr>
          <w:jc w:val="center"/>
        </w:trPr>
        <w:tc>
          <w:tcPr>
            <w:tcW w:w="4735" w:type="dxa"/>
            <w:vAlign w:val="center"/>
          </w:tcPr>
          <w:p w:rsidR="00000000" w:rsidRDefault="00000000">
            <w:pPr>
              <w:jc w:val="center"/>
            </w:pPr>
            <w:r>
              <w:t>Años</w:t>
            </w:r>
          </w:p>
        </w:tc>
        <w:tc>
          <w:tcPr>
            <w:tcW w:w="2118" w:type="dxa"/>
            <w:vAlign w:val="center"/>
          </w:tcPr>
          <w:p w:rsidR="00000000" w:rsidRDefault="00000000">
            <w:pPr>
              <w:jc w:val="center"/>
            </w:pPr>
            <w:r>
              <w:t>Número de hijos</w:t>
            </w:r>
          </w:p>
        </w:tc>
      </w:tr>
      <w:tr w:rsidR="00000000">
        <w:tblPrEx>
          <w:tblCellMar>
            <w:top w:w="0" w:type="dxa"/>
            <w:bottom w:w="0" w:type="dxa"/>
          </w:tblCellMar>
        </w:tblPrEx>
        <w:trPr>
          <w:jc w:val="center"/>
        </w:trPr>
        <w:tc>
          <w:tcPr>
            <w:tcW w:w="4735" w:type="dxa"/>
          </w:tcPr>
          <w:p w:rsidR="00000000" w:rsidRDefault="00000000">
            <w:r>
              <w:t>1965-1969</w:t>
            </w:r>
          </w:p>
        </w:tc>
        <w:tc>
          <w:tcPr>
            <w:tcW w:w="2118" w:type="dxa"/>
          </w:tcPr>
          <w:p w:rsidR="00000000" w:rsidRDefault="00000000">
            <w:pPr>
              <w:jc w:val="center"/>
            </w:pPr>
            <w:r>
              <w:t>6,9</w:t>
            </w:r>
          </w:p>
        </w:tc>
      </w:tr>
      <w:tr w:rsidR="00000000">
        <w:tblPrEx>
          <w:tblCellMar>
            <w:top w:w="0" w:type="dxa"/>
            <w:bottom w:w="0" w:type="dxa"/>
          </w:tblCellMar>
        </w:tblPrEx>
        <w:trPr>
          <w:jc w:val="center"/>
        </w:trPr>
        <w:tc>
          <w:tcPr>
            <w:tcW w:w="4735" w:type="dxa"/>
          </w:tcPr>
          <w:p w:rsidR="00000000" w:rsidRDefault="00000000">
            <w:r>
              <w:t>1975-1979</w:t>
            </w:r>
          </w:p>
        </w:tc>
        <w:tc>
          <w:tcPr>
            <w:tcW w:w="2118" w:type="dxa"/>
          </w:tcPr>
          <w:p w:rsidR="00000000" w:rsidRDefault="00000000">
            <w:pPr>
              <w:jc w:val="center"/>
            </w:pPr>
            <w:r>
              <w:t>5,4</w:t>
            </w:r>
          </w:p>
        </w:tc>
      </w:tr>
      <w:tr w:rsidR="00000000">
        <w:tblPrEx>
          <w:tblCellMar>
            <w:top w:w="0" w:type="dxa"/>
            <w:bottom w:w="0" w:type="dxa"/>
          </w:tblCellMar>
        </w:tblPrEx>
        <w:trPr>
          <w:jc w:val="center"/>
        </w:trPr>
        <w:tc>
          <w:tcPr>
            <w:tcW w:w="4735" w:type="dxa"/>
          </w:tcPr>
          <w:p w:rsidR="00000000" w:rsidRDefault="00000000">
            <w:r>
              <w:t>1981-1982</w:t>
            </w:r>
          </w:p>
        </w:tc>
        <w:tc>
          <w:tcPr>
            <w:tcW w:w="2118" w:type="dxa"/>
          </w:tcPr>
          <w:p w:rsidR="00000000" w:rsidRDefault="00000000">
            <w:pPr>
              <w:jc w:val="center"/>
            </w:pPr>
            <w:r>
              <w:t>4,9</w:t>
            </w:r>
          </w:p>
        </w:tc>
      </w:tr>
      <w:tr w:rsidR="00000000">
        <w:tblPrEx>
          <w:tblCellMar>
            <w:top w:w="0" w:type="dxa"/>
            <w:bottom w:w="0" w:type="dxa"/>
          </w:tblCellMar>
        </w:tblPrEx>
        <w:trPr>
          <w:jc w:val="center"/>
        </w:trPr>
        <w:tc>
          <w:tcPr>
            <w:tcW w:w="4735" w:type="dxa"/>
          </w:tcPr>
          <w:p w:rsidR="00000000" w:rsidRDefault="00000000">
            <w:r>
              <w:t>1982-1987</w:t>
            </w:r>
          </w:p>
        </w:tc>
        <w:tc>
          <w:tcPr>
            <w:tcW w:w="2118" w:type="dxa"/>
          </w:tcPr>
          <w:p w:rsidR="00000000" w:rsidRDefault="00000000">
            <w:pPr>
              <w:jc w:val="center"/>
            </w:pPr>
            <w:r>
              <w:t>4,3</w:t>
            </w:r>
          </w:p>
        </w:tc>
      </w:tr>
      <w:tr w:rsidR="00000000">
        <w:tblPrEx>
          <w:tblCellMar>
            <w:top w:w="0" w:type="dxa"/>
            <w:bottom w:w="0" w:type="dxa"/>
          </w:tblCellMar>
        </w:tblPrEx>
        <w:trPr>
          <w:jc w:val="center"/>
        </w:trPr>
        <w:tc>
          <w:tcPr>
            <w:tcW w:w="4735" w:type="dxa"/>
          </w:tcPr>
          <w:p w:rsidR="00000000" w:rsidRDefault="00000000">
            <w:r>
              <w:t>1984-1989</w:t>
            </w:r>
          </w:p>
        </w:tc>
        <w:tc>
          <w:tcPr>
            <w:tcW w:w="2118" w:type="dxa"/>
          </w:tcPr>
          <w:p w:rsidR="00000000" w:rsidRDefault="00000000">
            <w:pPr>
              <w:jc w:val="center"/>
            </w:pPr>
            <w:r>
              <w:t>3,8</w:t>
            </w:r>
          </w:p>
        </w:tc>
      </w:tr>
      <w:tr w:rsidR="00000000">
        <w:tblPrEx>
          <w:tblCellMar>
            <w:top w:w="0" w:type="dxa"/>
            <w:bottom w:w="0" w:type="dxa"/>
          </w:tblCellMar>
        </w:tblPrEx>
        <w:trPr>
          <w:jc w:val="center"/>
        </w:trPr>
        <w:tc>
          <w:tcPr>
            <w:tcW w:w="4735" w:type="dxa"/>
          </w:tcPr>
          <w:p w:rsidR="00000000" w:rsidRDefault="00000000">
            <w:r>
              <w:t>1989-1994</w:t>
            </w:r>
          </w:p>
        </w:tc>
        <w:tc>
          <w:tcPr>
            <w:tcW w:w="2118" w:type="dxa"/>
          </w:tcPr>
          <w:p w:rsidR="00000000" w:rsidRDefault="00000000">
            <w:pPr>
              <w:jc w:val="center"/>
            </w:pPr>
            <w:r>
              <w:t>3,6</w:t>
            </w:r>
          </w:p>
        </w:tc>
      </w:tr>
      <w:tr w:rsidR="00000000">
        <w:tblPrEx>
          <w:tblCellMar>
            <w:top w:w="0" w:type="dxa"/>
            <w:bottom w:w="0" w:type="dxa"/>
          </w:tblCellMar>
        </w:tblPrEx>
        <w:trPr>
          <w:jc w:val="center"/>
        </w:trPr>
        <w:tc>
          <w:tcPr>
            <w:tcW w:w="4735" w:type="dxa"/>
            <w:tcBorders>
              <w:bottom w:val="single" w:sz="4" w:space="0" w:color="auto"/>
            </w:tcBorders>
          </w:tcPr>
          <w:p w:rsidR="00000000" w:rsidRDefault="00000000">
            <w:r>
              <w:t>1994-1999*</w:t>
            </w:r>
          </w:p>
        </w:tc>
        <w:tc>
          <w:tcPr>
            <w:tcW w:w="2118" w:type="dxa"/>
            <w:tcBorders>
              <w:bottom w:val="single" w:sz="4" w:space="0" w:color="auto"/>
            </w:tcBorders>
          </w:tcPr>
          <w:p w:rsidR="00000000" w:rsidRDefault="00000000">
            <w:pPr>
              <w:jc w:val="center"/>
            </w:pPr>
            <w:r>
              <w:t>3,4</w:t>
            </w:r>
          </w:p>
        </w:tc>
      </w:tr>
      <w:tr w:rsidR="00000000">
        <w:tblPrEx>
          <w:tblCellMar>
            <w:top w:w="0" w:type="dxa"/>
            <w:bottom w:w="0" w:type="dxa"/>
          </w:tblCellMar>
        </w:tblPrEx>
        <w:trPr>
          <w:cantSplit/>
          <w:jc w:val="center"/>
        </w:trPr>
        <w:tc>
          <w:tcPr>
            <w:tcW w:w="6853" w:type="dxa"/>
            <w:gridSpan w:val="2"/>
            <w:tcBorders>
              <w:top w:val="single" w:sz="4" w:space="0" w:color="auto"/>
              <w:left w:val="nil"/>
              <w:bottom w:val="nil"/>
              <w:right w:val="nil"/>
            </w:tcBorders>
          </w:tcPr>
          <w:p w:rsidR="00000000" w:rsidRDefault="00000000">
            <w:pPr>
              <w:spacing w:before="240" w:after="240"/>
            </w:pPr>
            <w:r>
              <w:rPr>
                <w:i/>
                <w:iCs/>
              </w:rPr>
              <w:t>Fuente:</w:t>
            </w:r>
            <w:r>
              <w:t xml:space="preserve">  "Retrato de mujeres.  Indicadores sociales sobre la situación de las campesinas indígenas del Ecuador rural", </w:t>
            </w:r>
            <w:r>
              <w:rPr>
                <w:i/>
                <w:iCs/>
              </w:rPr>
              <w:t>El desarrollo social en el Ecuador 2</w:t>
            </w:r>
            <w:r>
              <w:t xml:space="preserve">, Quito, </w:t>
            </w:r>
            <w:proofErr w:type="spellStart"/>
            <w:r>
              <w:t>StFS</w:t>
            </w:r>
            <w:proofErr w:type="spellEnd"/>
            <w:r>
              <w:t xml:space="preserve">, UNIFEM y </w:t>
            </w:r>
            <w:proofErr w:type="spellStart"/>
            <w:r>
              <w:t>PMS</w:t>
            </w:r>
            <w:proofErr w:type="spellEnd"/>
            <w:r>
              <w:t>, 1998.</w:t>
            </w:r>
          </w:p>
          <w:p w:rsidR="00000000" w:rsidRDefault="00000000">
            <w:r>
              <w:t xml:space="preserve">* </w:t>
            </w:r>
            <w:proofErr w:type="spellStart"/>
            <w:r>
              <w:t>ENDEMAIN</w:t>
            </w:r>
            <w:proofErr w:type="spellEnd"/>
            <w:r>
              <w:t>-99.</w:t>
            </w:r>
          </w:p>
        </w:tc>
      </w:tr>
    </w:tbl>
    <w:p w:rsidR="00000000" w:rsidRDefault="00000000">
      <w:pPr>
        <w:shd w:val="clear" w:color="auto" w:fill="FFFFFF"/>
        <w:spacing w:before="480" w:after="240"/>
      </w:pPr>
      <w:r>
        <w:t>24.</w:t>
      </w:r>
      <w:r>
        <w:tab/>
      </w:r>
      <w:r>
        <w:rPr>
          <w:color w:val="000000"/>
          <w:szCs w:val="25"/>
          <w:lang w:val="es-ES_tradnl"/>
        </w:rPr>
        <w:t xml:space="preserve">La última encuesta </w:t>
      </w:r>
      <w:proofErr w:type="spellStart"/>
      <w:r>
        <w:rPr>
          <w:color w:val="000000"/>
          <w:szCs w:val="25"/>
          <w:lang w:val="es-ES_tradnl"/>
        </w:rPr>
        <w:t>ENDEMAIN</w:t>
      </w:r>
      <w:proofErr w:type="spellEnd"/>
      <w:r>
        <w:rPr>
          <w:color w:val="000000"/>
          <w:szCs w:val="25"/>
          <w:lang w:val="es-ES_tradnl"/>
        </w:rPr>
        <w:t>-99 señaló que la tasa global de fecundidad en el país para 1994-1999 es de 3,4 hijos por mujer.  La tasa global estimada para el área rural es de 4,4 hijos, sustancialmente más elevada que la urbana (2,8 hijos).</w:t>
      </w:r>
    </w:p>
    <w:p w:rsidR="00000000" w:rsidRDefault="00000000">
      <w:pPr>
        <w:shd w:val="clear" w:color="auto" w:fill="FFFFFF"/>
        <w:spacing w:after="240"/>
        <w:rPr>
          <w:color w:val="000000"/>
          <w:szCs w:val="25"/>
          <w:lang w:val="es-ES_tradnl"/>
        </w:rPr>
      </w:pPr>
      <w:r>
        <w:rPr>
          <w:color w:val="000000"/>
          <w:szCs w:val="25"/>
          <w:lang w:val="es-ES_tradnl"/>
        </w:rPr>
        <w:t>25.</w:t>
      </w:r>
      <w:r>
        <w:rPr>
          <w:color w:val="000000"/>
          <w:szCs w:val="25"/>
          <w:lang w:val="es-ES_tradnl"/>
        </w:rPr>
        <w:tab/>
        <w:t>A nivel regional el más bajo se presentó en la zona Insular ubicándose en 2,3 hijos, indicador semejante a países desarrollados; a continuación se encuentra la Costa con 3 hijos, la Sierra con 3,6, observándose en la Amazonía el nivel más alto (5,5 hijos por mujer, promedio de hijos que tenía el país a mediados de los años sesenta)</w:t>
      </w:r>
      <w:r>
        <w:rPr>
          <w:rStyle w:val="FootnoteReference"/>
          <w:color w:val="000000"/>
          <w:szCs w:val="25"/>
          <w:lang w:val="es-ES_tradnl"/>
        </w:rPr>
        <w:footnoteReference w:id="6"/>
      </w:r>
      <w:r>
        <w:rPr>
          <w:color w:val="000000"/>
          <w:szCs w:val="25"/>
          <w:lang w:val="es-ES_tradnl"/>
        </w:rPr>
        <w:t>.</w:t>
      </w:r>
    </w:p>
    <w:p w:rsidR="00000000" w:rsidRDefault="00000000">
      <w:pPr>
        <w:shd w:val="clear" w:color="auto" w:fill="FFFFFF"/>
        <w:spacing w:after="240"/>
      </w:pPr>
      <w:r>
        <w:rPr>
          <w:color w:val="000000"/>
          <w:lang w:val="es-ES_tradnl"/>
        </w:rPr>
        <w:t>26.</w:t>
      </w:r>
      <w:r>
        <w:rPr>
          <w:color w:val="000000"/>
          <w:lang w:val="es-ES_tradnl"/>
        </w:rPr>
        <w:tab/>
        <w:t>Si bien en el Ecuador el porcentaje de analfabetismo se ha reducido notablemente, la diferencia entre los sexos continúa.  Para el año 1998, las mujeres analfabetas eran de alrededor de 12,1 y 8,3% los hombres del total de la población analfabeta.  La población rural es el grupo más afectado por el analfabetismo.</w:t>
      </w:r>
    </w:p>
    <w:p w:rsidR="00000000" w:rsidRDefault="00000000">
      <w:pPr>
        <w:shd w:val="clear" w:color="auto" w:fill="FFFFFF"/>
        <w:spacing w:after="240"/>
      </w:pPr>
      <w:r>
        <w:rPr>
          <w:color w:val="000000"/>
          <w:lang w:val="es-ES_tradnl"/>
        </w:rPr>
        <w:t>27.</w:t>
      </w:r>
      <w:r>
        <w:rPr>
          <w:color w:val="000000"/>
          <w:lang w:val="es-ES_tradnl"/>
        </w:rPr>
        <w:tab/>
        <w:t>En el país se ha logrado incrementar el nivel y la calidad de la educación mediante la reforma al sistema, con el objeto de mejorar y acelerar el progreso escolar de los niños.  También se ha logrado reducir las disparidades en materia de educación.  Los esfuerzos para asegurar que las mujeres obtengan una educación incrementan la probabilidad de que ingresen a la fuerza laboral y de que sus hijos tengan mayores niveles de escolaridad.  Cuando las mujeres están más educadas tienen acceso a empleos en el mercado formal, los ingresos familiares son superiores, las familias tienen menos hijos y sus hijos tienden a recibir mayor educación y se reduce la vulnerabilidad de la mujer ante la violencia.  La participación de las mujeres en el mercado laboral en los últimos años ha sido mayor que los hombres, sin embargo la desocupación afecta más a las mujeres que a los hombres.</w:t>
      </w:r>
    </w:p>
    <w:p w:rsidR="00000000" w:rsidRDefault="00000000">
      <w:pPr>
        <w:shd w:val="clear" w:color="auto" w:fill="FFFFFF"/>
        <w:spacing w:after="240"/>
      </w:pPr>
      <w:r>
        <w:rPr>
          <w:color w:val="000000"/>
          <w:lang w:val="es-ES_tradnl"/>
        </w:rPr>
        <w:t>28.</w:t>
      </w:r>
      <w:r>
        <w:rPr>
          <w:color w:val="000000"/>
          <w:lang w:val="es-ES_tradnl"/>
        </w:rPr>
        <w:tab/>
        <w:t>El Código del Trabajo estipula la igualdad de remuneraciones entre mujeres y hombres, que va a depender del lugar y clase de trabajo que las mujeres tengan; así en su artículo 78 establece la igualdad en la remuneración:  "A trabajo igual corresponde igual remuneración, sin distinción del sexo, raza, nacionalidad o religión; mas la especialización y práctica en la ejecución del trabajo se tendrán en cuenta para los efectos de la remuneración".</w:t>
      </w:r>
    </w:p>
    <w:p w:rsidR="00000000" w:rsidRDefault="00000000">
      <w:pPr>
        <w:shd w:val="clear" w:color="auto" w:fill="FFFFFF"/>
        <w:spacing w:after="240"/>
      </w:pPr>
      <w:r>
        <w:rPr>
          <w:color w:val="000000"/>
          <w:lang w:val="es-ES_tradnl"/>
        </w:rPr>
        <w:t>29.</w:t>
      </w:r>
      <w:r>
        <w:rPr>
          <w:color w:val="000000"/>
          <w:lang w:val="es-ES_tradnl"/>
        </w:rPr>
        <w:tab/>
        <w:t>Podemos decir que las mujeres participan en la fuerza laboral menos que los hombres y cuando lo hacen es más probable que trabajen en el sector informal, que paga menos que el sector formal.  La participación de la mujer está fuertemente influenciada por el nivel de instrucción y por el número de hijos que tiene.  La diferencia de remuneraciones entre las mujeres y los hombres es menor en el sector formal que en el sector informal.  En 1995 los ingresos de las mujeres eran en promedio una tercera parte (27%) menores que los de los hombres.  Esta diferencia era aún mayor en el campo, donde las mujeres ganaban un 37% menos que los hombres</w:t>
      </w:r>
      <w:r>
        <w:rPr>
          <w:rStyle w:val="FootnoteReference"/>
          <w:color w:val="000000"/>
          <w:lang w:val="es-ES_tradnl"/>
        </w:rPr>
        <w:footnoteReference w:id="7"/>
      </w:r>
      <w:r>
        <w:rPr>
          <w:color w:val="000000"/>
          <w:lang w:val="es-ES_tradnl"/>
        </w:rPr>
        <w:t>.</w:t>
      </w:r>
    </w:p>
    <w:p w:rsidR="00000000" w:rsidRDefault="00000000">
      <w:pPr>
        <w:shd w:val="clear" w:color="auto" w:fill="FFFFFF"/>
        <w:spacing w:after="240"/>
        <w:rPr>
          <w:color w:val="000000"/>
          <w:lang w:val="es-ES_tradnl"/>
        </w:rPr>
      </w:pPr>
      <w:r>
        <w:rPr>
          <w:color w:val="000000"/>
          <w:lang w:val="es-ES_tradnl"/>
        </w:rPr>
        <w:t>30.</w:t>
      </w:r>
      <w:r>
        <w:rPr>
          <w:color w:val="000000"/>
          <w:lang w:val="es-ES_tradnl"/>
        </w:rPr>
        <w:tab/>
        <w:t>En el siguiente cuadro se presentan los ingresos promedios de hombres y mujeres provenientes de la ocupación.  Se observa que las mujeres tienen ingresos, en promedio, menores a los hombres.  También es notoria la diferencia estimada entre las áreas urbana y rural</w:t>
      </w:r>
      <w:r>
        <w:rPr>
          <w:rStyle w:val="FootnoteReference"/>
          <w:color w:val="000000"/>
          <w:lang w:val="es-ES_tradnl"/>
        </w:rPr>
        <w:footnoteReference w:id="8"/>
      </w:r>
      <w:r>
        <w:rPr>
          <w:color w:val="000000"/>
          <w:lang w:val="es-ES_tradnl"/>
        </w:rPr>
        <w:t>.</w:t>
      </w:r>
    </w:p>
    <w:tbl>
      <w:tblPr>
        <w:tblW w:w="0" w:type="auto"/>
        <w:jc w:val="center"/>
        <w:tblInd w:w="1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8"/>
        <w:gridCol w:w="1677"/>
        <w:gridCol w:w="1717"/>
        <w:gridCol w:w="1560"/>
      </w:tblGrid>
      <w:tr w:rsidR="00000000">
        <w:tblPrEx>
          <w:tblCellMar>
            <w:top w:w="0" w:type="dxa"/>
            <w:bottom w:w="0" w:type="dxa"/>
          </w:tblCellMar>
        </w:tblPrEx>
        <w:trPr>
          <w:cantSplit/>
          <w:jc w:val="center"/>
        </w:trPr>
        <w:tc>
          <w:tcPr>
            <w:tcW w:w="2308" w:type="dxa"/>
            <w:vMerge w:val="restart"/>
            <w:vAlign w:val="center"/>
          </w:tcPr>
          <w:p w:rsidR="00000000" w:rsidRDefault="00000000">
            <w:pPr>
              <w:jc w:val="center"/>
            </w:pPr>
            <w:r>
              <w:t>Área</w:t>
            </w:r>
          </w:p>
        </w:tc>
        <w:tc>
          <w:tcPr>
            <w:tcW w:w="4954" w:type="dxa"/>
            <w:gridSpan w:val="3"/>
            <w:vAlign w:val="center"/>
          </w:tcPr>
          <w:p w:rsidR="00000000" w:rsidRDefault="00000000">
            <w:pPr>
              <w:jc w:val="center"/>
            </w:pPr>
            <w:r>
              <w:t>Ingreso promedio</w:t>
            </w:r>
          </w:p>
        </w:tc>
      </w:tr>
      <w:tr w:rsidR="00000000">
        <w:tblPrEx>
          <w:tblCellMar>
            <w:top w:w="0" w:type="dxa"/>
            <w:bottom w:w="0" w:type="dxa"/>
          </w:tblCellMar>
        </w:tblPrEx>
        <w:trPr>
          <w:cantSplit/>
          <w:jc w:val="center"/>
        </w:trPr>
        <w:tc>
          <w:tcPr>
            <w:tcW w:w="2308" w:type="dxa"/>
            <w:vMerge/>
            <w:vAlign w:val="center"/>
          </w:tcPr>
          <w:p w:rsidR="00000000" w:rsidRDefault="00000000"/>
        </w:tc>
        <w:tc>
          <w:tcPr>
            <w:tcW w:w="1677" w:type="dxa"/>
            <w:vAlign w:val="center"/>
          </w:tcPr>
          <w:p w:rsidR="00000000" w:rsidRDefault="00000000">
            <w:pPr>
              <w:jc w:val="center"/>
            </w:pPr>
            <w:r>
              <w:t>Mujeres</w:t>
            </w:r>
          </w:p>
        </w:tc>
        <w:tc>
          <w:tcPr>
            <w:tcW w:w="1717" w:type="dxa"/>
            <w:vAlign w:val="center"/>
          </w:tcPr>
          <w:p w:rsidR="00000000" w:rsidRDefault="00000000">
            <w:pPr>
              <w:jc w:val="center"/>
            </w:pPr>
            <w:r>
              <w:t>Hombres</w:t>
            </w:r>
          </w:p>
        </w:tc>
        <w:tc>
          <w:tcPr>
            <w:tcW w:w="1560" w:type="dxa"/>
            <w:vAlign w:val="center"/>
          </w:tcPr>
          <w:p w:rsidR="00000000" w:rsidRDefault="00000000">
            <w:pPr>
              <w:jc w:val="center"/>
            </w:pPr>
            <w:r>
              <w:t>Desigualdad</w:t>
            </w:r>
          </w:p>
        </w:tc>
      </w:tr>
      <w:tr w:rsidR="00000000">
        <w:tblPrEx>
          <w:tblCellMar>
            <w:top w:w="0" w:type="dxa"/>
            <w:bottom w:w="0" w:type="dxa"/>
          </w:tblCellMar>
        </w:tblPrEx>
        <w:trPr>
          <w:jc w:val="center"/>
        </w:trPr>
        <w:tc>
          <w:tcPr>
            <w:tcW w:w="2308" w:type="dxa"/>
          </w:tcPr>
          <w:p w:rsidR="00000000" w:rsidRDefault="00000000">
            <w:r>
              <w:t>Urbano</w:t>
            </w:r>
          </w:p>
        </w:tc>
        <w:tc>
          <w:tcPr>
            <w:tcW w:w="1677" w:type="dxa"/>
          </w:tcPr>
          <w:p w:rsidR="00000000" w:rsidRDefault="00000000">
            <w:pPr>
              <w:jc w:val="right"/>
            </w:pPr>
            <w:r>
              <w:t>881.077</w:t>
            </w:r>
          </w:p>
        </w:tc>
        <w:tc>
          <w:tcPr>
            <w:tcW w:w="1717" w:type="dxa"/>
          </w:tcPr>
          <w:p w:rsidR="00000000" w:rsidRDefault="00000000">
            <w:pPr>
              <w:jc w:val="right"/>
            </w:pPr>
            <w:r>
              <w:t>1.337.489</w:t>
            </w:r>
          </w:p>
        </w:tc>
        <w:tc>
          <w:tcPr>
            <w:tcW w:w="1560" w:type="dxa"/>
          </w:tcPr>
          <w:p w:rsidR="00000000" w:rsidRDefault="00000000">
            <w:pPr>
              <w:jc w:val="right"/>
            </w:pPr>
            <w:r>
              <w:t>65,9%</w:t>
            </w:r>
          </w:p>
        </w:tc>
      </w:tr>
      <w:tr w:rsidR="00000000">
        <w:tblPrEx>
          <w:tblCellMar>
            <w:top w:w="0" w:type="dxa"/>
            <w:bottom w:w="0" w:type="dxa"/>
          </w:tblCellMar>
        </w:tblPrEx>
        <w:trPr>
          <w:jc w:val="center"/>
        </w:trPr>
        <w:tc>
          <w:tcPr>
            <w:tcW w:w="2308" w:type="dxa"/>
          </w:tcPr>
          <w:p w:rsidR="00000000" w:rsidRDefault="00000000">
            <w:r>
              <w:t>Rural</w:t>
            </w:r>
          </w:p>
        </w:tc>
        <w:tc>
          <w:tcPr>
            <w:tcW w:w="1677" w:type="dxa"/>
          </w:tcPr>
          <w:p w:rsidR="00000000" w:rsidRDefault="00000000">
            <w:pPr>
              <w:jc w:val="right"/>
            </w:pPr>
            <w:r>
              <w:t>328.911</w:t>
            </w:r>
          </w:p>
        </w:tc>
        <w:tc>
          <w:tcPr>
            <w:tcW w:w="1717" w:type="dxa"/>
          </w:tcPr>
          <w:p w:rsidR="00000000" w:rsidRDefault="00000000">
            <w:pPr>
              <w:jc w:val="right"/>
            </w:pPr>
            <w:r>
              <w:t>613.253</w:t>
            </w:r>
          </w:p>
        </w:tc>
        <w:tc>
          <w:tcPr>
            <w:tcW w:w="1560" w:type="dxa"/>
          </w:tcPr>
          <w:p w:rsidR="00000000" w:rsidRDefault="00000000">
            <w:pPr>
              <w:jc w:val="right"/>
            </w:pPr>
            <w:r>
              <w:t>53,6%</w:t>
            </w:r>
          </w:p>
        </w:tc>
      </w:tr>
      <w:tr w:rsidR="00000000">
        <w:tblPrEx>
          <w:tblCellMar>
            <w:top w:w="0" w:type="dxa"/>
            <w:bottom w:w="0" w:type="dxa"/>
          </w:tblCellMar>
        </w:tblPrEx>
        <w:trPr>
          <w:jc w:val="center"/>
        </w:trPr>
        <w:tc>
          <w:tcPr>
            <w:tcW w:w="2308" w:type="dxa"/>
            <w:tcBorders>
              <w:bottom w:val="single" w:sz="4" w:space="0" w:color="auto"/>
            </w:tcBorders>
          </w:tcPr>
          <w:p w:rsidR="00000000" w:rsidRDefault="00000000">
            <w:pPr>
              <w:tabs>
                <w:tab w:val="left" w:pos="234"/>
              </w:tabs>
            </w:pPr>
            <w:r>
              <w:tab/>
              <w:t>Total nacional</w:t>
            </w:r>
          </w:p>
        </w:tc>
        <w:tc>
          <w:tcPr>
            <w:tcW w:w="1677" w:type="dxa"/>
            <w:tcBorders>
              <w:bottom w:val="single" w:sz="4" w:space="0" w:color="auto"/>
            </w:tcBorders>
          </w:tcPr>
          <w:p w:rsidR="00000000" w:rsidRDefault="00000000">
            <w:pPr>
              <w:jc w:val="right"/>
            </w:pPr>
            <w:r>
              <w:t>700.040</w:t>
            </w:r>
          </w:p>
        </w:tc>
        <w:tc>
          <w:tcPr>
            <w:tcW w:w="1717" w:type="dxa"/>
            <w:tcBorders>
              <w:bottom w:val="single" w:sz="4" w:space="0" w:color="auto"/>
            </w:tcBorders>
          </w:tcPr>
          <w:p w:rsidR="00000000" w:rsidRDefault="00000000">
            <w:pPr>
              <w:jc w:val="right"/>
            </w:pPr>
            <w:r>
              <w:t>1.036.779</w:t>
            </w:r>
          </w:p>
        </w:tc>
        <w:tc>
          <w:tcPr>
            <w:tcW w:w="1560" w:type="dxa"/>
            <w:tcBorders>
              <w:bottom w:val="single" w:sz="4" w:space="0" w:color="auto"/>
            </w:tcBorders>
          </w:tcPr>
          <w:p w:rsidR="00000000" w:rsidRDefault="00000000">
            <w:pPr>
              <w:jc w:val="right"/>
            </w:pPr>
            <w:r>
              <w:t>67,5%</w:t>
            </w:r>
          </w:p>
        </w:tc>
      </w:tr>
      <w:tr w:rsidR="00000000">
        <w:tblPrEx>
          <w:tblCellMar>
            <w:top w:w="0" w:type="dxa"/>
            <w:bottom w:w="0" w:type="dxa"/>
          </w:tblCellMar>
        </w:tblPrEx>
        <w:trPr>
          <w:cantSplit/>
          <w:jc w:val="center"/>
        </w:trPr>
        <w:tc>
          <w:tcPr>
            <w:tcW w:w="7262" w:type="dxa"/>
            <w:gridSpan w:val="4"/>
            <w:tcBorders>
              <w:top w:val="single" w:sz="4" w:space="0" w:color="auto"/>
              <w:left w:val="nil"/>
              <w:bottom w:val="nil"/>
              <w:right w:val="nil"/>
            </w:tcBorders>
          </w:tcPr>
          <w:p w:rsidR="00000000" w:rsidRDefault="00000000">
            <w:pPr>
              <w:spacing w:before="240"/>
            </w:pPr>
            <w:r>
              <w:rPr>
                <w:i/>
                <w:iCs/>
              </w:rPr>
              <w:t>Fuente:</w:t>
            </w:r>
            <w:r>
              <w:t xml:space="preserve">  INEC-</w:t>
            </w:r>
            <w:proofErr w:type="spellStart"/>
            <w:r>
              <w:t>ECV</w:t>
            </w:r>
            <w:proofErr w:type="spellEnd"/>
            <w:r>
              <w:t>-III Ronda, 1998.</w:t>
            </w:r>
          </w:p>
        </w:tc>
      </w:tr>
    </w:tbl>
    <w:p w:rsidR="00000000" w:rsidRDefault="00000000">
      <w:pPr>
        <w:shd w:val="clear" w:color="auto" w:fill="FFFFFF"/>
        <w:spacing w:before="480" w:after="240"/>
      </w:pPr>
      <w:r>
        <w:t>31.</w:t>
      </w:r>
      <w:r>
        <w:tab/>
      </w:r>
      <w:r>
        <w:rPr>
          <w:color w:val="000000"/>
          <w:lang w:val="es-ES_tradnl"/>
        </w:rPr>
        <w:t xml:space="preserve">Para mejorar la capacidad de las mujeres para buscar y obtener buenos empleos se introdujeron </w:t>
      </w:r>
      <w:r>
        <w:rPr>
          <w:color w:val="000000"/>
          <w:spacing w:val="-1"/>
          <w:lang w:val="es-ES_tradnl"/>
        </w:rPr>
        <w:t xml:space="preserve">reformas en la legislación laboral tendientes a eliminar la discriminación existente en contra de las </w:t>
      </w:r>
      <w:r>
        <w:rPr>
          <w:color w:val="000000"/>
          <w:lang w:val="es-ES_tradnl"/>
        </w:rPr>
        <w:t xml:space="preserve">mujeres, mediante la Ley de amparo laboral, que prevé la contratación de un porcentaje mínimo de trabajadoras y que será regulada por las comisiones sectoriales del Ministerio de </w:t>
      </w:r>
      <w:r>
        <w:rPr>
          <w:color w:val="000000"/>
          <w:szCs w:val="25"/>
          <w:lang w:val="es-ES_tradnl"/>
        </w:rPr>
        <w:t>Trabajo, pero otras reformas corresponden claramente al ámbito de la política social, como la promoción de servicios de guarderías y preescolares que han facilitado para que las mujeres tengan empleos y al mismo tiempo mejoren la capacidad de los niños para aprender, desarrollarse y completar la escuela.</w:t>
      </w:r>
    </w:p>
    <w:p w:rsidR="00000000" w:rsidRDefault="00000000">
      <w:pPr>
        <w:shd w:val="clear" w:color="auto" w:fill="FFFFFF"/>
        <w:spacing w:after="240"/>
      </w:pPr>
      <w:r>
        <w:rPr>
          <w:color w:val="000000"/>
          <w:szCs w:val="25"/>
          <w:lang w:val="es-ES_tradnl"/>
        </w:rPr>
        <w:t>32.</w:t>
      </w:r>
      <w:r>
        <w:rPr>
          <w:color w:val="000000"/>
          <w:szCs w:val="25"/>
          <w:lang w:val="es-ES_tradnl"/>
        </w:rPr>
        <w:tab/>
        <w:t>Las mayores diferencias provienen de los niveles de educación y la forma como el mercado remunera los distintos tipos de educación; quienes cuentan con mayor experiencia reciben mayores remuneraciones, los hombres ganan más que las mujeres y en la medida que las mujeres tiendan a concentrarse en ocupaciones que son mal remuneradas, ello se reflejará en un incremento de mujeres en este campo.  Además, la menor remuneración que reciben las mujeres se debe en parte al hecho de que ellas acumulan menos experiencia laboral que los hombres porque su participación es menos continua debido a las exigencias de la maternidad y el trabajo doméstico.  Las diferencias se reducen en los empleos formales pero se agrandan de manera muy apreciable en los empleos por cuenta propia.</w:t>
      </w:r>
    </w:p>
    <w:p w:rsidR="00000000" w:rsidRDefault="00000000">
      <w:pPr>
        <w:shd w:val="clear" w:color="auto" w:fill="FFFFFF"/>
        <w:spacing w:after="240"/>
      </w:pPr>
      <w:r>
        <w:rPr>
          <w:color w:val="000000"/>
          <w:szCs w:val="25"/>
          <w:lang w:val="es-ES_tradnl"/>
        </w:rPr>
        <w:t>33.</w:t>
      </w:r>
      <w:r>
        <w:rPr>
          <w:color w:val="000000"/>
          <w:szCs w:val="25"/>
          <w:lang w:val="es-ES_tradnl"/>
        </w:rPr>
        <w:tab/>
        <w:t>En el sector rural las mujeres adultas, en especial las campesinas y las indígenas, participan en la fuerza de trabajo por igual.  La mayoría de las mujeres trabajan en la agricultura, lo hacen en las tierras familiares sin remuneración</w:t>
      </w:r>
      <w:r>
        <w:rPr>
          <w:rStyle w:val="FootnoteReference"/>
          <w:color w:val="000000"/>
          <w:szCs w:val="25"/>
          <w:lang w:val="es-ES_tradnl"/>
        </w:rPr>
        <w:footnoteReference w:id="9"/>
      </w:r>
      <w:r>
        <w:rPr>
          <w:color w:val="000000"/>
          <w:szCs w:val="25"/>
          <w:lang w:val="es-ES_tradnl"/>
        </w:rPr>
        <w:t xml:space="preserve"> y sufren las consecuencias de la discriminación de décadas pasadas.</w:t>
      </w:r>
    </w:p>
    <w:p w:rsidR="00000000" w:rsidRDefault="00000000">
      <w:pPr>
        <w:shd w:val="clear" w:color="auto" w:fill="FFFFFF"/>
        <w:spacing w:after="240"/>
      </w:pPr>
      <w:r>
        <w:rPr>
          <w:color w:val="000000"/>
          <w:szCs w:val="25"/>
          <w:lang w:val="es-ES_tradnl"/>
        </w:rPr>
        <w:t>34.</w:t>
      </w:r>
      <w:r>
        <w:rPr>
          <w:color w:val="000000"/>
          <w:szCs w:val="25"/>
          <w:lang w:val="es-ES_tradnl"/>
        </w:rPr>
        <w:tab/>
        <w:t>Han sido numerosas las reformas legislativas y las medidas de política asumidas a favor de la igualdad de oportunidades entre mujeres y hombres:</w:t>
      </w:r>
    </w:p>
    <w:p w:rsidR="00000000" w:rsidRDefault="00000000">
      <w:pPr>
        <w:shd w:val="clear" w:color="auto" w:fill="FFFFFF"/>
        <w:spacing w:after="240"/>
        <w:ind w:left="1134" w:hanging="567"/>
        <w:rPr>
          <w:color w:val="000000"/>
          <w:szCs w:val="25"/>
          <w:lang w:val="es-ES_tradnl"/>
        </w:rPr>
      </w:pPr>
      <w:r>
        <w:rPr>
          <w:color w:val="000000"/>
          <w:szCs w:val="25"/>
          <w:lang w:val="es-ES_tradnl"/>
        </w:rPr>
        <w:t>a)</w:t>
      </w:r>
      <w:r>
        <w:rPr>
          <w:color w:val="000000"/>
          <w:szCs w:val="25"/>
          <w:lang w:val="es-ES_tradnl"/>
        </w:rPr>
        <w:tab/>
        <w:t xml:space="preserve">Reglamento sustitutivo para el funcionamiento de las comisarías de la mujer y la familia, publicado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758 de 14 de agosto de 1995.  Señala que la violencia contra la mujer y el menor es un problema social que necesita de garantías suficientes para tratarse técnicamente.  Las comisarías de la mujer y la familia tendrán competencia preferentemente, pero no excluyente, en los casos de violencia doméstica, contravenciones contra mujeres y menores.  A su vez serán sancionados de acuerdo a las leyes vigentes y se podrá adoptar de conformidad con lo establecido en el artículo 662 del Código Penal medidas preventivas y correctivas para precautelar la seguridad e integridad física y emocional de la mujer y los hijos.</w:t>
      </w:r>
    </w:p>
    <w:p w:rsidR="00000000" w:rsidRDefault="00000000">
      <w:pPr>
        <w:shd w:val="clear" w:color="auto" w:fill="FFFFFF"/>
        <w:spacing w:after="240"/>
        <w:ind w:left="1134" w:hanging="567"/>
      </w:pPr>
      <w:r>
        <w:rPr>
          <w:color w:val="000000"/>
          <w:szCs w:val="25"/>
          <w:lang w:val="es-ES_tradnl"/>
        </w:rPr>
        <w:t>b)</w:t>
      </w:r>
      <w:r>
        <w:rPr>
          <w:color w:val="000000"/>
          <w:szCs w:val="25"/>
          <w:lang w:val="es-ES_tradnl"/>
        </w:rPr>
        <w:tab/>
        <w:t xml:space="preserve">Ratificación de la Convención Interamericana para Prevenir, Sancionar y Erradicar la Violencia contra la Mujer (Convención de Belem do </w:t>
      </w:r>
      <w:proofErr w:type="spellStart"/>
      <w:r>
        <w:rPr>
          <w:color w:val="000000"/>
          <w:szCs w:val="25"/>
          <w:lang w:val="es-ES_tradnl"/>
        </w:rPr>
        <w:t>Pará</w:t>
      </w:r>
      <w:proofErr w:type="spellEnd"/>
      <w:r>
        <w:rPr>
          <w:color w:val="000000"/>
          <w:szCs w:val="25"/>
          <w:lang w:val="es-ES_tradnl"/>
        </w:rPr>
        <w:t xml:space="preserve">), publicada en el </w:t>
      </w:r>
      <w:r>
        <w:rPr>
          <w:i/>
          <w:iCs/>
          <w:color w:val="000000"/>
          <w:szCs w:val="25"/>
          <w:lang w:val="es-ES_tradnl"/>
        </w:rPr>
        <w:t xml:space="preserve">Registro Oficial </w:t>
      </w:r>
      <w:proofErr w:type="spellStart"/>
      <w:r>
        <w:rPr>
          <w:color w:val="000000"/>
          <w:szCs w:val="25"/>
          <w:lang w:val="es-ES_tradnl"/>
        </w:rPr>
        <w:t>Nº</w:t>
      </w:r>
      <w:proofErr w:type="spellEnd"/>
      <w:r>
        <w:rPr>
          <w:color w:val="000000"/>
          <w:szCs w:val="25"/>
          <w:lang w:val="es-ES_tradnl"/>
        </w:rPr>
        <w:t xml:space="preserve"> 728 de 30 de junio de 1995.</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 xml:space="preserve">Ley contra la violencia a la mujer y la familia, publicada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839 de 11 de diciembre de 1995, que tipifica y sanciona la violencia física, psicológica y sexual contra la mujer y la familia y contempla medidas de amparo para las víctimas de violencia </w:t>
      </w:r>
      <w:proofErr w:type="spellStart"/>
      <w:r>
        <w:rPr>
          <w:color w:val="000000"/>
          <w:szCs w:val="25"/>
          <w:lang w:val="es-ES_tradnl"/>
        </w:rPr>
        <w:t>intrafamiliar</w:t>
      </w:r>
      <w:proofErr w:type="spellEnd"/>
      <w:r>
        <w:rPr>
          <w:color w:val="000000"/>
          <w:szCs w:val="25"/>
          <w:lang w:val="es-ES_tradnl"/>
        </w:rPr>
        <w:t>.  Esta ley establece que los instrumentos internacionales relativos a la prevención y sanción de la violencia contra la mujer, ratificados por el Ecuador, tienen fuerza de ley.</w:t>
      </w:r>
    </w:p>
    <w:p w:rsidR="00000000" w:rsidRDefault="00000000">
      <w:pPr>
        <w:shd w:val="clear" w:color="auto" w:fill="FFFFFF"/>
        <w:spacing w:after="240"/>
        <w:ind w:left="1134" w:hanging="567"/>
      </w:pPr>
      <w:r>
        <w:rPr>
          <w:color w:val="000000"/>
          <w:szCs w:val="25"/>
          <w:lang w:val="es-ES_tradnl"/>
        </w:rPr>
        <w:t>d)</w:t>
      </w:r>
      <w:r>
        <w:rPr>
          <w:color w:val="000000"/>
          <w:szCs w:val="25"/>
          <w:lang w:val="es-ES_tradnl"/>
        </w:rPr>
        <w:tab/>
        <w:t xml:space="preserve">Ley de amparo laboral de la mujer, publicada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124 de fecha 6 de febrero de 1997, mediante la cual se modifican el Código del Trabajo, la Ley de elecciones y la Ley orgánica de la función judicial.</w:t>
      </w:r>
    </w:p>
    <w:p w:rsidR="00000000" w:rsidRDefault="00000000">
      <w:pPr>
        <w:spacing w:after="240"/>
        <w:ind w:left="1134" w:hanging="567"/>
      </w:pPr>
      <w:r>
        <w:rPr>
          <w:lang w:val="es-ES_tradnl"/>
        </w:rPr>
        <w:t>e)</w:t>
      </w:r>
      <w:r>
        <w:rPr>
          <w:lang w:val="es-ES_tradnl"/>
        </w:rPr>
        <w:tab/>
        <w:t>Consejo Nacional de Mujeres (</w:t>
      </w:r>
      <w:proofErr w:type="spellStart"/>
      <w:r>
        <w:rPr>
          <w:lang w:val="es-ES_tradnl"/>
        </w:rPr>
        <w:t>CONAMU</w:t>
      </w:r>
      <w:proofErr w:type="spellEnd"/>
      <w:r>
        <w:rPr>
          <w:lang w:val="es-ES_tradnl"/>
        </w:rPr>
        <w:t>).  Es una institución de derecho público, con finalidad social y pública adscrita a la Presidencia de la República, rector de las políticas públicas con enfoque de género, que norma y regula las actividades para el logro de la igualdad de oportunidades entre mujeres y hombres, en todos los organismos del sector público, estimula la plena participación y el desarrollo del potencial de la mujer en la vida social, económica y política, desarrollando programas dirigidos a la inserción social de las mujeres, así como para fomentar el empleo y autoempleo de mujeres, alfabetización y educación, atención integral a las mujeres víctimas de violencia, promueve programas que permiten a mujeres y hombres conciliar la vida laboral con la vida familiar.  El </w:t>
      </w:r>
      <w:proofErr w:type="spellStart"/>
      <w:r>
        <w:rPr>
          <w:lang w:val="es-ES_tradnl"/>
        </w:rPr>
        <w:t>CONAMU</w:t>
      </w:r>
      <w:proofErr w:type="spellEnd"/>
      <w:r>
        <w:rPr>
          <w:lang w:val="es-ES_tradnl"/>
        </w:rPr>
        <w:t xml:space="preserve"> fue creado mediante Decreto Ejecutivo </w:t>
      </w:r>
      <w:proofErr w:type="spellStart"/>
      <w:r>
        <w:rPr>
          <w:lang w:val="es-ES_tradnl"/>
        </w:rPr>
        <w:t>Nº</w:t>
      </w:r>
      <w:proofErr w:type="spellEnd"/>
      <w:r>
        <w:rPr>
          <w:lang w:val="es-ES_tradnl"/>
        </w:rPr>
        <w:t xml:space="preserve"> 764 de 24 de octubre de 1997, publicado en el suplemento del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182 de 28 de octubre del mismo año.</w:t>
      </w:r>
    </w:p>
    <w:p w:rsidR="00000000" w:rsidRDefault="00000000">
      <w:pPr>
        <w:spacing w:after="240"/>
        <w:ind w:left="1134" w:hanging="567"/>
      </w:pPr>
      <w:r>
        <w:rPr>
          <w:lang w:val="es-ES_tradnl"/>
        </w:rPr>
        <w:t>f)</w:t>
      </w:r>
      <w:r>
        <w:rPr>
          <w:lang w:val="es-ES_tradnl"/>
        </w:rPr>
        <w:tab/>
        <w:t xml:space="preserve">Ley reformatoria a la Ley de maternidad gratuita,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381 de 10 de agosto de 1998, con la finalidad de reducir las tasas de mortalidad </w:t>
      </w:r>
      <w:proofErr w:type="spellStart"/>
      <w:r>
        <w:rPr>
          <w:lang w:val="es-ES_tradnl"/>
        </w:rPr>
        <w:t>maternoinfantil</w:t>
      </w:r>
      <w:proofErr w:type="spellEnd"/>
      <w:r>
        <w:rPr>
          <w:lang w:val="es-ES_tradnl"/>
        </w:rPr>
        <w:t>.  La ley tiene como una de sus finalidades el derecho a la atención de salud gratuita y de calidad que cubre los gastos por medicinas, exámenes básicos de laboratorio y exámenes complementarios para la atención de las mujeres embarazadas, recién nacidos y niños menores de 5 años de edad.</w:t>
      </w:r>
    </w:p>
    <w:p w:rsidR="00000000" w:rsidRDefault="00000000">
      <w:pPr>
        <w:spacing w:after="240"/>
      </w:pPr>
      <w:r>
        <w:rPr>
          <w:lang w:val="es-ES_tradnl"/>
        </w:rPr>
        <w:t>35.</w:t>
      </w:r>
      <w:r>
        <w:rPr>
          <w:lang w:val="es-ES_tradnl"/>
        </w:rPr>
        <w:tab/>
        <w:t>En los últimos años se ha despertado mayor interés en reducir la discriminación que sufren ciertos grupos por razones de género, raza u origen étnico para lograr que estos grupos tengan acceso adecuado a los servicios públicos y reciban un trato justo en el mercado laboral.  Muchas de las medidas de política social que se están aplicando actualmente tendrán repercusiones sobre el bienestar de las futuras generaciones.</w:t>
      </w:r>
    </w:p>
    <w:p w:rsidR="00000000" w:rsidRDefault="00000000">
      <w:pPr>
        <w:spacing w:after="240"/>
        <w:rPr>
          <w:b/>
        </w:rPr>
      </w:pPr>
      <w:r>
        <w:rPr>
          <w:b/>
          <w:szCs w:val="28"/>
          <w:lang w:val="es-ES_tradnl"/>
        </w:rPr>
        <w:t>Artículo 4</w:t>
      </w:r>
    </w:p>
    <w:p w:rsidR="00000000" w:rsidRDefault="00000000">
      <w:pPr>
        <w:spacing w:after="240"/>
      </w:pPr>
      <w:r>
        <w:rPr>
          <w:lang w:val="es-ES_tradnl"/>
        </w:rPr>
        <w:t>36.</w:t>
      </w:r>
      <w:r>
        <w:rPr>
          <w:lang w:val="es-ES_tradnl"/>
        </w:rPr>
        <w:tab/>
        <w:t>El Estado ecuatoriano asegura la supremacía de las disposiciones constitucionales de manera que no existe ninguna ley que se contraponga en contra de los derechos garantizados en el Pacto Internacional de Derechos Económicos, Sociales y Culturales.  La Constitución y sus leyes expresan el reconocimiento, garantía, la promoción de los derechos humanos y promueven el progreso económico, social y cultural de todas las personas que se hallan bajo su jurisdicción.</w:t>
      </w:r>
    </w:p>
    <w:p w:rsidR="00000000" w:rsidRDefault="00000000">
      <w:pPr>
        <w:spacing w:after="240"/>
        <w:rPr>
          <w:b/>
        </w:rPr>
      </w:pPr>
      <w:r>
        <w:rPr>
          <w:b/>
          <w:szCs w:val="28"/>
          <w:lang w:val="es-ES_tradnl"/>
        </w:rPr>
        <w:t>Artículo 5</w:t>
      </w:r>
    </w:p>
    <w:p w:rsidR="00000000" w:rsidRDefault="00000000">
      <w:pPr>
        <w:spacing w:after="240"/>
      </w:pPr>
      <w:r>
        <w:rPr>
          <w:lang w:val="es-ES_tradnl"/>
        </w:rPr>
        <w:t>37.</w:t>
      </w:r>
      <w:r>
        <w:rPr>
          <w:lang w:val="es-ES_tradnl"/>
        </w:rPr>
        <w:tab/>
        <w:t>El Estado ecuatoriano, a través de su Constitución Política, garantiza la vigencia plena de los derechos humanos de manera que las disposiciones emanadas en las demás leyes deben guardar conformidad con ella, dando prioridad a los derechos y libertades del ser humano, promoviendo el desarrollo para alcanzar el progreso económico y social dentro de la sociedad.</w:t>
      </w:r>
    </w:p>
    <w:p w:rsidR="00000000" w:rsidRDefault="00000000">
      <w:pPr>
        <w:spacing w:after="240"/>
      </w:pPr>
      <w:r>
        <w:rPr>
          <w:lang w:val="es-ES_tradnl"/>
        </w:rPr>
        <w:t>38.</w:t>
      </w:r>
      <w:r>
        <w:rPr>
          <w:lang w:val="es-ES_tradnl"/>
        </w:rPr>
        <w:tab/>
        <w:t>Si una persona es afectada en sus derechos constitucionales por una disposición de orden administrativo o judicial puede solicitar los siguientes recursos:</w:t>
      </w:r>
    </w:p>
    <w:p w:rsidR="00000000" w:rsidRDefault="00000000">
      <w:pPr>
        <w:spacing w:after="240"/>
        <w:ind w:left="1134" w:hanging="567"/>
      </w:pPr>
      <w:r>
        <w:rPr>
          <w:lang w:val="es-ES_tradnl"/>
        </w:rPr>
        <w:t>a)</w:t>
      </w:r>
      <w:r>
        <w:rPr>
          <w:lang w:val="es-ES_tradnl"/>
        </w:rPr>
        <w:tab/>
        <w:t>Hábeas corpus</w:t>
      </w:r>
      <w:r>
        <w:rPr>
          <w:rStyle w:val="FootnoteReference"/>
          <w:szCs w:val="25"/>
          <w:lang w:val="es-ES_tradnl"/>
        </w:rPr>
        <w:footnoteReference w:id="10"/>
      </w:r>
      <w:r>
        <w:rPr>
          <w:lang w:val="es-ES_tradnl"/>
        </w:rPr>
        <w:t>, que se aplica cuando una persona es ilegalmente privada de su libertad;</w:t>
      </w:r>
    </w:p>
    <w:p w:rsidR="00000000" w:rsidRDefault="00000000">
      <w:pPr>
        <w:spacing w:after="240"/>
        <w:ind w:left="1134" w:hanging="567"/>
      </w:pPr>
      <w:r>
        <w:rPr>
          <w:lang w:val="es-ES_tradnl"/>
        </w:rPr>
        <w:t>b)</w:t>
      </w:r>
      <w:r>
        <w:rPr>
          <w:lang w:val="es-ES_tradnl"/>
        </w:rPr>
        <w:tab/>
        <w:t>Hábeas data:  "Toda persona tendrá derecho a acceder a los documentos, bancos de datos e informes que sobre sí misma, o sobre sus bienes, consten en entidades públicas o privadas, así como a conocer el uso que se haga de ellos y su propósito"</w:t>
      </w:r>
      <w:r>
        <w:rPr>
          <w:rStyle w:val="FootnoteReference"/>
          <w:szCs w:val="25"/>
          <w:lang w:val="es-ES_tradnl"/>
        </w:rPr>
        <w:footnoteReference w:id="11"/>
      </w:r>
      <w:r>
        <w:rPr>
          <w:lang w:val="es-ES_tradnl"/>
        </w:rPr>
        <w:t>;</w:t>
      </w:r>
    </w:p>
    <w:p w:rsidR="00000000" w:rsidRDefault="00000000">
      <w:pPr>
        <w:spacing w:after="240"/>
        <w:ind w:left="1134" w:hanging="567"/>
      </w:pPr>
      <w:r>
        <w:rPr>
          <w:lang w:val="es-ES_tradnl"/>
        </w:rPr>
        <w:t>c)</w:t>
      </w:r>
      <w:r>
        <w:rPr>
          <w:lang w:val="es-ES_tradnl"/>
        </w:rPr>
        <w:tab/>
        <w:t>Amparo constitucional:  "Mediante esta acción, que se tramitará en forma preferente y sumaria, se requerirá la adopción de medidas urgentes destinadas a cesar, evitar la comisión o remediar inmediatamente las consecuencias de un acto u omisión ilegítimos de una autoridad pública, que viole o pueda violar cualquier derecho consagrado en la Constitución"</w:t>
      </w:r>
      <w:r>
        <w:rPr>
          <w:rStyle w:val="FootnoteReference"/>
          <w:szCs w:val="25"/>
          <w:lang w:val="es-ES_tradnl"/>
        </w:rPr>
        <w:footnoteReference w:id="12"/>
      </w:r>
      <w:r>
        <w:rPr>
          <w:lang w:val="es-ES_tradnl"/>
        </w:rPr>
        <w:t>;</w:t>
      </w:r>
    </w:p>
    <w:p w:rsidR="00000000" w:rsidRDefault="00000000">
      <w:pPr>
        <w:spacing w:after="240"/>
        <w:ind w:left="1134" w:hanging="567"/>
      </w:pPr>
      <w:r>
        <w:rPr>
          <w:lang w:val="es-ES_tradnl"/>
        </w:rPr>
        <w:t>d)</w:t>
      </w:r>
      <w:r>
        <w:rPr>
          <w:lang w:val="es-ES_tradnl"/>
        </w:rPr>
        <w:tab/>
        <w:t>Defensoría del Pueblo:  "Habrá un Defensor del Pueblo, con jurisdicción nacional, para promover o patrocinar el hábeas corpus y la acción de amparo de las personas que lo requieran; defender y excitar la observancia de los derechos fundamentales que esta Constitución garantiza; observar la calidad de los servicios públicos y ejercer las demás funciones que le asigne la ley</w:t>
      </w:r>
      <w:r>
        <w:rPr>
          <w:iCs/>
          <w:lang w:val="es-ES_tradnl"/>
        </w:rPr>
        <w:t>"</w:t>
      </w:r>
      <w:r>
        <w:rPr>
          <w:rStyle w:val="FootnoteReference"/>
          <w:iCs/>
          <w:szCs w:val="25"/>
          <w:lang w:val="es-ES_tradnl"/>
        </w:rPr>
        <w:footnoteReference w:id="13"/>
      </w:r>
      <w:r>
        <w:rPr>
          <w:iCs/>
          <w:lang w:val="es-ES_tradnl"/>
        </w:rPr>
        <w:t>.</w:t>
      </w:r>
    </w:p>
    <w:p w:rsidR="00000000" w:rsidRDefault="00000000">
      <w:pPr>
        <w:spacing w:after="240"/>
      </w:pPr>
      <w:r>
        <w:rPr>
          <w:lang w:val="es-ES_tradnl"/>
        </w:rPr>
        <w:t>39.</w:t>
      </w:r>
      <w:r>
        <w:rPr>
          <w:lang w:val="es-ES_tradnl"/>
        </w:rPr>
        <w:tab/>
        <w:t xml:space="preserve">De acuerdo con la información proporcionada por la Defensoría del Pueblo en el país desde la fecha </w:t>
      </w:r>
      <w:r>
        <w:rPr>
          <w:iCs/>
          <w:lang w:val="es-ES_tradnl"/>
        </w:rPr>
        <w:t xml:space="preserve">de </w:t>
      </w:r>
      <w:r>
        <w:rPr>
          <w:lang w:val="es-ES_tradnl"/>
        </w:rPr>
        <w:t>creación en septiembre de 1988 y octubre de 1999, se han recibido y se han atendido los siguientes casos:</w:t>
      </w:r>
    </w:p>
    <w:p w:rsidR="00000000" w:rsidRDefault="00000000">
      <w:pPr>
        <w:tabs>
          <w:tab w:val="left" w:pos="5400"/>
        </w:tabs>
        <w:spacing w:after="240"/>
        <w:ind w:left="567"/>
      </w:pPr>
      <w:r>
        <w:rPr>
          <w:lang w:val="es-ES_tradnl"/>
        </w:rPr>
        <w:t>Quejas por violación a los derechos humanos</w:t>
      </w:r>
      <w:r>
        <w:rPr>
          <w:lang w:val="es-ES_tradnl"/>
        </w:rPr>
        <w:tab/>
        <w:t>3.160</w:t>
      </w:r>
      <w:r>
        <w:rPr>
          <w:lang w:val="es-ES_tradnl"/>
        </w:rPr>
        <w:br/>
        <w:t>Casos resueltos</w:t>
      </w:r>
      <w:r>
        <w:rPr>
          <w:lang w:val="es-ES_tradnl"/>
        </w:rPr>
        <w:tab/>
        <w:t>2.201</w:t>
      </w:r>
    </w:p>
    <w:p w:rsidR="00000000" w:rsidRDefault="00000000">
      <w:pPr>
        <w:tabs>
          <w:tab w:val="left" w:pos="5400"/>
        </w:tabs>
        <w:spacing w:after="240"/>
        <w:ind w:left="567"/>
      </w:pPr>
      <w:r>
        <w:rPr>
          <w:lang w:val="es-ES_tradnl"/>
        </w:rPr>
        <w:t>Solicitudes receptadas por:</w:t>
      </w:r>
    </w:p>
    <w:p w:rsidR="00000000" w:rsidRDefault="00000000">
      <w:pPr>
        <w:tabs>
          <w:tab w:val="left" w:pos="5580"/>
        </w:tabs>
        <w:spacing w:after="240"/>
        <w:ind w:left="1134"/>
      </w:pPr>
      <w:r>
        <w:rPr>
          <w:lang w:val="es-ES_tradnl"/>
        </w:rPr>
        <w:t>Hábeas corpus</w:t>
      </w:r>
      <w:r>
        <w:rPr>
          <w:lang w:val="es-ES_tradnl"/>
        </w:rPr>
        <w:tab/>
        <w:t>495</w:t>
      </w:r>
      <w:r>
        <w:rPr>
          <w:lang w:val="es-ES_tradnl"/>
        </w:rPr>
        <w:br/>
        <w:t>Recursos de hábeas corpus concedidos</w:t>
      </w:r>
      <w:r>
        <w:rPr>
          <w:lang w:val="es-ES_tradnl"/>
        </w:rPr>
        <w:tab/>
        <w:t>357</w:t>
      </w:r>
    </w:p>
    <w:p w:rsidR="00000000" w:rsidRDefault="00000000">
      <w:pPr>
        <w:tabs>
          <w:tab w:val="left" w:pos="5670"/>
        </w:tabs>
        <w:spacing w:after="240"/>
        <w:ind w:left="1134"/>
      </w:pPr>
      <w:r>
        <w:rPr>
          <w:lang w:val="es-ES_tradnl"/>
        </w:rPr>
        <w:t>Hábeas data</w:t>
      </w:r>
      <w:r>
        <w:rPr>
          <w:lang w:val="es-ES_tradnl"/>
        </w:rPr>
        <w:tab/>
        <w:t>30</w:t>
      </w:r>
      <w:r>
        <w:rPr>
          <w:lang w:val="es-ES_tradnl"/>
        </w:rPr>
        <w:br/>
        <w:t>Recursos de hábeas data concedidos</w:t>
      </w:r>
      <w:r>
        <w:rPr>
          <w:lang w:val="es-ES_tradnl"/>
        </w:rPr>
        <w:tab/>
        <w:t>26</w:t>
      </w:r>
    </w:p>
    <w:p w:rsidR="00000000" w:rsidRDefault="00000000">
      <w:pPr>
        <w:tabs>
          <w:tab w:val="left" w:pos="5580"/>
        </w:tabs>
        <w:spacing w:after="240"/>
        <w:ind w:left="1134"/>
      </w:pPr>
      <w:r>
        <w:rPr>
          <w:lang w:val="es-ES_tradnl"/>
        </w:rPr>
        <w:t>Amparos constitucionales</w:t>
      </w:r>
      <w:r>
        <w:rPr>
          <w:lang w:val="es-ES_tradnl"/>
        </w:rPr>
        <w:tab/>
        <w:t>186</w:t>
      </w:r>
      <w:r>
        <w:rPr>
          <w:lang w:val="es-ES_tradnl"/>
        </w:rPr>
        <w:br/>
        <w:t>Recursos de amparo concedidos</w:t>
      </w:r>
      <w:r>
        <w:rPr>
          <w:rStyle w:val="FootnoteReference"/>
          <w:szCs w:val="25"/>
          <w:lang w:val="es-ES_tradnl"/>
        </w:rPr>
        <w:footnoteReference w:id="14"/>
      </w:r>
      <w:r>
        <w:rPr>
          <w:lang w:val="es-ES_tradnl"/>
        </w:rPr>
        <w:tab/>
        <w:t>136</w:t>
      </w:r>
    </w:p>
    <w:p w:rsidR="00000000" w:rsidRDefault="00000000">
      <w:pPr>
        <w:spacing w:after="240"/>
      </w:pPr>
      <w:r>
        <w:rPr>
          <w:lang w:val="es-ES_tradnl"/>
        </w:rPr>
        <w:t>40.</w:t>
      </w:r>
      <w:r>
        <w:rPr>
          <w:lang w:val="es-ES_tradnl"/>
        </w:rPr>
        <w:tab/>
        <w:t>El mayor porcentaje de quejas por supuestas violaciones de derechos humanos se planteó contra la policía, la función judicial, los gobiernos seccionales, empresas públicas y privadas y las fuerzas armadas.</w:t>
      </w:r>
    </w:p>
    <w:p w:rsidR="00000000" w:rsidRDefault="00000000">
      <w:pPr>
        <w:spacing w:after="240"/>
      </w:pPr>
      <w:r>
        <w:t>41.</w:t>
      </w:r>
      <w:r>
        <w:tab/>
      </w:r>
      <w:r>
        <w:rPr>
          <w:lang w:val="es-ES_tradnl"/>
        </w:rPr>
        <w:t>La orientación ciudadana es fundamental para que la ciudadanía haga valer adecuadamente sus derechos.</w:t>
      </w:r>
    </w:p>
    <w:p w:rsidR="00000000" w:rsidRDefault="00000000">
      <w:pPr>
        <w:spacing w:after="240"/>
        <w:rPr>
          <w:b/>
        </w:rPr>
      </w:pPr>
      <w:r>
        <w:rPr>
          <w:b/>
          <w:szCs w:val="28"/>
          <w:lang w:val="es-ES_tradnl"/>
        </w:rPr>
        <w:t>Artículo 6</w:t>
      </w:r>
    </w:p>
    <w:p w:rsidR="00000000" w:rsidRDefault="00000000">
      <w:pPr>
        <w:spacing w:after="240"/>
        <w:rPr>
          <w:b/>
        </w:rPr>
      </w:pPr>
      <w:r>
        <w:rPr>
          <w:b/>
          <w:lang w:val="es-ES_tradnl"/>
        </w:rPr>
        <w:t>Empleo y modernización</w:t>
      </w:r>
    </w:p>
    <w:p w:rsidR="00000000" w:rsidRDefault="00000000">
      <w:pPr>
        <w:spacing w:after="240"/>
      </w:pPr>
      <w:r>
        <w:rPr>
          <w:lang w:val="es-ES_tradnl"/>
        </w:rPr>
        <w:t>42.</w:t>
      </w:r>
      <w:r>
        <w:rPr>
          <w:lang w:val="es-ES_tradnl"/>
        </w:rPr>
        <w:tab/>
        <w:t xml:space="preserve">El Ecuador, en su calidad de miembro de la Organización Internacional del Trabajo (OIT), ha suscrito el Convenio </w:t>
      </w:r>
      <w:proofErr w:type="spellStart"/>
      <w:r>
        <w:rPr>
          <w:lang w:val="es-ES_tradnl"/>
        </w:rPr>
        <w:t>Nº</w:t>
      </w:r>
      <w:proofErr w:type="spellEnd"/>
      <w:r>
        <w:rPr>
          <w:lang w:val="es-ES_tradnl"/>
        </w:rPr>
        <w:t xml:space="preserve"> 122 relativo a la política del empleo y el Convenio </w:t>
      </w:r>
      <w:proofErr w:type="spellStart"/>
      <w:r>
        <w:rPr>
          <w:lang w:val="es-ES_tradnl"/>
        </w:rPr>
        <w:t>Nº</w:t>
      </w:r>
      <w:proofErr w:type="spellEnd"/>
      <w:r>
        <w:rPr>
          <w:lang w:val="es-ES_tradnl"/>
        </w:rPr>
        <w:t xml:space="preserve"> 111 relativo a la discriminación en materia de empleo y ocupación; en igual forma siendo Parte de la Convención Internacional sobre la Eliminación de todas las Formas de Discriminación Racial y la Convención sobre la eliminación de todas las formas de discriminación contra la mujer, ha presentado a los comités supervisores competentes informes concernientes a las disposiciones de este artículo.</w:t>
      </w:r>
    </w:p>
    <w:p w:rsidR="00000000" w:rsidRDefault="00000000">
      <w:pPr>
        <w:spacing w:after="240"/>
      </w:pPr>
      <w:r>
        <w:rPr>
          <w:lang w:val="es-ES_tradnl"/>
        </w:rPr>
        <w:t>43.</w:t>
      </w:r>
      <w:r>
        <w:rPr>
          <w:lang w:val="es-ES_tradnl"/>
        </w:rPr>
        <w:tab/>
        <w:t>La nueva Carta Política, en el capítulo 4, sección segunda, artículo 35, establece que "el trabajo es un derecho y un deber social.  Gozará de la protección del Estado, el que asegurará al trabajador el respeto a su dignidad, una existencia decorosa y una remuneración justa que cubra sus necesidades y las de su familia".</w:t>
      </w:r>
    </w:p>
    <w:p w:rsidR="00000000" w:rsidRDefault="00000000">
      <w:pPr>
        <w:spacing w:after="240"/>
      </w:pPr>
      <w:r>
        <w:rPr>
          <w:lang w:val="es-ES_tradnl"/>
        </w:rPr>
        <w:t>44.</w:t>
      </w:r>
      <w:r>
        <w:rPr>
          <w:lang w:val="es-ES_tradnl"/>
        </w:rPr>
        <w:tab/>
        <w:t>El Código del Trabajo en su artículo 1 establece el ámbito y los preceptos que regulan las relaciones entre empleadores y trabajadores en las diversas modalidades y condiciones de trabajo, además incorpora las normas relativas al trabajo, contenidas en leyes especiales o en convenios internacionales.</w:t>
      </w:r>
    </w:p>
    <w:p w:rsidR="00000000" w:rsidRDefault="00000000">
      <w:pPr>
        <w:spacing w:after="240"/>
      </w:pPr>
      <w:r>
        <w:rPr>
          <w:lang w:val="es-ES_tradnl"/>
        </w:rPr>
        <w:t>45.</w:t>
      </w:r>
      <w:r>
        <w:rPr>
          <w:lang w:val="es-ES_tradnl"/>
        </w:rPr>
        <w:tab/>
        <w:t>Dentro de la legislación ecuatoriana, está contemplada la libertad de trabajo y contratación.  Así, el artículo 3 del Código del Trabajo promueve el derecho de la libre elección del trabajador.  Para dedicar sus esfuerzos a labor lícita que a bien tenga, todo trabajo debe ser remunerado.</w:t>
      </w:r>
    </w:p>
    <w:p w:rsidR="00000000" w:rsidRDefault="00000000">
      <w:pPr>
        <w:spacing w:after="240"/>
      </w:pPr>
      <w:r>
        <w:t>46.</w:t>
      </w:r>
      <w:r>
        <w:tab/>
      </w:r>
      <w:r>
        <w:rPr>
          <w:lang w:val="es-ES_tradnl"/>
        </w:rPr>
        <w:t xml:space="preserve">La Ley de amparo laboral de la mujer,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124, de fecha 6 de febrero de 1997, mediante la cual se modifica el Código del Trabajo en el artículo 1, la Ley de amparo laboral, dispone la incorporación de un porcentaje mínimo de trabajadoras que será establecido por las comisiones sectoriales del Ministerio de Trabajo.  Mediante esta ley se introducen modificaciones en la Ley orgánica de la función judicial tendientes a disminuir la discriminación que sufren las mujeres para lo cual las Cortes Superiores estarán integradas por un mínimo de 20% de mujeres como ministros jueces, notarios, registradores y demás cargos.</w:t>
      </w:r>
    </w:p>
    <w:p w:rsidR="00000000" w:rsidRDefault="00000000">
      <w:pPr>
        <w:spacing w:after="240"/>
      </w:pPr>
      <w:r>
        <w:rPr>
          <w:lang w:val="es-ES_tradnl"/>
        </w:rPr>
        <w:t>47.</w:t>
      </w:r>
      <w:r>
        <w:rPr>
          <w:lang w:val="es-ES_tradnl"/>
        </w:rPr>
        <w:tab/>
        <w:t>El artículo 4 de la referida norma indica que las mujeres trabajadoras del sector privado podrán acudir con sus reclamos ante el inspector o subinspector de trabajo para el cumplimiento de la ley.</w:t>
      </w:r>
    </w:p>
    <w:p w:rsidR="00000000" w:rsidRDefault="00000000">
      <w:pPr>
        <w:spacing w:after="240"/>
        <w:rPr>
          <w:b/>
        </w:rPr>
      </w:pPr>
      <w:r>
        <w:rPr>
          <w:b/>
          <w:lang w:val="es-ES_tradnl"/>
        </w:rPr>
        <w:t>Política de empleo</w:t>
      </w:r>
    </w:p>
    <w:p w:rsidR="00000000" w:rsidRDefault="00000000">
      <w:pPr>
        <w:spacing w:after="240"/>
      </w:pPr>
      <w:r>
        <w:rPr>
          <w:lang w:val="es-ES_tradnl"/>
        </w:rPr>
        <w:t>48.</w:t>
      </w:r>
      <w:r>
        <w:rPr>
          <w:lang w:val="es-ES_tradnl"/>
        </w:rPr>
        <w:tab/>
        <w:t>Los problemas vinculados con la crisis económica del país han deteriorado la situación social, al producir el incremento de la pobreza y las desigualdades sociales.  En el Ecuador más del 78,5% de la población es pobre y el 46,2% se encuentra en la indigencia, es decir que sus hogares no logran cubrir sus requerimientos mínimos de consumo de alimentos.  En estos últimos años se ha incrementado el número de hogares cuyos ingresos se encuentran por debajo de la línea de pobreza, al convertirse en un serio obstáculo para el desarrollo económico.</w:t>
      </w:r>
    </w:p>
    <w:p w:rsidR="00000000" w:rsidRDefault="00000000">
      <w:pPr>
        <w:spacing w:after="240"/>
      </w:pPr>
      <w:r>
        <w:rPr>
          <w:lang w:val="es-ES_tradnl"/>
        </w:rPr>
        <w:t>49.</w:t>
      </w:r>
      <w:r>
        <w:rPr>
          <w:lang w:val="es-ES_tradnl"/>
        </w:rPr>
        <w:tab/>
        <w:t xml:space="preserve">Las personas que viven en el sector rural, especialmente los pueblos indígenas y el pueblo negro, viven en condiciones de marginalidad y exclusión social heredadas del pasado.  Sus principales problemas son el limitado acceso a la tierra, que se encuentra relacionado con una estructura altamente concentrada en la distribución de la tenencia de la tierra, que se ha mantenido a causa del limitado efecto </w:t>
      </w:r>
      <w:proofErr w:type="spellStart"/>
      <w:r>
        <w:rPr>
          <w:lang w:val="es-ES_tradnl"/>
        </w:rPr>
        <w:t>redistributivo</w:t>
      </w:r>
      <w:proofErr w:type="spellEnd"/>
      <w:r>
        <w:rPr>
          <w:lang w:val="es-ES_tradnl"/>
        </w:rPr>
        <w:t xml:space="preserve"> de las Leyes de reforma agraria de 1964 y 1973.</w:t>
      </w:r>
    </w:p>
    <w:p w:rsidR="00000000" w:rsidRDefault="00000000">
      <w:pPr>
        <w:spacing w:after="240"/>
      </w:pPr>
      <w:r>
        <w:rPr>
          <w:lang w:val="es-ES_tradnl"/>
        </w:rPr>
        <w:t>50.</w:t>
      </w:r>
      <w:r>
        <w:rPr>
          <w:lang w:val="es-ES_tradnl"/>
        </w:rPr>
        <w:tab/>
        <w:t>La población del campo adolece de falta de alternativas de empleo rural, la mayoría de trabajadores se encuentran subempleados, con altos índices de analfabetismo y bajos niveles de escolaridad viviendo en condiciones precarias, con carencias de servicios básicos, que se reproduce en actividades de muy baja productividad, con los limitados ingresos que obtienen de sus minifundios que son de subsistencia.  A la forma precaria y tradicional en que se realizan los cultivos, en tierras que en muchos de los casos se encuentran en laderas, sin riego y erosionadas, se suma la falta de crédito y de asistencia técnica que ha fomentado la migración de la población de estos pueblos a las grandes ciudades, especialmente Quito y Guayaquil, formando los "cinturones de miseria de las ciudades", barrios que se ubican en las afueras de las ciudades y cuyos asentamientos todavía no se han legalizado en muchas de las ciudades que afrontan estos problemas.</w:t>
      </w:r>
    </w:p>
    <w:p w:rsidR="00000000" w:rsidRDefault="00000000">
      <w:pPr>
        <w:spacing w:after="240"/>
      </w:pPr>
      <w:r>
        <w:rPr>
          <w:lang w:val="es-ES_tradnl"/>
        </w:rPr>
        <w:t>51.</w:t>
      </w:r>
      <w:r>
        <w:rPr>
          <w:lang w:val="es-ES_tradnl"/>
        </w:rPr>
        <w:tab/>
        <w:t>En 1990, la población rural a escala nacional alcanzó los 4.384.695 habitantes y está compuesta por el 49% de mujeres y el 51% de hombres.  De estas personas el 96% se encuentran ocupados, el 64,8% de los ocupados son hombres y el 35,2% son mujeres, la tasa de desempleo alcanza el 4%, mientras la población económicamente inactiva (PEI) alcanza el 36,9% de la población en edad de trabajar.</w:t>
      </w:r>
    </w:p>
    <w:p w:rsidR="00000000" w:rsidRDefault="00000000">
      <w:pPr>
        <w:spacing w:after="240"/>
      </w:pPr>
      <w:r>
        <w:rPr>
          <w:lang w:val="es-ES_tradnl"/>
        </w:rPr>
        <w:t>52.</w:t>
      </w:r>
      <w:r>
        <w:rPr>
          <w:lang w:val="es-ES_tradnl"/>
        </w:rPr>
        <w:tab/>
        <w:t>El aporte de los trabajadores ocupados del sector rural a la economía se encuentra distribuido de la siguiente forma:  el 14,1% se encuentra trabajando en el sector moderno, el 85% se encuentra trabajando en el sector tradicional y el 0,9% trabaja en el servicio doméstico.  Según la rama de actividad el 65% se encuentra laborando en la agricultura, el 10,2% en la industria manufacturera y el 10% en el comercio y restaurantes.</w:t>
      </w:r>
    </w:p>
    <w:p w:rsidR="00000000" w:rsidRDefault="00000000">
      <w:pPr>
        <w:spacing w:after="240"/>
        <w:rPr>
          <w:lang w:val="es-ES_tradnl"/>
        </w:rPr>
      </w:pPr>
      <w:r>
        <w:rPr>
          <w:lang w:val="es-ES_tradnl"/>
        </w:rPr>
        <w:t>53.</w:t>
      </w:r>
      <w:r>
        <w:rPr>
          <w:lang w:val="es-ES_tradnl"/>
        </w:rPr>
        <w:tab/>
        <w:t>La tasa de desempleo del sector rural es del 4% y su composición corresponde:  62% a las mujeres y 37% para los hombres.  La desocupación tiende a ser mayor en las áreas urbanas que en las rurales.</w:t>
      </w:r>
    </w:p>
    <w:p w:rsidR="00000000" w:rsidRDefault="00000000">
      <w:pPr>
        <w:spacing w:after="240"/>
        <w:jc w:val="center"/>
        <w:rPr>
          <w:b/>
          <w:bCs/>
          <w:lang w:val="es-ES_tradnl"/>
        </w:rPr>
      </w:pPr>
      <w:r>
        <w:rPr>
          <w:b/>
          <w:bCs/>
          <w:lang w:val="es-ES_tradnl"/>
        </w:rPr>
        <w:t>Población total nacional rural 1990</w:t>
      </w:r>
    </w:p>
    <w:tbl>
      <w:tblPr>
        <w:tblW w:w="4173" w:type="pct"/>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13"/>
        <w:gridCol w:w="1365"/>
        <w:gridCol w:w="1347"/>
      </w:tblGrid>
      <w:tr w:rsidR="00000000">
        <w:tblPrEx>
          <w:tblCellMar>
            <w:top w:w="0" w:type="dxa"/>
            <w:bottom w:w="0" w:type="dxa"/>
          </w:tblCellMar>
        </w:tblPrEx>
        <w:trPr>
          <w:tblHeader/>
          <w:jc w:val="center"/>
        </w:trPr>
        <w:tc>
          <w:tcPr>
            <w:tcW w:w="3289" w:type="pct"/>
            <w:vAlign w:val="center"/>
          </w:tcPr>
          <w:p w:rsidR="00000000" w:rsidRDefault="00000000"/>
        </w:tc>
        <w:tc>
          <w:tcPr>
            <w:tcW w:w="861" w:type="pct"/>
            <w:vAlign w:val="center"/>
          </w:tcPr>
          <w:p w:rsidR="00000000" w:rsidRDefault="00000000">
            <w:pPr>
              <w:jc w:val="center"/>
            </w:pPr>
            <w:r>
              <w:t>Total</w:t>
            </w:r>
          </w:p>
        </w:tc>
        <w:tc>
          <w:tcPr>
            <w:tcW w:w="850" w:type="pct"/>
            <w:vAlign w:val="center"/>
          </w:tcPr>
          <w:p w:rsidR="00000000" w:rsidRDefault="00000000">
            <w:pPr>
              <w:jc w:val="center"/>
            </w:pPr>
            <w:r>
              <w:t>Porcentaje</w:t>
            </w:r>
          </w:p>
        </w:tc>
      </w:tr>
      <w:tr w:rsidR="00000000">
        <w:tblPrEx>
          <w:tblCellMar>
            <w:top w:w="0" w:type="dxa"/>
            <w:bottom w:w="0" w:type="dxa"/>
          </w:tblCellMar>
        </w:tblPrEx>
        <w:trPr>
          <w:jc w:val="center"/>
        </w:trPr>
        <w:tc>
          <w:tcPr>
            <w:tcW w:w="3289" w:type="pct"/>
          </w:tcPr>
          <w:p w:rsidR="00000000" w:rsidRDefault="00000000">
            <w:r>
              <w:t>Población total</w:t>
            </w:r>
          </w:p>
        </w:tc>
        <w:tc>
          <w:tcPr>
            <w:tcW w:w="861" w:type="pct"/>
            <w:vAlign w:val="bottom"/>
          </w:tcPr>
          <w:p w:rsidR="00000000" w:rsidRDefault="00000000">
            <w:pPr>
              <w:jc w:val="right"/>
            </w:pPr>
            <w:r>
              <w:t>4.384.695</w:t>
            </w:r>
          </w:p>
        </w:tc>
        <w:tc>
          <w:tcPr>
            <w:tcW w:w="850" w:type="pct"/>
            <w:vAlign w:val="bottom"/>
          </w:tcPr>
          <w:p w:rsidR="00000000" w:rsidRDefault="00000000">
            <w:pPr>
              <w:jc w:val="right"/>
            </w:pPr>
            <w:r>
              <w:t>100</w:t>
            </w:r>
          </w:p>
        </w:tc>
      </w:tr>
      <w:tr w:rsidR="00000000">
        <w:tblPrEx>
          <w:tblCellMar>
            <w:top w:w="0" w:type="dxa"/>
            <w:bottom w:w="0" w:type="dxa"/>
          </w:tblCellMar>
        </w:tblPrEx>
        <w:trPr>
          <w:jc w:val="center"/>
        </w:trPr>
        <w:tc>
          <w:tcPr>
            <w:tcW w:w="3289" w:type="pct"/>
          </w:tcPr>
          <w:p w:rsidR="00000000" w:rsidRDefault="00000000">
            <w:r>
              <w:tab/>
              <w:t>Población &lt; de 10 años</w:t>
            </w:r>
          </w:p>
        </w:tc>
        <w:tc>
          <w:tcPr>
            <w:tcW w:w="861" w:type="pct"/>
            <w:vAlign w:val="bottom"/>
          </w:tcPr>
          <w:p w:rsidR="00000000" w:rsidRDefault="00000000">
            <w:pPr>
              <w:jc w:val="right"/>
            </w:pPr>
            <w:r>
              <w:t>1.235.387</w:t>
            </w:r>
          </w:p>
        </w:tc>
        <w:tc>
          <w:tcPr>
            <w:tcW w:w="850" w:type="pct"/>
            <w:vAlign w:val="bottom"/>
          </w:tcPr>
          <w:p w:rsidR="00000000" w:rsidRDefault="00000000">
            <w:pPr>
              <w:jc w:val="right"/>
            </w:pPr>
            <w:r>
              <w:t>28,20</w:t>
            </w:r>
          </w:p>
        </w:tc>
      </w:tr>
      <w:tr w:rsidR="00000000">
        <w:tblPrEx>
          <w:tblCellMar>
            <w:top w:w="0" w:type="dxa"/>
            <w:bottom w:w="0" w:type="dxa"/>
          </w:tblCellMar>
        </w:tblPrEx>
        <w:trPr>
          <w:jc w:val="center"/>
        </w:trPr>
        <w:tc>
          <w:tcPr>
            <w:tcW w:w="3289" w:type="pct"/>
          </w:tcPr>
          <w:p w:rsidR="00000000" w:rsidRDefault="00000000">
            <w:r>
              <w:tab/>
              <w:t>Población en edad de trabajar (</w:t>
            </w:r>
            <w:proofErr w:type="spellStart"/>
            <w:r>
              <w:t>PET</w:t>
            </w:r>
            <w:proofErr w:type="spellEnd"/>
            <w:r>
              <w:t>)</w:t>
            </w:r>
          </w:p>
        </w:tc>
        <w:tc>
          <w:tcPr>
            <w:tcW w:w="861" w:type="pct"/>
            <w:vAlign w:val="bottom"/>
          </w:tcPr>
          <w:p w:rsidR="00000000" w:rsidRDefault="00000000">
            <w:pPr>
              <w:jc w:val="right"/>
            </w:pPr>
            <w:r>
              <w:t>3.149.308</w:t>
            </w:r>
          </w:p>
        </w:tc>
        <w:tc>
          <w:tcPr>
            <w:tcW w:w="850" w:type="pct"/>
            <w:vAlign w:val="bottom"/>
          </w:tcPr>
          <w:p w:rsidR="00000000" w:rsidRDefault="00000000">
            <w:pPr>
              <w:jc w:val="right"/>
            </w:pPr>
            <w:r>
              <w:t>71,80</w:t>
            </w:r>
          </w:p>
        </w:tc>
      </w:tr>
      <w:tr w:rsidR="00000000">
        <w:tblPrEx>
          <w:tblCellMar>
            <w:top w:w="0" w:type="dxa"/>
            <w:bottom w:w="0" w:type="dxa"/>
          </w:tblCellMar>
        </w:tblPrEx>
        <w:trPr>
          <w:jc w:val="center"/>
        </w:trPr>
        <w:tc>
          <w:tcPr>
            <w:tcW w:w="3289" w:type="pct"/>
          </w:tcPr>
          <w:p w:rsidR="00000000" w:rsidRDefault="00000000">
            <w:r>
              <w:tab/>
              <w:t>Población económicamente activa (PEA)</w:t>
            </w:r>
          </w:p>
        </w:tc>
        <w:tc>
          <w:tcPr>
            <w:tcW w:w="861" w:type="pct"/>
            <w:vAlign w:val="bottom"/>
          </w:tcPr>
          <w:p w:rsidR="00000000" w:rsidRDefault="00000000">
            <w:pPr>
              <w:jc w:val="right"/>
            </w:pPr>
            <w:r>
              <w:t>1.986.435</w:t>
            </w:r>
          </w:p>
        </w:tc>
        <w:tc>
          <w:tcPr>
            <w:tcW w:w="850" w:type="pct"/>
            <w:vAlign w:val="bottom"/>
          </w:tcPr>
          <w:p w:rsidR="00000000" w:rsidRDefault="00000000">
            <w:pPr>
              <w:jc w:val="right"/>
            </w:pPr>
            <w:r>
              <w:t>63,10</w:t>
            </w:r>
          </w:p>
        </w:tc>
      </w:tr>
      <w:tr w:rsidR="00000000">
        <w:tblPrEx>
          <w:tblCellMar>
            <w:top w:w="0" w:type="dxa"/>
            <w:bottom w:w="0" w:type="dxa"/>
          </w:tblCellMar>
        </w:tblPrEx>
        <w:trPr>
          <w:jc w:val="center"/>
        </w:trPr>
        <w:tc>
          <w:tcPr>
            <w:tcW w:w="3289" w:type="pct"/>
          </w:tcPr>
          <w:p w:rsidR="00000000" w:rsidRDefault="00000000">
            <w:r>
              <w:t>Desocupados</w:t>
            </w:r>
          </w:p>
        </w:tc>
        <w:tc>
          <w:tcPr>
            <w:tcW w:w="861" w:type="pct"/>
            <w:vAlign w:val="bottom"/>
          </w:tcPr>
          <w:p w:rsidR="00000000" w:rsidRDefault="00000000">
            <w:pPr>
              <w:jc w:val="right"/>
            </w:pPr>
            <w:r>
              <w:t>79.563</w:t>
            </w:r>
          </w:p>
        </w:tc>
        <w:tc>
          <w:tcPr>
            <w:tcW w:w="850" w:type="pct"/>
            <w:vAlign w:val="bottom"/>
          </w:tcPr>
          <w:p w:rsidR="00000000" w:rsidRDefault="00000000">
            <w:pPr>
              <w:jc w:val="right"/>
            </w:pPr>
            <w:r>
              <w:t>4</w:t>
            </w:r>
          </w:p>
        </w:tc>
      </w:tr>
      <w:tr w:rsidR="00000000">
        <w:tblPrEx>
          <w:tblCellMar>
            <w:top w:w="0" w:type="dxa"/>
            <w:bottom w:w="0" w:type="dxa"/>
          </w:tblCellMar>
        </w:tblPrEx>
        <w:trPr>
          <w:jc w:val="center"/>
        </w:trPr>
        <w:tc>
          <w:tcPr>
            <w:tcW w:w="3289" w:type="pct"/>
          </w:tcPr>
          <w:p w:rsidR="00000000" w:rsidRDefault="00000000">
            <w:r>
              <w:t>Ocupados total</w:t>
            </w:r>
          </w:p>
        </w:tc>
        <w:tc>
          <w:tcPr>
            <w:tcW w:w="861" w:type="pct"/>
            <w:vAlign w:val="bottom"/>
          </w:tcPr>
          <w:p w:rsidR="00000000" w:rsidRDefault="00000000">
            <w:pPr>
              <w:jc w:val="right"/>
            </w:pPr>
            <w:r>
              <w:t>1.906.872</w:t>
            </w:r>
          </w:p>
        </w:tc>
        <w:tc>
          <w:tcPr>
            <w:tcW w:w="850" w:type="pct"/>
            <w:vAlign w:val="bottom"/>
          </w:tcPr>
          <w:p w:rsidR="00000000" w:rsidRDefault="00000000">
            <w:pPr>
              <w:jc w:val="right"/>
            </w:pPr>
            <w:r>
              <w:t>100</w:t>
            </w:r>
          </w:p>
        </w:tc>
      </w:tr>
      <w:tr w:rsidR="00000000">
        <w:tblPrEx>
          <w:tblCellMar>
            <w:top w:w="0" w:type="dxa"/>
            <w:bottom w:w="0" w:type="dxa"/>
          </w:tblCellMar>
        </w:tblPrEx>
        <w:trPr>
          <w:jc w:val="center"/>
        </w:trPr>
        <w:tc>
          <w:tcPr>
            <w:tcW w:w="3289" w:type="pct"/>
          </w:tcPr>
          <w:p w:rsidR="00000000" w:rsidRDefault="00000000">
            <w:r>
              <w:tab/>
              <w:t>Ocupados sector moderno</w:t>
            </w:r>
          </w:p>
        </w:tc>
        <w:tc>
          <w:tcPr>
            <w:tcW w:w="861" w:type="pct"/>
            <w:vAlign w:val="bottom"/>
          </w:tcPr>
          <w:p w:rsidR="00000000" w:rsidRDefault="00000000">
            <w:pPr>
              <w:jc w:val="right"/>
            </w:pPr>
            <w:r>
              <w:t>268.122</w:t>
            </w:r>
          </w:p>
        </w:tc>
        <w:tc>
          <w:tcPr>
            <w:tcW w:w="850" w:type="pct"/>
            <w:vAlign w:val="bottom"/>
          </w:tcPr>
          <w:p w:rsidR="00000000" w:rsidRDefault="00000000">
            <w:pPr>
              <w:jc w:val="right"/>
            </w:pPr>
            <w:r>
              <w:t>14,10</w:t>
            </w:r>
          </w:p>
        </w:tc>
      </w:tr>
      <w:tr w:rsidR="00000000">
        <w:tblPrEx>
          <w:tblCellMar>
            <w:top w:w="0" w:type="dxa"/>
            <w:bottom w:w="0" w:type="dxa"/>
          </w:tblCellMar>
        </w:tblPrEx>
        <w:trPr>
          <w:jc w:val="center"/>
        </w:trPr>
        <w:tc>
          <w:tcPr>
            <w:tcW w:w="3289" w:type="pct"/>
          </w:tcPr>
          <w:p w:rsidR="00000000" w:rsidRDefault="00000000">
            <w:r>
              <w:tab/>
              <w:t xml:space="preserve">Ocupados sector tradicional </w:t>
            </w:r>
          </w:p>
        </w:tc>
        <w:tc>
          <w:tcPr>
            <w:tcW w:w="861" w:type="pct"/>
            <w:vAlign w:val="bottom"/>
          </w:tcPr>
          <w:p w:rsidR="00000000" w:rsidRDefault="00000000">
            <w:pPr>
              <w:jc w:val="right"/>
            </w:pPr>
            <w:r>
              <w:t>1.621.361</w:t>
            </w:r>
          </w:p>
        </w:tc>
        <w:tc>
          <w:tcPr>
            <w:tcW w:w="850" w:type="pct"/>
            <w:vAlign w:val="bottom"/>
          </w:tcPr>
          <w:p w:rsidR="00000000" w:rsidRDefault="00000000">
            <w:pPr>
              <w:jc w:val="right"/>
            </w:pPr>
            <w:r>
              <w:t>85</w:t>
            </w:r>
          </w:p>
        </w:tc>
      </w:tr>
      <w:tr w:rsidR="00000000">
        <w:tblPrEx>
          <w:tblCellMar>
            <w:top w:w="0" w:type="dxa"/>
            <w:bottom w:w="0" w:type="dxa"/>
          </w:tblCellMar>
        </w:tblPrEx>
        <w:trPr>
          <w:jc w:val="center"/>
        </w:trPr>
        <w:tc>
          <w:tcPr>
            <w:tcW w:w="3289" w:type="pct"/>
          </w:tcPr>
          <w:p w:rsidR="00000000" w:rsidRDefault="00000000">
            <w:r>
              <w:tab/>
              <w:t>Ocupados servicio doméstico</w:t>
            </w:r>
          </w:p>
        </w:tc>
        <w:tc>
          <w:tcPr>
            <w:tcW w:w="861" w:type="pct"/>
            <w:vAlign w:val="bottom"/>
          </w:tcPr>
          <w:p w:rsidR="00000000" w:rsidRDefault="00000000">
            <w:pPr>
              <w:jc w:val="right"/>
            </w:pPr>
            <w:r>
              <w:t>17.389</w:t>
            </w:r>
          </w:p>
        </w:tc>
        <w:tc>
          <w:tcPr>
            <w:tcW w:w="850" w:type="pct"/>
            <w:vAlign w:val="bottom"/>
          </w:tcPr>
          <w:p w:rsidR="00000000" w:rsidRDefault="00000000">
            <w:pPr>
              <w:jc w:val="right"/>
            </w:pPr>
            <w:r>
              <w:t>0,91</w:t>
            </w:r>
          </w:p>
        </w:tc>
      </w:tr>
      <w:tr w:rsidR="00000000">
        <w:tblPrEx>
          <w:tblCellMar>
            <w:top w:w="0" w:type="dxa"/>
            <w:bottom w:w="0" w:type="dxa"/>
          </w:tblCellMar>
        </w:tblPrEx>
        <w:trPr>
          <w:jc w:val="center"/>
        </w:trPr>
        <w:tc>
          <w:tcPr>
            <w:tcW w:w="3289" w:type="pct"/>
          </w:tcPr>
          <w:p w:rsidR="00000000" w:rsidRDefault="00000000">
            <w:r>
              <w:t>Población económicamente inactiva (PEI)</w:t>
            </w:r>
          </w:p>
        </w:tc>
        <w:tc>
          <w:tcPr>
            <w:tcW w:w="861" w:type="pct"/>
            <w:vAlign w:val="bottom"/>
          </w:tcPr>
          <w:p w:rsidR="00000000" w:rsidRDefault="00000000">
            <w:pPr>
              <w:jc w:val="right"/>
            </w:pPr>
            <w:r>
              <w:t>1.162.873</w:t>
            </w:r>
          </w:p>
        </w:tc>
        <w:tc>
          <w:tcPr>
            <w:tcW w:w="850" w:type="pct"/>
            <w:vAlign w:val="bottom"/>
          </w:tcPr>
          <w:p w:rsidR="00000000" w:rsidRDefault="00000000">
            <w:pPr>
              <w:jc w:val="right"/>
            </w:pPr>
            <w:r>
              <w:t>36,90</w:t>
            </w:r>
          </w:p>
        </w:tc>
      </w:tr>
    </w:tbl>
    <w:p w:rsidR="00000000" w:rsidRDefault="00000000">
      <w:pPr>
        <w:spacing w:before="240" w:after="480"/>
        <w:ind w:left="720"/>
      </w:pPr>
      <w:r>
        <w:rPr>
          <w:i/>
          <w:iCs/>
        </w:rPr>
        <w:t>Fuente</w:t>
      </w:r>
      <w:r>
        <w:t xml:space="preserve">:  </w:t>
      </w:r>
      <w:proofErr w:type="spellStart"/>
      <w:r>
        <w:t>I</w:t>
      </w:r>
      <w:r>
        <w:rPr>
          <w:szCs w:val="22"/>
          <w:lang w:val="es-ES_tradnl"/>
        </w:rPr>
        <w:t>NEM</w:t>
      </w:r>
      <w:proofErr w:type="spellEnd"/>
      <w:r>
        <w:rPr>
          <w:szCs w:val="22"/>
          <w:lang w:val="es-ES_tradnl"/>
        </w:rPr>
        <w:t>, 1990 - Encuesta Permanente de Hogares, Empleo, Subempleo, Desempleo.</w:t>
      </w:r>
    </w:p>
    <w:p w:rsidR="00000000" w:rsidRDefault="00000000">
      <w:pPr>
        <w:spacing w:after="240"/>
      </w:pPr>
      <w:r>
        <w:rPr>
          <w:lang w:val="es-ES_tradnl"/>
        </w:rPr>
        <w:t>54.</w:t>
      </w:r>
      <w:r>
        <w:rPr>
          <w:lang w:val="es-ES_tradnl"/>
        </w:rPr>
        <w:tab/>
        <w:t>Según estudio realizado por la Secretaría Técnica del Frente Social (</w:t>
      </w:r>
      <w:proofErr w:type="spellStart"/>
      <w:r>
        <w:rPr>
          <w:lang w:val="es-ES_tradnl"/>
        </w:rPr>
        <w:t>STFS</w:t>
      </w:r>
      <w:proofErr w:type="spellEnd"/>
      <w:r>
        <w:rPr>
          <w:lang w:val="es-ES_tradnl"/>
        </w:rPr>
        <w:t xml:space="preserve">) para 1994, la pobreza rural bordeaba el 70%, mientras que para el sector urbano ésta alcanzaba el 35%.  "Son también elevadas las diferencias sociales entre áreas con predominio de la población indígena y el resto del país, mientras la incidencia de la pobreza en el país alcanza el 52% en 1994, entre la población indígena era del 80% [...]  Desde la perspectiva regional, se observa una notable brecha entre el Oriente y las restantes regiones del país.  El Oriente es la única región donde la indigencia adquiere proporciones masivas:  en consecuencia, las peores condiciones de vida se observan en el área rural del Oriente, donde algunos cantones como </w:t>
      </w:r>
      <w:proofErr w:type="spellStart"/>
      <w:r>
        <w:rPr>
          <w:lang w:val="es-ES_tradnl"/>
        </w:rPr>
        <w:t>Orellana</w:t>
      </w:r>
      <w:proofErr w:type="spellEnd"/>
      <w:r>
        <w:rPr>
          <w:lang w:val="es-ES_tradnl"/>
        </w:rPr>
        <w:t xml:space="preserve"> en Napo, Morona en Morona Santiago y Lago Agrio en Sucumbios, superan y bordean el 95% de pobreza.  La pobreza en la región Amazónica rural está fuertemente asociada a grandes carencias de infraestructura, a un bajo nivel de desarrollo de las relaciones </w:t>
      </w:r>
      <w:proofErr w:type="spellStart"/>
      <w:r>
        <w:rPr>
          <w:lang w:val="es-ES_tradnl"/>
        </w:rPr>
        <w:t>salariales</w:t>
      </w:r>
      <w:proofErr w:type="spellEnd"/>
      <w:r>
        <w:rPr>
          <w:lang w:val="es-ES_tradnl"/>
        </w:rPr>
        <w:t xml:space="preserve"> y sobre todo a una reducida productividad agropecuaria [...]  Aunque globalmente la Costa y la Sierra presentan niveles comparables de pobreza e indigencia el carácter de las carencias sociales es distinto entre estas regiones.  La pobreza rural afecta principalmente a la Sierra y particularmente a las provincias de Loja, con el 84%, Chimborazo, con el 81%, Cotopaxi con el 80%.  En general, la pobreza rural en la Costa es menor que en la Sierra"</w:t>
      </w:r>
      <w:r>
        <w:rPr>
          <w:rStyle w:val="FootnoteReference"/>
          <w:lang w:val="es-ES_tradnl"/>
        </w:rPr>
        <w:footnoteReference w:id="15"/>
      </w:r>
      <w:r>
        <w:rPr>
          <w:lang w:val="es-ES_tradnl"/>
        </w:rPr>
        <w:t>.</w:t>
      </w:r>
    </w:p>
    <w:p w:rsidR="00000000" w:rsidRDefault="00000000">
      <w:pPr>
        <w:spacing w:after="240"/>
      </w:pPr>
      <w:r>
        <w:t>55.</w:t>
      </w:r>
      <w:r>
        <w:tab/>
      </w:r>
      <w:r>
        <w:rPr>
          <w:lang w:val="es-ES_tradnl"/>
        </w:rPr>
        <w:t>En el sector urbano, la tasa de desempleo abierto se elevó variando del 6,1%, en 1990, al 6,9% en 1995, al 11,5% en 1998, y al 14,4% en 1999, experimentando una variación entre 1995 y 1998 del 66,7%, y del 25,22% en este último año con respecto al año anterior.  El desempleo afecta a la población perteneciente a hogares numerosos y de bajos ingresos.  Para el 2002 baja drásticamente por efectos de la migración y la convalecencia económica.</w:t>
      </w:r>
    </w:p>
    <w:tbl>
      <w:tblPr>
        <w:tblW w:w="5348" w:type="dxa"/>
        <w:jc w:val="center"/>
        <w:tblInd w:w="4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2"/>
        <w:gridCol w:w="1872"/>
        <w:gridCol w:w="1384"/>
      </w:tblGrid>
      <w:tr w:rsidR="00000000">
        <w:tblPrEx>
          <w:tblCellMar>
            <w:top w:w="0" w:type="dxa"/>
            <w:bottom w:w="0" w:type="dxa"/>
          </w:tblCellMar>
        </w:tblPrEx>
        <w:trPr>
          <w:jc w:val="center"/>
        </w:trPr>
        <w:tc>
          <w:tcPr>
            <w:tcW w:w="2092" w:type="dxa"/>
            <w:shd w:val="clear" w:color="auto" w:fill="FFFFFF"/>
            <w:vAlign w:val="center"/>
          </w:tcPr>
          <w:p w:rsidR="00000000" w:rsidRDefault="00000000">
            <w:pPr>
              <w:keepNext/>
              <w:keepLines/>
              <w:jc w:val="center"/>
              <w:rPr>
                <w:lang w:val="es-ES_tradnl"/>
              </w:rPr>
            </w:pPr>
            <w:r>
              <w:rPr>
                <w:lang w:val="es-ES_tradnl"/>
              </w:rPr>
              <w:t>Período</w:t>
            </w:r>
          </w:p>
        </w:tc>
        <w:tc>
          <w:tcPr>
            <w:tcW w:w="1872" w:type="dxa"/>
            <w:shd w:val="clear" w:color="auto" w:fill="FFFFFF"/>
            <w:vAlign w:val="center"/>
          </w:tcPr>
          <w:p w:rsidR="00000000" w:rsidRDefault="00000000">
            <w:pPr>
              <w:keepNext/>
              <w:keepLines/>
              <w:jc w:val="center"/>
              <w:rPr>
                <w:lang w:val="es-ES_tradnl"/>
              </w:rPr>
            </w:pPr>
            <w:r>
              <w:rPr>
                <w:lang w:val="es-ES_tradnl"/>
              </w:rPr>
              <w:t>Desempleo</w:t>
            </w:r>
          </w:p>
        </w:tc>
        <w:tc>
          <w:tcPr>
            <w:tcW w:w="1384" w:type="dxa"/>
            <w:shd w:val="clear" w:color="auto" w:fill="FFFFFF"/>
            <w:vAlign w:val="center"/>
          </w:tcPr>
          <w:p w:rsidR="00000000" w:rsidRDefault="00000000">
            <w:pPr>
              <w:keepNext/>
              <w:keepLines/>
              <w:jc w:val="center"/>
              <w:rPr>
                <w:lang w:val="es-ES_tradnl"/>
              </w:rPr>
            </w:pPr>
            <w:r>
              <w:rPr>
                <w:lang w:val="es-ES_tradnl"/>
              </w:rPr>
              <w:t>Variación</w:t>
            </w:r>
            <w:r>
              <w:rPr>
                <w:lang w:val="es-ES_tradnl"/>
              </w:rPr>
              <w:br/>
              <w:t>(porcentaje)</w:t>
            </w:r>
          </w:p>
        </w:tc>
      </w:tr>
      <w:tr w:rsidR="00000000">
        <w:tblPrEx>
          <w:tblCellMar>
            <w:top w:w="0" w:type="dxa"/>
            <w:bottom w:w="0" w:type="dxa"/>
          </w:tblCellMar>
        </w:tblPrEx>
        <w:trPr>
          <w:jc w:val="center"/>
        </w:trPr>
        <w:tc>
          <w:tcPr>
            <w:tcW w:w="2092" w:type="dxa"/>
            <w:shd w:val="clear" w:color="auto" w:fill="FFFFFF"/>
          </w:tcPr>
          <w:p w:rsidR="00000000" w:rsidRDefault="00000000">
            <w:pPr>
              <w:keepNext/>
              <w:keepLines/>
              <w:rPr>
                <w:lang w:val="es-ES_tradnl"/>
              </w:rPr>
            </w:pPr>
            <w:r>
              <w:rPr>
                <w:lang w:val="es-ES_tradnl"/>
              </w:rPr>
              <w:t>1990</w:t>
            </w:r>
          </w:p>
        </w:tc>
        <w:tc>
          <w:tcPr>
            <w:tcW w:w="1872" w:type="dxa"/>
            <w:shd w:val="clear" w:color="auto" w:fill="FFFFFF"/>
          </w:tcPr>
          <w:p w:rsidR="00000000" w:rsidRDefault="00000000">
            <w:pPr>
              <w:keepNext/>
              <w:keepLines/>
              <w:tabs>
                <w:tab w:val="decimal" w:pos="695"/>
              </w:tabs>
              <w:jc w:val="right"/>
              <w:rPr>
                <w:lang w:val="es-ES_tradnl"/>
              </w:rPr>
            </w:pPr>
            <w:r>
              <w:rPr>
                <w:lang w:val="es-ES_tradnl"/>
              </w:rPr>
              <w:t>6,1</w:t>
            </w:r>
          </w:p>
        </w:tc>
        <w:tc>
          <w:tcPr>
            <w:tcW w:w="1384" w:type="dxa"/>
            <w:shd w:val="clear" w:color="auto" w:fill="FFFFFF"/>
          </w:tcPr>
          <w:p w:rsidR="00000000" w:rsidRDefault="00000000">
            <w:pPr>
              <w:keepNext/>
              <w:keepLines/>
              <w:jc w:val="right"/>
            </w:pPr>
            <w:r>
              <w:rPr>
                <w:lang w:val="es-ES_tradnl"/>
              </w:rPr>
              <w:t>0</w:t>
            </w:r>
          </w:p>
        </w:tc>
      </w:tr>
      <w:tr w:rsidR="00000000">
        <w:tblPrEx>
          <w:tblCellMar>
            <w:top w:w="0" w:type="dxa"/>
            <w:bottom w:w="0" w:type="dxa"/>
          </w:tblCellMar>
        </w:tblPrEx>
        <w:trPr>
          <w:jc w:val="center"/>
        </w:trPr>
        <w:tc>
          <w:tcPr>
            <w:tcW w:w="2092" w:type="dxa"/>
            <w:shd w:val="clear" w:color="auto" w:fill="FFFFFF"/>
          </w:tcPr>
          <w:p w:rsidR="00000000" w:rsidRDefault="00000000">
            <w:pPr>
              <w:keepNext/>
              <w:keepLines/>
              <w:rPr>
                <w:lang w:val="es-ES_tradnl"/>
              </w:rPr>
            </w:pPr>
            <w:r>
              <w:rPr>
                <w:lang w:val="es-ES_tradnl"/>
              </w:rPr>
              <w:t>1995</w:t>
            </w:r>
          </w:p>
        </w:tc>
        <w:tc>
          <w:tcPr>
            <w:tcW w:w="1872" w:type="dxa"/>
            <w:shd w:val="clear" w:color="auto" w:fill="FFFFFF"/>
          </w:tcPr>
          <w:p w:rsidR="00000000" w:rsidRDefault="00000000">
            <w:pPr>
              <w:keepNext/>
              <w:keepLines/>
              <w:tabs>
                <w:tab w:val="decimal" w:pos="695"/>
              </w:tabs>
              <w:jc w:val="right"/>
              <w:rPr>
                <w:lang w:val="es-ES_tradnl"/>
              </w:rPr>
            </w:pPr>
            <w:r>
              <w:rPr>
                <w:lang w:val="es-ES_tradnl"/>
              </w:rPr>
              <w:t>6,9</w:t>
            </w:r>
          </w:p>
        </w:tc>
        <w:tc>
          <w:tcPr>
            <w:tcW w:w="1384" w:type="dxa"/>
            <w:shd w:val="clear" w:color="auto" w:fill="FFFFFF"/>
          </w:tcPr>
          <w:p w:rsidR="00000000" w:rsidRDefault="00000000">
            <w:pPr>
              <w:keepNext/>
              <w:keepLines/>
              <w:jc w:val="right"/>
            </w:pPr>
            <w:r>
              <w:rPr>
                <w:lang w:val="es-ES_tradnl"/>
              </w:rPr>
              <w:t>13</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1998</w:t>
            </w:r>
          </w:p>
        </w:tc>
        <w:tc>
          <w:tcPr>
            <w:tcW w:w="1872" w:type="dxa"/>
            <w:shd w:val="clear" w:color="auto" w:fill="FFFFFF"/>
          </w:tcPr>
          <w:p w:rsidR="00000000" w:rsidRDefault="00000000">
            <w:pPr>
              <w:tabs>
                <w:tab w:val="decimal" w:pos="695"/>
              </w:tabs>
              <w:jc w:val="right"/>
              <w:rPr>
                <w:szCs w:val="22"/>
                <w:lang w:val="es-ES_tradnl"/>
              </w:rPr>
            </w:pPr>
            <w:r>
              <w:rPr>
                <w:szCs w:val="22"/>
                <w:lang w:val="es-ES_tradnl"/>
              </w:rPr>
              <w:t>11,5</w:t>
            </w:r>
          </w:p>
        </w:tc>
        <w:tc>
          <w:tcPr>
            <w:tcW w:w="1384" w:type="dxa"/>
            <w:shd w:val="clear" w:color="auto" w:fill="FFFFFF"/>
          </w:tcPr>
          <w:p w:rsidR="00000000" w:rsidRDefault="00000000">
            <w:pPr>
              <w:jc w:val="right"/>
            </w:pPr>
            <w:r>
              <w:rPr>
                <w:szCs w:val="22"/>
                <w:lang w:val="es-ES_tradnl"/>
              </w:rPr>
              <w:t>66,67</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1999</w:t>
            </w:r>
          </w:p>
        </w:tc>
        <w:tc>
          <w:tcPr>
            <w:tcW w:w="1872" w:type="dxa"/>
            <w:shd w:val="clear" w:color="auto" w:fill="FFFFFF"/>
          </w:tcPr>
          <w:p w:rsidR="00000000" w:rsidRDefault="00000000">
            <w:pPr>
              <w:tabs>
                <w:tab w:val="decimal" w:pos="695"/>
              </w:tabs>
              <w:jc w:val="right"/>
              <w:rPr>
                <w:szCs w:val="22"/>
                <w:lang w:val="es-ES_tradnl"/>
              </w:rPr>
            </w:pPr>
            <w:r>
              <w:rPr>
                <w:szCs w:val="22"/>
                <w:lang w:val="es-ES_tradnl"/>
              </w:rPr>
              <w:t>14,4</w:t>
            </w:r>
          </w:p>
        </w:tc>
        <w:tc>
          <w:tcPr>
            <w:tcW w:w="1384" w:type="dxa"/>
            <w:shd w:val="clear" w:color="auto" w:fill="FFFFFF"/>
          </w:tcPr>
          <w:p w:rsidR="00000000" w:rsidRDefault="00000000">
            <w:pPr>
              <w:jc w:val="right"/>
            </w:pPr>
            <w:r>
              <w:rPr>
                <w:szCs w:val="22"/>
                <w:lang w:val="es-ES_tradnl"/>
              </w:rPr>
              <w:t>25,22</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2000</w:t>
            </w:r>
          </w:p>
        </w:tc>
        <w:tc>
          <w:tcPr>
            <w:tcW w:w="1872" w:type="dxa"/>
            <w:shd w:val="clear" w:color="auto" w:fill="FFFFFF"/>
          </w:tcPr>
          <w:p w:rsidR="00000000" w:rsidRDefault="00000000">
            <w:pPr>
              <w:tabs>
                <w:tab w:val="decimal" w:pos="695"/>
              </w:tabs>
              <w:jc w:val="right"/>
              <w:rPr>
                <w:szCs w:val="22"/>
                <w:lang w:val="es-ES_tradnl"/>
              </w:rPr>
            </w:pPr>
            <w:r>
              <w:rPr>
                <w:szCs w:val="22"/>
                <w:lang w:val="es-ES_tradnl"/>
              </w:rPr>
              <w:t>17</w:t>
            </w:r>
          </w:p>
        </w:tc>
        <w:tc>
          <w:tcPr>
            <w:tcW w:w="1384" w:type="dxa"/>
            <w:shd w:val="clear" w:color="auto" w:fill="FFFFFF"/>
          </w:tcPr>
          <w:p w:rsidR="00000000" w:rsidRDefault="00000000">
            <w:pPr>
              <w:jc w:val="right"/>
            </w:pPr>
            <w:r>
              <w:rPr>
                <w:szCs w:val="22"/>
                <w:lang w:val="es-ES_tradnl"/>
              </w:rPr>
              <w:t>18,06</w:t>
            </w:r>
          </w:p>
        </w:tc>
      </w:tr>
      <w:tr w:rsidR="00000000">
        <w:tblPrEx>
          <w:tblCellMar>
            <w:top w:w="0" w:type="dxa"/>
            <w:bottom w:w="0" w:type="dxa"/>
          </w:tblCellMar>
        </w:tblPrEx>
        <w:trPr>
          <w:jc w:val="center"/>
        </w:trPr>
        <w:tc>
          <w:tcPr>
            <w:tcW w:w="2092" w:type="dxa"/>
            <w:shd w:val="clear" w:color="auto" w:fill="FFFFFF"/>
          </w:tcPr>
          <w:p w:rsidR="00000000" w:rsidRDefault="00000000">
            <w:pPr>
              <w:rPr>
                <w:szCs w:val="22"/>
                <w:lang w:val="es-ES_tradnl"/>
              </w:rPr>
            </w:pPr>
            <w:r>
              <w:rPr>
                <w:szCs w:val="22"/>
                <w:lang w:val="es-ES_tradnl"/>
              </w:rPr>
              <w:t>2002</w:t>
            </w:r>
          </w:p>
        </w:tc>
        <w:tc>
          <w:tcPr>
            <w:tcW w:w="1872" w:type="dxa"/>
            <w:shd w:val="clear" w:color="auto" w:fill="FFFFFF"/>
          </w:tcPr>
          <w:p w:rsidR="00000000" w:rsidRDefault="00000000">
            <w:pPr>
              <w:tabs>
                <w:tab w:val="decimal" w:pos="695"/>
              </w:tabs>
              <w:jc w:val="right"/>
              <w:rPr>
                <w:szCs w:val="22"/>
                <w:lang w:val="es-ES_tradnl"/>
              </w:rPr>
            </w:pPr>
            <w:r>
              <w:rPr>
                <w:szCs w:val="22"/>
                <w:lang w:val="es-ES_tradnl"/>
              </w:rPr>
              <w:t>8,4</w:t>
            </w:r>
          </w:p>
        </w:tc>
        <w:tc>
          <w:tcPr>
            <w:tcW w:w="1384" w:type="dxa"/>
            <w:shd w:val="clear" w:color="auto" w:fill="FFFFFF"/>
          </w:tcPr>
          <w:p w:rsidR="00000000" w:rsidRDefault="00000000">
            <w:pPr>
              <w:jc w:val="right"/>
              <w:rPr>
                <w:szCs w:val="22"/>
                <w:lang w:val="es-ES_tradnl"/>
              </w:rPr>
            </w:pPr>
            <w:r>
              <w:rPr>
                <w:szCs w:val="22"/>
                <w:lang w:val="es-ES_tradnl"/>
              </w:rPr>
              <w:t>-50,59</w:t>
            </w:r>
          </w:p>
        </w:tc>
      </w:tr>
    </w:tbl>
    <w:p w:rsidR="00000000" w:rsidRDefault="00000000">
      <w:pPr>
        <w:spacing w:before="240" w:after="480"/>
        <w:ind w:left="1979"/>
      </w:pPr>
      <w:r>
        <w:rPr>
          <w:i/>
          <w:iCs/>
          <w:lang w:val="es-ES_tradnl"/>
        </w:rPr>
        <w:t>Fuente</w:t>
      </w:r>
      <w:r>
        <w:rPr>
          <w:lang w:val="es-ES_tradnl"/>
        </w:rPr>
        <w:t xml:space="preserve">:  INEC, Encuesta Urbana de Empleo, Subempleo </w:t>
      </w:r>
      <w:r>
        <w:rPr>
          <w:lang w:val="es-ES_tradnl"/>
        </w:rPr>
        <w:br/>
        <w:t>y Desempleo.</w:t>
      </w:r>
    </w:p>
    <w:p w:rsidR="00000000" w:rsidRDefault="00000000">
      <w:pPr>
        <w:spacing w:after="240"/>
      </w:pPr>
      <w:r>
        <w:rPr>
          <w:lang w:val="es-ES_tradnl"/>
        </w:rPr>
        <w:t>56.</w:t>
      </w:r>
      <w:r>
        <w:rPr>
          <w:lang w:val="es-ES_tradnl"/>
        </w:rPr>
        <w:tab/>
        <w:t>La mujer en el mercado laboral ecuatoriano con o sin carga familiar, perteneciente a hogares pobres, tiene más problemas para insertarse en el mercado laboral, en la medida que en ella coinciden los siguientes elementos:  deficiencias en la educación básica, deficiencias en habilidades laborales básicas, cargas domésticas y familiares.</w:t>
      </w:r>
    </w:p>
    <w:p w:rsidR="00000000" w:rsidRDefault="00000000">
      <w:pPr>
        <w:spacing w:after="240"/>
      </w:pPr>
      <w:r>
        <w:rPr>
          <w:lang w:val="es-ES_tradnl"/>
        </w:rPr>
        <w:t>57.</w:t>
      </w:r>
      <w:r>
        <w:rPr>
          <w:lang w:val="es-ES_tradnl"/>
        </w:rPr>
        <w:tab/>
        <w:t>Los grupos más afectados por el desempleo son los jóvenes de 15 a 24 años, en especial las mujeres.</w:t>
      </w:r>
    </w:p>
    <w:p w:rsidR="00000000" w:rsidRDefault="00000000">
      <w:pPr>
        <w:spacing w:after="240"/>
        <w:jc w:val="center"/>
        <w:rPr>
          <w:b/>
          <w:bCs/>
        </w:rPr>
      </w:pPr>
      <w:r>
        <w:rPr>
          <w:b/>
          <w:bCs/>
          <w:szCs w:val="22"/>
          <w:lang w:val="es-ES_tradnl"/>
        </w:rPr>
        <w:t>Desocupados por sexo y grupos de edad (1998)</w:t>
      </w:r>
    </w:p>
    <w:tbl>
      <w:tblPr>
        <w:tblW w:w="0" w:type="auto"/>
        <w:jc w:val="center"/>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7"/>
        <w:gridCol w:w="1794"/>
        <w:gridCol w:w="1746"/>
        <w:gridCol w:w="1603"/>
      </w:tblGrid>
      <w:tr w:rsidR="00000000">
        <w:tblPrEx>
          <w:tblCellMar>
            <w:top w:w="0" w:type="dxa"/>
            <w:bottom w:w="0" w:type="dxa"/>
          </w:tblCellMar>
        </w:tblPrEx>
        <w:trPr>
          <w:jc w:val="center"/>
        </w:trPr>
        <w:tc>
          <w:tcPr>
            <w:tcW w:w="2047" w:type="dxa"/>
            <w:shd w:val="clear" w:color="auto" w:fill="FFFFFF"/>
          </w:tcPr>
          <w:p w:rsidR="00000000" w:rsidRDefault="00000000">
            <w:pPr>
              <w:jc w:val="center"/>
              <w:rPr>
                <w:szCs w:val="22"/>
                <w:lang w:val="es-ES_tradnl"/>
              </w:rPr>
            </w:pPr>
            <w:r>
              <w:rPr>
                <w:szCs w:val="22"/>
                <w:lang w:val="es-ES_tradnl"/>
              </w:rPr>
              <w:t>Edades</w:t>
            </w:r>
          </w:p>
        </w:tc>
        <w:tc>
          <w:tcPr>
            <w:tcW w:w="1794" w:type="dxa"/>
            <w:shd w:val="clear" w:color="auto" w:fill="FFFFFF"/>
          </w:tcPr>
          <w:p w:rsidR="00000000" w:rsidRDefault="00000000">
            <w:pPr>
              <w:jc w:val="center"/>
              <w:rPr>
                <w:szCs w:val="22"/>
                <w:lang w:val="es-ES_tradnl"/>
              </w:rPr>
            </w:pPr>
            <w:r>
              <w:rPr>
                <w:szCs w:val="22"/>
                <w:lang w:val="es-ES_tradnl"/>
              </w:rPr>
              <w:t>Hombres</w:t>
            </w:r>
          </w:p>
        </w:tc>
        <w:tc>
          <w:tcPr>
            <w:tcW w:w="1746" w:type="dxa"/>
            <w:shd w:val="clear" w:color="auto" w:fill="FFFFFF"/>
          </w:tcPr>
          <w:p w:rsidR="00000000" w:rsidRDefault="00000000">
            <w:pPr>
              <w:jc w:val="center"/>
              <w:rPr>
                <w:szCs w:val="22"/>
                <w:lang w:val="es-ES_tradnl"/>
              </w:rPr>
            </w:pPr>
            <w:r>
              <w:rPr>
                <w:szCs w:val="22"/>
                <w:lang w:val="es-ES_tradnl"/>
              </w:rPr>
              <w:t>Mujeres</w:t>
            </w:r>
          </w:p>
        </w:tc>
        <w:tc>
          <w:tcPr>
            <w:tcW w:w="1603" w:type="dxa"/>
            <w:shd w:val="clear" w:color="auto" w:fill="FFFFFF"/>
          </w:tcPr>
          <w:p w:rsidR="00000000" w:rsidRDefault="00000000">
            <w:pPr>
              <w:jc w:val="center"/>
            </w:pPr>
            <w:r>
              <w:rPr>
                <w:szCs w:val="22"/>
                <w:lang w:val="es-ES_tradnl"/>
              </w:rPr>
              <w:t>Total</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10 a 11</w:t>
            </w:r>
          </w:p>
        </w:tc>
        <w:tc>
          <w:tcPr>
            <w:tcW w:w="1794" w:type="dxa"/>
            <w:shd w:val="clear" w:color="auto" w:fill="FFFFFF"/>
          </w:tcPr>
          <w:p w:rsidR="00000000" w:rsidRDefault="00000000">
            <w:pPr>
              <w:jc w:val="right"/>
              <w:rPr>
                <w:szCs w:val="22"/>
                <w:lang w:val="es-ES_tradnl"/>
              </w:rPr>
            </w:pPr>
            <w:r>
              <w:rPr>
                <w:szCs w:val="22"/>
                <w:lang w:val="es-ES_tradnl"/>
              </w:rPr>
              <w:t>151</w:t>
            </w:r>
          </w:p>
        </w:tc>
        <w:tc>
          <w:tcPr>
            <w:tcW w:w="1746" w:type="dxa"/>
            <w:shd w:val="clear" w:color="auto" w:fill="FFFFFF"/>
          </w:tcPr>
          <w:p w:rsidR="00000000" w:rsidRDefault="00000000">
            <w:pPr>
              <w:jc w:val="right"/>
              <w:rPr>
                <w:szCs w:val="22"/>
                <w:lang w:val="es-ES_tradnl"/>
              </w:rPr>
            </w:pPr>
            <w:r>
              <w:rPr>
                <w:szCs w:val="22"/>
                <w:lang w:val="es-ES_tradnl"/>
              </w:rPr>
              <w:t>428</w:t>
            </w:r>
          </w:p>
        </w:tc>
        <w:tc>
          <w:tcPr>
            <w:tcW w:w="1603" w:type="dxa"/>
            <w:shd w:val="clear" w:color="auto" w:fill="FFFFFF"/>
          </w:tcPr>
          <w:p w:rsidR="00000000" w:rsidRDefault="00000000">
            <w:pPr>
              <w:jc w:val="right"/>
            </w:pPr>
            <w:r>
              <w:rPr>
                <w:szCs w:val="22"/>
                <w:lang w:val="es-ES_tradnl"/>
              </w:rPr>
              <w:t>579</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12 a 14</w:t>
            </w:r>
          </w:p>
        </w:tc>
        <w:tc>
          <w:tcPr>
            <w:tcW w:w="1794" w:type="dxa"/>
            <w:shd w:val="clear" w:color="auto" w:fill="FFFFFF"/>
          </w:tcPr>
          <w:p w:rsidR="00000000" w:rsidRDefault="00000000">
            <w:pPr>
              <w:jc w:val="right"/>
              <w:rPr>
                <w:szCs w:val="22"/>
                <w:lang w:val="es-ES_tradnl"/>
              </w:rPr>
            </w:pPr>
            <w:r>
              <w:rPr>
                <w:szCs w:val="22"/>
                <w:lang w:val="es-ES_tradnl"/>
              </w:rPr>
              <w:t>3.476</w:t>
            </w:r>
          </w:p>
        </w:tc>
        <w:tc>
          <w:tcPr>
            <w:tcW w:w="1746" w:type="dxa"/>
            <w:shd w:val="clear" w:color="auto" w:fill="FFFFFF"/>
          </w:tcPr>
          <w:p w:rsidR="00000000" w:rsidRDefault="00000000">
            <w:pPr>
              <w:jc w:val="right"/>
              <w:rPr>
                <w:szCs w:val="22"/>
                <w:lang w:val="es-ES_tradnl"/>
              </w:rPr>
            </w:pPr>
            <w:r>
              <w:rPr>
                <w:szCs w:val="22"/>
                <w:lang w:val="es-ES_tradnl"/>
              </w:rPr>
              <w:t>3.953</w:t>
            </w:r>
          </w:p>
        </w:tc>
        <w:tc>
          <w:tcPr>
            <w:tcW w:w="1603" w:type="dxa"/>
            <w:shd w:val="clear" w:color="auto" w:fill="FFFFFF"/>
          </w:tcPr>
          <w:p w:rsidR="00000000" w:rsidRDefault="00000000">
            <w:pPr>
              <w:jc w:val="right"/>
            </w:pPr>
            <w:r>
              <w:rPr>
                <w:szCs w:val="22"/>
                <w:lang w:val="es-ES_tradnl"/>
              </w:rPr>
              <w:t>7.429</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15 a 24</w:t>
            </w:r>
          </w:p>
        </w:tc>
        <w:tc>
          <w:tcPr>
            <w:tcW w:w="1794" w:type="dxa"/>
            <w:shd w:val="clear" w:color="auto" w:fill="FFFFFF"/>
          </w:tcPr>
          <w:p w:rsidR="00000000" w:rsidRDefault="00000000">
            <w:pPr>
              <w:jc w:val="right"/>
              <w:rPr>
                <w:szCs w:val="22"/>
                <w:lang w:val="es-ES_tradnl"/>
              </w:rPr>
            </w:pPr>
            <w:r>
              <w:rPr>
                <w:szCs w:val="22"/>
                <w:lang w:val="es-ES_tradnl"/>
              </w:rPr>
              <w:t>86.188</w:t>
            </w:r>
          </w:p>
        </w:tc>
        <w:tc>
          <w:tcPr>
            <w:tcW w:w="1746" w:type="dxa"/>
            <w:shd w:val="clear" w:color="auto" w:fill="FFFFFF"/>
          </w:tcPr>
          <w:p w:rsidR="00000000" w:rsidRDefault="00000000">
            <w:pPr>
              <w:jc w:val="right"/>
              <w:rPr>
                <w:szCs w:val="22"/>
                <w:lang w:val="es-ES_tradnl"/>
              </w:rPr>
            </w:pPr>
            <w:r>
              <w:rPr>
                <w:szCs w:val="22"/>
                <w:lang w:val="es-ES_tradnl"/>
              </w:rPr>
              <w:t>110.926</w:t>
            </w:r>
          </w:p>
        </w:tc>
        <w:tc>
          <w:tcPr>
            <w:tcW w:w="1603" w:type="dxa"/>
            <w:shd w:val="clear" w:color="auto" w:fill="FFFFFF"/>
          </w:tcPr>
          <w:p w:rsidR="00000000" w:rsidRDefault="00000000">
            <w:pPr>
              <w:jc w:val="right"/>
            </w:pPr>
            <w:r>
              <w:rPr>
                <w:szCs w:val="22"/>
                <w:lang w:val="es-ES_tradnl"/>
              </w:rPr>
              <w:t>197.114</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25 a 54</w:t>
            </w:r>
          </w:p>
        </w:tc>
        <w:tc>
          <w:tcPr>
            <w:tcW w:w="1794" w:type="dxa"/>
            <w:shd w:val="clear" w:color="auto" w:fill="FFFFFF"/>
          </w:tcPr>
          <w:p w:rsidR="00000000" w:rsidRDefault="00000000">
            <w:pPr>
              <w:jc w:val="right"/>
              <w:rPr>
                <w:szCs w:val="22"/>
                <w:lang w:val="es-ES_tradnl"/>
              </w:rPr>
            </w:pPr>
            <w:r>
              <w:rPr>
                <w:szCs w:val="22"/>
                <w:lang w:val="es-ES_tradnl"/>
              </w:rPr>
              <w:t>71.878</w:t>
            </w:r>
          </w:p>
        </w:tc>
        <w:tc>
          <w:tcPr>
            <w:tcW w:w="1746" w:type="dxa"/>
            <w:shd w:val="clear" w:color="auto" w:fill="FFFFFF"/>
          </w:tcPr>
          <w:p w:rsidR="00000000" w:rsidRDefault="00000000">
            <w:pPr>
              <w:jc w:val="right"/>
              <w:rPr>
                <w:szCs w:val="22"/>
                <w:lang w:val="es-ES_tradnl"/>
              </w:rPr>
            </w:pPr>
            <w:r>
              <w:rPr>
                <w:szCs w:val="22"/>
                <w:lang w:val="es-ES_tradnl"/>
              </w:rPr>
              <w:t>113.053</w:t>
            </w:r>
          </w:p>
        </w:tc>
        <w:tc>
          <w:tcPr>
            <w:tcW w:w="1603" w:type="dxa"/>
            <w:shd w:val="clear" w:color="auto" w:fill="FFFFFF"/>
          </w:tcPr>
          <w:p w:rsidR="00000000" w:rsidRDefault="00000000">
            <w:pPr>
              <w:jc w:val="right"/>
            </w:pPr>
            <w:r>
              <w:rPr>
                <w:szCs w:val="22"/>
                <w:lang w:val="es-ES_tradnl"/>
              </w:rPr>
              <w:t>184.931</w:t>
            </w:r>
          </w:p>
        </w:tc>
      </w:tr>
      <w:tr w:rsidR="00000000">
        <w:tblPrEx>
          <w:tblCellMar>
            <w:top w:w="0" w:type="dxa"/>
            <w:bottom w:w="0" w:type="dxa"/>
          </w:tblCellMar>
        </w:tblPrEx>
        <w:trPr>
          <w:jc w:val="center"/>
        </w:trPr>
        <w:tc>
          <w:tcPr>
            <w:tcW w:w="2047" w:type="dxa"/>
            <w:shd w:val="clear" w:color="auto" w:fill="FFFFFF"/>
            <w:tcMar>
              <w:left w:w="0" w:type="dxa"/>
              <w:right w:w="0" w:type="dxa"/>
            </w:tcMar>
          </w:tcPr>
          <w:p w:rsidR="00000000" w:rsidRDefault="00000000">
            <w:pPr>
              <w:rPr>
                <w:szCs w:val="22"/>
                <w:lang w:val="es-ES_tradnl"/>
              </w:rPr>
            </w:pPr>
            <w:r>
              <w:rPr>
                <w:szCs w:val="22"/>
                <w:lang w:val="es-ES_tradnl"/>
              </w:rPr>
              <w:t>55 y más</w:t>
            </w:r>
          </w:p>
        </w:tc>
        <w:tc>
          <w:tcPr>
            <w:tcW w:w="1794" w:type="dxa"/>
            <w:shd w:val="clear" w:color="auto" w:fill="FFFFFF"/>
          </w:tcPr>
          <w:p w:rsidR="00000000" w:rsidRDefault="00000000">
            <w:pPr>
              <w:jc w:val="right"/>
              <w:rPr>
                <w:szCs w:val="22"/>
                <w:lang w:val="es-ES_tradnl"/>
              </w:rPr>
            </w:pPr>
            <w:r>
              <w:rPr>
                <w:szCs w:val="22"/>
                <w:lang w:val="es-ES_tradnl"/>
              </w:rPr>
              <w:t>13.775</w:t>
            </w:r>
          </w:p>
        </w:tc>
        <w:tc>
          <w:tcPr>
            <w:tcW w:w="1746" w:type="dxa"/>
            <w:shd w:val="clear" w:color="auto" w:fill="FFFFFF"/>
          </w:tcPr>
          <w:p w:rsidR="00000000" w:rsidRDefault="00000000">
            <w:pPr>
              <w:jc w:val="right"/>
              <w:rPr>
                <w:szCs w:val="22"/>
                <w:lang w:val="es-ES_tradnl"/>
              </w:rPr>
            </w:pPr>
            <w:r>
              <w:rPr>
                <w:szCs w:val="22"/>
                <w:lang w:val="es-ES_tradnl"/>
              </w:rPr>
              <w:t>5.453</w:t>
            </w:r>
          </w:p>
        </w:tc>
        <w:tc>
          <w:tcPr>
            <w:tcW w:w="1603" w:type="dxa"/>
            <w:shd w:val="clear" w:color="auto" w:fill="FFFFFF"/>
          </w:tcPr>
          <w:p w:rsidR="00000000" w:rsidRDefault="00000000">
            <w:pPr>
              <w:jc w:val="right"/>
            </w:pPr>
            <w:r>
              <w:rPr>
                <w:szCs w:val="22"/>
                <w:lang w:val="es-ES_tradnl"/>
              </w:rPr>
              <w:t xml:space="preserve">19.228 </w:t>
            </w:r>
          </w:p>
        </w:tc>
      </w:tr>
    </w:tbl>
    <w:p w:rsidR="00000000" w:rsidRDefault="00000000">
      <w:pPr>
        <w:spacing w:before="240" w:after="480"/>
        <w:ind w:left="1080"/>
      </w:pPr>
      <w:r>
        <w:rPr>
          <w:i/>
          <w:iCs/>
          <w:lang w:val="es-ES_tradnl"/>
        </w:rPr>
        <w:t>Fuente</w:t>
      </w:r>
      <w:r>
        <w:rPr>
          <w:lang w:val="es-ES_tradnl"/>
        </w:rPr>
        <w:t>:  INEC, Encuesta Urbana de Empleo, Subempleo y Desempleo.</w:t>
      </w:r>
    </w:p>
    <w:p w:rsidR="00000000" w:rsidRDefault="00000000">
      <w:pPr>
        <w:spacing w:after="240"/>
      </w:pPr>
      <w:r>
        <w:rPr>
          <w:lang w:val="es-ES_tradnl"/>
        </w:rPr>
        <w:t>58.</w:t>
      </w:r>
      <w:r>
        <w:rPr>
          <w:lang w:val="es-ES_tradnl"/>
        </w:rPr>
        <w:tab/>
        <w:t>El desempleo por regiones se ha incrementado en todo el país, pero en la Costa ha sido mayor que en las otras regiones debido fundamentalmente a los daños ocasionados por el fenómeno de El Niño.  La tasa de desocupación pasó de 7,1% en 1995 a 15,8% en 1999, teniendo un aumento relativo entre 1995 y 1999 de 123%.</w:t>
      </w:r>
    </w:p>
    <w:p w:rsidR="00000000" w:rsidRDefault="00000000">
      <w:pPr>
        <w:spacing w:after="240"/>
        <w:jc w:val="center"/>
        <w:rPr>
          <w:b/>
          <w:bCs/>
        </w:rPr>
      </w:pPr>
      <w:r>
        <w:rPr>
          <w:b/>
          <w:bCs/>
          <w:szCs w:val="22"/>
          <w:lang w:val="es-ES_tradnl"/>
        </w:rPr>
        <w:t>Evolución de las tasas de desempleo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933"/>
        <w:gridCol w:w="936"/>
        <w:gridCol w:w="974"/>
        <w:gridCol w:w="1170"/>
        <w:gridCol w:w="1246"/>
        <w:gridCol w:w="1098"/>
        <w:gridCol w:w="1153"/>
      </w:tblGrid>
      <w:tr w:rsidR="00000000">
        <w:tblPrEx>
          <w:tblCellMar>
            <w:top w:w="0" w:type="dxa"/>
            <w:bottom w:w="0" w:type="dxa"/>
          </w:tblCellMar>
        </w:tblPrEx>
        <w:trPr>
          <w:cantSplit/>
          <w:jc w:val="center"/>
        </w:trPr>
        <w:tc>
          <w:tcPr>
            <w:tcW w:w="1045" w:type="pct"/>
            <w:vMerge w:val="restart"/>
            <w:shd w:val="clear" w:color="auto" w:fill="FFFFFF"/>
            <w:vAlign w:val="center"/>
          </w:tcPr>
          <w:p w:rsidR="00000000" w:rsidRDefault="00000000">
            <w:pPr>
              <w:jc w:val="center"/>
              <w:rPr>
                <w:szCs w:val="22"/>
                <w:lang w:val="es-ES_tradnl"/>
              </w:rPr>
            </w:pPr>
            <w:r>
              <w:rPr>
                <w:szCs w:val="22"/>
                <w:lang w:val="es-ES_tradnl"/>
              </w:rPr>
              <w:t>Regiones</w:t>
            </w:r>
          </w:p>
        </w:tc>
        <w:tc>
          <w:tcPr>
            <w:tcW w:w="491" w:type="pct"/>
            <w:vMerge w:val="restart"/>
            <w:shd w:val="clear" w:color="auto" w:fill="FFFFFF"/>
            <w:vAlign w:val="center"/>
          </w:tcPr>
          <w:p w:rsidR="00000000" w:rsidRDefault="00000000">
            <w:pPr>
              <w:jc w:val="center"/>
              <w:rPr>
                <w:szCs w:val="22"/>
                <w:lang w:val="es-ES_tradnl"/>
              </w:rPr>
            </w:pPr>
            <w:r>
              <w:rPr>
                <w:szCs w:val="22"/>
                <w:lang w:val="es-ES_tradnl"/>
              </w:rPr>
              <w:t>1995</w:t>
            </w:r>
          </w:p>
        </w:tc>
        <w:tc>
          <w:tcPr>
            <w:tcW w:w="493" w:type="pct"/>
            <w:vMerge w:val="restart"/>
            <w:shd w:val="clear" w:color="auto" w:fill="FFFFFF"/>
            <w:vAlign w:val="center"/>
          </w:tcPr>
          <w:p w:rsidR="00000000" w:rsidRDefault="00000000">
            <w:pPr>
              <w:jc w:val="center"/>
            </w:pPr>
            <w:r>
              <w:t>1998</w:t>
            </w:r>
          </w:p>
        </w:tc>
        <w:tc>
          <w:tcPr>
            <w:tcW w:w="513" w:type="pct"/>
            <w:vMerge w:val="restart"/>
            <w:shd w:val="clear" w:color="auto" w:fill="FFFFFF"/>
            <w:vAlign w:val="center"/>
          </w:tcPr>
          <w:p w:rsidR="00000000" w:rsidRDefault="00000000">
            <w:pPr>
              <w:jc w:val="center"/>
            </w:pPr>
            <w:r>
              <w:t>1999</w:t>
            </w:r>
          </w:p>
        </w:tc>
        <w:tc>
          <w:tcPr>
            <w:tcW w:w="1272" w:type="pct"/>
            <w:gridSpan w:val="2"/>
            <w:shd w:val="clear" w:color="auto" w:fill="FFFFFF"/>
            <w:vAlign w:val="center"/>
          </w:tcPr>
          <w:p w:rsidR="00000000" w:rsidRDefault="00000000">
            <w:pPr>
              <w:jc w:val="center"/>
            </w:pPr>
            <w:r>
              <w:rPr>
                <w:szCs w:val="22"/>
                <w:lang w:val="es-ES_tradnl"/>
              </w:rPr>
              <w:t>Variación 98/95</w:t>
            </w:r>
          </w:p>
        </w:tc>
        <w:tc>
          <w:tcPr>
            <w:tcW w:w="1185" w:type="pct"/>
            <w:gridSpan w:val="2"/>
            <w:shd w:val="clear" w:color="auto" w:fill="FFFFFF"/>
            <w:vAlign w:val="center"/>
          </w:tcPr>
          <w:p w:rsidR="00000000" w:rsidRDefault="00000000">
            <w:pPr>
              <w:jc w:val="center"/>
            </w:pPr>
            <w:r>
              <w:t>Variación 99/95</w:t>
            </w:r>
          </w:p>
        </w:tc>
      </w:tr>
      <w:tr w:rsidR="00000000">
        <w:tblPrEx>
          <w:tblCellMar>
            <w:top w:w="0" w:type="dxa"/>
            <w:bottom w:w="0" w:type="dxa"/>
          </w:tblCellMar>
        </w:tblPrEx>
        <w:trPr>
          <w:cantSplit/>
          <w:jc w:val="center"/>
        </w:trPr>
        <w:tc>
          <w:tcPr>
            <w:tcW w:w="1045" w:type="pct"/>
            <w:vMerge/>
            <w:shd w:val="clear" w:color="auto" w:fill="FFFFFF"/>
            <w:vAlign w:val="center"/>
          </w:tcPr>
          <w:p w:rsidR="00000000" w:rsidRDefault="00000000">
            <w:pPr>
              <w:jc w:val="center"/>
              <w:rPr>
                <w:szCs w:val="22"/>
                <w:lang w:val="es-ES_tradnl"/>
              </w:rPr>
            </w:pPr>
          </w:p>
        </w:tc>
        <w:tc>
          <w:tcPr>
            <w:tcW w:w="491" w:type="pct"/>
            <w:vMerge/>
            <w:shd w:val="clear" w:color="auto" w:fill="FFFFFF"/>
            <w:vAlign w:val="center"/>
          </w:tcPr>
          <w:p w:rsidR="00000000" w:rsidRDefault="00000000">
            <w:pPr>
              <w:jc w:val="center"/>
              <w:rPr>
                <w:szCs w:val="22"/>
                <w:lang w:val="es-ES_tradnl"/>
              </w:rPr>
            </w:pPr>
          </w:p>
        </w:tc>
        <w:tc>
          <w:tcPr>
            <w:tcW w:w="493" w:type="pct"/>
            <w:vMerge/>
            <w:shd w:val="clear" w:color="auto" w:fill="FFFFFF"/>
            <w:vAlign w:val="center"/>
          </w:tcPr>
          <w:p w:rsidR="00000000" w:rsidRDefault="00000000">
            <w:pPr>
              <w:jc w:val="center"/>
              <w:rPr>
                <w:szCs w:val="22"/>
                <w:lang w:val="es-ES_tradnl"/>
              </w:rPr>
            </w:pPr>
          </w:p>
        </w:tc>
        <w:tc>
          <w:tcPr>
            <w:tcW w:w="513" w:type="pct"/>
            <w:vMerge/>
            <w:shd w:val="clear" w:color="auto" w:fill="FFFFFF"/>
            <w:vAlign w:val="center"/>
          </w:tcPr>
          <w:p w:rsidR="00000000" w:rsidRDefault="00000000">
            <w:pPr>
              <w:jc w:val="center"/>
              <w:rPr>
                <w:szCs w:val="22"/>
                <w:lang w:val="es-ES_tradnl"/>
              </w:rPr>
            </w:pPr>
          </w:p>
        </w:tc>
        <w:tc>
          <w:tcPr>
            <w:tcW w:w="616" w:type="pct"/>
            <w:shd w:val="clear" w:color="auto" w:fill="FFFFFF"/>
            <w:vAlign w:val="center"/>
          </w:tcPr>
          <w:p w:rsidR="00000000" w:rsidRDefault="00000000">
            <w:pPr>
              <w:jc w:val="center"/>
              <w:rPr>
                <w:szCs w:val="22"/>
                <w:lang w:val="es-ES_tradnl"/>
              </w:rPr>
            </w:pPr>
            <w:r>
              <w:rPr>
                <w:szCs w:val="22"/>
                <w:lang w:val="es-ES_tradnl"/>
              </w:rPr>
              <w:t>Absoluta</w:t>
            </w:r>
          </w:p>
        </w:tc>
        <w:tc>
          <w:tcPr>
            <w:tcW w:w="656" w:type="pct"/>
            <w:shd w:val="clear" w:color="auto" w:fill="FFFFFF"/>
            <w:vAlign w:val="center"/>
          </w:tcPr>
          <w:p w:rsidR="00000000" w:rsidRDefault="00000000">
            <w:pPr>
              <w:jc w:val="center"/>
              <w:rPr>
                <w:szCs w:val="22"/>
                <w:lang w:val="es-ES_tradnl"/>
              </w:rPr>
            </w:pPr>
            <w:r>
              <w:rPr>
                <w:szCs w:val="22"/>
                <w:lang w:val="es-ES_tradnl"/>
              </w:rPr>
              <w:t>Porcentaje</w:t>
            </w:r>
          </w:p>
        </w:tc>
        <w:tc>
          <w:tcPr>
            <w:tcW w:w="578" w:type="pct"/>
            <w:shd w:val="clear" w:color="auto" w:fill="FFFFFF"/>
            <w:vAlign w:val="center"/>
          </w:tcPr>
          <w:p w:rsidR="00000000" w:rsidRDefault="00000000">
            <w:pPr>
              <w:jc w:val="center"/>
              <w:rPr>
                <w:szCs w:val="22"/>
                <w:lang w:val="es-ES_tradnl"/>
              </w:rPr>
            </w:pPr>
            <w:r>
              <w:rPr>
                <w:szCs w:val="22"/>
                <w:lang w:val="es-ES_tradnl"/>
              </w:rPr>
              <w:t>Absoluta</w:t>
            </w:r>
          </w:p>
        </w:tc>
        <w:tc>
          <w:tcPr>
            <w:tcW w:w="607" w:type="pct"/>
            <w:shd w:val="clear" w:color="auto" w:fill="FFFFFF"/>
            <w:vAlign w:val="center"/>
          </w:tcPr>
          <w:p w:rsidR="00000000" w:rsidRDefault="00000000">
            <w:pPr>
              <w:jc w:val="center"/>
              <w:rPr>
                <w:szCs w:val="22"/>
                <w:lang w:val="es-ES_tradnl"/>
              </w:rPr>
            </w:pPr>
            <w:r>
              <w:rPr>
                <w:szCs w:val="22"/>
                <w:lang w:val="es-ES_tradnl"/>
              </w:rPr>
              <w:t>Porcentaje</w:t>
            </w:r>
          </w:p>
        </w:tc>
      </w:tr>
      <w:tr w:rsidR="00000000">
        <w:tblPrEx>
          <w:tblCellMar>
            <w:top w:w="0" w:type="dxa"/>
            <w:bottom w:w="0" w:type="dxa"/>
          </w:tblCellMar>
        </w:tblPrEx>
        <w:trPr>
          <w:jc w:val="center"/>
        </w:trPr>
        <w:tc>
          <w:tcPr>
            <w:tcW w:w="1045" w:type="pct"/>
            <w:shd w:val="clear" w:color="auto" w:fill="FFFFFF"/>
          </w:tcPr>
          <w:p w:rsidR="00000000" w:rsidRDefault="00000000">
            <w:pPr>
              <w:rPr>
                <w:szCs w:val="22"/>
                <w:lang w:val="es-ES_tradnl"/>
              </w:rPr>
            </w:pPr>
            <w:r>
              <w:rPr>
                <w:szCs w:val="22"/>
                <w:lang w:val="es-ES_tradnl"/>
              </w:rPr>
              <w:t>Sierra</w:t>
            </w:r>
          </w:p>
        </w:tc>
        <w:tc>
          <w:tcPr>
            <w:tcW w:w="491" w:type="pct"/>
            <w:shd w:val="clear" w:color="auto" w:fill="FFFFFF"/>
          </w:tcPr>
          <w:p w:rsidR="00000000" w:rsidRDefault="00000000">
            <w:pPr>
              <w:jc w:val="right"/>
              <w:rPr>
                <w:szCs w:val="22"/>
                <w:lang w:val="es-ES_tradnl"/>
              </w:rPr>
            </w:pPr>
            <w:r>
              <w:rPr>
                <w:szCs w:val="22"/>
                <w:lang w:val="es-ES_tradnl"/>
              </w:rPr>
              <w:t>6,5</w:t>
            </w:r>
          </w:p>
        </w:tc>
        <w:tc>
          <w:tcPr>
            <w:tcW w:w="493" w:type="pct"/>
            <w:shd w:val="clear" w:color="auto" w:fill="FFFFFF"/>
          </w:tcPr>
          <w:p w:rsidR="00000000" w:rsidRDefault="00000000">
            <w:pPr>
              <w:tabs>
                <w:tab w:val="decimal" w:pos="322"/>
              </w:tabs>
              <w:jc w:val="right"/>
              <w:rPr>
                <w:szCs w:val="22"/>
                <w:lang w:val="es-ES_tradnl"/>
              </w:rPr>
            </w:pPr>
            <w:r>
              <w:rPr>
                <w:szCs w:val="22"/>
                <w:lang w:val="es-ES_tradnl"/>
              </w:rPr>
              <w:t>9,6</w:t>
            </w:r>
          </w:p>
        </w:tc>
        <w:tc>
          <w:tcPr>
            <w:tcW w:w="513" w:type="pct"/>
            <w:shd w:val="clear" w:color="auto" w:fill="FFFFFF"/>
          </w:tcPr>
          <w:p w:rsidR="00000000" w:rsidRDefault="00000000">
            <w:pPr>
              <w:jc w:val="right"/>
              <w:rPr>
                <w:szCs w:val="22"/>
                <w:lang w:val="es-ES_tradnl"/>
              </w:rPr>
            </w:pPr>
            <w:r>
              <w:rPr>
                <w:szCs w:val="22"/>
                <w:lang w:val="es-ES_tradnl"/>
              </w:rPr>
              <w:t>12,7</w:t>
            </w:r>
          </w:p>
        </w:tc>
        <w:tc>
          <w:tcPr>
            <w:tcW w:w="616" w:type="pct"/>
            <w:shd w:val="clear" w:color="auto" w:fill="FFFFFF"/>
          </w:tcPr>
          <w:p w:rsidR="00000000" w:rsidRDefault="00000000">
            <w:pPr>
              <w:jc w:val="right"/>
            </w:pPr>
            <w:r>
              <w:t>3,1</w:t>
            </w:r>
          </w:p>
        </w:tc>
        <w:tc>
          <w:tcPr>
            <w:tcW w:w="656" w:type="pct"/>
            <w:shd w:val="clear" w:color="auto" w:fill="FFFFFF"/>
          </w:tcPr>
          <w:p w:rsidR="00000000" w:rsidRDefault="00000000">
            <w:pPr>
              <w:jc w:val="right"/>
              <w:rPr>
                <w:szCs w:val="22"/>
                <w:lang w:val="es-ES_tradnl"/>
              </w:rPr>
            </w:pPr>
            <w:r>
              <w:rPr>
                <w:szCs w:val="22"/>
                <w:lang w:val="es-ES_tradnl"/>
              </w:rPr>
              <w:t>48</w:t>
            </w:r>
          </w:p>
        </w:tc>
        <w:tc>
          <w:tcPr>
            <w:tcW w:w="578" w:type="pct"/>
            <w:shd w:val="clear" w:color="auto" w:fill="FFFFFF"/>
          </w:tcPr>
          <w:p w:rsidR="00000000" w:rsidRDefault="00000000">
            <w:pPr>
              <w:jc w:val="right"/>
              <w:rPr>
                <w:szCs w:val="22"/>
                <w:lang w:val="es-ES_tradnl"/>
              </w:rPr>
            </w:pPr>
            <w:r>
              <w:rPr>
                <w:szCs w:val="22"/>
                <w:lang w:val="es-ES_tradnl"/>
              </w:rPr>
              <w:t>6,2</w:t>
            </w:r>
          </w:p>
        </w:tc>
        <w:tc>
          <w:tcPr>
            <w:tcW w:w="607" w:type="pct"/>
            <w:shd w:val="clear" w:color="auto" w:fill="FFFFFF"/>
          </w:tcPr>
          <w:p w:rsidR="00000000" w:rsidRDefault="00000000">
            <w:pPr>
              <w:jc w:val="right"/>
              <w:rPr>
                <w:szCs w:val="22"/>
                <w:lang w:val="es-ES_tradnl"/>
              </w:rPr>
            </w:pPr>
            <w:r>
              <w:rPr>
                <w:szCs w:val="22"/>
                <w:lang w:val="es-ES_tradnl"/>
              </w:rPr>
              <w:t>95</w:t>
            </w:r>
          </w:p>
        </w:tc>
      </w:tr>
      <w:tr w:rsidR="00000000">
        <w:tblPrEx>
          <w:tblCellMar>
            <w:top w:w="0" w:type="dxa"/>
            <w:bottom w:w="0" w:type="dxa"/>
          </w:tblCellMar>
        </w:tblPrEx>
        <w:trPr>
          <w:jc w:val="center"/>
        </w:trPr>
        <w:tc>
          <w:tcPr>
            <w:tcW w:w="1045" w:type="pct"/>
            <w:shd w:val="clear" w:color="auto" w:fill="FFFFFF"/>
          </w:tcPr>
          <w:p w:rsidR="00000000" w:rsidRDefault="00000000">
            <w:pPr>
              <w:rPr>
                <w:szCs w:val="22"/>
                <w:lang w:val="es-ES_tradnl"/>
              </w:rPr>
            </w:pPr>
            <w:r>
              <w:rPr>
                <w:szCs w:val="22"/>
                <w:lang w:val="es-ES_tradnl"/>
              </w:rPr>
              <w:t>Costa</w:t>
            </w:r>
          </w:p>
        </w:tc>
        <w:tc>
          <w:tcPr>
            <w:tcW w:w="491" w:type="pct"/>
            <w:shd w:val="clear" w:color="auto" w:fill="FFFFFF"/>
          </w:tcPr>
          <w:p w:rsidR="00000000" w:rsidRDefault="00000000">
            <w:pPr>
              <w:jc w:val="right"/>
              <w:rPr>
                <w:szCs w:val="22"/>
                <w:lang w:val="es-ES_tradnl"/>
              </w:rPr>
            </w:pPr>
            <w:r>
              <w:rPr>
                <w:szCs w:val="22"/>
                <w:lang w:val="es-ES_tradnl"/>
              </w:rPr>
              <w:t>7,1</w:t>
            </w:r>
          </w:p>
        </w:tc>
        <w:tc>
          <w:tcPr>
            <w:tcW w:w="493" w:type="pct"/>
            <w:shd w:val="clear" w:color="auto" w:fill="FFFFFF"/>
          </w:tcPr>
          <w:p w:rsidR="00000000" w:rsidRDefault="00000000">
            <w:pPr>
              <w:tabs>
                <w:tab w:val="decimal" w:pos="322"/>
              </w:tabs>
              <w:jc w:val="right"/>
              <w:rPr>
                <w:szCs w:val="22"/>
                <w:lang w:val="es-ES_tradnl"/>
              </w:rPr>
            </w:pPr>
            <w:r>
              <w:rPr>
                <w:szCs w:val="22"/>
                <w:lang w:val="es-ES_tradnl"/>
              </w:rPr>
              <w:t>12,8</w:t>
            </w:r>
          </w:p>
        </w:tc>
        <w:tc>
          <w:tcPr>
            <w:tcW w:w="513" w:type="pct"/>
            <w:shd w:val="clear" w:color="auto" w:fill="FFFFFF"/>
          </w:tcPr>
          <w:p w:rsidR="00000000" w:rsidRDefault="00000000">
            <w:pPr>
              <w:jc w:val="right"/>
              <w:rPr>
                <w:szCs w:val="22"/>
                <w:lang w:val="es-ES_tradnl"/>
              </w:rPr>
            </w:pPr>
            <w:r>
              <w:rPr>
                <w:szCs w:val="22"/>
                <w:lang w:val="es-ES_tradnl"/>
              </w:rPr>
              <w:t>15,8</w:t>
            </w:r>
          </w:p>
        </w:tc>
        <w:tc>
          <w:tcPr>
            <w:tcW w:w="616" w:type="pct"/>
            <w:shd w:val="clear" w:color="auto" w:fill="FFFFFF"/>
          </w:tcPr>
          <w:p w:rsidR="00000000" w:rsidRDefault="00000000">
            <w:pPr>
              <w:jc w:val="right"/>
            </w:pPr>
            <w:r>
              <w:t>5,7</w:t>
            </w:r>
          </w:p>
        </w:tc>
        <w:tc>
          <w:tcPr>
            <w:tcW w:w="656" w:type="pct"/>
            <w:shd w:val="clear" w:color="auto" w:fill="FFFFFF"/>
          </w:tcPr>
          <w:p w:rsidR="00000000" w:rsidRDefault="00000000">
            <w:pPr>
              <w:jc w:val="right"/>
              <w:rPr>
                <w:szCs w:val="22"/>
                <w:lang w:val="es-ES_tradnl"/>
              </w:rPr>
            </w:pPr>
            <w:r>
              <w:rPr>
                <w:szCs w:val="22"/>
                <w:lang w:val="es-ES_tradnl"/>
              </w:rPr>
              <w:t>80</w:t>
            </w:r>
          </w:p>
        </w:tc>
        <w:tc>
          <w:tcPr>
            <w:tcW w:w="578" w:type="pct"/>
            <w:shd w:val="clear" w:color="auto" w:fill="FFFFFF"/>
          </w:tcPr>
          <w:p w:rsidR="00000000" w:rsidRDefault="00000000">
            <w:pPr>
              <w:jc w:val="right"/>
              <w:rPr>
                <w:szCs w:val="22"/>
                <w:lang w:val="es-ES_tradnl"/>
              </w:rPr>
            </w:pPr>
            <w:r>
              <w:rPr>
                <w:szCs w:val="22"/>
                <w:lang w:val="es-ES_tradnl"/>
              </w:rPr>
              <w:t>8,7</w:t>
            </w:r>
          </w:p>
        </w:tc>
        <w:tc>
          <w:tcPr>
            <w:tcW w:w="607" w:type="pct"/>
            <w:shd w:val="clear" w:color="auto" w:fill="FFFFFF"/>
          </w:tcPr>
          <w:p w:rsidR="00000000" w:rsidRDefault="00000000">
            <w:pPr>
              <w:jc w:val="right"/>
              <w:rPr>
                <w:szCs w:val="22"/>
                <w:lang w:val="es-ES_tradnl"/>
              </w:rPr>
            </w:pPr>
            <w:r>
              <w:rPr>
                <w:szCs w:val="22"/>
                <w:lang w:val="es-ES_tradnl"/>
              </w:rPr>
              <w:t>123</w:t>
            </w:r>
          </w:p>
        </w:tc>
      </w:tr>
      <w:tr w:rsidR="00000000">
        <w:tblPrEx>
          <w:tblCellMar>
            <w:top w:w="0" w:type="dxa"/>
            <w:bottom w:w="0" w:type="dxa"/>
          </w:tblCellMar>
        </w:tblPrEx>
        <w:trPr>
          <w:jc w:val="center"/>
        </w:trPr>
        <w:tc>
          <w:tcPr>
            <w:tcW w:w="1045" w:type="pct"/>
            <w:shd w:val="clear" w:color="auto" w:fill="FFFFFF"/>
          </w:tcPr>
          <w:p w:rsidR="00000000" w:rsidRDefault="00000000">
            <w:pPr>
              <w:rPr>
                <w:szCs w:val="22"/>
                <w:lang w:val="es-ES_tradnl"/>
              </w:rPr>
            </w:pPr>
            <w:r>
              <w:rPr>
                <w:szCs w:val="22"/>
                <w:lang w:val="es-ES_tradnl"/>
              </w:rPr>
              <w:t>Amazonía</w:t>
            </w:r>
          </w:p>
        </w:tc>
        <w:tc>
          <w:tcPr>
            <w:tcW w:w="491" w:type="pct"/>
            <w:shd w:val="clear" w:color="auto" w:fill="FFFFFF"/>
          </w:tcPr>
          <w:p w:rsidR="00000000" w:rsidRDefault="00000000">
            <w:pPr>
              <w:jc w:val="right"/>
              <w:rPr>
                <w:szCs w:val="22"/>
                <w:lang w:val="es-ES_tradnl"/>
              </w:rPr>
            </w:pPr>
            <w:r>
              <w:rPr>
                <w:szCs w:val="22"/>
                <w:lang w:val="es-ES_tradnl"/>
              </w:rPr>
              <w:t>5,5</w:t>
            </w:r>
          </w:p>
        </w:tc>
        <w:tc>
          <w:tcPr>
            <w:tcW w:w="493" w:type="pct"/>
            <w:shd w:val="clear" w:color="auto" w:fill="FFFFFF"/>
          </w:tcPr>
          <w:p w:rsidR="00000000" w:rsidRDefault="00000000">
            <w:pPr>
              <w:tabs>
                <w:tab w:val="decimal" w:pos="322"/>
              </w:tabs>
              <w:jc w:val="right"/>
              <w:rPr>
                <w:szCs w:val="22"/>
                <w:lang w:val="es-ES_tradnl"/>
              </w:rPr>
            </w:pPr>
            <w:r>
              <w:rPr>
                <w:szCs w:val="22"/>
                <w:lang w:val="es-ES_tradnl"/>
              </w:rPr>
              <w:t>8,6</w:t>
            </w:r>
          </w:p>
        </w:tc>
        <w:tc>
          <w:tcPr>
            <w:tcW w:w="513" w:type="pct"/>
            <w:shd w:val="clear" w:color="auto" w:fill="FFFFFF"/>
          </w:tcPr>
          <w:p w:rsidR="00000000" w:rsidRDefault="00000000">
            <w:pPr>
              <w:jc w:val="right"/>
              <w:rPr>
                <w:szCs w:val="22"/>
                <w:lang w:val="es-ES_tradnl"/>
              </w:rPr>
            </w:pPr>
            <w:r>
              <w:rPr>
                <w:szCs w:val="22"/>
                <w:lang w:val="es-ES_tradnl"/>
              </w:rPr>
              <w:t>12,2</w:t>
            </w:r>
          </w:p>
        </w:tc>
        <w:tc>
          <w:tcPr>
            <w:tcW w:w="616" w:type="pct"/>
            <w:shd w:val="clear" w:color="auto" w:fill="FFFFFF"/>
          </w:tcPr>
          <w:p w:rsidR="00000000" w:rsidRDefault="00000000">
            <w:pPr>
              <w:jc w:val="right"/>
            </w:pPr>
            <w:r>
              <w:t>3,1</w:t>
            </w:r>
          </w:p>
        </w:tc>
        <w:tc>
          <w:tcPr>
            <w:tcW w:w="656" w:type="pct"/>
            <w:shd w:val="clear" w:color="auto" w:fill="FFFFFF"/>
          </w:tcPr>
          <w:p w:rsidR="00000000" w:rsidRDefault="00000000">
            <w:pPr>
              <w:jc w:val="right"/>
              <w:rPr>
                <w:szCs w:val="22"/>
                <w:lang w:val="es-ES_tradnl"/>
              </w:rPr>
            </w:pPr>
            <w:r>
              <w:rPr>
                <w:szCs w:val="22"/>
                <w:lang w:val="es-ES_tradnl"/>
              </w:rPr>
              <w:t>56</w:t>
            </w:r>
          </w:p>
        </w:tc>
        <w:tc>
          <w:tcPr>
            <w:tcW w:w="578" w:type="pct"/>
            <w:shd w:val="clear" w:color="auto" w:fill="FFFFFF"/>
          </w:tcPr>
          <w:p w:rsidR="00000000" w:rsidRDefault="00000000">
            <w:pPr>
              <w:jc w:val="right"/>
              <w:rPr>
                <w:szCs w:val="22"/>
                <w:lang w:val="es-ES_tradnl"/>
              </w:rPr>
            </w:pPr>
            <w:r>
              <w:rPr>
                <w:szCs w:val="22"/>
                <w:lang w:val="es-ES_tradnl"/>
              </w:rPr>
              <w:t>6,7</w:t>
            </w:r>
          </w:p>
        </w:tc>
        <w:tc>
          <w:tcPr>
            <w:tcW w:w="607" w:type="pct"/>
            <w:shd w:val="clear" w:color="auto" w:fill="FFFFFF"/>
          </w:tcPr>
          <w:p w:rsidR="00000000" w:rsidRDefault="00000000">
            <w:pPr>
              <w:jc w:val="right"/>
              <w:rPr>
                <w:szCs w:val="22"/>
                <w:lang w:val="es-ES_tradnl"/>
              </w:rPr>
            </w:pPr>
            <w:r>
              <w:rPr>
                <w:szCs w:val="22"/>
                <w:lang w:val="es-ES_tradnl"/>
              </w:rPr>
              <w:t>122</w:t>
            </w:r>
          </w:p>
        </w:tc>
      </w:tr>
    </w:tbl>
    <w:p w:rsidR="00000000" w:rsidRDefault="00000000">
      <w:pPr>
        <w:spacing w:before="240" w:after="480"/>
      </w:pPr>
      <w:r>
        <w:rPr>
          <w:i/>
          <w:iCs/>
          <w:lang w:val="es-ES_tradnl"/>
        </w:rPr>
        <w:t>Fuente</w:t>
      </w:r>
      <w:r>
        <w:rPr>
          <w:lang w:val="es-ES_tradnl"/>
        </w:rPr>
        <w:t>:  INEC, Encuesta Urbana de Empleo, Subempleo y Desempleo.</w:t>
      </w:r>
    </w:p>
    <w:p w:rsidR="00000000" w:rsidRDefault="00000000">
      <w:pPr>
        <w:spacing w:after="240"/>
      </w:pPr>
      <w:r>
        <w:rPr>
          <w:lang w:val="es-ES_tradnl"/>
        </w:rPr>
        <w:t>59.</w:t>
      </w:r>
      <w:r>
        <w:rPr>
          <w:lang w:val="es-ES_tradnl"/>
        </w:rPr>
        <w:tab/>
        <w:t>El desempleo por tanto se origina por dos vías:  por la restricción de la demanda del trabajo y por el crecimiento de la población en edad de trabajar.</w:t>
      </w:r>
    </w:p>
    <w:p w:rsidR="00000000" w:rsidRDefault="00000000">
      <w:pPr>
        <w:keepNext/>
        <w:keepLines/>
        <w:spacing w:after="240"/>
        <w:jc w:val="center"/>
        <w:rPr>
          <w:b/>
          <w:bCs/>
        </w:rPr>
      </w:pPr>
      <w:r>
        <w:rPr>
          <w:b/>
          <w:bCs/>
          <w:szCs w:val="22"/>
          <w:lang w:val="es-ES_tradnl"/>
        </w:rPr>
        <w:t>Población total urbana (1990)</w:t>
      </w:r>
    </w:p>
    <w:tbl>
      <w:tblPr>
        <w:tblW w:w="7111" w:type="dxa"/>
        <w:jc w:val="center"/>
        <w:tblInd w:w="1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5"/>
        <w:gridCol w:w="1443"/>
        <w:gridCol w:w="1398"/>
        <w:gridCol w:w="1375"/>
      </w:tblGrid>
      <w:tr w:rsidR="00000000">
        <w:tblPrEx>
          <w:tblCellMar>
            <w:top w:w="0" w:type="dxa"/>
            <w:bottom w:w="0" w:type="dxa"/>
          </w:tblCellMar>
        </w:tblPrEx>
        <w:trPr>
          <w:tblHeader/>
          <w:jc w:val="center"/>
        </w:trPr>
        <w:tc>
          <w:tcPr>
            <w:tcW w:w="2895" w:type="dxa"/>
            <w:shd w:val="clear" w:color="auto" w:fill="FFFFFF"/>
          </w:tcPr>
          <w:p w:rsidR="00000000" w:rsidRDefault="00000000">
            <w:pPr>
              <w:keepNext/>
              <w:keepLines/>
              <w:jc w:val="center"/>
              <w:rPr>
                <w:szCs w:val="22"/>
                <w:lang w:val="es-ES_tradnl"/>
              </w:rPr>
            </w:pPr>
            <w:r>
              <w:rPr>
                <w:szCs w:val="22"/>
                <w:lang w:val="es-ES_tradnl"/>
              </w:rPr>
              <w:t>Grupos</w:t>
            </w:r>
          </w:p>
        </w:tc>
        <w:tc>
          <w:tcPr>
            <w:tcW w:w="1443" w:type="dxa"/>
            <w:shd w:val="clear" w:color="auto" w:fill="FFFFFF"/>
          </w:tcPr>
          <w:p w:rsidR="00000000" w:rsidRDefault="00000000">
            <w:pPr>
              <w:keepNext/>
              <w:keepLines/>
              <w:jc w:val="center"/>
              <w:rPr>
                <w:szCs w:val="22"/>
                <w:lang w:val="es-ES_tradnl"/>
              </w:rPr>
            </w:pPr>
            <w:r>
              <w:rPr>
                <w:szCs w:val="22"/>
                <w:lang w:val="es-ES_tradnl"/>
              </w:rPr>
              <w:t>Total</w:t>
            </w:r>
          </w:p>
        </w:tc>
        <w:tc>
          <w:tcPr>
            <w:tcW w:w="1398" w:type="dxa"/>
            <w:shd w:val="clear" w:color="auto" w:fill="FFFFFF"/>
          </w:tcPr>
          <w:p w:rsidR="00000000" w:rsidRDefault="00000000">
            <w:pPr>
              <w:keepNext/>
              <w:keepLines/>
              <w:jc w:val="center"/>
              <w:rPr>
                <w:szCs w:val="22"/>
                <w:lang w:val="es-ES_tradnl"/>
              </w:rPr>
            </w:pPr>
            <w:r>
              <w:rPr>
                <w:szCs w:val="22"/>
                <w:lang w:val="es-ES_tradnl"/>
              </w:rPr>
              <w:t>Hombres</w:t>
            </w:r>
          </w:p>
        </w:tc>
        <w:tc>
          <w:tcPr>
            <w:tcW w:w="1375" w:type="dxa"/>
            <w:shd w:val="clear" w:color="auto" w:fill="FFFFFF"/>
          </w:tcPr>
          <w:p w:rsidR="00000000" w:rsidRDefault="00000000">
            <w:pPr>
              <w:keepNext/>
              <w:keepLines/>
              <w:jc w:val="center"/>
            </w:pPr>
            <w:r>
              <w:rPr>
                <w:szCs w:val="22"/>
                <w:lang w:val="es-ES_tradnl"/>
              </w:rPr>
              <w:t>Mujeres</w:t>
            </w:r>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es-ES_tradnl"/>
              </w:rPr>
            </w:pPr>
            <w:r>
              <w:rPr>
                <w:szCs w:val="22"/>
                <w:lang w:val="es-ES_tradnl"/>
              </w:rPr>
              <w:t>Población total</w:t>
            </w:r>
          </w:p>
        </w:tc>
        <w:tc>
          <w:tcPr>
            <w:tcW w:w="1443" w:type="dxa"/>
            <w:shd w:val="clear" w:color="auto" w:fill="FFFFFF"/>
          </w:tcPr>
          <w:p w:rsidR="00000000" w:rsidRDefault="00000000">
            <w:pPr>
              <w:keepNext/>
              <w:keepLines/>
              <w:jc w:val="right"/>
              <w:rPr>
                <w:szCs w:val="22"/>
                <w:lang w:val="es-ES_tradnl"/>
              </w:rPr>
            </w:pPr>
            <w:r>
              <w:rPr>
                <w:szCs w:val="22"/>
                <w:lang w:val="es-ES_tradnl"/>
              </w:rPr>
              <w:t>6.172.978</w:t>
            </w:r>
          </w:p>
        </w:tc>
        <w:tc>
          <w:tcPr>
            <w:tcW w:w="1398" w:type="dxa"/>
            <w:shd w:val="clear" w:color="auto" w:fill="FFFFFF"/>
          </w:tcPr>
          <w:p w:rsidR="00000000" w:rsidRDefault="00000000">
            <w:pPr>
              <w:keepNext/>
              <w:keepLines/>
              <w:jc w:val="right"/>
              <w:rPr>
                <w:szCs w:val="22"/>
                <w:lang w:val="es-ES_tradnl"/>
              </w:rPr>
            </w:pPr>
            <w:r>
              <w:rPr>
                <w:szCs w:val="22"/>
                <w:lang w:val="es-ES_tradnl"/>
              </w:rPr>
              <w:t>3.020.358</w:t>
            </w:r>
          </w:p>
        </w:tc>
        <w:tc>
          <w:tcPr>
            <w:tcW w:w="1375" w:type="dxa"/>
            <w:shd w:val="clear" w:color="auto" w:fill="FFFFFF"/>
          </w:tcPr>
          <w:p w:rsidR="00000000" w:rsidRDefault="00000000">
            <w:pPr>
              <w:keepNext/>
              <w:keepLines/>
              <w:jc w:val="right"/>
            </w:pPr>
            <w:r>
              <w:rPr>
                <w:szCs w:val="22"/>
                <w:lang w:val="es-ES_tradnl"/>
              </w:rPr>
              <w:t>3.152.620</w:t>
            </w:r>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es-ES_tradnl"/>
              </w:rPr>
            </w:pPr>
            <w:r>
              <w:rPr>
                <w:szCs w:val="22"/>
              </w:rPr>
              <w:t>Menores de 10 años</w:t>
            </w:r>
          </w:p>
        </w:tc>
        <w:tc>
          <w:tcPr>
            <w:tcW w:w="1443" w:type="dxa"/>
            <w:shd w:val="clear" w:color="auto" w:fill="FFFFFF"/>
          </w:tcPr>
          <w:p w:rsidR="00000000" w:rsidRDefault="00000000">
            <w:pPr>
              <w:keepNext/>
              <w:keepLines/>
              <w:jc w:val="right"/>
              <w:rPr>
                <w:szCs w:val="22"/>
                <w:lang w:val="fr-CH"/>
              </w:rPr>
            </w:pPr>
            <w:proofErr w:type="spellStart"/>
            <w:r>
              <w:rPr>
                <w:szCs w:val="22"/>
                <w:lang w:val="fr-CH"/>
              </w:rPr>
              <w:t>1.432.662</w:t>
            </w:r>
            <w:proofErr w:type="spellEnd"/>
          </w:p>
        </w:tc>
        <w:tc>
          <w:tcPr>
            <w:tcW w:w="1398" w:type="dxa"/>
            <w:shd w:val="clear" w:color="auto" w:fill="FFFFFF"/>
          </w:tcPr>
          <w:p w:rsidR="00000000" w:rsidRDefault="00000000">
            <w:pPr>
              <w:keepNext/>
              <w:keepLines/>
              <w:jc w:val="right"/>
              <w:rPr>
                <w:szCs w:val="22"/>
                <w:lang w:val="fr-CH"/>
              </w:rPr>
            </w:pPr>
            <w:proofErr w:type="spellStart"/>
            <w:r>
              <w:rPr>
                <w:szCs w:val="22"/>
                <w:lang w:val="fr-CH"/>
              </w:rPr>
              <w:t>730.411</w:t>
            </w:r>
            <w:proofErr w:type="spellEnd"/>
          </w:p>
        </w:tc>
        <w:tc>
          <w:tcPr>
            <w:tcW w:w="1375" w:type="dxa"/>
            <w:shd w:val="clear" w:color="auto" w:fill="FFFFFF"/>
          </w:tcPr>
          <w:p w:rsidR="00000000" w:rsidRDefault="00000000">
            <w:pPr>
              <w:keepNext/>
              <w:keepLines/>
              <w:jc w:val="right"/>
              <w:rPr>
                <w:lang w:val="fr-CH"/>
              </w:rPr>
            </w:pPr>
            <w:proofErr w:type="spellStart"/>
            <w:r>
              <w:rPr>
                <w:szCs w:val="22"/>
                <w:lang w:val="fr-CH"/>
              </w:rPr>
              <w:t>702.251</w:t>
            </w:r>
            <w:proofErr w:type="spellEnd"/>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fr-CH"/>
              </w:rPr>
            </w:pPr>
            <w:r>
              <w:rPr>
                <w:szCs w:val="22"/>
                <w:lang w:val="fr-CH"/>
              </w:rPr>
              <w:t>PET</w:t>
            </w:r>
          </w:p>
        </w:tc>
        <w:tc>
          <w:tcPr>
            <w:tcW w:w="1443" w:type="dxa"/>
            <w:shd w:val="clear" w:color="auto" w:fill="FFFFFF"/>
          </w:tcPr>
          <w:p w:rsidR="00000000" w:rsidRDefault="00000000">
            <w:pPr>
              <w:keepNext/>
              <w:keepLines/>
              <w:jc w:val="right"/>
              <w:rPr>
                <w:szCs w:val="22"/>
                <w:lang w:val="fr-CH"/>
              </w:rPr>
            </w:pPr>
            <w:proofErr w:type="spellStart"/>
            <w:r>
              <w:rPr>
                <w:szCs w:val="22"/>
                <w:lang w:val="fr-CH"/>
              </w:rPr>
              <w:t>4.740.316</w:t>
            </w:r>
            <w:proofErr w:type="spellEnd"/>
          </w:p>
        </w:tc>
        <w:tc>
          <w:tcPr>
            <w:tcW w:w="1398" w:type="dxa"/>
            <w:shd w:val="clear" w:color="auto" w:fill="FFFFFF"/>
          </w:tcPr>
          <w:p w:rsidR="00000000" w:rsidRDefault="00000000">
            <w:pPr>
              <w:keepNext/>
              <w:keepLines/>
              <w:jc w:val="right"/>
              <w:rPr>
                <w:szCs w:val="22"/>
                <w:lang w:val="fr-CH"/>
              </w:rPr>
            </w:pPr>
            <w:proofErr w:type="spellStart"/>
            <w:r>
              <w:rPr>
                <w:szCs w:val="22"/>
                <w:lang w:val="fr-CH"/>
              </w:rPr>
              <w:t>2.289.947</w:t>
            </w:r>
            <w:proofErr w:type="spellEnd"/>
          </w:p>
        </w:tc>
        <w:tc>
          <w:tcPr>
            <w:tcW w:w="1375" w:type="dxa"/>
            <w:shd w:val="clear" w:color="auto" w:fill="FFFFFF"/>
          </w:tcPr>
          <w:p w:rsidR="00000000" w:rsidRDefault="00000000">
            <w:pPr>
              <w:keepNext/>
              <w:keepLines/>
              <w:jc w:val="right"/>
              <w:rPr>
                <w:lang w:val="fr-CH"/>
              </w:rPr>
            </w:pPr>
            <w:proofErr w:type="spellStart"/>
            <w:r>
              <w:rPr>
                <w:szCs w:val="22"/>
                <w:lang w:val="fr-CH"/>
              </w:rPr>
              <w:t>2.450.369</w:t>
            </w:r>
            <w:proofErr w:type="spellEnd"/>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fr-CH"/>
              </w:rPr>
            </w:pPr>
            <w:r>
              <w:rPr>
                <w:szCs w:val="22"/>
                <w:lang w:val="fr-CH"/>
              </w:rPr>
              <w:t>PEI</w:t>
            </w:r>
          </w:p>
        </w:tc>
        <w:tc>
          <w:tcPr>
            <w:tcW w:w="1443" w:type="dxa"/>
            <w:shd w:val="clear" w:color="auto" w:fill="FFFFFF"/>
          </w:tcPr>
          <w:p w:rsidR="00000000" w:rsidRDefault="00000000">
            <w:pPr>
              <w:keepNext/>
              <w:keepLines/>
              <w:jc w:val="right"/>
              <w:rPr>
                <w:szCs w:val="22"/>
                <w:lang w:val="fr-CH"/>
              </w:rPr>
            </w:pPr>
            <w:r>
              <w:rPr>
                <w:szCs w:val="22"/>
                <w:lang w:val="fr-CH"/>
              </w:rPr>
              <w:t>2.259.331</w:t>
            </w:r>
          </w:p>
        </w:tc>
        <w:tc>
          <w:tcPr>
            <w:tcW w:w="1398" w:type="dxa"/>
            <w:shd w:val="clear" w:color="auto" w:fill="FFFFFF"/>
          </w:tcPr>
          <w:p w:rsidR="00000000" w:rsidRDefault="00000000">
            <w:pPr>
              <w:keepNext/>
              <w:keepLines/>
              <w:jc w:val="right"/>
              <w:rPr>
                <w:szCs w:val="22"/>
                <w:lang w:val="fr-CH"/>
              </w:rPr>
            </w:pPr>
            <w:r>
              <w:rPr>
                <w:szCs w:val="22"/>
                <w:lang w:val="fr-CH"/>
              </w:rPr>
              <w:t>723.208</w:t>
            </w:r>
          </w:p>
        </w:tc>
        <w:tc>
          <w:tcPr>
            <w:tcW w:w="1375" w:type="dxa"/>
            <w:shd w:val="clear" w:color="auto" w:fill="FFFFFF"/>
          </w:tcPr>
          <w:p w:rsidR="00000000" w:rsidRDefault="00000000">
            <w:pPr>
              <w:keepNext/>
              <w:keepLines/>
              <w:jc w:val="right"/>
              <w:rPr>
                <w:lang w:val="fr-CH"/>
              </w:rPr>
            </w:pPr>
            <w:r>
              <w:rPr>
                <w:szCs w:val="22"/>
                <w:lang w:val="fr-CH"/>
              </w:rPr>
              <w:t>1.536.123</w:t>
            </w:r>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fr-CH"/>
              </w:rPr>
            </w:pPr>
            <w:proofErr w:type="spellStart"/>
            <w:r>
              <w:rPr>
                <w:szCs w:val="22"/>
                <w:lang w:val="fr-CH"/>
              </w:rPr>
              <w:t>PEA</w:t>
            </w:r>
            <w:proofErr w:type="spellEnd"/>
          </w:p>
        </w:tc>
        <w:tc>
          <w:tcPr>
            <w:tcW w:w="1443" w:type="dxa"/>
            <w:shd w:val="clear" w:color="auto" w:fill="FFFFFF"/>
          </w:tcPr>
          <w:p w:rsidR="00000000" w:rsidRDefault="00000000">
            <w:pPr>
              <w:keepNext/>
              <w:keepLines/>
              <w:jc w:val="right"/>
              <w:rPr>
                <w:szCs w:val="22"/>
                <w:lang w:val="es-ES_tradnl"/>
              </w:rPr>
            </w:pPr>
            <w:r>
              <w:rPr>
                <w:szCs w:val="22"/>
                <w:lang w:val="es-ES_tradnl"/>
              </w:rPr>
              <w:t>2.480.985</w:t>
            </w:r>
          </w:p>
        </w:tc>
        <w:tc>
          <w:tcPr>
            <w:tcW w:w="1398" w:type="dxa"/>
            <w:shd w:val="clear" w:color="auto" w:fill="FFFFFF"/>
          </w:tcPr>
          <w:p w:rsidR="00000000" w:rsidRDefault="00000000">
            <w:pPr>
              <w:keepNext/>
              <w:keepLines/>
              <w:jc w:val="right"/>
              <w:rPr>
                <w:szCs w:val="22"/>
                <w:lang w:val="es-ES_tradnl"/>
              </w:rPr>
            </w:pPr>
            <w:r>
              <w:rPr>
                <w:szCs w:val="22"/>
                <w:lang w:val="es-ES_tradnl"/>
              </w:rPr>
              <w:t>1.566.739</w:t>
            </w:r>
          </w:p>
        </w:tc>
        <w:tc>
          <w:tcPr>
            <w:tcW w:w="1375" w:type="dxa"/>
            <w:shd w:val="clear" w:color="auto" w:fill="FFFFFF"/>
          </w:tcPr>
          <w:p w:rsidR="00000000" w:rsidRDefault="00000000">
            <w:pPr>
              <w:keepNext/>
              <w:keepLines/>
              <w:jc w:val="right"/>
              <w:rPr>
                <w:lang w:val="es-ES_tradnl"/>
              </w:rPr>
            </w:pPr>
            <w:r>
              <w:rPr>
                <w:szCs w:val="22"/>
                <w:lang w:val="es-ES_tradnl"/>
              </w:rPr>
              <w:t>914.246</w:t>
            </w:r>
          </w:p>
        </w:tc>
      </w:tr>
      <w:tr w:rsidR="00000000">
        <w:tblPrEx>
          <w:tblCellMar>
            <w:top w:w="0" w:type="dxa"/>
            <w:bottom w:w="0" w:type="dxa"/>
          </w:tblCellMar>
        </w:tblPrEx>
        <w:trPr>
          <w:jc w:val="center"/>
        </w:trPr>
        <w:tc>
          <w:tcPr>
            <w:tcW w:w="2895" w:type="dxa"/>
            <w:shd w:val="clear" w:color="auto" w:fill="FFFFFF"/>
          </w:tcPr>
          <w:p w:rsidR="00000000" w:rsidRDefault="00000000">
            <w:pPr>
              <w:keepNext/>
              <w:keepLines/>
              <w:rPr>
                <w:szCs w:val="22"/>
                <w:lang w:val="es-ES_tradnl"/>
              </w:rPr>
            </w:pPr>
            <w:r>
              <w:rPr>
                <w:szCs w:val="22"/>
                <w:lang w:val="es-ES_tradnl"/>
              </w:rPr>
              <w:t>Desempleados</w:t>
            </w:r>
          </w:p>
        </w:tc>
        <w:tc>
          <w:tcPr>
            <w:tcW w:w="1443" w:type="dxa"/>
            <w:shd w:val="clear" w:color="auto" w:fill="FFFFFF"/>
          </w:tcPr>
          <w:p w:rsidR="00000000" w:rsidRDefault="00000000">
            <w:pPr>
              <w:keepNext/>
              <w:keepLines/>
              <w:jc w:val="right"/>
              <w:rPr>
                <w:szCs w:val="22"/>
                <w:lang w:val="es-ES_tradnl"/>
              </w:rPr>
            </w:pPr>
            <w:r>
              <w:rPr>
                <w:szCs w:val="22"/>
                <w:lang w:val="es-ES_tradnl"/>
              </w:rPr>
              <w:t>150.472</w:t>
            </w:r>
          </w:p>
        </w:tc>
        <w:tc>
          <w:tcPr>
            <w:tcW w:w="1398" w:type="dxa"/>
            <w:shd w:val="clear" w:color="auto" w:fill="FFFFFF"/>
          </w:tcPr>
          <w:p w:rsidR="00000000" w:rsidRDefault="00000000">
            <w:pPr>
              <w:keepNext/>
              <w:keepLines/>
              <w:jc w:val="right"/>
              <w:rPr>
                <w:szCs w:val="22"/>
                <w:lang w:val="es-ES_tradnl"/>
              </w:rPr>
            </w:pPr>
            <w:r>
              <w:rPr>
                <w:szCs w:val="22"/>
                <w:lang w:val="es-ES_tradnl"/>
              </w:rPr>
              <w:t>66.945</w:t>
            </w:r>
          </w:p>
        </w:tc>
        <w:tc>
          <w:tcPr>
            <w:tcW w:w="1375" w:type="dxa"/>
            <w:shd w:val="clear" w:color="auto" w:fill="FFFFFF"/>
          </w:tcPr>
          <w:p w:rsidR="00000000" w:rsidRDefault="00000000">
            <w:pPr>
              <w:keepNext/>
              <w:keepLines/>
              <w:jc w:val="right"/>
            </w:pPr>
            <w:r>
              <w:rPr>
                <w:szCs w:val="22"/>
                <w:lang w:val="es-ES_tradnl"/>
              </w:rPr>
              <w:t>83.527</w:t>
            </w:r>
          </w:p>
        </w:tc>
      </w:tr>
      <w:tr w:rsidR="00000000">
        <w:tblPrEx>
          <w:tblCellMar>
            <w:top w:w="0" w:type="dxa"/>
            <w:bottom w:w="0" w:type="dxa"/>
          </w:tblCellMar>
        </w:tblPrEx>
        <w:trPr>
          <w:jc w:val="center"/>
        </w:trPr>
        <w:tc>
          <w:tcPr>
            <w:tcW w:w="2895" w:type="dxa"/>
            <w:shd w:val="clear" w:color="auto" w:fill="FFFFFF"/>
          </w:tcPr>
          <w:p w:rsidR="00000000" w:rsidRDefault="00000000">
            <w:pPr>
              <w:rPr>
                <w:szCs w:val="22"/>
                <w:lang w:val="es-ES_tradnl"/>
              </w:rPr>
            </w:pPr>
            <w:r>
              <w:rPr>
                <w:szCs w:val="22"/>
                <w:lang w:val="es-ES_tradnl"/>
              </w:rPr>
              <w:t>Ocupados</w:t>
            </w:r>
          </w:p>
        </w:tc>
        <w:tc>
          <w:tcPr>
            <w:tcW w:w="1443" w:type="dxa"/>
            <w:shd w:val="clear" w:color="auto" w:fill="FFFFFF"/>
          </w:tcPr>
          <w:p w:rsidR="00000000" w:rsidRDefault="00000000">
            <w:pPr>
              <w:jc w:val="right"/>
              <w:rPr>
                <w:szCs w:val="22"/>
                <w:lang w:val="es-ES_tradnl"/>
              </w:rPr>
            </w:pPr>
            <w:r>
              <w:rPr>
                <w:szCs w:val="22"/>
                <w:lang w:val="es-ES_tradnl"/>
              </w:rPr>
              <w:t>2.330.513</w:t>
            </w:r>
          </w:p>
        </w:tc>
        <w:tc>
          <w:tcPr>
            <w:tcW w:w="1398" w:type="dxa"/>
            <w:shd w:val="clear" w:color="auto" w:fill="FFFFFF"/>
          </w:tcPr>
          <w:p w:rsidR="00000000" w:rsidRDefault="00000000">
            <w:pPr>
              <w:jc w:val="right"/>
              <w:rPr>
                <w:szCs w:val="22"/>
                <w:lang w:val="es-ES_tradnl"/>
              </w:rPr>
            </w:pPr>
            <w:r>
              <w:rPr>
                <w:szCs w:val="22"/>
                <w:lang w:val="es-ES_tradnl"/>
              </w:rPr>
              <w:t>1.499.794</w:t>
            </w:r>
          </w:p>
        </w:tc>
        <w:tc>
          <w:tcPr>
            <w:tcW w:w="1375" w:type="dxa"/>
            <w:shd w:val="clear" w:color="auto" w:fill="FFFFFF"/>
          </w:tcPr>
          <w:p w:rsidR="00000000" w:rsidRDefault="00000000">
            <w:pPr>
              <w:jc w:val="right"/>
            </w:pPr>
            <w:r>
              <w:rPr>
                <w:szCs w:val="22"/>
                <w:lang w:val="es-ES_tradnl"/>
              </w:rPr>
              <w:t>830.719</w:t>
            </w:r>
          </w:p>
        </w:tc>
      </w:tr>
    </w:tbl>
    <w:p w:rsidR="00000000" w:rsidRDefault="00000000">
      <w:pPr>
        <w:spacing w:before="240" w:after="480"/>
        <w:ind w:left="1080"/>
      </w:pPr>
      <w:r>
        <w:rPr>
          <w:i/>
          <w:iCs/>
          <w:szCs w:val="23"/>
          <w:lang w:val="es-ES_tradnl"/>
        </w:rPr>
        <w:t>Fuente</w:t>
      </w:r>
      <w:r>
        <w:rPr>
          <w:szCs w:val="23"/>
          <w:lang w:val="es-ES_tradnl"/>
        </w:rPr>
        <w:t>:  INEC, Encuesta Urbana de Empleo, Subempleo y Desempleo.</w:t>
      </w:r>
    </w:p>
    <w:p w:rsidR="00000000" w:rsidRDefault="00000000">
      <w:pPr>
        <w:spacing w:after="240"/>
        <w:jc w:val="center"/>
        <w:rPr>
          <w:b/>
          <w:bCs/>
        </w:rPr>
      </w:pPr>
      <w:r>
        <w:rPr>
          <w:b/>
          <w:bCs/>
          <w:szCs w:val="22"/>
          <w:lang w:val="es-ES_tradnl"/>
        </w:rPr>
        <w:t>Población total urbana (1995)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6"/>
        <w:gridCol w:w="1419"/>
        <w:gridCol w:w="1428"/>
        <w:gridCol w:w="1389"/>
      </w:tblGrid>
      <w:tr w:rsidR="00000000">
        <w:tblPrEx>
          <w:tblCellMar>
            <w:top w:w="0" w:type="dxa"/>
            <w:bottom w:w="0" w:type="dxa"/>
          </w:tblCellMar>
        </w:tblPrEx>
        <w:trPr>
          <w:jc w:val="center"/>
        </w:trPr>
        <w:tc>
          <w:tcPr>
            <w:tcW w:w="2916" w:type="dxa"/>
            <w:shd w:val="clear" w:color="auto" w:fill="FFFFFF"/>
          </w:tcPr>
          <w:p w:rsidR="00000000" w:rsidRDefault="00000000">
            <w:pPr>
              <w:jc w:val="center"/>
              <w:rPr>
                <w:szCs w:val="22"/>
                <w:lang w:val="es-ES_tradnl"/>
              </w:rPr>
            </w:pPr>
            <w:r>
              <w:rPr>
                <w:szCs w:val="22"/>
                <w:lang w:val="es-ES_tradnl"/>
              </w:rPr>
              <w:t>Grupos</w:t>
            </w:r>
          </w:p>
        </w:tc>
        <w:tc>
          <w:tcPr>
            <w:tcW w:w="1419" w:type="dxa"/>
            <w:shd w:val="clear" w:color="auto" w:fill="FFFFFF"/>
          </w:tcPr>
          <w:p w:rsidR="00000000" w:rsidRDefault="00000000">
            <w:pPr>
              <w:jc w:val="center"/>
              <w:rPr>
                <w:szCs w:val="22"/>
                <w:lang w:val="es-ES_tradnl"/>
              </w:rPr>
            </w:pPr>
            <w:r>
              <w:rPr>
                <w:szCs w:val="22"/>
                <w:lang w:val="es-ES_tradnl"/>
              </w:rPr>
              <w:t>Población</w:t>
            </w:r>
          </w:p>
        </w:tc>
        <w:tc>
          <w:tcPr>
            <w:tcW w:w="1428" w:type="dxa"/>
            <w:shd w:val="clear" w:color="auto" w:fill="FFFFFF"/>
          </w:tcPr>
          <w:p w:rsidR="00000000" w:rsidRDefault="00000000">
            <w:pPr>
              <w:jc w:val="center"/>
              <w:rPr>
                <w:szCs w:val="22"/>
                <w:lang w:val="es-ES_tradnl"/>
              </w:rPr>
            </w:pPr>
            <w:r>
              <w:rPr>
                <w:szCs w:val="22"/>
                <w:lang w:val="es-ES_tradnl"/>
              </w:rPr>
              <w:t>Hombres</w:t>
            </w:r>
          </w:p>
        </w:tc>
        <w:tc>
          <w:tcPr>
            <w:tcW w:w="1389" w:type="dxa"/>
            <w:shd w:val="clear" w:color="auto" w:fill="FFFFFF"/>
          </w:tcPr>
          <w:p w:rsidR="00000000" w:rsidRDefault="00000000">
            <w:pPr>
              <w:jc w:val="center"/>
            </w:pPr>
            <w:r>
              <w:rPr>
                <w:szCs w:val="22"/>
                <w:lang w:val="es-ES_tradnl"/>
              </w:rPr>
              <w:t>Mujeres</w:t>
            </w:r>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es-ES_tradnl"/>
              </w:rPr>
            </w:pPr>
            <w:r>
              <w:rPr>
                <w:szCs w:val="22"/>
                <w:lang w:val="es-ES_tradnl"/>
              </w:rPr>
              <w:t>Población total</w:t>
            </w:r>
          </w:p>
        </w:tc>
        <w:tc>
          <w:tcPr>
            <w:tcW w:w="1419" w:type="dxa"/>
            <w:shd w:val="clear" w:color="auto" w:fill="FFFFFF"/>
          </w:tcPr>
          <w:p w:rsidR="00000000" w:rsidRDefault="00000000">
            <w:pPr>
              <w:jc w:val="right"/>
              <w:rPr>
                <w:szCs w:val="22"/>
                <w:lang w:val="es-ES_tradnl"/>
              </w:rPr>
            </w:pPr>
            <w:r>
              <w:rPr>
                <w:szCs w:val="22"/>
                <w:lang w:val="es-ES_tradnl"/>
              </w:rPr>
              <w:t>7.037.563</w:t>
            </w:r>
          </w:p>
        </w:tc>
        <w:tc>
          <w:tcPr>
            <w:tcW w:w="1428" w:type="dxa"/>
            <w:shd w:val="clear" w:color="auto" w:fill="FFFFFF"/>
          </w:tcPr>
          <w:p w:rsidR="00000000" w:rsidRDefault="00000000">
            <w:pPr>
              <w:jc w:val="right"/>
              <w:rPr>
                <w:szCs w:val="22"/>
                <w:lang w:val="es-ES_tradnl"/>
              </w:rPr>
            </w:pPr>
            <w:r>
              <w:rPr>
                <w:szCs w:val="22"/>
                <w:lang w:val="es-ES_tradnl"/>
              </w:rPr>
              <w:t>3.422.990</w:t>
            </w:r>
          </w:p>
        </w:tc>
        <w:tc>
          <w:tcPr>
            <w:tcW w:w="1389" w:type="dxa"/>
            <w:shd w:val="clear" w:color="auto" w:fill="FFFFFF"/>
          </w:tcPr>
          <w:p w:rsidR="00000000" w:rsidRDefault="00000000">
            <w:pPr>
              <w:jc w:val="right"/>
            </w:pPr>
            <w:r>
              <w:rPr>
                <w:szCs w:val="22"/>
                <w:lang w:val="es-ES_tradnl"/>
              </w:rPr>
              <w:t>3.614.573</w:t>
            </w:r>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es-ES_tradnl"/>
              </w:rPr>
            </w:pPr>
            <w:r>
              <w:rPr>
                <w:szCs w:val="22"/>
                <w:lang w:val="es-ES_tradnl"/>
              </w:rPr>
              <w:t>Menores de 10 años</w:t>
            </w:r>
          </w:p>
        </w:tc>
        <w:tc>
          <w:tcPr>
            <w:tcW w:w="1419" w:type="dxa"/>
            <w:shd w:val="clear" w:color="auto" w:fill="FFFFFF"/>
          </w:tcPr>
          <w:p w:rsidR="00000000" w:rsidRDefault="00000000">
            <w:pPr>
              <w:jc w:val="right"/>
              <w:rPr>
                <w:szCs w:val="22"/>
                <w:lang w:val="fr-CH"/>
              </w:rPr>
            </w:pPr>
            <w:proofErr w:type="spellStart"/>
            <w:r>
              <w:rPr>
                <w:szCs w:val="22"/>
                <w:lang w:val="fr-CH"/>
              </w:rPr>
              <w:t>1.468.250</w:t>
            </w:r>
            <w:proofErr w:type="spellEnd"/>
          </w:p>
        </w:tc>
        <w:tc>
          <w:tcPr>
            <w:tcW w:w="1428" w:type="dxa"/>
            <w:shd w:val="clear" w:color="auto" w:fill="FFFFFF"/>
          </w:tcPr>
          <w:p w:rsidR="00000000" w:rsidRDefault="00000000">
            <w:pPr>
              <w:jc w:val="right"/>
              <w:rPr>
                <w:szCs w:val="22"/>
                <w:lang w:val="fr-CH"/>
              </w:rPr>
            </w:pPr>
            <w:proofErr w:type="spellStart"/>
            <w:r>
              <w:rPr>
                <w:szCs w:val="22"/>
                <w:lang w:val="fr-CH"/>
              </w:rPr>
              <w:t>746.211</w:t>
            </w:r>
            <w:proofErr w:type="spellEnd"/>
          </w:p>
        </w:tc>
        <w:tc>
          <w:tcPr>
            <w:tcW w:w="1389" w:type="dxa"/>
            <w:shd w:val="clear" w:color="auto" w:fill="FFFFFF"/>
          </w:tcPr>
          <w:p w:rsidR="00000000" w:rsidRDefault="00000000">
            <w:pPr>
              <w:jc w:val="right"/>
              <w:rPr>
                <w:lang w:val="fr-CH"/>
              </w:rPr>
            </w:pPr>
            <w:proofErr w:type="spellStart"/>
            <w:r>
              <w:rPr>
                <w:szCs w:val="22"/>
                <w:lang w:val="fr-CH"/>
              </w:rPr>
              <w:t>722.039</w:t>
            </w:r>
            <w:proofErr w:type="spellEnd"/>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fr-CH"/>
              </w:rPr>
            </w:pPr>
            <w:r>
              <w:rPr>
                <w:szCs w:val="22"/>
                <w:lang w:val="fr-CH"/>
              </w:rPr>
              <w:t>PET</w:t>
            </w:r>
          </w:p>
        </w:tc>
        <w:tc>
          <w:tcPr>
            <w:tcW w:w="1419" w:type="dxa"/>
            <w:shd w:val="clear" w:color="auto" w:fill="FFFFFF"/>
          </w:tcPr>
          <w:p w:rsidR="00000000" w:rsidRDefault="00000000">
            <w:pPr>
              <w:jc w:val="right"/>
              <w:rPr>
                <w:szCs w:val="22"/>
                <w:lang w:val="fr-CH"/>
              </w:rPr>
            </w:pPr>
            <w:proofErr w:type="spellStart"/>
            <w:r>
              <w:rPr>
                <w:szCs w:val="22"/>
                <w:lang w:val="fr-CH"/>
              </w:rPr>
              <w:t>5.569.313</w:t>
            </w:r>
            <w:proofErr w:type="spellEnd"/>
          </w:p>
        </w:tc>
        <w:tc>
          <w:tcPr>
            <w:tcW w:w="1428" w:type="dxa"/>
            <w:shd w:val="clear" w:color="auto" w:fill="FFFFFF"/>
          </w:tcPr>
          <w:p w:rsidR="00000000" w:rsidRDefault="00000000">
            <w:pPr>
              <w:jc w:val="right"/>
              <w:rPr>
                <w:szCs w:val="22"/>
                <w:lang w:val="fr-CH"/>
              </w:rPr>
            </w:pPr>
            <w:proofErr w:type="spellStart"/>
            <w:r>
              <w:rPr>
                <w:szCs w:val="22"/>
                <w:lang w:val="fr-CH"/>
              </w:rPr>
              <w:t>2.676.779</w:t>
            </w:r>
            <w:proofErr w:type="spellEnd"/>
          </w:p>
        </w:tc>
        <w:tc>
          <w:tcPr>
            <w:tcW w:w="1389" w:type="dxa"/>
            <w:shd w:val="clear" w:color="auto" w:fill="FFFFFF"/>
          </w:tcPr>
          <w:p w:rsidR="00000000" w:rsidRDefault="00000000">
            <w:pPr>
              <w:jc w:val="right"/>
              <w:rPr>
                <w:lang w:val="fr-CH"/>
              </w:rPr>
            </w:pPr>
            <w:proofErr w:type="spellStart"/>
            <w:r>
              <w:rPr>
                <w:szCs w:val="22"/>
                <w:lang w:val="fr-CH"/>
              </w:rPr>
              <w:t>2.892.534</w:t>
            </w:r>
            <w:proofErr w:type="spellEnd"/>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fr-CH"/>
              </w:rPr>
            </w:pPr>
            <w:r>
              <w:rPr>
                <w:szCs w:val="22"/>
                <w:lang w:val="fr-CH"/>
              </w:rPr>
              <w:t>PEI</w:t>
            </w:r>
          </w:p>
        </w:tc>
        <w:tc>
          <w:tcPr>
            <w:tcW w:w="1419" w:type="dxa"/>
            <w:shd w:val="clear" w:color="auto" w:fill="FFFFFF"/>
          </w:tcPr>
          <w:p w:rsidR="00000000" w:rsidRDefault="00000000">
            <w:pPr>
              <w:jc w:val="right"/>
              <w:rPr>
                <w:szCs w:val="22"/>
                <w:lang w:val="fr-CH"/>
              </w:rPr>
            </w:pPr>
            <w:r>
              <w:rPr>
                <w:szCs w:val="22"/>
                <w:lang w:val="fr-CH"/>
              </w:rPr>
              <w:t>2.464.999</w:t>
            </w:r>
          </w:p>
        </w:tc>
        <w:tc>
          <w:tcPr>
            <w:tcW w:w="1428" w:type="dxa"/>
            <w:shd w:val="clear" w:color="auto" w:fill="FFFFFF"/>
          </w:tcPr>
          <w:p w:rsidR="00000000" w:rsidRDefault="00000000">
            <w:pPr>
              <w:jc w:val="right"/>
              <w:rPr>
                <w:szCs w:val="22"/>
                <w:lang w:val="fr-CH"/>
              </w:rPr>
            </w:pPr>
            <w:r>
              <w:rPr>
                <w:szCs w:val="22"/>
                <w:lang w:val="fr-CH"/>
              </w:rPr>
              <w:t>798.138</w:t>
            </w:r>
          </w:p>
        </w:tc>
        <w:tc>
          <w:tcPr>
            <w:tcW w:w="1389" w:type="dxa"/>
            <w:shd w:val="clear" w:color="auto" w:fill="FFFFFF"/>
          </w:tcPr>
          <w:p w:rsidR="00000000" w:rsidRDefault="00000000">
            <w:pPr>
              <w:jc w:val="right"/>
              <w:rPr>
                <w:lang w:val="fr-CH"/>
              </w:rPr>
            </w:pPr>
            <w:r>
              <w:rPr>
                <w:szCs w:val="22"/>
                <w:lang w:val="fr-CH"/>
              </w:rPr>
              <w:t>1.666.861</w:t>
            </w:r>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fr-CH"/>
              </w:rPr>
            </w:pPr>
            <w:proofErr w:type="spellStart"/>
            <w:r>
              <w:rPr>
                <w:szCs w:val="22"/>
                <w:lang w:val="fr-CH"/>
              </w:rPr>
              <w:t>PEA</w:t>
            </w:r>
            <w:proofErr w:type="spellEnd"/>
          </w:p>
        </w:tc>
        <w:tc>
          <w:tcPr>
            <w:tcW w:w="1419" w:type="dxa"/>
            <w:shd w:val="clear" w:color="auto" w:fill="FFFFFF"/>
          </w:tcPr>
          <w:p w:rsidR="00000000" w:rsidRDefault="00000000">
            <w:pPr>
              <w:jc w:val="right"/>
              <w:rPr>
                <w:szCs w:val="22"/>
                <w:lang w:val="es-ES_tradnl"/>
              </w:rPr>
            </w:pPr>
            <w:r>
              <w:rPr>
                <w:szCs w:val="22"/>
                <w:lang w:val="es-ES_tradnl"/>
              </w:rPr>
              <w:t>3.104.314</w:t>
            </w:r>
          </w:p>
        </w:tc>
        <w:tc>
          <w:tcPr>
            <w:tcW w:w="1428" w:type="dxa"/>
            <w:shd w:val="clear" w:color="auto" w:fill="FFFFFF"/>
          </w:tcPr>
          <w:p w:rsidR="00000000" w:rsidRDefault="00000000">
            <w:pPr>
              <w:jc w:val="right"/>
              <w:rPr>
                <w:szCs w:val="22"/>
                <w:lang w:val="es-ES_tradnl"/>
              </w:rPr>
            </w:pPr>
            <w:r>
              <w:rPr>
                <w:szCs w:val="22"/>
                <w:lang w:val="es-ES_tradnl"/>
              </w:rPr>
              <w:t>1.878.641</w:t>
            </w:r>
          </w:p>
        </w:tc>
        <w:tc>
          <w:tcPr>
            <w:tcW w:w="1389" w:type="dxa"/>
            <w:shd w:val="clear" w:color="auto" w:fill="FFFFFF"/>
          </w:tcPr>
          <w:p w:rsidR="00000000" w:rsidRDefault="00000000">
            <w:pPr>
              <w:jc w:val="right"/>
              <w:rPr>
                <w:lang w:val="es-ES_tradnl"/>
              </w:rPr>
            </w:pPr>
            <w:r>
              <w:rPr>
                <w:szCs w:val="22"/>
                <w:lang w:val="es-ES_tradnl"/>
              </w:rPr>
              <w:t>1.225.673</w:t>
            </w:r>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es-ES_tradnl"/>
              </w:rPr>
            </w:pPr>
            <w:r>
              <w:rPr>
                <w:szCs w:val="22"/>
                <w:lang w:val="es-ES_tradnl"/>
              </w:rPr>
              <w:t>Desempleados</w:t>
            </w:r>
          </w:p>
        </w:tc>
        <w:tc>
          <w:tcPr>
            <w:tcW w:w="1419" w:type="dxa"/>
            <w:shd w:val="clear" w:color="auto" w:fill="FFFFFF"/>
          </w:tcPr>
          <w:p w:rsidR="00000000" w:rsidRDefault="00000000">
            <w:pPr>
              <w:jc w:val="right"/>
              <w:rPr>
                <w:szCs w:val="22"/>
                <w:lang w:val="es-ES_tradnl"/>
              </w:rPr>
            </w:pPr>
            <w:r>
              <w:rPr>
                <w:szCs w:val="22"/>
                <w:lang w:val="es-ES_tradnl"/>
              </w:rPr>
              <w:t>212.655</w:t>
            </w:r>
          </w:p>
        </w:tc>
        <w:tc>
          <w:tcPr>
            <w:tcW w:w="1428" w:type="dxa"/>
            <w:shd w:val="clear" w:color="auto" w:fill="FFFFFF"/>
          </w:tcPr>
          <w:p w:rsidR="00000000" w:rsidRDefault="00000000">
            <w:pPr>
              <w:jc w:val="right"/>
              <w:rPr>
                <w:szCs w:val="22"/>
                <w:lang w:val="es-ES_tradnl"/>
              </w:rPr>
            </w:pPr>
            <w:r>
              <w:rPr>
                <w:szCs w:val="22"/>
                <w:lang w:val="es-ES_tradnl"/>
              </w:rPr>
              <w:t>104.226</w:t>
            </w:r>
          </w:p>
        </w:tc>
        <w:tc>
          <w:tcPr>
            <w:tcW w:w="1389" w:type="dxa"/>
            <w:shd w:val="clear" w:color="auto" w:fill="FFFFFF"/>
          </w:tcPr>
          <w:p w:rsidR="00000000" w:rsidRDefault="00000000">
            <w:pPr>
              <w:jc w:val="right"/>
            </w:pPr>
            <w:r>
              <w:rPr>
                <w:szCs w:val="22"/>
                <w:lang w:val="es-ES_tradnl"/>
              </w:rPr>
              <w:t>108.429</w:t>
            </w:r>
          </w:p>
        </w:tc>
      </w:tr>
      <w:tr w:rsidR="00000000">
        <w:tblPrEx>
          <w:tblCellMar>
            <w:top w:w="0" w:type="dxa"/>
            <w:bottom w:w="0" w:type="dxa"/>
          </w:tblCellMar>
        </w:tblPrEx>
        <w:trPr>
          <w:jc w:val="center"/>
        </w:trPr>
        <w:tc>
          <w:tcPr>
            <w:tcW w:w="2916" w:type="dxa"/>
            <w:shd w:val="clear" w:color="auto" w:fill="FFFFFF"/>
          </w:tcPr>
          <w:p w:rsidR="00000000" w:rsidRDefault="00000000">
            <w:pPr>
              <w:rPr>
                <w:szCs w:val="22"/>
                <w:lang w:val="es-ES_tradnl"/>
              </w:rPr>
            </w:pPr>
            <w:r>
              <w:rPr>
                <w:szCs w:val="22"/>
                <w:lang w:val="es-ES_tradnl"/>
              </w:rPr>
              <w:t>Ocupados</w:t>
            </w:r>
          </w:p>
        </w:tc>
        <w:tc>
          <w:tcPr>
            <w:tcW w:w="1419" w:type="dxa"/>
            <w:shd w:val="clear" w:color="auto" w:fill="FFFFFF"/>
          </w:tcPr>
          <w:p w:rsidR="00000000" w:rsidRDefault="00000000">
            <w:pPr>
              <w:jc w:val="right"/>
              <w:rPr>
                <w:szCs w:val="22"/>
                <w:lang w:val="es-ES_tradnl"/>
              </w:rPr>
            </w:pPr>
            <w:r>
              <w:rPr>
                <w:szCs w:val="22"/>
                <w:lang w:val="es-ES_tradnl"/>
              </w:rPr>
              <w:t>2.891.659</w:t>
            </w:r>
          </w:p>
        </w:tc>
        <w:tc>
          <w:tcPr>
            <w:tcW w:w="1428" w:type="dxa"/>
            <w:shd w:val="clear" w:color="auto" w:fill="FFFFFF"/>
          </w:tcPr>
          <w:p w:rsidR="00000000" w:rsidRDefault="00000000">
            <w:pPr>
              <w:jc w:val="right"/>
              <w:rPr>
                <w:szCs w:val="22"/>
                <w:lang w:val="es-ES_tradnl"/>
              </w:rPr>
            </w:pPr>
            <w:r>
              <w:rPr>
                <w:szCs w:val="22"/>
                <w:lang w:val="es-ES_tradnl"/>
              </w:rPr>
              <w:t>1.774.415</w:t>
            </w:r>
          </w:p>
        </w:tc>
        <w:tc>
          <w:tcPr>
            <w:tcW w:w="1389" w:type="dxa"/>
            <w:shd w:val="clear" w:color="auto" w:fill="FFFFFF"/>
          </w:tcPr>
          <w:p w:rsidR="00000000" w:rsidRDefault="00000000">
            <w:pPr>
              <w:jc w:val="right"/>
            </w:pPr>
            <w:r>
              <w:rPr>
                <w:szCs w:val="22"/>
                <w:lang w:val="es-ES_tradnl"/>
              </w:rPr>
              <w:t>1.117.244</w:t>
            </w:r>
          </w:p>
        </w:tc>
      </w:tr>
    </w:tbl>
    <w:p w:rsidR="00000000" w:rsidRDefault="00000000">
      <w:pPr>
        <w:spacing w:before="240" w:after="480"/>
        <w:ind w:left="1080"/>
      </w:pPr>
      <w:r>
        <w:rPr>
          <w:i/>
          <w:iCs/>
          <w:szCs w:val="22"/>
          <w:lang w:val="es-ES_tradnl"/>
        </w:rPr>
        <w:t>Fuente</w:t>
      </w:r>
      <w:r>
        <w:rPr>
          <w:szCs w:val="22"/>
          <w:lang w:val="es-ES_tradnl"/>
        </w:rPr>
        <w:t xml:space="preserve">:  INEC, Encuesta </w:t>
      </w:r>
      <w:r>
        <w:rPr>
          <w:szCs w:val="23"/>
          <w:lang w:val="es-ES_tradnl"/>
        </w:rPr>
        <w:t>Urbana</w:t>
      </w:r>
      <w:r>
        <w:rPr>
          <w:szCs w:val="22"/>
          <w:lang w:val="es-ES_tradnl"/>
        </w:rPr>
        <w:t xml:space="preserve"> de </w:t>
      </w:r>
      <w:r>
        <w:rPr>
          <w:szCs w:val="23"/>
          <w:lang w:val="es-ES_tradnl"/>
        </w:rPr>
        <w:t>Empleo</w:t>
      </w:r>
      <w:r>
        <w:rPr>
          <w:szCs w:val="22"/>
          <w:lang w:val="es-ES_tradnl"/>
        </w:rPr>
        <w:t>, Subempleo y Desempleo.</w:t>
      </w:r>
    </w:p>
    <w:p w:rsidR="00000000" w:rsidRDefault="00000000">
      <w:pPr>
        <w:spacing w:after="240"/>
        <w:jc w:val="center"/>
        <w:rPr>
          <w:b/>
          <w:bCs/>
          <w:szCs w:val="22"/>
          <w:lang w:val="es-ES_tradnl"/>
        </w:rPr>
      </w:pPr>
      <w:r>
        <w:rPr>
          <w:b/>
          <w:bCs/>
          <w:szCs w:val="22"/>
          <w:lang w:val="es-ES_tradnl"/>
        </w:rPr>
        <w:t>Población total urbana (1998)</w:t>
      </w:r>
    </w:p>
    <w:tbl>
      <w:tblPr>
        <w:tblW w:w="0" w:type="auto"/>
        <w:jc w:val="center"/>
        <w:tblInd w:w="2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94"/>
        <w:gridCol w:w="1404"/>
        <w:gridCol w:w="1443"/>
        <w:gridCol w:w="1367"/>
      </w:tblGrid>
      <w:tr w:rsidR="00000000">
        <w:tblPrEx>
          <w:tblCellMar>
            <w:top w:w="0" w:type="dxa"/>
            <w:bottom w:w="0" w:type="dxa"/>
          </w:tblCellMar>
        </w:tblPrEx>
        <w:trPr>
          <w:jc w:val="center"/>
        </w:trPr>
        <w:tc>
          <w:tcPr>
            <w:tcW w:w="2894" w:type="dxa"/>
            <w:shd w:val="clear" w:color="auto" w:fill="FFFFFF"/>
          </w:tcPr>
          <w:p w:rsidR="00000000" w:rsidRDefault="00000000">
            <w:pPr>
              <w:jc w:val="center"/>
              <w:rPr>
                <w:szCs w:val="22"/>
                <w:lang w:val="es-ES_tradnl"/>
              </w:rPr>
            </w:pPr>
            <w:r>
              <w:rPr>
                <w:szCs w:val="22"/>
                <w:lang w:val="es-ES_tradnl"/>
              </w:rPr>
              <w:t>Grupos</w:t>
            </w:r>
          </w:p>
        </w:tc>
        <w:tc>
          <w:tcPr>
            <w:tcW w:w="1404" w:type="dxa"/>
            <w:shd w:val="clear" w:color="auto" w:fill="FFFFFF"/>
          </w:tcPr>
          <w:p w:rsidR="00000000" w:rsidRDefault="00000000">
            <w:pPr>
              <w:jc w:val="center"/>
              <w:rPr>
                <w:szCs w:val="22"/>
                <w:lang w:val="es-ES_tradnl"/>
              </w:rPr>
            </w:pPr>
            <w:r>
              <w:rPr>
                <w:szCs w:val="22"/>
                <w:lang w:val="es-ES_tradnl"/>
              </w:rPr>
              <w:t>Población</w:t>
            </w:r>
          </w:p>
        </w:tc>
        <w:tc>
          <w:tcPr>
            <w:tcW w:w="1443" w:type="dxa"/>
            <w:shd w:val="clear" w:color="auto" w:fill="FFFFFF"/>
          </w:tcPr>
          <w:p w:rsidR="00000000" w:rsidRDefault="00000000">
            <w:pPr>
              <w:jc w:val="center"/>
              <w:rPr>
                <w:szCs w:val="22"/>
                <w:lang w:val="es-ES_tradnl"/>
              </w:rPr>
            </w:pPr>
            <w:r>
              <w:rPr>
                <w:szCs w:val="22"/>
                <w:lang w:val="es-ES_tradnl"/>
              </w:rPr>
              <w:t>Hombres</w:t>
            </w:r>
          </w:p>
        </w:tc>
        <w:tc>
          <w:tcPr>
            <w:tcW w:w="1367" w:type="dxa"/>
            <w:shd w:val="clear" w:color="auto" w:fill="FFFFFF"/>
          </w:tcPr>
          <w:p w:rsidR="00000000" w:rsidRDefault="00000000">
            <w:pPr>
              <w:jc w:val="center"/>
              <w:rPr>
                <w:szCs w:val="22"/>
                <w:lang w:val="es-ES_tradnl"/>
              </w:rPr>
            </w:pPr>
            <w:r>
              <w:rPr>
                <w:szCs w:val="22"/>
                <w:lang w:val="es-ES_tradnl"/>
              </w:rPr>
              <w:t>Mujeres</w:t>
            </w:r>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es-ES_tradnl"/>
              </w:rPr>
            </w:pPr>
            <w:r>
              <w:rPr>
                <w:szCs w:val="22"/>
                <w:lang w:val="es-ES_tradnl"/>
              </w:rPr>
              <w:t>Población total</w:t>
            </w:r>
          </w:p>
        </w:tc>
        <w:tc>
          <w:tcPr>
            <w:tcW w:w="1404" w:type="dxa"/>
            <w:shd w:val="clear" w:color="auto" w:fill="FFFFFF"/>
          </w:tcPr>
          <w:p w:rsidR="00000000" w:rsidRDefault="00000000">
            <w:pPr>
              <w:jc w:val="right"/>
              <w:rPr>
                <w:szCs w:val="22"/>
                <w:lang w:val="es-ES_tradnl"/>
              </w:rPr>
            </w:pPr>
            <w:r>
              <w:rPr>
                <w:szCs w:val="22"/>
                <w:lang w:val="es-ES_tradnl"/>
              </w:rPr>
              <w:t>7.780.286</w:t>
            </w:r>
          </w:p>
        </w:tc>
        <w:tc>
          <w:tcPr>
            <w:tcW w:w="1443" w:type="dxa"/>
            <w:shd w:val="clear" w:color="auto" w:fill="FFFFFF"/>
          </w:tcPr>
          <w:p w:rsidR="00000000" w:rsidRDefault="00000000">
            <w:pPr>
              <w:jc w:val="right"/>
              <w:rPr>
                <w:szCs w:val="22"/>
                <w:lang w:val="es-ES_tradnl"/>
              </w:rPr>
            </w:pPr>
            <w:r>
              <w:rPr>
                <w:szCs w:val="22"/>
                <w:lang w:val="es-ES_tradnl"/>
              </w:rPr>
              <w:t>3.800.813</w:t>
            </w:r>
          </w:p>
        </w:tc>
        <w:tc>
          <w:tcPr>
            <w:tcW w:w="1367" w:type="dxa"/>
            <w:shd w:val="clear" w:color="auto" w:fill="FFFFFF"/>
          </w:tcPr>
          <w:p w:rsidR="00000000" w:rsidRDefault="00000000">
            <w:pPr>
              <w:jc w:val="right"/>
              <w:rPr>
                <w:szCs w:val="22"/>
                <w:lang w:val="es-ES_tradnl"/>
              </w:rPr>
            </w:pPr>
            <w:r>
              <w:rPr>
                <w:szCs w:val="22"/>
                <w:lang w:val="es-ES_tradnl"/>
              </w:rPr>
              <w:t>3.979.473</w:t>
            </w:r>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es-ES_tradnl"/>
              </w:rPr>
            </w:pPr>
            <w:r>
              <w:rPr>
                <w:szCs w:val="22"/>
                <w:lang w:val="es-ES_tradnl"/>
              </w:rPr>
              <w:t>Menores de 10 años</w:t>
            </w:r>
          </w:p>
        </w:tc>
        <w:tc>
          <w:tcPr>
            <w:tcW w:w="1404" w:type="dxa"/>
            <w:shd w:val="clear" w:color="auto" w:fill="FFFFFF"/>
          </w:tcPr>
          <w:p w:rsidR="00000000" w:rsidRDefault="00000000">
            <w:pPr>
              <w:jc w:val="right"/>
              <w:rPr>
                <w:szCs w:val="22"/>
                <w:lang w:val="fr-CH"/>
              </w:rPr>
            </w:pPr>
            <w:proofErr w:type="spellStart"/>
            <w:r>
              <w:rPr>
                <w:szCs w:val="22"/>
                <w:lang w:val="fr-CH"/>
              </w:rPr>
              <w:t>1.686.600</w:t>
            </w:r>
            <w:proofErr w:type="spellEnd"/>
          </w:p>
        </w:tc>
        <w:tc>
          <w:tcPr>
            <w:tcW w:w="1443" w:type="dxa"/>
            <w:shd w:val="clear" w:color="auto" w:fill="FFFFFF"/>
          </w:tcPr>
          <w:p w:rsidR="00000000" w:rsidRDefault="00000000">
            <w:pPr>
              <w:jc w:val="right"/>
              <w:rPr>
                <w:szCs w:val="22"/>
                <w:lang w:val="fr-CH"/>
              </w:rPr>
            </w:pPr>
            <w:proofErr w:type="spellStart"/>
            <w:r>
              <w:rPr>
                <w:szCs w:val="22"/>
                <w:lang w:val="fr-CH"/>
              </w:rPr>
              <w:t>881.700</w:t>
            </w:r>
            <w:proofErr w:type="spellEnd"/>
          </w:p>
        </w:tc>
        <w:tc>
          <w:tcPr>
            <w:tcW w:w="1367" w:type="dxa"/>
            <w:shd w:val="clear" w:color="auto" w:fill="FFFFFF"/>
          </w:tcPr>
          <w:p w:rsidR="00000000" w:rsidRDefault="00000000">
            <w:pPr>
              <w:jc w:val="right"/>
              <w:rPr>
                <w:szCs w:val="22"/>
                <w:lang w:val="fr-CH"/>
              </w:rPr>
            </w:pPr>
            <w:proofErr w:type="spellStart"/>
            <w:r>
              <w:rPr>
                <w:szCs w:val="22"/>
                <w:lang w:val="fr-CH"/>
              </w:rPr>
              <w:t>804.900</w:t>
            </w:r>
            <w:proofErr w:type="spellEnd"/>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fr-CH"/>
              </w:rPr>
            </w:pPr>
            <w:r>
              <w:rPr>
                <w:szCs w:val="22"/>
                <w:lang w:val="fr-CH"/>
              </w:rPr>
              <w:t>PET</w:t>
            </w:r>
          </w:p>
        </w:tc>
        <w:tc>
          <w:tcPr>
            <w:tcW w:w="1404" w:type="dxa"/>
            <w:shd w:val="clear" w:color="auto" w:fill="FFFFFF"/>
          </w:tcPr>
          <w:p w:rsidR="00000000" w:rsidRDefault="00000000">
            <w:pPr>
              <w:jc w:val="right"/>
              <w:rPr>
                <w:szCs w:val="22"/>
                <w:lang w:val="fr-CH"/>
              </w:rPr>
            </w:pPr>
            <w:proofErr w:type="spellStart"/>
            <w:r>
              <w:rPr>
                <w:szCs w:val="22"/>
                <w:lang w:val="fr-CH"/>
              </w:rPr>
              <w:t>6.093.686</w:t>
            </w:r>
            <w:proofErr w:type="spellEnd"/>
          </w:p>
        </w:tc>
        <w:tc>
          <w:tcPr>
            <w:tcW w:w="1443" w:type="dxa"/>
            <w:shd w:val="clear" w:color="auto" w:fill="FFFFFF"/>
          </w:tcPr>
          <w:p w:rsidR="00000000" w:rsidRDefault="00000000">
            <w:pPr>
              <w:jc w:val="right"/>
              <w:rPr>
                <w:szCs w:val="22"/>
                <w:lang w:val="fr-CH"/>
              </w:rPr>
            </w:pPr>
            <w:proofErr w:type="spellStart"/>
            <w:r>
              <w:rPr>
                <w:szCs w:val="22"/>
                <w:lang w:val="fr-CH"/>
              </w:rPr>
              <w:t>2.919.113</w:t>
            </w:r>
            <w:proofErr w:type="spellEnd"/>
          </w:p>
        </w:tc>
        <w:tc>
          <w:tcPr>
            <w:tcW w:w="1367" w:type="dxa"/>
            <w:shd w:val="clear" w:color="auto" w:fill="FFFFFF"/>
          </w:tcPr>
          <w:p w:rsidR="00000000" w:rsidRDefault="00000000">
            <w:pPr>
              <w:jc w:val="right"/>
              <w:rPr>
                <w:szCs w:val="22"/>
                <w:lang w:val="fr-CH"/>
              </w:rPr>
            </w:pPr>
            <w:proofErr w:type="spellStart"/>
            <w:r>
              <w:rPr>
                <w:szCs w:val="22"/>
                <w:lang w:val="fr-CH"/>
              </w:rPr>
              <w:t>3.174.573</w:t>
            </w:r>
            <w:proofErr w:type="spellEnd"/>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fr-CH"/>
              </w:rPr>
            </w:pPr>
            <w:r>
              <w:rPr>
                <w:szCs w:val="22"/>
                <w:lang w:val="fr-CH"/>
              </w:rPr>
              <w:t>PEI</w:t>
            </w:r>
          </w:p>
        </w:tc>
        <w:tc>
          <w:tcPr>
            <w:tcW w:w="1404" w:type="dxa"/>
            <w:shd w:val="clear" w:color="auto" w:fill="FFFFFF"/>
          </w:tcPr>
          <w:p w:rsidR="00000000" w:rsidRDefault="00000000">
            <w:pPr>
              <w:jc w:val="right"/>
              <w:rPr>
                <w:szCs w:val="22"/>
                <w:lang w:val="fr-CH"/>
              </w:rPr>
            </w:pPr>
            <w:r>
              <w:rPr>
                <w:szCs w:val="22"/>
                <w:lang w:val="fr-CH"/>
              </w:rPr>
              <w:t>2.533.202</w:t>
            </w:r>
          </w:p>
        </w:tc>
        <w:tc>
          <w:tcPr>
            <w:tcW w:w="1443" w:type="dxa"/>
            <w:shd w:val="clear" w:color="auto" w:fill="FFFFFF"/>
          </w:tcPr>
          <w:p w:rsidR="00000000" w:rsidRDefault="00000000">
            <w:pPr>
              <w:jc w:val="right"/>
              <w:rPr>
                <w:szCs w:val="22"/>
                <w:lang w:val="fr-CH"/>
              </w:rPr>
            </w:pPr>
            <w:r>
              <w:rPr>
                <w:szCs w:val="22"/>
                <w:lang w:val="fr-CH"/>
              </w:rPr>
              <w:t>822.851</w:t>
            </w:r>
          </w:p>
        </w:tc>
        <w:tc>
          <w:tcPr>
            <w:tcW w:w="1367" w:type="dxa"/>
            <w:shd w:val="clear" w:color="auto" w:fill="FFFFFF"/>
          </w:tcPr>
          <w:p w:rsidR="00000000" w:rsidRDefault="00000000">
            <w:pPr>
              <w:jc w:val="right"/>
              <w:rPr>
                <w:szCs w:val="22"/>
                <w:lang w:val="fr-CH"/>
              </w:rPr>
            </w:pPr>
            <w:r>
              <w:rPr>
                <w:szCs w:val="22"/>
                <w:lang w:val="fr-CH"/>
              </w:rPr>
              <w:t>1.710.351</w:t>
            </w:r>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fr-CH"/>
              </w:rPr>
            </w:pPr>
            <w:proofErr w:type="spellStart"/>
            <w:r>
              <w:rPr>
                <w:szCs w:val="22"/>
                <w:lang w:val="fr-CH"/>
              </w:rPr>
              <w:t>PEA</w:t>
            </w:r>
            <w:proofErr w:type="spellEnd"/>
          </w:p>
        </w:tc>
        <w:tc>
          <w:tcPr>
            <w:tcW w:w="1404" w:type="dxa"/>
            <w:shd w:val="clear" w:color="auto" w:fill="FFFFFF"/>
          </w:tcPr>
          <w:p w:rsidR="00000000" w:rsidRDefault="00000000">
            <w:pPr>
              <w:jc w:val="right"/>
              <w:rPr>
                <w:szCs w:val="22"/>
                <w:lang w:val="es-ES_tradnl"/>
              </w:rPr>
            </w:pPr>
            <w:r>
              <w:rPr>
                <w:szCs w:val="22"/>
                <w:lang w:val="es-ES_tradnl"/>
              </w:rPr>
              <w:t>3.560.484</w:t>
            </w:r>
          </w:p>
        </w:tc>
        <w:tc>
          <w:tcPr>
            <w:tcW w:w="1443" w:type="dxa"/>
            <w:shd w:val="clear" w:color="auto" w:fill="FFFFFF"/>
          </w:tcPr>
          <w:p w:rsidR="00000000" w:rsidRDefault="00000000">
            <w:pPr>
              <w:jc w:val="right"/>
              <w:rPr>
                <w:szCs w:val="22"/>
                <w:lang w:val="es-ES_tradnl"/>
              </w:rPr>
            </w:pPr>
            <w:r>
              <w:rPr>
                <w:szCs w:val="22"/>
                <w:lang w:val="es-ES_tradnl"/>
              </w:rPr>
              <w:t>2.096.262</w:t>
            </w:r>
          </w:p>
        </w:tc>
        <w:tc>
          <w:tcPr>
            <w:tcW w:w="1367" w:type="dxa"/>
            <w:shd w:val="clear" w:color="auto" w:fill="FFFFFF"/>
          </w:tcPr>
          <w:p w:rsidR="00000000" w:rsidRDefault="00000000">
            <w:pPr>
              <w:jc w:val="right"/>
              <w:rPr>
                <w:szCs w:val="22"/>
                <w:lang w:val="es-ES_tradnl"/>
              </w:rPr>
            </w:pPr>
            <w:r>
              <w:rPr>
                <w:szCs w:val="22"/>
                <w:lang w:val="es-ES_tradnl"/>
              </w:rPr>
              <w:t>1.464.222</w:t>
            </w:r>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es-ES_tradnl"/>
              </w:rPr>
            </w:pPr>
            <w:r>
              <w:rPr>
                <w:szCs w:val="22"/>
                <w:lang w:val="es-ES_tradnl"/>
              </w:rPr>
              <w:t>Desempleados</w:t>
            </w:r>
          </w:p>
        </w:tc>
        <w:tc>
          <w:tcPr>
            <w:tcW w:w="1404" w:type="dxa"/>
            <w:shd w:val="clear" w:color="auto" w:fill="FFFFFF"/>
          </w:tcPr>
          <w:p w:rsidR="00000000" w:rsidRDefault="00000000">
            <w:pPr>
              <w:jc w:val="right"/>
              <w:rPr>
                <w:szCs w:val="22"/>
                <w:lang w:val="es-ES_tradnl"/>
              </w:rPr>
            </w:pPr>
            <w:r>
              <w:rPr>
                <w:szCs w:val="22"/>
                <w:lang w:val="es-ES_tradnl"/>
              </w:rPr>
              <w:t>237.034</w:t>
            </w:r>
          </w:p>
        </w:tc>
        <w:tc>
          <w:tcPr>
            <w:tcW w:w="1443" w:type="dxa"/>
            <w:shd w:val="clear" w:color="auto" w:fill="FFFFFF"/>
          </w:tcPr>
          <w:p w:rsidR="00000000" w:rsidRDefault="00000000">
            <w:pPr>
              <w:jc w:val="right"/>
              <w:rPr>
                <w:szCs w:val="22"/>
                <w:lang w:val="es-ES_tradnl"/>
              </w:rPr>
            </w:pPr>
            <w:r>
              <w:rPr>
                <w:szCs w:val="22"/>
                <w:lang w:val="es-ES_tradnl"/>
              </w:rPr>
              <w:t>91.862</w:t>
            </w:r>
          </w:p>
        </w:tc>
        <w:tc>
          <w:tcPr>
            <w:tcW w:w="1367" w:type="dxa"/>
            <w:shd w:val="clear" w:color="auto" w:fill="FFFFFF"/>
          </w:tcPr>
          <w:p w:rsidR="00000000" w:rsidRDefault="00000000">
            <w:pPr>
              <w:jc w:val="right"/>
              <w:rPr>
                <w:szCs w:val="22"/>
                <w:lang w:val="es-ES_tradnl"/>
              </w:rPr>
            </w:pPr>
            <w:r>
              <w:rPr>
                <w:szCs w:val="22"/>
                <w:lang w:val="es-ES_tradnl"/>
              </w:rPr>
              <w:t>145.172</w:t>
            </w:r>
          </w:p>
        </w:tc>
      </w:tr>
      <w:tr w:rsidR="00000000">
        <w:tblPrEx>
          <w:tblCellMar>
            <w:top w:w="0" w:type="dxa"/>
            <w:bottom w:w="0" w:type="dxa"/>
          </w:tblCellMar>
        </w:tblPrEx>
        <w:trPr>
          <w:jc w:val="center"/>
        </w:trPr>
        <w:tc>
          <w:tcPr>
            <w:tcW w:w="2894" w:type="dxa"/>
            <w:shd w:val="clear" w:color="auto" w:fill="FFFFFF"/>
          </w:tcPr>
          <w:p w:rsidR="00000000" w:rsidRDefault="00000000">
            <w:pPr>
              <w:rPr>
                <w:szCs w:val="22"/>
                <w:lang w:val="es-ES_tradnl"/>
              </w:rPr>
            </w:pPr>
            <w:r>
              <w:rPr>
                <w:szCs w:val="22"/>
                <w:lang w:val="es-ES_tradnl"/>
              </w:rPr>
              <w:t>Ocupados</w:t>
            </w:r>
          </w:p>
        </w:tc>
        <w:tc>
          <w:tcPr>
            <w:tcW w:w="1404" w:type="dxa"/>
            <w:shd w:val="clear" w:color="auto" w:fill="FFFFFF"/>
          </w:tcPr>
          <w:p w:rsidR="00000000" w:rsidRDefault="00000000">
            <w:pPr>
              <w:jc w:val="right"/>
              <w:rPr>
                <w:szCs w:val="22"/>
                <w:lang w:val="es-ES_tradnl"/>
              </w:rPr>
            </w:pPr>
            <w:r>
              <w:rPr>
                <w:szCs w:val="22"/>
                <w:lang w:val="es-ES_tradnl"/>
              </w:rPr>
              <w:t>3.151.203</w:t>
            </w:r>
          </w:p>
        </w:tc>
        <w:tc>
          <w:tcPr>
            <w:tcW w:w="1443" w:type="dxa"/>
            <w:shd w:val="clear" w:color="auto" w:fill="FFFFFF"/>
          </w:tcPr>
          <w:p w:rsidR="00000000" w:rsidRDefault="00000000">
            <w:pPr>
              <w:jc w:val="right"/>
              <w:rPr>
                <w:szCs w:val="22"/>
                <w:lang w:val="es-ES_tradnl"/>
              </w:rPr>
            </w:pPr>
            <w:r>
              <w:rPr>
                <w:szCs w:val="22"/>
                <w:lang w:val="es-ES_tradnl"/>
              </w:rPr>
              <w:t>1.920.794</w:t>
            </w:r>
          </w:p>
        </w:tc>
        <w:tc>
          <w:tcPr>
            <w:tcW w:w="1367" w:type="dxa"/>
            <w:shd w:val="clear" w:color="auto" w:fill="FFFFFF"/>
          </w:tcPr>
          <w:p w:rsidR="00000000" w:rsidRDefault="00000000">
            <w:pPr>
              <w:jc w:val="right"/>
              <w:rPr>
                <w:szCs w:val="22"/>
                <w:lang w:val="es-ES_tradnl"/>
              </w:rPr>
            </w:pPr>
            <w:r>
              <w:rPr>
                <w:szCs w:val="22"/>
                <w:lang w:val="es-ES_tradnl"/>
              </w:rPr>
              <w:t>1.230.409</w:t>
            </w:r>
          </w:p>
        </w:tc>
      </w:tr>
    </w:tbl>
    <w:p w:rsidR="00000000" w:rsidRDefault="00000000">
      <w:pPr>
        <w:spacing w:before="240" w:after="480"/>
        <w:ind w:left="1080"/>
      </w:pPr>
      <w:r>
        <w:rPr>
          <w:i/>
          <w:iCs/>
          <w:szCs w:val="22"/>
          <w:lang w:val="es-ES_tradnl"/>
        </w:rPr>
        <w:t>Fuente</w:t>
      </w:r>
      <w:r>
        <w:rPr>
          <w:szCs w:val="22"/>
          <w:lang w:val="es-ES_tradnl"/>
        </w:rPr>
        <w:t xml:space="preserve">:  INEC, Encuesta Urbana de Empleo, </w:t>
      </w:r>
      <w:r>
        <w:rPr>
          <w:szCs w:val="23"/>
          <w:lang w:val="es-ES_tradnl"/>
        </w:rPr>
        <w:t>Subempleo</w:t>
      </w:r>
      <w:r>
        <w:rPr>
          <w:szCs w:val="22"/>
          <w:lang w:val="es-ES_tradnl"/>
        </w:rPr>
        <w:t xml:space="preserve"> y Desempleo.</w:t>
      </w:r>
    </w:p>
    <w:p w:rsidR="00000000" w:rsidRDefault="00000000">
      <w:pPr>
        <w:keepNext/>
        <w:keepLines/>
        <w:spacing w:after="240"/>
        <w:jc w:val="center"/>
        <w:rPr>
          <w:b/>
          <w:bCs/>
        </w:rPr>
      </w:pPr>
      <w:r>
        <w:rPr>
          <w:b/>
          <w:bCs/>
          <w:szCs w:val="22"/>
          <w:lang w:val="es-ES_tradnl"/>
        </w:rPr>
        <w:t>Población total urbana (1999)</w:t>
      </w:r>
    </w:p>
    <w:tbl>
      <w:tblPr>
        <w:tblW w:w="0" w:type="auto"/>
        <w:jc w:val="center"/>
        <w:tblInd w:w="2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9"/>
        <w:gridCol w:w="1680"/>
      </w:tblGrid>
      <w:tr w:rsidR="00000000">
        <w:tblPrEx>
          <w:tblCellMar>
            <w:top w:w="0" w:type="dxa"/>
            <w:bottom w:w="0" w:type="dxa"/>
          </w:tblCellMar>
        </w:tblPrEx>
        <w:trPr>
          <w:jc w:val="center"/>
        </w:trPr>
        <w:tc>
          <w:tcPr>
            <w:tcW w:w="3479" w:type="dxa"/>
            <w:shd w:val="clear" w:color="auto" w:fill="FFFFFF"/>
          </w:tcPr>
          <w:p w:rsidR="00000000" w:rsidRDefault="00000000">
            <w:pPr>
              <w:keepNext/>
              <w:keepLines/>
              <w:jc w:val="center"/>
              <w:rPr>
                <w:szCs w:val="22"/>
                <w:lang w:val="es-ES_tradnl"/>
              </w:rPr>
            </w:pPr>
            <w:r>
              <w:rPr>
                <w:szCs w:val="22"/>
                <w:lang w:val="es-ES_tradnl"/>
              </w:rPr>
              <w:t>Grupos</w:t>
            </w:r>
          </w:p>
        </w:tc>
        <w:tc>
          <w:tcPr>
            <w:tcW w:w="1680" w:type="dxa"/>
            <w:shd w:val="clear" w:color="auto" w:fill="FFFFFF"/>
          </w:tcPr>
          <w:p w:rsidR="00000000" w:rsidRDefault="00000000">
            <w:pPr>
              <w:keepNext/>
              <w:keepLines/>
              <w:jc w:val="center"/>
              <w:rPr>
                <w:szCs w:val="22"/>
                <w:lang w:val="es-ES_tradnl"/>
              </w:rPr>
            </w:pPr>
            <w:r>
              <w:rPr>
                <w:szCs w:val="22"/>
                <w:lang w:val="es-ES_tradnl"/>
              </w:rPr>
              <w:t>Población</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es-ES_tradnl"/>
              </w:rPr>
            </w:pPr>
            <w:r>
              <w:rPr>
                <w:szCs w:val="22"/>
                <w:lang w:val="es-ES_tradnl"/>
              </w:rPr>
              <w:t>Población total</w:t>
            </w:r>
          </w:p>
        </w:tc>
        <w:tc>
          <w:tcPr>
            <w:tcW w:w="1680" w:type="dxa"/>
            <w:shd w:val="clear" w:color="auto" w:fill="FFFFFF"/>
          </w:tcPr>
          <w:p w:rsidR="00000000" w:rsidRDefault="00000000">
            <w:pPr>
              <w:keepNext/>
              <w:keepLines/>
              <w:jc w:val="right"/>
            </w:pPr>
            <w:r>
              <w:rPr>
                <w:szCs w:val="22"/>
                <w:lang w:val="es-ES_tradnl"/>
              </w:rPr>
              <w:t>8.023.454</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es-ES_tradnl"/>
              </w:rPr>
            </w:pPr>
            <w:r>
              <w:rPr>
                <w:szCs w:val="22"/>
                <w:lang w:val="es-ES_tradnl"/>
              </w:rPr>
              <w:t>Menores de 10 años</w:t>
            </w:r>
          </w:p>
        </w:tc>
        <w:tc>
          <w:tcPr>
            <w:tcW w:w="1680" w:type="dxa"/>
            <w:shd w:val="clear" w:color="auto" w:fill="FFFFFF"/>
          </w:tcPr>
          <w:p w:rsidR="00000000" w:rsidRDefault="00000000">
            <w:pPr>
              <w:keepNext/>
              <w:keepLines/>
              <w:jc w:val="right"/>
              <w:rPr>
                <w:lang w:val="fr-CH"/>
              </w:rPr>
            </w:pPr>
            <w:proofErr w:type="spellStart"/>
            <w:r>
              <w:rPr>
                <w:szCs w:val="22"/>
                <w:lang w:val="fr-CH"/>
              </w:rPr>
              <w:t>1.742.514</w:t>
            </w:r>
            <w:proofErr w:type="spellEnd"/>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r>
              <w:rPr>
                <w:szCs w:val="22"/>
                <w:lang w:val="fr-CH"/>
              </w:rPr>
              <w:t>PET</w:t>
            </w:r>
          </w:p>
        </w:tc>
        <w:tc>
          <w:tcPr>
            <w:tcW w:w="1680" w:type="dxa"/>
            <w:shd w:val="clear" w:color="auto" w:fill="FFFFFF"/>
          </w:tcPr>
          <w:p w:rsidR="00000000" w:rsidRDefault="00000000">
            <w:pPr>
              <w:keepNext/>
              <w:keepLines/>
              <w:jc w:val="right"/>
              <w:rPr>
                <w:lang w:val="fr-CH"/>
              </w:rPr>
            </w:pPr>
            <w:proofErr w:type="spellStart"/>
            <w:r>
              <w:rPr>
                <w:szCs w:val="22"/>
                <w:lang w:val="fr-CH"/>
              </w:rPr>
              <w:t>6.280.940</w:t>
            </w:r>
            <w:proofErr w:type="spellEnd"/>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r>
              <w:rPr>
                <w:szCs w:val="22"/>
                <w:lang w:val="fr-CH"/>
              </w:rPr>
              <w:t>PEI</w:t>
            </w:r>
          </w:p>
        </w:tc>
        <w:tc>
          <w:tcPr>
            <w:tcW w:w="1680" w:type="dxa"/>
            <w:shd w:val="clear" w:color="auto" w:fill="FFFFFF"/>
          </w:tcPr>
          <w:p w:rsidR="00000000" w:rsidRDefault="00000000">
            <w:pPr>
              <w:keepNext/>
              <w:keepLines/>
              <w:jc w:val="right"/>
              <w:rPr>
                <w:lang w:val="fr-CH"/>
              </w:rPr>
            </w:pPr>
            <w:r>
              <w:rPr>
                <w:szCs w:val="22"/>
                <w:lang w:val="fr-CH"/>
              </w:rPr>
              <w:t>2.511.360</w:t>
            </w:r>
          </w:p>
        </w:tc>
      </w:tr>
      <w:tr w:rsidR="00000000">
        <w:tblPrEx>
          <w:tblCellMar>
            <w:top w:w="0" w:type="dxa"/>
            <w:bottom w:w="0" w:type="dxa"/>
          </w:tblCellMar>
        </w:tblPrEx>
        <w:trPr>
          <w:jc w:val="center"/>
        </w:trPr>
        <w:tc>
          <w:tcPr>
            <w:tcW w:w="3479" w:type="dxa"/>
            <w:shd w:val="clear" w:color="auto" w:fill="FFFFFF"/>
          </w:tcPr>
          <w:p w:rsidR="00000000" w:rsidRDefault="00000000">
            <w:pPr>
              <w:keepNext/>
              <w:keepLines/>
              <w:rPr>
                <w:szCs w:val="22"/>
                <w:lang w:val="fr-CH"/>
              </w:rPr>
            </w:pPr>
            <w:proofErr w:type="spellStart"/>
            <w:r>
              <w:rPr>
                <w:szCs w:val="22"/>
                <w:lang w:val="fr-CH"/>
              </w:rPr>
              <w:t>PEA</w:t>
            </w:r>
            <w:proofErr w:type="spellEnd"/>
          </w:p>
        </w:tc>
        <w:tc>
          <w:tcPr>
            <w:tcW w:w="1680" w:type="dxa"/>
            <w:shd w:val="clear" w:color="auto" w:fill="FFFFFF"/>
          </w:tcPr>
          <w:p w:rsidR="00000000" w:rsidRDefault="00000000">
            <w:pPr>
              <w:keepNext/>
              <w:keepLines/>
              <w:jc w:val="right"/>
            </w:pPr>
            <w:r>
              <w:rPr>
                <w:szCs w:val="22"/>
                <w:lang w:val="es-ES_tradnl"/>
              </w:rPr>
              <w:t>3.769.580</w:t>
            </w:r>
          </w:p>
        </w:tc>
      </w:tr>
      <w:tr w:rsidR="00000000">
        <w:tblPrEx>
          <w:tblCellMar>
            <w:top w:w="0" w:type="dxa"/>
            <w:bottom w:w="0" w:type="dxa"/>
          </w:tblCellMar>
        </w:tblPrEx>
        <w:trPr>
          <w:jc w:val="center"/>
        </w:trPr>
        <w:tc>
          <w:tcPr>
            <w:tcW w:w="3479" w:type="dxa"/>
            <w:shd w:val="clear" w:color="auto" w:fill="FFFFFF"/>
          </w:tcPr>
          <w:p w:rsidR="00000000" w:rsidRDefault="00000000">
            <w:pPr>
              <w:rPr>
                <w:szCs w:val="22"/>
                <w:lang w:val="es-ES_tradnl"/>
              </w:rPr>
            </w:pPr>
            <w:r>
              <w:rPr>
                <w:szCs w:val="22"/>
                <w:lang w:val="es-ES_tradnl"/>
              </w:rPr>
              <w:t>Desempleados</w:t>
            </w:r>
          </w:p>
        </w:tc>
        <w:tc>
          <w:tcPr>
            <w:tcW w:w="1680" w:type="dxa"/>
            <w:shd w:val="clear" w:color="auto" w:fill="FFFFFF"/>
          </w:tcPr>
          <w:p w:rsidR="00000000" w:rsidRDefault="00000000">
            <w:pPr>
              <w:jc w:val="right"/>
            </w:pPr>
            <w:r>
              <w:rPr>
                <w:szCs w:val="22"/>
                <w:lang w:val="es-ES_tradnl"/>
              </w:rPr>
              <w:t>543.452</w:t>
            </w:r>
          </w:p>
        </w:tc>
      </w:tr>
      <w:tr w:rsidR="00000000">
        <w:tblPrEx>
          <w:tblCellMar>
            <w:top w:w="0" w:type="dxa"/>
            <w:bottom w:w="0" w:type="dxa"/>
          </w:tblCellMar>
        </w:tblPrEx>
        <w:trPr>
          <w:jc w:val="center"/>
        </w:trPr>
        <w:tc>
          <w:tcPr>
            <w:tcW w:w="3479" w:type="dxa"/>
            <w:shd w:val="clear" w:color="auto" w:fill="FFFFFF"/>
          </w:tcPr>
          <w:p w:rsidR="00000000" w:rsidRDefault="00000000">
            <w:pPr>
              <w:rPr>
                <w:szCs w:val="22"/>
                <w:lang w:val="es-ES_tradnl"/>
              </w:rPr>
            </w:pPr>
            <w:r>
              <w:rPr>
                <w:szCs w:val="22"/>
                <w:lang w:val="es-ES_tradnl"/>
              </w:rPr>
              <w:t>Ocupados</w:t>
            </w:r>
          </w:p>
        </w:tc>
        <w:tc>
          <w:tcPr>
            <w:tcW w:w="1680" w:type="dxa"/>
            <w:shd w:val="clear" w:color="auto" w:fill="FFFFFF"/>
          </w:tcPr>
          <w:p w:rsidR="00000000" w:rsidRDefault="00000000">
            <w:pPr>
              <w:jc w:val="right"/>
            </w:pPr>
            <w:r>
              <w:rPr>
                <w:szCs w:val="22"/>
                <w:lang w:val="es-ES_tradnl"/>
              </w:rPr>
              <w:t>3.226.128</w:t>
            </w:r>
          </w:p>
        </w:tc>
      </w:tr>
    </w:tbl>
    <w:p w:rsidR="00000000" w:rsidRDefault="00000000">
      <w:pPr>
        <w:spacing w:before="240" w:after="480"/>
        <w:ind w:left="2041"/>
      </w:pPr>
      <w:r>
        <w:rPr>
          <w:i/>
          <w:iCs/>
          <w:szCs w:val="23"/>
          <w:lang w:val="es-ES_tradnl"/>
        </w:rPr>
        <w:t>Fuente</w:t>
      </w:r>
      <w:r>
        <w:rPr>
          <w:szCs w:val="23"/>
          <w:lang w:val="es-ES_tradnl"/>
        </w:rPr>
        <w:t xml:space="preserve">:  INEC, Encuesta Urbana de </w:t>
      </w:r>
      <w:r>
        <w:rPr>
          <w:szCs w:val="22"/>
          <w:lang w:val="es-ES_tradnl"/>
        </w:rPr>
        <w:t>Empleo</w:t>
      </w:r>
      <w:r>
        <w:rPr>
          <w:szCs w:val="23"/>
          <w:lang w:val="es-ES_tradnl"/>
        </w:rPr>
        <w:t xml:space="preserve">, Subempleo </w:t>
      </w:r>
      <w:r>
        <w:rPr>
          <w:szCs w:val="23"/>
          <w:lang w:val="es-ES_tradnl"/>
        </w:rPr>
        <w:br/>
        <w:t>y Desempleo.</w:t>
      </w:r>
    </w:p>
    <w:p w:rsidR="00000000" w:rsidRDefault="00000000">
      <w:pPr>
        <w:spacing w:after="240"/>
      </w:pPr>
      <w:r>
        <w:rPr>
          <w:lang w:val="es-ES_tradnl"/>
        </w:rPr>
        <w:t>60.</w:t>
      </w:r>
      <w:r>
        <w:rPr>
          <w:lang w:val="es-ES_tradnl"/>
        </w:rPr>
        <w:tab/>
        <w:t>El crecimiento de la PEA confirma la tendencia que ha tenido desde hace varios años atrás, por lo que cada vez es mayor el número de personas que ingresan a la actividad económica.  Así, para noviembre de 1990 la tasa de participación global (</w:t>
      </w:r>
      <w:proofErr w:type="spellStart"/>
      <w:r>
        <w:rPr>
          <w:lang w:val="es-ES_tradnl"/>
        </w:rPr>
        <w:t>PEA/PET</w:t>
      </w:r>
      <w:proofErr w:type="spellEnd"/>
      <w:r>
        <w:rPr>
          <w:lang w:val="es-ES_tradnl"/>
        </w:rPr>
        <w:t>) fue de 52,34%, y de 58,43% para 1998 y en 1999 la tasa de participación fue de 60%.</w:t>
      </w:r>
    </w:p>
    <w:p w:rsidR="00000000" w:rsidRDefault="00000000">
      <w:pPr>
        <w:spacing w:after="240"/>
      </w:pPr>
      <w:r>
        <w:rPr>
          <w:lang w:val="es-ES_tradnl"/>
        </w:rPr>
        <w:t>61.</w:t>
      </w:r>
      <w:r>
        <w:rPr>
          <w:lang w:val="es-ES_tradnl"/>
        </w:rPr>
        <w:tab/>
        <w:t>Las mujeres, según la encuesta de empleo, desempleo y subempleo del área urbana realizada en el mes de noviembre de 1998, son las más afectadas por la desocupación.  Un 15,9% de las mujeres son económicamente inactivas, mientras que los hombres son afectados un 8,3%, es decir, que las mujeres se encuentran en desigualdad de oportunidades frente a los hombres.</w:t>
      </w:r>
    </w:p>
    <w:p w:rsidR="00000000" w:rsidRDefault="00000000">
      <w:pPr>
        <w:spacing w:after="240"/>
      </w:pPr>
      <w:r>
        <w:rPr>
          <w:lang w:val="es-ES_tradnl"/>
        </w:rPr>
        <w:t>62.</w:t>
      </w:r>
      <w:r>
        <w:rPr>
          <w:lang w:val="es-ES_tradnl"/>
        </w:rPr>
        <w:tab/>
        <w:t>El mercado de trabajo es diferente para las mujeres y los hombres de todo el país:   más hombres que mujeres encuentran trabajos asalariados, en tanto que las mujeres tienden a concentrarse en actividades por cuenta propia y en el trabajo de la familia sin remuneración.  En el campo, las oportunidades que tienen las mujeres, especialmente las campesinas e indígenas, de emplearse en los sectores público y privado o de dirigir sus propios negocios son mucho menores que en las ciudades</w:t>
      </w:r>
      <w:r>
        <w:rPr>
          <w:rStyle w:val="FootnoteReference"/>
          <w:lang w:val="es-ES_tradnl"/>
        </w:rPr>
        <w:footnoteReference w:id="16"/>
      </w:r>
      <w:r>
        <w:rPr>
          <w:lang w:val="es-ES_tradnl"/>
        </w:rPr>
        <w:t>.</w:t>
      </w:r>
    </w:p>
    <w:p w:rsidR="00000000" w:rsidRDefault="00000000">
      <w:pPr>
        <w:spacing w:after="240"/>
      </w:pPr>
      <w:r>
        <w:rPr>
          <w:lang w:val="es-ES_tradnl"/>
        </w:rPr>
        <w:t>63.</w:t>
      </w:r>
      <w:r>
        <w:rPr>
          <w:lang w:val="es-ES_tradnl"/>
        </w:rPr>
        <w:tab/>
        <w:t>En el sector rural se esperaba, como resultado del incremento de las exportaciones, una significativa recuperación de la demanda de la mano de obra.  Sin embargo, este fenómeno ha sido moderado e insuficiente debido fundamentalmente a los destrozos originados por el fenómeno de El Niño, que afectó a la Costa en 1997 y 1998 y que incidió negativamente en la producción agrícola y pecuaria (que cayó en 0,8%) a lo que se agrega la destrucción del 80% de las vías de la Costa, la infraestructura hospitalaria también resultó afectada en, al menos, 23 instalaciones de salud.</w:t>
      </w:r>
    </w:p>
    <w:p w:rsidR="00000000" w:rsidRDefault="00000000">
      <w:pPr>
        <w:keepNext/>
        <w:keepLines/>
        <w:spacing w:after="240"/>
        <w:jc w:val="center"/>
        <w:rPr>
          <w:b/>
          <w:bCs/>
          <w:szCs w:val="23"/>
          <w:lang w:val="es-ES_tradnl"/>
        </w:rPr>
      </w:pPr>
      <w:r>
        <w:rPr>
          <w:b/>
          <w:bCs/>
          <w:szCs w:val="23"/>
          <w:lang w:val="es-ES_tradnl"/>
        </w:rPr>
        <w:t>Exportaciones tradicionales</w:t>
      </w:r>
    </w:p>
    <w:p w:rsidR="00000000" w:rsidRDefault="00000000">
      <w:pPr>
        <w:keepNext/>
        <w:keepLines/>
        <w:spacing w:after="240"/>
        <w:jc w:val="center"/>
        <w:rPr>
          <w:b/>
          <w:bCs/>
        </w:rPr>
      </w:pPr>
      <w:r>
        <w:rPr>
          <w:b/>
          <w:bCs/>
          <w:szCs w:val="23"/>
          <w:lang w:val="es-ES_tradnl"/>
        </w:rPr>
        <w:t xml:space="preserve">(En millones de dólares </w:t>
      </w:r>
      <w:proofErr w:type="spellStart"/>
      <w:r>
        <w:rPr>
          <w:b/>
          <w:bCs/>
          <w:szCs w:val="23"/>
          <w:lang w:val="es-ES_tradnl"/>
        </w:rPr>
        <w:t>f.o.b</w:t>
      </w:r>
      <w:proofErr w:type="spellEnd"/>
      <w:r>
        <w:rPr>
          <w:b/>
          <w:bCs/>
          <w:szCs w:val="23"/>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1237"/>
        <w:gridCol w:w="1237"/>
        <w:gridCol w:w="1237"/>
        <w:gridCol w:w="1237"/>
        <w:gridCol w:w="1237"/>
      </w:tblGrid>
      <w:tr w:rsidR="00000000">
        <w:tblPrEx>
          <w:tblCellMar>
            <w:top w:w="0" w:type="dxa"/>
            <w:bottom w:w="0" w:type="dxa"/>
          </w:tblCellMar>
        </w:tblPrEx>
        <w:tc>
          <w:tcPr>
            <w:tcW w:w="3310" w:type="dxa"/>
          </w:tcPr>
          <w:p w:rsidR="00000000" w:rsidRDefault="00000000">
            <w:pPr>
              <w:keepNext/>
              <w:keepLines/>
              <w:rPr>
                <w:szCs w:val="23"/>
                <w:lang w:val="es-ES_tradnl"/>
              </w:rPr>
            </w:pPr>
          </w:p>
        </w:tc>
        <w:tc>
          <w:tcPr>
            <w:tcW w:w="1237" w:type="dxa"/>
          </w:tcPr>
          <w:p w:rsidR="00000000" w:rsidRDefault="00000000">
            <w:pPr>
              <w:keepNext/>
              <w:keepLines/>
              <w:jc w:val="center"/>
              <w:rPr>
                <w:szCs w:val="23"/>
                <w:lang w:val="es-ES_tradnl"/>
              </w:rPr>
            </w:pPr>
            <w:r>
              <w:rPr>
                <w:szCs w:val="23"/>
                <w:lang w:val="es-ES_tradnl"/>
              </w:rPr>
              <w:t>1995</w:t>
            </w:r>
          </w:p>
        </w:tc>
        <w:tc>
          <w:tcPr>
            <w:tcW w:w="1237" w:type="dxa"/>
          </w:tcPr>
          <w:p w:rsidR="00000000" w:rsidRDefault="00000000">
            <w:pPr>
              <w:keepNext/>
              <w:keepLines/>
              <w:jc w:val="center"/>
              <w:rPr>
                <w:szCs w:val="23"/>
                <w:lang w:val="es-ES_tradnl"/>
              </w:rPr>
            </w:pPr>
            <w:r>
              <w:rPr>
                <w:szCs w:val="23"/>
                <w:lang w:val="es-ES_tradnl"/>
              </w:rPr>
              <w:t>1996</w:t>
            </w:r>
          </w:p>
        </w:tc>
        <w:tc>
          <w:tcPr>
            <w:tcW w:w="1237" w:type="dxa"/>
          </w:tcPr>
          <w:p w:rsidR="00000000" w:rsidRDefault="00000000">
            <w:pPr>
              <w:keepNext/>
              <w:keepLines/>
              <w:jc w:val="center"/>
              <w:rPr>
                <w:szCs w:val="23"/>
                <w:lang w:val="es-ES_tradnl"/>
              </w:rPr>
            </w:pPr>
            <w:r>
              <w:rPr>
                <w:szCs w:val="23"/>
                <w:lang w:val="es-ES_tradnl"/>
              </w:rPr>
              <w:t>1997</w:t>
            </w:r>
          </w:p>
        </w:tc>
        <w:tc>
          <w:tcPr>
            <w:tcW w:w="1237" w:type="dxa"/>
          </w:tcPr>
          <w:p w:rsidR="00000000" w:rsidRDefault="00000000">
            <w:pPr>
              <w:keepNext/>
              <w:keepLines/>
              <w:jc w:val="center"/>
              <w:rPr>
                <w:szCs w:val="23"/>
                <w:lang w:val="es-ES_tradnl"/>
              </w:rPr>
            </w:pPr>
            <w:r>
              <w:rPr>
                <w:szCs w:val="23"/>
                <w:lang w:val="es-ES_tradnl"/>
              </w:rPr>
              <w:t>1998</w:t>
            </w:r>
          </w:p>
        </w:tc>
        <w:tc>
          <w:tcPr>
            <w:tcW w:w="1237" w:type="dxa"/>
          </w:tcPr>
          <w:p w:rsidR="00000000" w:rsidRDefault="00000000">
            <w:pPr>
              <w:keepNext/>
              <w:keepLines/>
              <w:jc w:val="center"/>
              <w:rPr>
                <w:szCs w:val="23"/>
                <w:lang w:val="es-ES_tradnl"/>
              </w:rPr>
            </w:pPr>
            <w:r>
              <w:rPr>
                <w:szCs w:val="23"/>
                <w:lang w:val="es-ES_tradnl"/>
              </w:rPr>
              <w:t>1999</w:t>
            </w:r>
          </w:p>
        </w:tc>
      </w:tr>
      <w:tr w:rsidR="00000000">
        <w:tblPrEx>
          <w:tblCellMar>
            <w:top w:w="0" w:type="dxa"/>
            <w:bottom w:w="0" w:type="dxa"/>
          </w:tblCellMar>
        </w:tblPrEx>
        <w:tc>
          <w:tcPr>
            <w:tcW w:w="3310" w:type="dxa"/>
          </w:tcPr>
          <w:p w:rsidR="00000000" w:rsidRDefault="00000000">
            <w:pPr>
              <w:keepNext/>
              <w:keepLines/>
              <w:rPr>
                <w:szCs w:val="23"/>
                <w:lang w:val="es-ES_tradnl"/>
              </w:rPr>
            </w:pPr>
            <w:r>
              <w:rPr>
                <w:szCs w:val="23"/>
                <w:lang w:val="es-ES_tradnl"/>
              </w:rPr>
              <w:t>Banano</w:t>
            </w:r>
          </w:p>
        </w:tc>
        <w:tc>
          <w:tcPr>
            <w:tcW w:w="1237" w:type="dxa"/>
          </w:tcPr>
          <w:p w:rsidR="00000000" w:rsidRDefault="00000000">
            <w:pPr>
              <w:keepNext/>
              <w:keepLines/>
              <w:ind w:right="87"/>
              <w:jc w:val="right"/>
              <w:rPr>
                <w:szCs w:val="23"/>
                <w:lang w:val="es-ES_tradnl"/>
              </w:rPr>
            </w:pPr>
            <w:r>
              <w:rPr>
                <w:szCs w:val="23"/>
                <w:lang w:val="es-ES_tradnl"/>
              </w:rPr>
              <w:t>857</w:t>
            </w:r>
          </w:p>
        </w:tc>
        <w:tc>
          <w:tcPr>
            <w:tcW w:w="1237" w:type="dxa"/>
          </w:tcPr>
          <w:p w:rsidR="00000000" w:rsidRDefault="00000000">
            <w:pPr>
              <w:keepNext/>
              <w:keepLines/>
              <w:ind w:right="87"/>
              <w:jc w:val="right"/>
              <w:rPr>
                <w:szCs w:val="23"/>
                <w:lang w:val="es-ES_tradnl"/>
              </w:rPr>
            </w:pPr>
            <w:r>
              <w:rPr>
                <w:szCs w:val="23"/>
                <w:lang w:val="es-ES_tradnl"/>
              </w:rPr>
              <w:t>973</w:t>
            </w:r>
          </w:p>
        </w:tc>
        <w:tc>
          <w:tcPr>
            <w:tcW w:w="1237" w:type="dxa"/>
          </w:tcPr>
          <w:p w:rsidR="00000000" w:rsidRDefault="00000000">
            <w:pPr>
              <w:keepNext/>
              <w:keepLines/>
              <w:ind w:right="87"/>
              <w:jc w:val="right"/>
              <w:rPr>
                <w:szCs w:val="23"/>
                <w:lang w:val="es-ES_tradnl"/>
              </w:rPr>
            </w:pPr>
            <w:r>
              <w:rPr>
                <w:szCs w:val="23"/>
                <w:lang w:val="es-ES_tradnl"/>
              </w:rPr>
              <w:t>1.327</w:t>
            </w:r>
          </w:p>
        </w:tc>
        <w:tc>
          <w:tcPr>
            <w:tcW w:w="1237" w:type="dxa"/>
          </w:tcPr>
          <w:p w:rsidR="00000000" w:rsidRDefault="00000000">
            <w:pPr>
              <w:keepNext/>
              <w:keepLines/>
              <w:ind w:right="87"/>
              <w:jc w:val="right"/>
              <w:rPr>
                <w:szCs w:val="23"/>
                <w:lang w:val="es-ES_tradnl"/>
              </w:rPr>
            </w:pPr>
            <w:r>
              <w:rPr>
                <w:szCs w:val="23"/>
                <w:lang w:val="es-ES_tradnl"/>
              </w:rPr>
              <w:t>1.070</w:t>
            </w:r>
          </w:p>
        </w:tc>
        <w:tc>
          <w:tcPr>
            <w:tcW w:w="1237" w:type="dxa"/>
          </w:tcPr>
          <w:p w:rsidR="00000000" w:rsidRDefault="00000000">
            <w:pPr>
              <w:keepNext/>
              <w:keepLines/>
              <w:ind w:right="87"/>
              <w:jc w:val="right"/>
              <w:rPr>
                <w:szCs w:val="23"/>
                <w:lang w:val="es-ES_tradnl"/>
              </w:rPr>
            </w:pPr>
            <w:r>
              <w:rPr>
                <w:szCs w:val="23"/>
                <w:lang w:val="es-ES_tradnl"/>
              </w:rPr>
              <w:t>954</w:t>
            </w:r>
          </w:p>
        </w:tc>
      </w:tr>
      <w:tr w:rsidR="00000000">
        <w:tblPrEx>
          <w:tblCellMar>
            <w:top w:w="0" w:type="dxa"/>
            <w:bottom w:w="0" w:type="dxa"/>
          </w:tblCellMar>
        </w:tblPrEx>
        <w:tc>
          <w:tcPr>
            <w:tcW w:w="3310" w:type="dxa"/>
          </w:tcPr>
          <w:p w:rsidR="00000000" w:rsidRDefault="00000000">
            <w:pPr>
              <w:rPr>
                <w:szCs w:val="23"/>
                <w:lang w:val="es-ES_tradnl"/>
              </w:rPr>
            </w:pPr>
            <w:r>
              <w:rPr>
                <w:szCs w:val="23"/>
                <w:lang w:val="es-ES_tradnl"/>
              </w:rPr>
              <w:t>Café en grano y elaborado</w:t>
            </w:r>
          </w:p>
        </w:tc>
        <w:tc>
          <w:tcPr>
            <w:tcW w:w="1237" w:type="dxa"/>
          </w:tcPr>
          <w:p w:rsidR="00000000" w:rsidRDefault="00000000">
            <w:pPr>
              <w:ind w:right="87"/>
              <w:jc w:val="right"/>
              <w:rPr>
                <w:szCs w:val="23"/>
                <w:lang w:val="es-ES_tradnl"/>
              </w:rPr>
            </w:pPr>
            <w:r>
              <w:rPr>
                <w:szCs w:val="23"/>
                <w:lang w:val="es-ES_tradnl"/>
              </w:rPr>
              <w:t>244</w:t>
            </w:r>
          </w:p>
        </w:tc>
        <w:tc>
          <w:tcPr>
            <w:tcW w:w="1237" w:type="dxa"/>
          </w:tcPr>
          <w:p w:rsidR="00000000" w:rsidRDefault="00000000">
            <w:pPr>
              <w:ind w:right="87"/>
              <w:jc w:val="right"/>
              <w:rPr>
                <w:szCs w:val="23"/>
                <w:lang w:val="es-ES_tradnl"/>
              </w:rPr>
            </w:pPr>
            <w:r>
              <w:rPr>
                <w:szCs w:val="23"/>
                <w:lang w:val="es-ES_tradnl"/>
              </w:rPr>
              <w:t>160</w:t>
            </w:r>
          </w:p>
        </w:tc>
        <w:tc>
          <w:tcPr>
            <w:tcW w:w="1237" w:type="dxa"/>
          </w:tcPr>
          <w:p w:rsidR="00000000" w:rsidRDefault="00000000">
            <w:pPr>
              <w:ind w:right="87"/>
              <w:jc w:val="right"/>
              <w:rPr>
                <w:szCs w:val="23"/>
                <w:lang w:val="es-ES_tradnl"/>
              </w:rPr>
            </w:pPr>
            <w:r>
              <w:rPr>
                <w:szCs w:val="23"/>
                <w:lang w:val="es-ES_tradnl"/>
              </w:rPr>
              <w:t>121</w:t>
            </w:r>
          </w:p>
        </w:tc>
        <w:tc>
          <w:tcPr>
            <w:tcW w:w="1237" w:type="dxa"/>
          </w:tcPr>
          <w:p w:rsidR="00000000" w:rsidRDefault="00000000">
            <w:pPr>
              <w:ind w:right="87"/>
              <w:jc w:val="right"/>
              <w:rPr>
                <w:szCs w:val="23"/>
                <w:lang w:val="es-ES_tradnl"/>
              </w:rPr>
            </w:pPr>
            <w:r>
              <w:rPr>
                <w:szCs w:val="23"/>
                <w:lang w:val="es-ES_tradnl"/>
              </w:rPr>
              <w:t>105</w:t>
            </w:r>
          </w:p>
        </w:tc>
        <w:tc>
          <w:tcPr>
            <w:tcW w:w="1237" w:type="dxa"/>
          </w:tcPr>
          <w:p w:rsidR="00000000" w:rsidRDefault="00000000">
            <w:pPr>
              <w:ind w:right="87"/>
              <w:jc w:val="right"/>
              <w:rPr>
                <w:szCs w:val="23"/>
                <w:lang w:val="es-ES_tradnl"/>
              </w:rPr>
            </w:pPr>
            <w:r>
              <w:rPr>
                <w:szCs w:val="23"/>
                <w:lang w:val="es-ES_tradnl"/>
              </w:rPr>
              <w:t>78</w:t>
            </w:r>
          </w:p>
        </w:tc>
      </w:tr>
      <w:tr w:rsidR="00000000">
        <w:tblPrEx>
          <w:tblCellMar>
            <w:top w:w="0" w:type="dxa"/>
            <w:bottom w:w="0" w:type="dxa"/>
          </w:tblCellMar>
        </w:tblPrEx>
        <w:tc>
          <w:tcPr>
            <w:tcW w:w="3310" w:type="dxa"/>
          </w:tcPr>
          <w:p w:rsidR="00000000" w:rsidRDefault="00000000">
            <w:pPr>
              <w:rPr>
                <w:szCs w:val="23"/>
                <w:lang w:val="es-ES_tradnl"/>
              </w:rPr>
            </w:pPr>
            <w:r>
              <w:rPr>
                <w:szCs w:val="23"/>
                <w:lang w:val="es-ES_tradnl"/>
              </w:rPr>
              <w:t>Cacao en grano y elaborado</w:t>
            </w:r>
          </w:p>
        </w:tc>
        <w:tc>
          <w:tcPr>
            <w:tcW w:w="1237" w:type="dxa"/>
          </w:tcPr>
          <w:p w:rsidR="00000000" w:rsidRDefault="00000000">
            <w:pPr>
              <w:ind w:right="87"/>
              <w:jc w:val="right"/>
              <w:rPr>
                <w:szCs w:val="23"/>
                <w:lang w:val="es-ES_tradnl"/>
              </w:rPr>
            </w:pPr>
            <w:r>
              <w:rPr>
                <w:szCs w:val="23"/>
                <w:lang w:val="es-ES_tradnl"/>
              </w:rPr>
              <w:t>133</w:t>
            </w:r>
          </w:p>
        </w:tc>
        <w:tc>
          <w:tcPr>
            <w:tcW w:w="1237" w:type="dxa"/>
          </w:tcPr>
          <w:p w:rsidR="00000000" w:rsidRDefault="00000000">
            <w:pPr>
              <w:ind w:right="87"/>
              <w:jc w:val="right"/>
              <w:rPr>
                <w:szCs w:val="23"/>
                <w:lang w:val="es-ES_tradnl"/>
              </w:rPr>
            </w:pPr>
            <w:r>
              <w:rPr>
                <w:szCs w:val="23"/>
                <w:lang w:val="es-ES_tradnl"/>
              </w:rPr>
              <w:t>164</w:t>
            </w:r>
          </w:p>
        </w:tc>
        <w:tc>
          <w:tcPr>
            <w:tcW w:w="1237" w:type="dxa"/>
          </w:tcPr>
          <w:p w:rsidR="00000000" w:rsidRDefault="00000000">
            <w:pPr>
              <w:ind w:right="87"/>
              <w:jc w:val="right"/>
              <w:rPr>
                <w:szCs w:val="23"/>
                <w:lang w:val="es-ES_tradnl"/>
              </w:rPr>
            </w:pPr>
            <w:r>
              <w:rPr>
                <w:szCs w:val="23"/>
                <w:lang w:val="es-ES_tradnl"/>
              </w:rPr>
              <w:t>132</w:t>
            </w:r>
          </w:p>
        </w:tc>
        <w:tc>
          <w:tcPr>
            <w:tcW w:w="1237" w:type="dxa"/>
          </w:tcPr>
          <w:p w:rsidR="00000000" w:rsidRDefault="00000000">
            <w:pPr>
              <w:ind w:right="87"/>
              <w:jc w:val="right"/>
              <w:rPr>
                <w:szCs w:val="23"/>
                <w:lang w:val="es-ES_tradnl"/>
              </w:rPr>
            </w:pPr>
            <w:r>
              <w:rPr>
                <w:szCs w:val="23"/>
                <w:lang w:val="es-ES_tradnl"/>
              </w:rPr>
              <w:t>47</w:t>
            </w:r>
          </w:p>
        </w:tc>
        <w:tc>
          <w:tcPr>
            <w:tcW w:w="1237" w:type="dxa"/>
          </w:tcPr>
          <w:p w:rsidR="00000000" w:rsidRDefault="00000000">
            <w:pPr>
              <w:ind w:right="87"/>
              <w:jc w:val="right"/>
              <w:rPr>
                <w:szCs w:val="23"/>
                <w:lang w:val="es-ES_tradnl"/>
              </w:rPr>
            </w:pPr>
            <w:r>
              <w:rPr>
                <w:szCs w:val="23"/>
                <w:lang w:val="es-ES_tradnl"/>
              </w:rPr>
              <w:t>106</w:t>
            </w:r>
          </w:p>
        </w:tc>
      </w:tr>
      <w:tr w:rsidR="00000000">
        <w:tblPrEx>
          <w:tblCellMar>
            <w:top w:w="0" w:type="dxa"/>
            <w:bottom w:w="0" w:type="dxa"/>
          </w:tblCellMar>
        </w:tblPrEx>
        <w:tc>
          <w:tcPr>
            <w:tcW w:w="3310" w:type="dxa"/>
          </w:tcPr>
          <w:p w:rsidR="00000000" w:rsidRDefault="00000000">
            <w:pPr>
              <w:rPr>
                <w:szCs w:val="23"/>
                <w:lang w:val="es-ES_tradnl"/>
              </w:rPr>
            </w:pPr>
            <w:r>
              <w:rPr>
                <w:szCs w:val="23"/>
                <w:lang w:val="es-ES_tradnl"/>
              </w:rPr>
              <w:t>Atún y pescado</w:t>
            </w:r>
          </w:p>
        </w:tc>
        <w:tc>
          <w:tcPr>
            <w:tcW w:w="1237" w:type="dxa"/>
          </w:tcPr>
          <w:p w:rsidR="00000000" w:rsidRDefault="00000000">
            <w:pPr>
              <w:ind w:right="87"/>
              <w:jc w:val="right"/>
              <w:rPr>
                <w:szCs w:val="23"/>
                <w:lang w:val="es-ES_tradnl"/>
              </w:rPr>
            </w:pPr>
            <w:r>
              <w:rPr>
                <w:szCs w:val="23"/>
                <w:lang w:val="es-ES_tradnl"/>
              </w:rPr>
              <w:t>89</w:t>
            </w:r>
          </w:p>
        </w:tc>
        <w:tc>
          <w:tcPr>
            <w:tcW w:w="1237" w:type="dxa"/>
          </w:tcPr>
          <w:p w:rsidR="00000000" w:rsidRDefault="00000000">
            <w:pPr>
              <w:ind w:right="87"/>
              <w:jc w:val="right"/>
              <w:rPr>
                <w:szCs w:val="23"/>
                <w:lang w:val="es-ES_tradnl"/>
              </w:rPr>
            </w:pPr>
            <w:r>
              <w:rPr>
                <w:szCs w:val="23"/>
                <w:lang w:val="es-ES_tradnl"/>
              </w:rPr>
              <w:t>85</w:t>
            </w:r>
          </w:p>
        </w:tc>
        <w:tc>
          <w:tcPr>
            <w:tcW w:w="1237" w:type="dxa"/>
          </w:tcPr>
          <w:p w:rsidR="00000000" w:rsidRDefault="00000000">
            <w:pPr>
              <w:ind w:right="87"/>
              <w:jc w:val="right"/>
              <w:rPr>
                <w:szCs w:val="23"/>
                <w:lang w:val="es-ES_tradnl"/>
              </w:rPr>
            </w:pPr>
            <w:r>
              <w:rPr>
                <w:szCs w:val="23"/>
                <w:lang w:val="es-ES_tradnl"/>
              </w:rPr>
              <w:t>99</w:t>
            </w:r>
          </w:p>
        </w:tc>
        <w:tc>
          <w:tcPr>
            <w:tcW w:w="1237" w:type="dxa"/>
          </w:tcPr>
          <w:p w:rsidR="00000000" w:rsidRDefault="00000000">
            <w:pPr>
              <w:ind w:right="87"/>
              <w:jc w:val="right"/>
              <w:rPr>
                <w:szCs w:val="23"/>
                <w:lang w:val="es-ES_tradnl"/>
              </w:rPr>
            </w:pPr>
            <w:r>
              <w:rPr>
                <w:szCs w:val="23"/>
                <w:lang w:val="es-ES_tradnl"/>
              </w:rPr>
              <w:t>83</w:t>
            </w:r>
          </w:p>
        </w:tc>
        <w:tc>
          <w:tcPr>
            <w:tcW w:w="1237" w:type="dxa"/>
          </w:tcPr>
          <w:p w:rsidR="00000000" w:rsidRDefault="00000000">
            <w:pPr>
              <w:ind w:right="87"/>
              <w:jc w:val="right"/>
              <w:rPr>
                <w:szCs w:val="23"/>
                <w:lang w:val="es-ES_tradnl"/>
              </w:rPr>
            </w:pPr>
            <w:r>
              <w:rPr>
                <w:szCs w:val="23"/>
                <w:lang w:val="es-ES_tradnl"/>
              </w:rPr>
              <w:t>69</w:t>
            </w:r>
          </w:p>
        </w:tc>
      </w:tr>
      <w:tr w:rsidR="00000000">
        <w:tblPrEx>
          <w:tblCellMar>
            <w:top w:w="0" w:type="dxa"/>
            <w:bottom w:w="0" w:type="dxa"/>
          </w:tblCellMar>
        </w:tblPrEx>
        <w:tc>
          <w:tcPr>
            <w:tcW w:w="3310" w:type="dxa"/>
          </w:tcPr>
          <w:p w:rsidR="00000000" w:rsidRDefault="00000000">
            <w:pPr>
              <w:rPr>
                <w:szCs w:val="23"/>
                <w:lang w:val="es-ES_tradnl"/>
              </w:rPr>
            </w:pPr>
            <w:r>
              <w:rPr>
                <w:szCs w:val="23"/>
                <w:lang w:val="es-ES_tradnl"/>
              </w:rPr>
              <w:t>Camarón</w:t>
            </w:r>
          </w:p>
        </w:tc>
        <w:tc>
          <w:tcPr>
            <w:tcW w:w="1237" w:type="dxa"/>
          </w:tcPr>
          <w:p w:rsidR="00000000" w:rsidRDefault="00000000">
            <w:pPr>
              <w:ind w:right="87"/>
              <w:jc w:val="right"/>
              <w:rPr>
                <w:szCs w:val="23"/>
                <w:lang w:val="es-ES_tradnl"/>
              </w:rPr>
            </w:pPr>
            <w:r>
              <w:rPr>
                <w:szCs w:val="23"/>
                <w:lang w:val="es-ES_tradnl"/>
              </w:rPr>
              <w:t>673</w:t>
            </w:r>
          </w:p>
        </w:tc>
        <w:tc>
          <w:tcPr>
            <w:tcW w:w="1237" w:type="dxa"/>
          </w:tcPr>
          <w:p w:rsidR="00000000" w:rsidRDefault="00000000">
            <w:pPr>
              <w:ind w:right="87"/>
              <w:jc w:val="right"/>
              <w:rPr>
                <w:szCs w:val="23"/>
                <w:lang w:val="es-ES_tradnl"/>
              </w:rPr>
            </w:pPr>
            <w:r>
              <w:rPr>
                <w:szCs w:val="23"/>
                <w:lang w:val="es-ES_tradnl"/>
              </w:rPr>
              <w:t>631</w:t>
            </w:r>
          </w:p>
        </w:tc>
        <w:tc>
          <w:tcPr>
            <w:tcW w:w="1237" w:type="dxa"/>
          </w:tcPr>
          <w:p w:rsidR="00000000" w:rsidRDefault="00000000">
            <w:pPr>
              <w:ind w:right="87"/>
              <w:jc w:val="right"/>
              <w:rPr>
                <w:szCs w:val="23"/>
                <w:lang w:val="es-ES_tradnl"/>
              </w:rPr>
            </w:pPr>
            <w:r>
              <w:rPr>
                <w:szCs w:val="23"/>
                <w:lang w:val="es-ES_tradnl"/>
              </w:rPr>
              <w:t>886</w:t>
            </w:r>
          </w:p>
        </w:tc>
        <w:tc>
          <w:tcPr>
            <w:tcW w:w="1237" w:type="dxa"/>
          </w:tcPr>
          <w:p w:rsidR="00000000" w:rsidRDefault="00000000">
            <w:pPr>
              <w:ind w:right="87"/>
              <w:jc w:val="right"/>
              <w:rPr>
                <w:szCs w:val="23"/>
                <w:lang w:val="es-ES_tradnl"/>
              </w:rPr>
            </w:pPr>
            <w:r>
              <w:rPr>
                <w:szCs w:val="23"/>
                <w:lang w:val="es-ES_tradnl"/>
              </w:rPr>
              <w:t>872</w:t>
            </w:r>
          </w:p>
        </w:tc>
        <w:tc>
          <w:tcPr>
            <w:tcW w:w="1237" w:type="dxa"/>
          </w:tcPr>
          <w:p w:rsidR="00000000" w:rsidRDefault="00000000">
            <w:pPr>
              <w:ind w:right="87"/>
              <w:jc w:val="right"/>
              <w:rPr>
                <w:szCs w:val="23"/>
                <w:lang w:val="es-ES_tradnl"/>
              </w:rPr>
            </w:pPr>
            <w:r>
              <w:rPr>
                <w:szCs w:val="23"/>
                <w:lang w:val="es-ES_tradnl"/>
              </w:rPr>
              <w:t>607</w:t>
            </w:r>
          </w:p>
        </w:tc>
      </w:tr>
      <w:tr w:rsidR="00000000">
        <w:tblPrEx>
          <w:tblCellMar>
            <w:top w:w="0" w:type="dxa"/>
            <w:bottom w:w="0" w:type="dxa"/>
          </w:tblCellMar>
        </w:tblPrEx>
        <w:tc>
          <w:tcPr>
            <w:tcW w:w="3310" w:type="dxa"/>
          </w:tcPr>
          <w:p w:rsidR="00000000" w:rsidRDefault="00000000">
            <w:pPr>
              <w:tabs>
                <w:tab w:val="left" w:pos="270"/>
              </w:tabs>
              <w:rPr>
                <w:szCs w:val="23"/>
                <w:lang w:val="es-ES_tradnl"/>
              </w:rPr>
            </w:pPr>
            <w:r>
              <w:rPr>
                <w:szCs w:val="23"/>
                <w:lang w:val="es-ES_tradnl"/>
              </w:rPr>
              <w:tab/>
              <w:t>Total</w:t>
            </w:r>
          </w:p>
        </w:tc>
        <w:tc>
          <w:tcPr>
            <w:tcW w:w="1237" w:type="dxa"/>
          </w:tcPr>
          <w:p w:rsidR="00000000" w:rsidRDefault="00000000">
            <w:pPr>
              <w:ind w:right="87"/>
              <w:jc w:val="right"/>
              <w:rPr>
                <w:szCs w:val="23"/>
                <w:lang w:val="es-ES_tradnl"/>
              </w:rPr>
            </w:pPr>
            <w:r>
              <w:rPr>
                <w:szCs w:val="23"/>
                <w:lang w:val="es-ES_tradnl"/>
              </w:rPr>
              <w:t>1.996</w:t>
            </w:r>
          </w:p>
        </w:tc>
        <w:tc>
          <w:tcPr>
            <w:tcW w:w="1237" w:type="dxa"/>
          </w:tcPr>
          <w:p w:rsidR="00000000" w:rsidRDefault="00000000">
            <w:pPr>
              <w:ind w:right="87"/>
              <w:jc w:val="right"/>
              <w:rPr>
                <w:szCs w:val="23"/>
                <w:lang w:val="es-ES_tradnl"/>
              </w:rPr>
            </w:pPr>
            <w:r>
              <w:rPr>
                <w:szCs w:val="23"/>
                <w:lang w:val="es-ES_tradnl"/>
              </w:rPr>
              <w:t>2.013</w:t>
            </w:r>
          </w:p>
        </w:tc>
        <w:tc>
          <w:tcPr>
            <w:tcW w:w="1237" w:type="dxa"/>
          </w:tcPr>
          <w:p w:rsidR="00000000" w:rsidRDefault="00000000">
            <w:pPr>
              <w:ind w:right="87"/>
              <w:jc w:val="right"/>
              <w:rPr>
                <w:szCs w:val="23"/>
                <w:lang w:val="es-ES_tradnl"/>
              </w:rPr>
            </w:pPr>
            <w:r>
              <w:rPr>
                <w:szCs w:val="23"/>
                <w:lang w:val="es-ES_tradnl"/>
              </w:rPr>
              <w:t>2.565</w:t>
            </w:r>
          </w:p>
        </w:tc>
        <w:tc>
          <w:tcPr>
            <w:tcW w:w="1237" w:type="dxa"/>
          </w:tcPr>
          <w:p w:rsidR="00000000" w:rsidRDefault="00000000">
            <w:pPr>
              <w:ind w:right="87"/>
              <w:jc w:val="right"/>
              <w:rPr>
                <w:szCs w:val="23"/>
                <w:lang w:val="es-ES_tradnl"/>
              </w:rPr>
            </w:pPr>
            <w:r>
              <w:rPr>
                <w:szCs w:val="23"/>
                <w:lang w:val="es-ES_tradnl"/>
              </w:rPr>
              <w:t>2.177</w:t>
            </w:r>
          </w:p>
        </w:tc>
        <w:tc>
          <w:tcPr>
            <w:tcW w:w="1237" w:type="dxa"/>
          </w:tcPr>
          <w:p w:rsidR="00000000" w:rsidRDefault="00000000">
            <w:pPr>
              <w:ind w:right="87"/>
              <w:jc w:val="right"/>
              <w:rPr>
                <w:szCs w:val="23"/>
                <w:lang w:val="es-ES_tradnl"/>
              </w:rPr>
            </w:pPr>
            <w:r>
              <w:rPr>
                <w:szCs w:val="23"/>
                <w:lang w:val="es-ES_tradnl"/>
              </w:rPr>
              <w:t>1.815</w:t>
            </w:r>
          </w:p>
        </w:tc>
      </w:tr>
    </w:tbl>
    <w:p w:rsidR="00000000" w:rsidRDefault="00000000">
      <w:pPr>
        <w:spacing w:before="240" w:after="480"/>
      </w:pPr>
      <w:r>
        <w:rPr>
          <w:i/>
          <w:iCs/>
          <w:szCs w:val="23"/>
          <w:lang w:val="es-ES_tradnl"/>
        </w:rPr>
        <w:t>Fuente</w:t>
      </w:r>
      <w:r>
        <w:rPr>
          <w:szCs w:val="23"/>
          <w:lang w:val="es-ES_tradnl"/>
        </w:rPr>
        <w:t xml:space="preserve">:  </w:t>
      </w:r>
      <w:r>
        <w:rPr>
          <w:i/>
          <w:iCs/>
          <w:szCs w:val="23"/>
          <w:lang w:val="es-ES_tradnl"/>
        </w:rPr>
        <w:t>Boletín Estadístico Banco Central.</w:t>
      </w:r>
    </w:p>
    <w:p w:rsidR="00000000" w:rsidRDefault="00000000">
      <w:pPr>
        <w:spacing w:after="240"/>
      </w:pPr>
      <w:r>
        <w:rPr>
          <w:lang w:val="es-ES_tradnl"/>
        </w:rPr>
        <w:t>64.</w:t>
      </w:r>
      <w:r>
        <w:rPr>
          <w:lang w:val="es-ES_tradnl"/>
        </w:rPr>
        <w:tab/>
        <w:t>De igual forma, el fenómeno de El Niño impactó negativamente en las exportaciones tradicionales e incrementó las importaciones de bienes de consumo no duradero (alimentos) y de bienes de capital destinados a la rehabilitación de la Costa.  La Comisión Económica para América Latina y el Caribe de las Naciones Unidas (CEPAL) calculó en 2.900 millones de dólares de los EE.UU. (14,5% del PIB) las pérdidas en infraestructura, producción y lucro cesante.</w:t>
      </w:r>
    </w:p>
    <w:p w:rsidR="00000000" w:rsidRDefault="00000000">
      <w:pPr>
        <w:spacing w:after="240"/>
        <w:jc w:val="center"/>
        <w:rPr>
          <w:b/>
          <w:bCs/>
          <w:szCs w:val="23"/>
          <w:lang w:val="es-ES_tradnl"/>
        </w:rPr>
      </w:pPr>
      <w:r>
        <w:rPr>
          <w:b/>
          <w:bCs/>
          <w:szCs w:val="23"/>
          <w:lang w:val="es-ES_tradnl"/>
        </w:rPr>
        <w:t>Importación de bienes de consumo</w:t>
      </w:r>
    </w:p>
    <w:p w:rsidR="00000000" w:rsidRDefault="00000000">
      <w:pPr>
        <w:spacing w:after="240"/>
        <w:jc w:val="center"/>
        <w:rPr>
          <w:b/>
          <w:bCs/>
        </w:rPr>
      </w:pPr>
      <w:r>
        <w:rPr>
          <w:b/>
          <w:bCs/>
          <w:szCs w:val="23"/>
          <w:lang w:val="es-ES_tradnl"/>
        </w:rPr>
        <w:t xml:space="preserve">(En millones de dólares </w:t>
      </w:r>
      <w:proofErr w:type="spellStart"/>
      <w:r>
        <w:rPr>
          <w:b/>
          <w:bCs/>
          <w:szCs w:val="23"/>
          <w:lang w:val="es-ES_tradnl"/>
        </w:rPr>
        <w:t>f.o.b</w:t>
      </w:r>
      <w:proofErr w:type="spellEnd"/>
      <w:r>
        <w:rPr>
          <w:b/>
          <w:bCs/>
          <w:szCs w:val="23"/>
          <w:lang w:val="es-ES_tradnl"/>
        </w:rPr>
        <w:t>.)</w:t>
      </w:r>
    </w:p>
    <w:tbl>
      <w:tblPr>
        <w:tblW w:w="0" w:type="auto"/>
        <w:tblInd w:w="20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0"/>
        <w:gridCol w:w="945"/>
        <w:gridCol w:w="945"/>
        <w:gridCol w:w="946"/>
        <w:gridCol w:w="945"/>
        <w:gridCol w:w="946"/>
      </w:tblGrid>
      <w:tr w:rsidR="00000000">
        <w:tblPrEx>
          <w:tblCellMar>
            <w:top w:w="0" w:type="dxa"/>
            <w:bottom w:w="0" w:type="dxa"/>
          </w:tblCellMar>
        </w:tblPrEx>
        <w:tc>
          <w:tcPr>
            <w:tcW w:w="1350" w:type="dxa"/>
          </w:tcPr>
          <w:p w:rsidR="00000000" w:rsidRDefault="00000000">
            <w:pPr>
              <w:rPr>
                <w:szCs w:val="23"/>
                <w:lang w:val="es-ES_tradnl"/>
              </w:rPr>
            </w:pPr>
          </w:p>
        </w:tc>
        <w:tc>
          <w:tcPr>
            <w:tcW w:w="945" w:type="dxa"/>
          </w:tcPr>
          <w:p w:rsidR="00000000" w:rsidRDefault="00000000">
            <w:pPr>
              <w:jc w:val="center"/>
              <w:rPr>
                <w:szCs w:val="23"/>
                <w:lang w:val="es-ES_tradnl"/>
              </w:rPr>
            </w:pPr>
            <w:r>
              <w:rPr>
                <w:szCs w:val="23"/>
                <w:lang w:val="es-ES_tradnl"/>
              </w:rPr>
              <w:t>1995</w:t>
            </w:r>
          </w:p>
        </w:tc>
        <w:tc>
          <w:tcPr>
            <w:tcW w:w="945" w:type="dxa"/>
          </w:tcPr>
          <w:p w:rsidR="00000000" w:rsidRDefault="00000000">
            <w:pPr>
              <w:jc w:val="center"/>
              <w:rPr>
                <w:szCs w:val="23"/>
                <w:lang w:val="es-ES_tradnl"/>
              </w:rPr>
            </w:pPr>
            <w:r>
              <w:rPr>
                <w:szCs w:val="23"/>
                <w:lang w:val="es-ES_tradnl"/>
              </w:rPr>
              <w:t>1996</w:t>
            </w:r>
          </w:p>
        </w:tc>
        <w:tc>
          <w:tcPr>
            <w:tcW w:w="946" w:type="dxa"/>
          </w:tcPr>
          <w:p w:rsidR="00000000" w:rsidRDefault="00000000">
            <w:pPr>
              <w:jc w:val="center"/>
              <w:rPr>
                <w:szCs w:val="23"/>
                <w:lang w:val="es-ES_tradnl"/>
              </w:rPr>
            </w:pPr>
            <w:r>
              <w:rPr>
                <w:szCs w:val="23"/>
                <w:lang w:val="es-ES_tradnl"/>
              </w:rPr>
              <w:t>1997</w:t>
            </w:r>
          </w:p>
        </w:tc>
        <w:tc>
          <w:tcPr>
            <w:tcW w:w="945" w:type="dxa"/>
          </w:tcPr>
          <w:p w:rsidR="00000000" w:rsidRDefault="00000000">
            <w:pPr>
              <w:jc w:val="center"/>
              <w:rPr>
                <w:szCs w:val="23"/>
                <w:lang w:val="es-ES_tradnl"/>
              </w:rPr>
            </w:pPr>
            <w:r>
              <w:rPr>
                <w:szCs w:val="23"/>
                <w:lang w:val="es-ES_tradnl"/>
              </w:rPr>
              <w:t>1998</w:t>
            </w:r>
          </w:p>
        </w:tc>
        <w:tc>
          <w:tcPr>
            <w:tcW w:w="946" w:type="dxa"/>
          </w:tcPr>
          <w:p w:rsidR="00000000" w:rsidRDefault="00000000">
            <w:pPr>
              <w:jc w:val="center"/>
              <w:rPr>
                <w:szCs w:val="23"/>
                <w:lang w:val="es-ES_tradnl"/>
              </w:rPr>
            </w:pPr>
            <w:r>
              <w:rPr>
                <w:szCs w:val="23"/>
                <w:lang w:val="es-ES_tradnl"/>
              </w:rPr>
              <w:t>1999</w:t>
            </w:r>
          </w:p>
        </w:tc>
      </w:tr>
      <w:tr w:rsidR="00000000">
        <w:tblPrEx>
          <w:tblCellMar>
            <w:top w:w="0" w:type="dxa"/>
            <w:bottom w:w="0" w:type="dxa"/>
          </w:tblCellMar>
        </w:tblPrEx>
        <w:tc>
          <w:tcPr>
            <w:tcW w:w="1350" w:type="dxa"/>
          </w:tcPr>
          <w:p w:rsidR="00000000" w:rsidRDefault="00000000">
            <w:pPr>
              <w:rPr>
                <w:szCs w:val="23"/>
                <w:lang w:val="es-ES_tradnl"/>
              </w:rPr>
            </w:pPr>
            <w:r>
              <w:rPr>
                <w:szCs w:val="23"/>
                <w:lang w:val="es-ES_tradnl"/>
              </w:rPr>
              <w:t>No duradero</w:t>
            </w:r>
          </w:p>
        </w:tc>
        <w:tc>
          <w:tcPr>
            <w:tcW w:w="945" w:type="dxa"/>
          </w:tcPr>
          <w:p w:rsidR="00000000" w:rsidRDefault="00000000">
            <w:pPr>
              <w:ind w:right="87"/>
              <w:jc w:val="right"/>
              <w:rPr>
                <w:szCs w:val="23"/>
                <w:lang w:val="es-ES_tradnl"/>
              </w:rPr>
            </w:pPr>
            <w:r>
              <w:rPr>
                <w:szCs w:val="23"/>
                <w:lang w:val="es-ES_tradnl"/>
              </w:rPr>
              <w:t>398</w:t>
            </w:r>
          </w:p>
        </w:tc>
        <w:tc>
          <w:tcPr>
            <w:tcW w:w="945" w:type="dxa"/>
          </w:tcPr>
          <w:p w:rsidR="00000000" w:rsidRDefault="00000000">
            <w:pPr>
              <w:ind w:right="87"/>
              <w:jc w:val="right"/>
              <w:rPr>
                <w:szCs w:val="23"/>
                <w:lang w:val="es-ES_tradnl"/>
              </w:rPr>
            </w:pPr>
            <w:r>
              <w:rPr>
                <w:szCs w:val="23"/>
                <w:lang w:val="es-ES_tradnl"/>
              </w:rPr>
              <w:t>459</w:t>
            </w:r>
          </w:p>
        </w:tc>
        <w:tc>
          <w:tcPr>
            <w:tcW w:w="946" w:type="dxa"/>
          </w:tcPr>
          <w:p w:rsidR="00000000" w:rsidRDefault="00000000">
            <w:pPr>
              <w:ind w:right="87"/>
              <w:jc w:val="right"/>
              <w:rPr>
                <w:szCs w:val="23"/>
                <w:lang w:val="es-ES_tradnl"/>
              </w:rPr>
            </w:pPr>
            <w:r>
              <w:rPr>
                <w:szCs w:val="23"/>
                <w:lang w:val="es-ES_tradnl"/>
              </w:rPr>
              <w:t>563</w:t>
            </w:r>
          </w:p>
        </w:tc>
        <w:tc>
          <w:tcPr>
            <w:tcW w:w="945" w:type="dxa"/>
          </w:tcPr>
          <w:p w:rsidR="00000000" w:rsidRDefault="00000000">
            <w:pPr>
              <w:ind w:right="87"/>
              <w:jc w:val="right"/>
              <w:rPr>
                <w:szCs w:val="23"/>
                <w:lang w:val="es-ES_tradnl"/>
              </w:rPr>
            </w:pPr>
            <w:r>
              <w:rPr>
                <w:szCs w:val="23"/>
                <w:lang w:val="es-ES_tradnl"/>
              </w:rPr>
              <w:t>660</w:t>
            </w:r>
          </w:p>
        </w:tc>
        <w:tc>
          <w:tcPr>
            <w:tcW w:w="946" w:type="dxa"/>
          </w:tcPr>
          <w:p w:rsidR="00000000" w:rsidRDefault="00000000">
            <w:pPr>
              <w:ind w:right="87"/>
              <w:jc w:val="right"/>
              <w:rPr>
                <w:szCs w:val="23"/>
                <w:lang w:val="es-ES_tradnl"/>
              </w:rPr>
            </w:pPr>
            <w:r>
              <w:rPr>
                <w:szCs w:val="23"/>
                <w:lang w:val="es-ES_tradnl"/>
              </w:rPr>
              <w:t>412</w:t>
            </w:r>
          </w:p>
        </w:tc>
      </w:tr>
      <w:tr w:rsidR="00000000">
        <w:tblPrEx>
          <w:tblCellMar>
            <w:top w:w="0" w:type="dxa"/>
            <w:bottom w:w="0" w:type="dxa"/>
          </w:tblCellMar>
        </w:tblPrEx>
        <w:tc>
          <w:tcPr>
            <w:tcW w:w="1350" w:type="dxa"/>
          </w:tcPr>
          <w:p w:rsidR="00000000" w:rsidRDefault="00000000">
            <w:pPr>
              <w:rPr>
                <w:szCs w:val="23"/>
                <w:lang w:val="es-ES_tradnl"/>
              </w:rPr>
            </w:pPr>
            <w:r>
              <w:rPr>
                <w:szCs w:val="23"/>
                <w:lang w:val="es-ES_tradnl"/>
              </w:rPr>
              <w:t>Duradero</w:t>
            </w:r>
          </w:p>
        </w:tc>
        <w:tc>
          <w:tcPr>
            <w:tcW w:w="945" w:type="dxa"/>
          </w:tcPr>
          <w:p w:rsidR="00000000" w:rsidRDefault="00000000">
            <w:pPr>
              <w:ind w:right="87"/>
              <w:jc w:val="right"/>
              <w:rPr>
                <w:szCs w:val="23"/>
                <w:lang w:val="es-ES_tradnl"/>
              </w:rPr>
            </w:pPr>
            <w:r>
              <w:rPr>
                <w:szCs w:val="23"/>
                <w:lang w:val="es-ES_tradnl"/>
              </w:rPr>
              <w:t>340</w:t>
            </w:r>
          </w:p>
        </w:tc>
        <w:tc>
          <w:tcPr>
            <w:tcW w:w="945" w:type="dxa"/>
          </w:tcPr>
          <w:p w:rsidR="00000000" w:rsidRDefault="00000000">
            <w:pPr>
              <w:ind w:right="87"/>
              <w:jc w:val="right"/>
              <w:rPr>
                <w:szCs w:val="23"/>
                <w:lang w:val="es-ES_tradnl"/>
              </w:rPr>
            </w:pPr>
            <w:r>
              <w:rPr>
                <w:szCs w:val="23"/>
                <w:lang w:val="es-ES_tradnl"/>
              </w:rPr>
              <w:t>319</w:t>
            </w:r>
          </w:p>
        </w:tc>
        <w:tc>
          <w:tcPr>
            <w:tcW w:w="946" w:type="dxa"/>
          </w:tcPr>
          <w:p w:rsidR="00000000" w:rsidRDefault="00000000">
            <w:pPr>
              <w:ind w:right="87"/>
              <w:jc w:val="right"/>
              <w:rPr>
                <w:szCs w:val="23"/>
                <w:lang w:val="es-ES_tradnl"/>
              </w:rPr>
            </w:pPr>
            <w:r>
              <w:rPr>
                <w:szCs w:val="23"/>
                <w:lang w:val="es-ES_tradnl"/>
              </w:rPr>
              <w:t>385</w:t>
            </w:r>
          </w:p>
        </w:tc>
        <w:tc>
          <w:tcPr>
            <w:tcW w:w="945" w:type="dxa"/>
          </w:tcPr>
          <w:p w:rsidR="00000000" w:rsidRDefault="00000000">
            <w:pPr>
              <w:ind w:right="87"/>
              <w:jc w:val="right"/>
              <w:rPr>
                <w:szCs w:val="23"/>
                <w:lang w:val="es-ES_tradnl"/>
              </w:rPr>
            </w:pPr>
            <w:r>
              <w:rPr>
                <w:szCs w:val="23"/>
                <w:lang w:val="es-ES_tradnl"/>
              </w:rPr>
              <w:t>420</w:t>
            </w:r>
          </w:p>
        </w:tc>
        <w:tc>
          <w:tcPr>
            <w:tcW w:w="946" w:type="dxa"/>
          </w:tcPr>
          <w:p w:rsidR="00000000" w:rsidRDefault="00000000">
            <w:pPr>
              <w:ind w:right="87"/>
              <w:jc w:val="right"/>
              <w:rPr>
                <w:szCs w:val="23"/>
                <w:lang w:val="es-ES_tradnl"/>
              </w:rPr>
            </w:pPr>
            <w:r>
              <w:rPr>
                <w:szCs w:val="23"/>
                <w:lang w:val="es-ES_tradnl"/>
              </w:rPr>
              <w:t>160,3</w:t>
            </w:r>
          </w:p>
        </w:tc>
      </w:tr>
      <w:tr w:rsidR="00000000">
        <w:tblPrEx>
          <w:tblCellMar>
            <w:top w:w="0" w:type="dxa"/>
            <w:bottom w:w="0" w:type="dxa"/>
          </w:tblCellMar>
        </w:tblPrEx>
        <w:tc>
          <w:tcPr>
            <w:tcW w:w="1350" w:type="dxa"/>
          </w:tcPr>
          <w:p w:rsidR="00000000" w:rsidRDefault="00000000">
            <w:pPr>
              <w:tabs>
                <w:tab w:val="left" w:pos="290"/>
              </w:tabs>
              <w:rPr>
                <w:szCs w:val="23"/>
                <w:lang w:val="es-ES_tradnl"/>
              </w:rPr>
            </w:pPr>
            <w:r>
              <w:rPr>
                <w:szCs w:val="23"/>
                <w:lang w:val="es-ES_tradnl"/>
              </w:rPr>
              <w:tab/>
              <w:t>Total</w:t>
            </w:r>
          </w:p>
        </w:tc>
        <w:tc>
          <w:tcPr>
            <w:tcW w:w="945" w:type="dxa"/>
          </w:tcPr>
          <w:p w:rsidR="00000000" w:rsidRDefault="00000000">
            <w:pPr>
              <w:ind w:right="87"/>
              <w:jc w:val="right"/>
              <w:rPr>
                <w:szCs w:val="23"/>
                <w:lang w:val="es-ES_tradnl"/>
              </w:rPr>
            </w:pPr>
            <w:r>
              <w:rPr>
                <w:szCs w:val="23"/>
                <w:lang w:val="es-ES_tradnl"/>
              </w:rPr>
              <w:t>738</w:t>
            </w:r>
          </w:p>
        </w:tc>
        <w:tc>
          <w:tcPr>
            <w:tcW w:w="945" w:type="dxa"/>
          </w:tcPr>
          <w:p w:rsidR="00000000" w:rsidRDefault="00000000">
            <w:pPr>
              <w:ind w:right="87"/>
              <w:jc w:val="right"/>
              <w:rPr>
                <w:szCs w:val="23"/>
                <w:lang w:val="es-ES_tradnl"/>
              </w:rPr>
            </w:pPr>
            <w:r>
              <w:rPr>
                <w:szCs w:val="23"/>
                <w:lang w:val="es-ES_tradnl"/>
              </w:rPr>
              <w:t>779</w:t>
            </w:r>
          </w:p>
        </w:tc>
        <w:tc>
          <w:tcPr>
            <w:tcW w:w="946" w:type="dxa"/>
          </w:tcPr>
          <w:p w:rsidR="00000000" w:rsidRDefault="00000000">
            <w:pPr>
              <w:ind w:right="87"/>
              <w:jc w:val="right"/>
              <w:rPr>
                <w:szCs w:val="23"/>
                <w:lang w:val="es-ES_tradnl"/>
              </w:rPr>
            </w:pPr>
            <w:r>
              <w:rPr>
                <w:szCs w:val="23"/>
                <w:lang w:val="es-ES_tradnl"/>
              </w:rPr>
              <w:t>948</w:t>
            </w:r>
          </w:p>
        </w:tc>
        <w:tc>
          <w:tcPr>
            <w:tcW w:w="945" w:type="dxa"/>
          </w:tcPr>
          <w:p w:rsidR="00000000" w:rsidRDefault="00000000">
            <w:pPr>
              <w:ind w:right="87"/>
              <w:jc w:val="right"/>
              <w:rPr>
                <w:szCs w:val="23"/>
                <w:lang w:val="es-ES_tradnl"/>
              </w:rPr>
            </w:pPr>
            <w:r>
              <w:rPr>
                <w:szCs w:val="23"/>
                <w:lang w:val="es-ES_tradnl"/>
              </w:rPr>
              <w:t>1.080</w:t>
            </w:r>
          </w:p>
        </w:tc>
        <w:tc>
          <w:tcPr>
            <w:tcW w:w="946" w:type="dxa"/>
          </w:tcPr>
          <w:p w:rsidR="00000000" w:rsidRDefault="00000000">
            <w:pPr>
              <w:ind w:right="87"/>
              <w:jc w:val="right"/>
              <w:rPr>
                <w:szCs w:val="23"/>
                <w:lang w:val="es-ES_tradnl"/>
              </w:rPr>
            </w:pPr>
            <w:r>
              <w:rPr>
                <w:szCs w:val="23"/>
                <w:lang w:val="es-ES_tradnl"/>
              </w:rPr>
              <w:t>572</w:t>
            </w:r>
          </w:p>
        </w:tc>
      </w:tr>
    </w:tbl>
    <w:p w:rsidR="00000000" w:rsidRDefault="00000000">
      <w:pPr>
        <w:tabs>
          <w:tab w:val="left" w:pos="2070"/>
        </w:tabs>
        <w:spacing w:before="240" w:after="480"/>
        <w:rPr>
          <w:szCs w:val="23"/>
          <w:lang w:val="es-ES_tradnl"/>
        </w:rPr>
      </w:pPr>
      <w:r>
        <w:rPr>
          <w:i/>
          <w:iCs/>
          <w:szCs w:val="23"/>
          <w:lang w:val="es-ES_tradnl"/>
        </w:rPr>
        <w:tab/>
        <w:t>Fuente:  Estadísticas Banco Central del Ecuador</w:t>
      </w:r>
      <w:r>
        <w:rPr>
          <w:szCs w:val="23"/>
          <w:lang w:val="es-ES_tradnl"/>
        </w:rPr>
        <w:t>.</w:t>
      </w:r>
    </w:p>
    <w:p w:rsidR="00000000" w:rsidRDefault="00000000">
      <w:pPr>
        <w:spacing w:after="240"/>
      </w:pPr>
      <w:r>
        <w:rPr>
          <w:lang w:val="es-ES_tradnl"/>
        </w:rPr>
        <w:t>65.</w:t>
      </w:r>
      <w:r>
        <w:rPr>
          <w:lang w:val="es-ES_tradnl"/>
        </w:rPr>
        <w:tab/>
        <w:t>Como consecuencia de estos aspectos y otros relacionados con la reducción de la producción ocasionada por el fenómeno de El Niño, se generaron presiones sobre el nivel de precios, el tipo de cambio y las tasas de interés.  La recuperación de las exportaciones agrícolas de los últimos años no ha repercutido en una creación suficiente de puestos de trabajo y no ha logrado revertir una tendencia desfavorable.  Los niveles de desempleo ocuparon el 14,4% y los de subempleo el 56,9%.  Los salarios en términos reales caen permanentemente y la concentración de la riqueza es mayor.</w:t>
      </w:r>
    </w:p>
    <w:p w:rsidR="00000000" w:rsidRDefault="00000000">
      <w:pPr>
        <w:spacing w:after="240"/>
      </w:pPr>
      <w:r>
        <w:rPr>
          <w:lang w:val="es-ES_tradnl"/>
        </w:rPr>
        <w:t>66.</w:t>
      </w:r>
      <w:r>
        <w:rPr>
          <w:lang w:val="es-ES_tradnl"/>
        </w:rPr>
        <w:tab/>
        <w:t>En este contexto, la pobreza en los últimos años se incrementó en nuestro país, el porcentaje de pobreza de la población urbana en 1997 era 69,7% de los cuales 30,5% eran indigentes, en 1999 el nivel de pobreza alcanza el 78,5% y los indigentes representan el 46,2%.  El problema más agudo recae en el sector rural sobre la población indígena y negra de este sector.</w:t>
      </w:r>
    </w:p>
    <w:p w:rsidR="00000000" w:rsidRDefault="00000000">
      <w:pPr>
        <w:spacing w:after="240"/>
      </w:pPr>
      <w:r>
        <w:rPr>
          <w:lang w:val="es-ES_tradnl"/>
        </w:rPr>
        <w:t>67.</w:t>
      </w:r>
      <w:r>
        <w:rPr>
          <w:lang w:val="es-ES_tradnl"/>
        </w:rPr>
        <w:tab/>
        <w:t>Sin embargo, el área de los productos no tradicionales tiene otro perfil.  Si se analiza el crecimiento de las exportaciones no tradicionales del Ecuador a lo largo de la última década, bien se podría hablar de un milagro económico.  No sólo es importante que las exportaciones no tradicionales hayan saltado de 318 millones en 1992 a una proyección de 1.344 para el presente año, sino que el mayor crecimiento se haya dado entre los productos que incorporan algún grado de procesamiento industrial.  Pues mientras éstos crecieron de 228 millones de dólares y 941 millones de dólares, los productos primarios lo hicieron de 89 a 402 millones de dólares.  Dentro de los productos primarios, el de mayor crecimiento proyectado para el año 2002, a pesar de la dolarización.  Otro segmento que empieza a crecer de manera importante son las exportaciones de fruta fresca, cuya proyección alcanza los 33 millones de dólares para el presente año.  Dentro de los productos industrializados, los de mejor desempeño son los productos del mar que crecen de 55 millones a 335 millones de dólares, pero también han tenido un crecimiento importante los productos químicos y farmacéuticos, los artículos de cuero, plástico y caucho, así como un conjunto de otros productos que para el presente año sumará más de 170 millones de dólares en ventas al exterior.  La dolarización parece haber afectado fundamentalmente las exportaciones de productos metálicos, vehículos y del sector textil, tanto prendas de vestir como otros productos.  Llama la atención la reducción de exportaciones de jugos y conservas de frutas, por el positivo desempeño de las frutas naturales.</w:t>
      </w:r>
    </w:p>
    <w:p w:rsidR="00000000" w:rsidRDefault="00000000">
      <w:pPr>
        <w:spacing w:after="240"/>
        <w:rPr>
          <w:i/>
          <w:iCs/>
        </w:rPr>
      </w:pPr>
      <w:r>
        <w:rPr>
          <w:i/>
          <w:iCs/>
          <w:lang w:val="es-ES_tradnl"/>
        </w:rPr>
        <w:t>Discapacidad</w:t>
      </w:r>
    </w:p>
    <w:p w:rsidR="00000000" w:rsidRDefault="00000000">
      <w:pPr>
        <w:spacing w:after="240"/>
      </w:pPr>
      <w:r>
        <w:rPr>
          <w:lang w:val="es-ES_tradnl"/>
        </w:rPr>
        <w:t>68.</w:t>
      </w:r>
      <w:r>
        <w:rPr>
          <w:lang w:val="es-ES_tradnl"/>
        </w:rPr>
        <w:tab/>
        <w:t>La población general de personas con discapacidad, según la investigación del Consejo Nacional de Discapacidades (</w:t>
      </w:r>
      <w:proofErr w:type="spellStart"/>
      <w:r>
        <w:rPr>
          <w:lang w:val="es-ES_tradnl"/>
        </w:rPr>
        <w:t>CONADIS</w:t>
      </w:r>
      <w:proofErr w:type="spellEnd"/>
      <w:r>
        <w:rPr>
          <w:lang w:val="es-ES_tradnl"/>
        </w:rPr>
        <w:t>) para el año 1996, se calcula en el 13,2% de la población general, numéricamente estaría alrededor de 1.600.000 personas</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69.</w:t>
      </w:r>
      <w:r>
        <w:rPr>
          <w:lang w:val="es-ES_tradnl"/>
        </w:rPr>
        <w:tab/>
        <w:t xml:space="preserve">En el país se ejecuta el Plan Nacional de Discapacidades como marco teórico y diagnóstico para la planificación de acciones para las personas con discapacidades, documento que se desglosa en programas, proyectos y actividades, que deben realizarse tanto por parte del sector público como el privado.  El </w:t>
      </w:r>
      <w:proofErr w:type="spellStart"/>
      <w:r>
        <w:rPr>
          <w:lang w:val="es-ES_tradnl"/>
        </w:rPr>
        <w:t>CONADIS</w:t>
      </w:r>
      <w:proofErr w:type="spellEnd"/>
      <w:r>
        <w:rPr>
          <w:lang w:val="es-ES_tradnl"/>
        </w:rPr>
        <w:t xml:space="preserve"> para el cumplimiento de sus responsabilidades elabora planes operativos anuales supeditados al Presupuesto General del Estado, como principal fuente de financiamiento.</w:t>
      </w:r>
    </w:p>
    <w:p w:rsidR="00000000" w:rsidRDefault="00000000">
      <w:pPr>
        <w:spacing w:after="240"/>
        <w:jc w:val="center"/>
        <w:rPr>
          <w:b/>
          <w:bCs/>
        </w:rPr>
      </w:pPr>
      <w:r>
        <w:rPr>
          <w:b/>
          <w:bCs/>
          <w:szCs w:val="22"/>
          <w:lang w:val="es-ES_tradnl"/>
        </w:rPr>
        <w:t>Plan operativo anual</w:t>
      </w:r>
    </w:p>
    <w:p w:rsidR="00000000" w:rsidRDefault="00000000">
      <w:pPr>
        <w:spacing w:after="240"/>
        <w:jc w:val="center"/>
        <w:rPr>
          <w:b/>
          <w:bCs/>
        </w:rPr>
      </w:pPr>
      <w:r>
        <w:rPr>
          <w:b/>
          <w:bCs/>
        </w:rPr>
        <w:t>(En sucres)</w:t>
      </w:r>
    </w:p>
    <w:tbl>
      <w:tblPr>
        <w:tblW w:w="0" w:type="auto"/>
        <w:tblInd w:w="2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9"/>
        <w:gridCol w:w="2201"/>
      </w:tblGrid>
      <w:tr w:rsidR="00000000">
        <w:tblPrEx>
          <w:tblCellMar>
            <w:top w:w="0" w:type="dxa"/>
            <w:bottom w:w="0" w:type="dxa"/>
          </w:tblCellMar>
        </w:tblPrEx>
        <w:tc>
          <w:tcPr>
            <w:tcW w:w="1849" w:type="dxa"/>
          </w:tcPr>
          <w:p w:rsidR="00000000" w:rsidRDefault="00000000">
            <w:pPr>
              <w:tabs>
                <w:tab w:val="center" w:pos="4770"/>
              </w:tabs>
              <w:rPr>
                <w:szCs w:val="22"/>
                <w:lang w:val="es-ES_tradnl"/>
              </w:rPr>
            </w:pPr>
            <w:r>
              <w:rPr>
                <w:szCs w:val="22"/>
                <w:lang w:val="es-ES_tradnl"/>
              </w:rPr>
              <w:t>1995</w:t>
            </w:r>
          </w:p>
        </w:tc>
        <w:tc>
          <w:tcPr>
            <w:tcW w:w="2201" w:type="dxa"/>
          </w:tcPr>
          <w:p w:rsidR="00000000" w:rsidRDefault="00000000">
            <w:pPr>
              <w:tabs>
                <w:tab w:val="center" w:pos="4770"/>
              </w:tabs>
              <w:ind w:right="110"/>
              <w:jc w:val="right"/>
              <w:rPr>
                <w:szCs w:val="22"/>
                <w:lang w:val="es-ES_tradnl"/>
              </w:rPr>
            </w:pPr>
            <w:r>
              <w:rPr>
                <w:szCs w:val="22"/>
                <w:lang w:val="es-ES_tradnl"/>
              </w:rPr>
              <w:t>1.546.422.350</w:t>
            </w:r>
          </w:p>
        </w:tc>
      </w:tr>
      <w:tr w:rsidR="00000000">
        <w:tblPrEx>
          <w:tblCellMar>
            <w:top w:w="0" w:type="dxa"/>
            <w:bottom w:w="0" w:type="dxa"/>
          </w:tblCellMar>
        </w:tblPrEx>
        <w:tc>
          <w:tcPr>
            <w:tcW w:w="1849" w:type="dxa"/>
          </w:tcPr>
          <w:p w:rsidR="00000000" w:rsidRDefault="00000000">
            <w:pPr>
              <w:tabs>
                <w:tab w:val="center" w:pos="4770"/>
              </w:tabs>
              <w:rPr>
                <w:szCs w:val="22"/>
                <w:lang w:val="es-ES_tradnl"/>
              </w:rPr>
            </w:pPr>
            <w:r>
              <w:rPr>
                <w:szCs w:val="22"/>
                <w:lang w:val="es-ES_tradnl"/>
              </w:rPr>
              <w:t>1998</w:t>
            </w:r>
          </w:p>
        </w:tc>
        <w:tc>
          <w:tcPr>
            <w:tcW w:w="2201" w:type="dxa"/>
          </w:tcPr>
          <w:p w:rsidR="00000000" w:rsidRDefault="00000000">
            <w:pPr>
              <w:tabs>
                <w:tab w:val="center" w:pos="4770"/>
              </w:tabs>
              <w:ind w:right="110"/>
              <w:jc w:val="right"/>
              <w:rPr>
                <w:szCs w:val="22"/>
                <w:lang w:val="es-ES_tradnl"/>
              </w:rPr>
            </w:pPr>
            <w:r>
              <w:rPr>
                <w:szCs w:val="22"/>
                <w:lang w:val="es-ES_tradnl"/>
              </w:rPr>
              <w:t>3.643.811.000</w:t>
            </w:r>
          </w:p>
        </w:tc>
      </w:tr>
    </w:tbl>
    <w:p w:rsidR="00000000" w:rsidRDefault="00000000">
      <w:pPr>
        <w:tabs>
          <w:tab w:val="left" w:pos="2880"/>
        </w:tabs>
        <w:spacing w:before="240" w:after="480"/>
        <w:rPr>
          <w:szCs w:val="22"/>
          <w:lang w:val="es-ES_tradnl"/>
        </w:rPr>
      </w:pPr>
      <w:r>
        <w:rPr>
          <w:i/>
          <w:iCs/>
          <w:szCs w:val="22"/>
          <w:lang w:val="es-ES_tradnl"/>
        </w:rPr>
        <w:tab/>
        <w:t xml:space="preserve">Fuente:  </w:t>
      </w:r>
      <w:proofErr w:type="spellStart"/>
      <w:r>
        <w:rPr>
          <w:i/>
          <w:iCs/>
          <w:szCs w:val="22"/>
          <w:lang w:val="es-ES_tradnl"/>
        </w:rPr>
        <w:t>CONADIS</w:t>
      </w:r>
      <w:proofErr w:type="spellEnd"/>
      <w:r>
        <w:rPr>
          <w:szCs w:val="22"/>
          <w:lang w:val="es-ES_tradnl"/>
        </w:rPr>
        <w:t>.</w:t>
      </w:r>
    </w:p>
    <w:p w:rsidR="00000000" w:rsidRDefault="00000000">
      <w:pPr>
        <w:spacing w:after="240"/>
      </w:pPr>
      <w:r>
        <w:rPr>
          <w:lang w:val="es-ES_tradnl"/>
        </w:rPr>
        <w:t>70.</w:t>
      </w:r>
      <w:r>
        <w:rPr>
          <w:lang w:val="es-ES_tradnl"/>
        </w:rPr>
        <w:tab/>
        <w:t xml:space="preserve">La Constitución vigente en el Ecuador prevé que el Estado dará atención a los grupos vulnerables en el artículo 47:  "En el ámbito público y privado recibirán atención prioritaria, preferente y especializada los niños y adolescentes, las mujeres embarazadas, las personas con discapacidad, las que adolecen de enfermedades catastróficas de alta complejidad y las de la tercera edad.  Del mismo modo, se atenderá a las personas en situación de riesgo y víctimas de violencia doméstica, maltrato infantil, desastres naturales o </w:t>
      </w:r>
      <w:proofErr w:type="spellStart"/>
      <w:r>
        <w:rPr>
          <w:lang w:val="es-ES_tradnl"/>
        </w:rPr>
        <w:t>antropogénicos</w:t>
      </w:r>
      <w:proofErr w:type="spellEnd"/>
      <w:r>
        <w:rPr>
          <w:lang w:val="es-ES_tradnl"/>
        </w:rPr>
        <w:t>".</w:t>
      </w:r>
    </w:p>
    <w:p w:rsidR="00000000" w:rsidRDefault="00000000">
      <w:pPr>
        <w:spacing w:after="240"/>
      </w:pPr>
      <w:r>
        <w:rPr>
          <w:lang w:val="es-ES_tradnl"/>
        </w:rPr>
        <w:t>71.</w:t>
      </w:r>
      <w:r>
        <w:rPr>
          <w:lang w:val="es-ES_tradnl"/>
        </w:rPr>
        <w:tab/>
        <w:t xml:space="preserve">Los programas educativos estatales prevén la incorporación de personas con discapacidad en general que pueden integrarse a los programas regulares y además se encuentra en ejecución el plan de integración educativa para los niños con necesidades educativas especiales, con adaptaciones dentro del currículo escolar.  En lo referente a la capacitación ocupacional e inserción laboral, existen servicios públicos y privados que asumen esa responsabilidad, con apoyo del Estado, a través del </w:t>
      </w:r>
      <w:proofErr w:type="spellStart"/>
      <w:r>
        <w:rPr>
          <w:lang w:val="es-ES_tradnl"/>
        </w:rPr>
        <w:t>CONADIS</w:t>
      </w:r>
      <w:proofErr w:type="spellEnd"/>
      <w:r>
        <w:rPr>
          <w:lang w:val="es-ES_tradnl"/>
        </w:rPr>
        <w:t xml:space="preserve"> pero con serias limitaciones, especialmente presupuestarias y de recursos humanos.</w:t>
      </w:r>
    </w:p>
    <w:p w:rsidR="00000000" w:rsidRDefault="00000000">
      <w:pPr>
        <w:spacing w:after="240"/>
      </w:pPr>
      <w:r>
        <w:t>72.</w:t>
      </w:r>
      <w:r>
        <w:tab/>
      </w:r>
      <w:r>
        <w:rPr>
          <w:lang w:val="es-ES_tradnl"/>
        </w:rPr>
        <w:t>La Constitución Política del Estado vigente señala en el artículo 53 que:  "El Estado garantizará la prevención de las discapacidades y la atención y rehabilitación integral de las personas con discapacidad en especial en casos de indigencia.  Juntamente con la sociedad y la familia, asumirá la responsabilidad de su integración social y equiparación de oportunidades.  El Estado establecerá medidas que garanticen a las personas con discapacidad la utilización de bienes y servicios, especialmente en las áreas de salud, educación, capacitación, inserción laboral y recreación; y medidas que eliminen las barreras de comunicación, así como las urbanísticas, arquitectónicas y de accesibilidad al transporte, que dificulten su movilización.  Los municipios tendrán la obligación de adoptar estas medidas en el ámbito de sus atribuciones y circunscripciones.  Las personas con discapacidad tendrán tratamiento preferente en la obtención de créditos, exenciones y rebajas tributarias, de conformidad con la ley.  Se reconoce el derecho de las personas con discapacidad a la comunicación por medio de formas alternativas, como la lengua de señas ecuatoriana para sordos, oralismo, el sistema Braille y otras".</w:t>
      </w:r>
    </w:p>
    <w:p w:rsidR="00000000" w:rsidRDefault="00000000">
      <w:pPr>
        <w:spacing w:after="240"/>
      </w:pPr>
      <w:r>
        <w:rPr>
          <w:lang w:val="es-ES_tradnl"/>
        </w:rPr>
        <w:t>73.</w:t>
      </w:r>
      <w:r>
        <w:rPr>
          <w:lang w:val="es-ES_tradnl"/>
        </w:rPr>
        <w:tab/>
        <w:t>Los principales problemas que enfrentan las personas con discapacidad en la sociedad ecuatoriana se resumen del siguiente modo:</w:t>
      </w:r>
    </w:p>
    <w:p w:rsidR="00000000" w:rsidRDefault="00000000">
      <w:pPr>
        <w:spacing w:after="240"/>
        <w:ind w:left="1134" w:hanging="567"/>
      </w:pPr>
      <w:r>
        <w:rPr>
          <w:lang w:val="es-ES_tradnl"/>
        </w:rPr>
        <w:t>a)</w:t>
      </w:r>
      <w:r>
        <w:rPr>
          <w:lang w:val="es-ES_tradnl"/>
        </w:rPr>
        <w:tab/>
        <w:t>Limitados programas de prevención de la discapacidad;</w:t>
      </w:r>
    </w:p>
    <w:p w:rsidR="00000000" w:rsidRDefault="00000000">
      <w:pPr>
        <w:spacing w:after="240"/>
      </w:pPr>
      <w:r>
        <w:rPr>
          <w:lang w:val="es-ES_tradnl"/>
        </w:rPr>
        <w:tab/>
        <w:t>b)</w:t>
      </w:r>
      <w:r>
        <w:rPr>
          <w:lang w:val="es-ES_tradnl"/>
        </w:rPr>
        <w:tab/>
        <w:t>Limitados servicios de diagnóstico oportuno e intervención precoz;</w:t>
      </w:r>
    </w:p>
    <w:p w:rsidR="00000000" w:rsidRDefault="00000000">
      <w:pPr>
        <w:spacing w:after="240"/>
        <w:ind w:left="1134" w:hanging="567"/>
      </w:pPr>
      <w:r>
        <w:rPr>
          <w:lang w:val="es-ES_tradnl"/>
        </w:rPr>
        <w:t>c)</w:t>
      </w:r>
      <w:r>
        <w:rPr>
          <w:lang w:val="es-ES_tradnl"/>
        </w:rPr>
        <w:tab/>
        <w:t>Inexistencia de programas de provisión de medicamentos genéricos para personas con discapacidades graves, de niveles socioeconómicos bajos;</w:t>
      </w:r>
    </w:p>
    <w:p w:rsidR="00000000" w:rsidRDefault="00000000">
      <w:pPr>
        <w:spacing w:after="240"/>
        <w:ind w:left="1134" w:hanging="567"/>
      </w:pPr>
      <w:r>
        <w:rPr>
          <w:lang w:val="es-ES_tradnl"/>
        </w:rPr>
        <w:t>d)</w:t>
      </w:r>
      <w:r>
        <w:rPr>
          <w:lang w:val="es-ES_tradnl"/>
        </w:rPr>
        <w:tab/>
        <w:t>Limitados servicios de integración educativa, sociolaboral y de integración laboral;</w:t>
      </w:r>
    </w:p>
    <w:p w:rsidR="00000000" w:rsidRDefault="00000000">
      <w:pPr>
        <w:spacing w:after="240"/>
      </w:pPr>
      <w:r>
        <w:rPr>
          <w:lang w:val="es-ES_tradnl"/>
        </w:rPr>
        <w:tab/>
        <w:t>e)</w:t>
      </w:r>
      <w:r>
        <w:rPr>
          <w:lang w:val="es-ES_tradnl"/>
        </w:rPr>
        <w:tab/>
        <w:t>Limitados servicios para la provisión de ayudas técnicas;</w:t>
      </w:r>
    </w:p>
    <w:p w:rsidR="00000000" w:rsidRDefault="00000000">
      <w:pPr>
        <w:spacing w:after="240"/>
      </w:pPr>
      <w:r>
        <w:rPr>
          <w:lang w:val="es-ES_tradnl"/>
        </w:rPr>
        <w:tab/>
        <w:t>f)</w:t>
      </w:r>
      <w:r>
        <w:rPr>
          <w:lang w:val="es-ES_tradnl"/>
        </w:rPr>
        <w:tab/>
        <w:t>Escasos niveles de educación y profesionalización de personas con discapacidad;</w:t>
      </w:r>
    </w:p>
    <w:p w:rsidR="00000000" w:rsidRDefault="00000000">
      <w:pPr>
        <w:spacing w:after="240"/>
        <w:ind w:left="1134" w:hanging="567"/>
      </w:pPr>
      <w:r>
        <w:rPr>
          <w:lang w:val="es-ES_tradnl"/>
        </w:rPr>
        <w:t>g)</w:t>
      </w:r>
      <w:r>
        <w:rPr>
          <w:lang w:val="es-ES_tradnl"/>
        </w:rPr>
        <w:tab/>
        <w:t>Falta de oportunidades de trabajo para personas con discapacidad, con capacitación o formación profesional;</w:t>
      </w:r>
    </w:p>
    <w:p w:rsidR="00000000" w:rsidRDefault="00000000">
      <w:pPr>
        <w:spacing w:after="240"/>
        <w:ind w:left="1134" w:hanging="567"/>
      </w:pPr>
      <w:r>
        <w:rPr>
          <w:lang w:val="es-ES_tradnl"/>
        </w:rPr>
        <w:t>h)</w:t>
      </w:r>
      <w:r>
        <w:rPr>
          <w:lang w:val="es-ES_tradnl"/>
        </w:rPr>
        <w:tab/>
        <w:t>Fallas en el cumplimiento de las disposiciones legales para la supresión de las barreras urbanísticas, arquitectónicas y del transporte para personas con discapacidad.</w:t>
      </w:r>
    </w:p>
    <w:p w:rsidR="00000000" w:rsidRDefault="00000000">
      <w:pPr>
        <w:spacing w:after="240"/>
      </w:pPr>
      <w:r>
        <w:rPr>
          <w:lang w:val="es-ES_tradnl"/>
        </w:rPr>
        <w:t>74.</w:t>
      </w:r>
      <w:r>
        <w:rPr>
          <w:lang w:val="es-ES_tradnl"/>
        </w:rPr>
        <w:tab/>
        <w:t xml:space="preserve">En el país existe discriminación para las personas con discapacidad, sobre todo con respecto a la mujer en lo referente al aspecto laboral, pues se considera un problema su incorporación al trabajo, frente a un potencial riesgo de accidentes que agrave su situación física y las consecuencias económicas en contra de la empresa que las contrate; existe desconocimiento de la realidad y de las potencialidades de estas personas.  Específicamente no se ha tocado como un problema aparte, sino </w:t>
      </w:r>
      <w:proofErr w:type="spellStart"/>
      <w:r>
        <w:rPr>
          <w:lang w:val="es-ES_tradnl"/>
        </w:rPr>
        <w:t>contextualizado</w:t>
      </w:r>
      <w:proofErr w:type="spellEnd"/>
      <w:r>
        <w:rPr>
          <w:lang w:val="es-ES_tradnl"/>
        </w:rPr>
        <w:t xml:space="preserve"> dentro de la problemática de las discapacidades en el Ecuador; más aún que hoy existe el </w:t>
      </w:r>
      <w:proofErr w:type="spellStart"/>
      <w:r>
        <w:rPr>
          <w:lang w:val="es-ES_tradnl"/>
        </w:rPr>
        <w:t>CONAMU</w:t>
      </w:r>
      <w:proofErr w:type="spellEnd"/>
      <w:r>
        <w:rPr>
          <w:lang w:val="es-ES_tradnl"/>
        </w:rPr>
        <w:t>, como organismo autónomo encargado de las políticas y acciones materia de protección y atención a la mujer.</w:t>
      </w:r>
    </w:p>
    <w:p w:rsidR="00000000" w:rsidRDefault="00000000">
      <w:pPr>
        <w:spacing w:after="240"/>
      </w:pPr>
      <w:r>
        <w:rPr>
          <w:lang w:val="es-ES_tradnl"/>
        </w:rPr>
        <w:t>75.</w:t>
      </w:r>
      <w:r>
        <w:rPr>
          <w:lang w:val="es-ES_tradnl"/>
        </w:rPr>
        <w:tab/>
        <w:t xml:space="preserve">La Ley de las discapacidades publicada en el </w:t>
      </w:r>
      <w:r>
        <w:rPr>
          <w:i/>
          <w:iCs/>
          <w:lang w:val="es-ES_tradnl"/>
        </w:rPr>
        <w:t>Registro Oficial</w:t>
      </w:r>
      <w:r>
        <w:rPr>
          <w:lang w:val="es-ES_tradnl"/>
        </w:rPr>
        <w:t xml:space="preserve"> de 7 de agosto de 1982, en su artículo 7 se refiere a la creación del </w:t>
      </w:r>
      <w:proofErr w:type="spellStart"/>
      <w:r>
        <w:rPr>
          <w:lang w:val="es-ES_tradnl"/>
        </w:rPr>
        <w:t>CONADIS</w:t>
      </w:r>
      <w:proofErr w:type="spellEnd"/>
      <w:r>
        <w:rPr>
          <w:lang w:val="es-ES_tradnl"/>
        </w:rPr>
        <w:t>, tiene un ámbito nacional para impulsar proyectos sociales, para realizar investigaciones y coordinar acciones entre los sectores, instituciones públicas y privadas que tienen a su cargo dar atención, prevención, educación e integración de la gente con incapacidades.  La otra función es la de diseñar la política nacional sobre discapacidades.</w:t>
      </w:r>
    </w:p>
    <w:p w:rsidR="00000000" w:rsidRDefault="00000000">
      <w:pPr>
        <w:spacing w:after="240"/>
      </w:pPr>
      <w:r>
        <w:rPr>
          <w:lang w:val="es-ES_tradnl"/>
        </w:rPr>
        <w:t>76.</w:t>
      </w:r>
      <w:r>
        <w:rPr>
          <w:lang w:val="es-ES_tradnl"/>
        </w:rPr>
        <w:tab/>
        <w:t xml:space="preserve">No se puede afirmar que la Ley </w:t>
      </w:r>
      <w:proofErr w:type="spellStart"/>
      <w:r>
        <w:rPr>
          <w:lang w:val="es-ES_tradnl"/>
        </w:rPr>
        <w:t>Nº</w:t>
      </w:r>
      <w:proofErr w:type="spellEnd"/>
      <w:r>
        <w:rPr>
          <w:lang w:val="es-ES_tradnl"/>
        </w:rPr>
        <w:t xml:space="preserve"> 180 de las discapacidades haya transformado la situación de las personas con discapacidad; pero sí debe reconocerse que ha facilitado la apertura de los estamentos de la sociedad ecuatoriana a tratar el tema con mayor libertad y apertura.  Esta circunstancia ha generado una respuesta positiva en las acciones programadas y ejecutadas por el </w:t>
      </w:r>
      <w:proofErr w:type="spellStart"/>
      <w:r>
        <w:rPr>
          <w:lang w:val="es-ES_tradnl"/>
        </w:rPr>
        <w:t>CONADIS</w:t>
      </w:r>
      <w:proofErr w:type="spellEnd"/>
      <w:r>
        <w:rPr>
          <w:lang w:val="es-ES_tradnl"/>
        </w:rPr>
        <w:t xml:space="preserve"> a través de los organismos públicos y privados encargados de la prevención, atención e integración de las personas con discapacidades.  Se debe notar que en el país existe una base legal para asistir a las necesidades de este sector y mejorar la situación de la gente con discapacidades, pero en la práctica lo que sucede es que no hay la coordinación necesaria entre las áreas; el trato y la calidad de los servicios son deficientes, el presupuesto que le asigna el Gobierno es insuficiente, por lo que cada vez es mayor la participación de las organizaciones no gubernamentales.</w:t>
      </w:r>
    </w:p>
    <w:p w:rsidR="00000000" w:rsidRDefault="00000000">
      <w:pPr>
        <w:spacing w:after="240"/>
      </w:pPr>
      <w:r>
        <w:t>77.</w:t>
      </w:r>
      <w:r>
        <w:tab/>
      </w:r>
      <w:r>
        <w:rPr>
          <w:lang w:val="es-ES_tradnl"/>
        </w:rPr>
        <w:t>En el Ecuador no existe un plan nacional de ayuda o capacitación para personas que presentan algún tipo de discapacidad.  En ninguno de los centros educativos convencionales existen programas de admisión, capacitación, ubicación laboral y seguimiento.</w:t>
      </w:r>
    </w:p>
    <w:p w:rsidR="00000000" w:rsidRDefault="00000000">
      <w:pPr>
        <w:spacing w:after="240"/>
        <w:rPr>
          <w:lang w:val="es-ES_tradnl"/>
        </w:rPr>
      </w:pPr>
      <w:r>
        <w:rPr>
          <w:lang w:val="es-ES_tradnl"/>
        </w:rPr>
        <w:t>78.</w:t>
      </w:r>
      <w:r>
        <w:rPr>
          <w:lang w:val="es-ES_tradnl"/>
        </w:rPr>
        <w:tab/>
        <w:t>Las políticas sectoriales en el ámbito del trabajo señalan que el Estado ecuatoriano a través del Ministerio del Trabajo y Recursos Humanos garantizará:</w:t>
      </w:r>
    </w:p>
    <w:p w:rsidR="00000000" w:rsidRDefault="00000000">
      <w:pPr>
        <w:spacing w:after="240"/>
        <w:ind w:left="1134" w:hanging="567"/>
        <w:rPr>
          <w:lang w:val="es-ES_tradnl"/>
        </w:rPr>
      </w:pPr>
      <w:r>
        <w:rPr>
          <w:lang w:val="es-ES_tradnl"/>
        </w:rPr>
        <w:t>a)</w:t>
      </w:r>
      <w:r>
        <w:rPr>
          <w:lang w:val="es-ES_tradnl"/>
        </w:rPr>
        <w:tab/>
        <w:t>Una óptima coordinación de los servicios de educación, salud y bienestar social con la formación profesional y ocupacional, a fin de posibilitar una adecuada inserción laboral;</w:t>
      </w:r>
    </w:p>
    <w:p w:rsidR="00000000" w:rsidRDefault="00000000">
      <w:pPr>
        <w:spacing w:after="240"/>
        <w:ind w:left="1134" w:hanging="567"/>
        <w:rPr>
          <w:lang w:val="es-ES_tradnl"/>
        </w:rPr>
      </w:pPr>
      <w:r>
        <w:rPr>
          <w:lang w:val="es-ES_tradnl"/>
        </w:rPr>
        <w:t>b)</w:t>
      </w:r>
      <w:r>
        <w:rPr>
          <w:lang w:val="es-ES_tradnl"/>
        </w:rPr>
        <w:tab/>
        <w:t>Establecerá los mecanismos más idóneos de coordinación entre los sectores de salud, educación y trabajo tanto de las instituciones públicas como privadas en el contexto de la prevención de accidentes de trabajo, o como forma autónoma previa a la integración laboral regular estable;</w:t>
      </w:r>
    </w:p>
    <w:p w:rsidR="00000000" w:rsidRDefault="00000000">
      <w:pPr>
        <w:spacing w:after="240"/>
        <w:ind w:left="1134" w:hanging="567"/>
        <w:rPr>
          <w:lang w:val="es-ES_tradnl"/>
        </w:rPr>
      </w:pPr>
      <w:r>
        <w:rPr>
          <w:lang w:val="es-ES_tradnl"/>
        </w:rPr>
        <w:t>c)</w:t>
      </w:r>
      <w:r>
        <w:rPr>
          <w:lang w:val="es-ES_tradnl"/>
        </w:rPr>
        <w:tab/>
        <w:t>Impulsará la creación y fortalecimiento de instituciones crediticias y de apoyo financiero en condiciones preferenciales, orientadas a la formación de unidades productivas para personas con discapacidad;</w:t>
      </w:r>
    </w:p>
    <w:p w:rsidR="00000000" w:rsidRDefault="00000000">
      <w:pPr>
        <w:spacing w:after="240"/>
        <w:ind w:left="1134" w:hanging="567"/>
      </w:pPr>
      <w:r>
        <w:rPr>
          <w:lang w:val="es-ES_tradnl"/>
        </w:rPr>
        <w:t>d)</w:t>
      </w:r>
      <w:r>
        <w:rPr>
          <w:lang w:val="es-ES_tradnl"/>
        </w:rPr>
        <w:tab/>
        <w:t>Establecerá como modelo de rehabilitación integral las fases de evaluación, orientación, adaptación, formación profesional, ubicación laboral, seguimiento, fortalecerá y reorientará los centros de formación y rehabilitación profesional y ocupacional del país.</w:t>
      </w:r>
    </w:p>
    <w:p w:rsidR="00000000" w:rsidRDefault="00000000">
      <w:pPr>
        <w:spacing w:after="240"/>
      </w:pPr>
      <w:r>
        <w:rPr>
          <w:lang w:val="es-ES_tradnl"/>
        </w:rPr>
        <w:t>79.</w:t>
      </w:r>
      <w:r>
        <w:rPr>
          <w:lang w:val="es-ES_tradnl"/>
        </w:rPr>
        <w:tab/>
        <w:t>Las personas discapacitadas han sido excluidas de participar activamente en la sociedad, las barreras y prejuicios no han podido ser hasta ahora superados, las condiciones en las que estas personas se enfrentan al mercado laboral son de desventaja, todos los servicios para las personas discapacitadas se han centralizado en las principales ciudades y provincias dejando al margen a miles de personas que están lejos de los centros de desarrollo.  Para llevar a la realidad las políticas, el Estado cuenta con organismos como el Servicio Ecuatoriano de Capacitación Profesional (SECAP), encargado de flexibilizar los requisitos de ingreso a sus programas regulares de formación y capacitación profesional y ocupacional para personas con discapacidad.</w:t>
      </w:r>
    </w:p>
    <w:p w:rsidR="00000000" w:rsidRDefault="00000000">
      <w:pPr>
        <w:spacing w:after="240"/>
        <w:rPr>
          <w:i/>
          <w:iCs/>
        </w:rPr>
      </w:pPr>
      <w:r>
        <w:rPr>
          <w:i/>
          <w:iCs/>
          <w:lang w:val="es-ES_tradnl"/>
        </w:rPr>
        <w:t>Normas en el Ecuador en materia de discapacidades:  Constitución Política del Estado, Ley </w:t>
      </w:r>
      <w:proofErr w:type="spellStart"/>
      <w:r>
        <w:rPr>
          <w:i/>
          <w:iCs/>
          <w:lang w:val="es-ES_tradnl"/>
        </w:rPr>
        <w:t>Nº</w:t>
      </w:r>
      <w:proofErr w:type="spellEnd"/>
      <w:r>
        <w:rPr>
          <w:i/>
          <w:iCs/>
          <w:lang w:val="es-ES_tradnl"/>
        </w:rPr>
        <w:t xml:space="preserve"> 180 de las discapacidades, Reglamento General a la Ley </w:t>
      </w:r>
      <w:proofErr w:type="spellStart"/>
      <w:r>
        <w:rPr>
          <w:i/>
          <w:iCs/>
          <w:lang w:val="es-ES_tradnl"/>
        </w:rPr>
        <w:t>Nº</w:t>
      </w:r>
      <w:proofErr w:type="spellEnd"/>
      <w:r>
        <w:rPr>
          <w:i/>
          <w:iCs/>
          <w:lang w:val="es-ES_tradnl"/>
        </w:rPr>
        <w:t xml:space="preserve"> 180, políticas generales y sectoriales de discapacidad</w:t>
      </w:r>
    </w:p>
    <w:p w:rsidR="00000000" w:rsidRDefault="00000000">
      <w:pPr>
        <w:spacing w:after="240"/>
      </w:pPr>
      <w:r>
        <w:rPr>
          <w:lang w:val="es-ES_tradnl"/>
        </w:rPr>
        <w:t>80.</w:t>
      </w:r>
      <w:r>
        <w:rPr>
          <w:lang w:val="es-ES_tradnl"/>
        </w:rPr>
        <w:tab/>
        <w:t>Es importante el aporte internacional del Gobierno español a través del Instituto de Migraciones y Servicios Sociales (</w:t>
      </w:r>
      <w:proofErr w:type="spellStart"/>
      <w:r>
        <w:rPr>
          <w:lang w:val="es-ES_tradnl"/>
        </w:rPr>
        <w:t>IMSERSO</w:t>
      </w:r>
      <w:proofErr w:type="spellEnd"/>
      <w:r>
        <w:rPr>
          <w:lang w:val="es-ES_tradnl"/>
        </w:rPr>
        <w:t>), la Agencia Española de Cooperación Internacional (</w:t>
      </w:r>
      <w:proofErr w:type="spellStart"/>
      <w:r>
        <w:rPr>
          <w:lang w:val="es-ES_tradnl"/>
        </w:rPr>
        <w:t>AECI</w:t>
      </w:r>
      <w:proofErr w:type="spellEnd"/>
      <w:r>
        <w:rPr>
          <w:lang w:val="es-ES_tradnl"/>
        </w:rPr>
        <w:t>), la Red Iberoamericana de Cooperación Técnica para Discapacidades (</w:t>
      </w:r>
      <w:proofErr w:type="spellStart"/>
      <w:r>
        <w:rPr>
          <w:lang w:val="es-ES_tradnl"/>
        </w:rPr>
        <w:t>RICOOTEC</w:t>
      </w:r>
      <w:proofErr w:type="spellEnd"/>
      <w:r>
        <w:rPr>
          <w:lang w:val="es-ES_tradnl"/>
        </w:rPr>
        <w:t>) y el Real Patronato sobre Discapacidad de la Reina Sofía de España.</w:t>
      </w:r>
    </w:p>
    <w:p w:rsidR="00000000" w:rsidRDefault="00000000">
      <w:pPr>
        <w:spacing w:after="240"/>
      </w:pPr>
      <w:r>
        <w:rPr>
          <w:lang w:val="es-ES_tradnl"/>
        </w:rPr>
        <w:t>81.</w:t>
      </w:r>
      <w:r>
        <w:rPr>
          <w:lang w:val="es-ES_tradnl"/>
        </w:rPr>
        <w:tab/>
        <w:t xml:space="preserve">El </w:t>
      </w:r>
      <w:proofErr w:type="spellStart"/>
      <w:r>
        <w:rPr>
          <w:lang w:val="es-ES_tradnl"/>
        </w:rPr>
        <w:t>CONADIS</w:t>
      </w:r>
      <w:proofErr w:type="spellEnd"/>
      <w:r>
        <w:rPr>
          <w:lang w:val="es-ES_tradnl"/>
        </w:rPr>
        <w:t xml:space="preserve"> hasta el 14 de diciembre de 1999 ha proporcionado carnés de identificación a un total de 30.000 personas con discapacidad en el ámbito nacional; para facilitar su acceso a los beneficios previstos, el Gobierno nacional creyó justo incorporar en el Bono Solidario a las personas con discapacidad con limitados recursos económicos y que tengan al menos un 60% de deficiencia legalmente calificada por las unidades médicas del Ministerio de Salud Pública, Seguro Social, Fuerzas Armadas y Policía Nacional.  Hasta el mes de diciembre de 1999 son beneficiarías del Bono Solidario 4.500 personas con discapacidad a escala nacional, pudiendo incorporarse un significativo número de personas más, dependiendo del Consejo Nacional de Modernización (CONAM).  Estas decisiones están asociadas a la capacidad presupuestaria del Gobierno.</w:t>
      </w:r>
    </w:p>
    <w:p w:rsidR="00000000" w:rsidRDefault="00000000">
      <w:pPr>
        <w:spacing w:after="240"/>
      </w:pPr>
      <w:r>
        <w:rPr>
          <w:lang w:val="es-ES_tradnl"/>
        </w:rPr>
        <w:t>82.</w:t>
      </w:r>
      <w:r>
        <w:rPr>
          <w:lang w:val="es-ES_tradnl"/>
        </w:rPr>
        <w:tab/>
        <w:t xml:space="preserve">Es importante resaltar la labor que vienen desarrollando en el país las organizaciones no gubernamentales sin fines de lucro (ONG), en favor de las personas con discapacidades.  La Fundación General Ecuatoriana Programa Ramón </w:t>
      </w:r>
      <w:proofErr w:type="spellStart"/>
      <w:r>
        <w:rPr>
          <w:lang w:val="es-ES_tradnl"/>
        </w:rPr>
        <w:t>Arregui</w:t>
      </w:r>
      <w:proofErr w:type="spellEnd"/>
      <w:r>
        <w:rPr>
          <w:lang w:val="es-ES_tradnl"/>
        </w:rPr>
        <w:t xml:space="preserve"> Monreal (</w:t>
      </w:r>
      <w:proofErr w:type="spellStart"/>
      <w:r>
        <w:rPr>
          <w:lang w:val="es-ES_tradnl"/>
        </w:rPr>
        <w:t>PRAM</w:t>
      </w:r>
      <w:proofErr w:type="spellEnd"/>
      <w:r>
        <w:rPr>
          <w:lang w:val="es-ES_tradnl"/>
        </w:rPr>
        <w:t>) capacita laboralmente a jóvenes con deficiencia mental, cuyas edades fluctúan entre los 15 y los 25 años.  Reciben cursos de sastrería, artesanía, cerámica, carpintería, horticultura y servicios generales.</w:t>
      </w:r>
    </w:p>
    <w:p w:rsidR="00000000" w:rsidRDefault="00000000">
      <w:pPr>
        <w:spacing w:after="240"/>
      </w:pPr>
      <w:r>
        <w:rPr>
          <w:lang w:val="es-ES_tradnl"/>
        </w:rPr>
        <w:t>83.</w:t>
      </w:r>
      <w:r>
        <w:rPr>
          <w:lang w:val="es-ES_tradnl"/>
        </w:rPr>
        <w:tab/>
        <w:t xml:space="preserve">Hasta el momento han egresado del programa ocho promociones, con un total de 182 alumnos capacitados.  A su egreso los jóvenes son ubicados laboralmente en trabajos competitivos, habiéndose alcanzado dicha meta hasta en el 60% de ellos.  El 40% restante son ubicados en el grupo primario (su familia) o en trabajos protegidos o desempeñan trabajos dentro de su comunidad.  El </w:t>
      </w:r>
      <w:proofErr w:type="spellStart"/>
      <w:r>
        <w:rPr>
          <w:lang w:val="es-ES_tradnl"/>
        </w:rPr>
        <w:t>PRAM</w:t>
      </w:r>
      <w:proofErr w:type="spellEnd"/>
      <w:r>
        <w:rPr>
          <w:lang w:val="es-ES_tradnl"/>
        </w:rPr>
        <w:t xml:space="preserve"> realizó el seguimiento de los 182 jóvenes egresados, entre 1991 y 1998.  Se logra entrevistar a 150 de ellos:  55 mujeres y 95 hombres.  No se pudo localizar a 32 egresados.  Se localizó a 82 personas en actividad (54,7%).  Consiguen trabajo más fácilmente los hombres (64 de 95) que las mujeres (18 de 55).  El 51,2% han conseguido trabajo a través de la Fundación General Ecuatoriana (</w:t>
      </w:r>
      <w:proofErr w:type="spellStart"/>
      <w:r>
        <w:rPr>
          <w:lang w:val="es-ES_tradnl"/>
        </w:rPr>
        <w:t>FGE</w:t>
      </w:r>
      <w:proofErr w:type="spellEnd"/>
      <w:r>
        <w:rPr>
          <w:lang w:val="es-ES_tradnl"/>
        </w:rPr>
        <w:t>) y casi todos en empresas privadas.  El resto se reincorporan a su grupo primario (familia) y ayudan en las labores domésticas, pero sólo en dos casos ese trabajo es remunerado.</w:t>
      </w:r>
    </w:p>
    <w:p w:rsidR="00000000" w:rsidRDefault="00000000">
      <w:pPr>
        <w:spacing w:after="240"/>
      </w:pPr>
      <w:r>
        <w:rPr>
          <w:b/>
          <w:bCs/>
          <w:szCs w:val="26"/>
          <w:lang w:val="es-ES_tradnl"/>
        </w:rPr>
        <w:t>Artículo 7</w:t>
      </w:r>
    </w:p>
    <w:p w:rsidR="00000000" w:rsidRDefault="00000000">
      <w:pPr>
        <w:spacing w:after="240"/>
        <w:rPr>
          <w:lang w:val="es-ES_tradnl"/>
        </w:rPr>
      </w:pPr>
      <w:r>
        <w:rPr>
          <w:b/>
          <w:bCs/>
          <w:lang w:val="es-ES_tradnl"/>
        </w:rPr>
        <w:t>Derecho al trabajo</w:t>
      </w:r>
    </w:p>
    <w:p w:rsidR="00000000" w:rsidRDefault="00000000">
      <w:pPr>
        <w:spacing w:after="240"/>
      </w:pPr>
      <w:r>
        <w:rPr>
          <w:lang w:val="es-ES_tradnl"/>
        </w:rPr>
        <w:t>84.</w:t>
      </w:r>
      <w:r>
        <w:rPr>
          <w:lang w:val="es-ES_tradnl"/>
        </w:rPr>
        <w:tab/>
        <w:t>La Constitución Política del Estado reconoce que son deberes primordiales del Estado:  "Erradicar la pobreza y promover el progreso económico, social y cultural de sus habitantes"</w:t>
      </w:r>
      <w:r>
        <w:rPr>
          <w:rStyle w:val="FootnoteReference"/>
          <w:lang w:val="es-ES_tradnl"/>
        </w:rPr>
        <w:footnoteReference w:id="18"/>
      </w:r>
      <w:r>
        <w:rPr>
          <w:lang w:val="es-ES_tradnl"/>
        </w:rPr>
        <w:t>, para lo cual el Estado reconocerá y garantizará "la libertad de trabajo" y el "derecho a una calidad de vida que asegure la salud, alimentación y nutrición, agua potable, saneamiento ambiental, educación, trabajo, empleo, recreación, vivienda, vestido y otros servicios sociales necesarios"</w:t>
      </w:r>
      <w:r>
        <w:rPr>
          <w:rStyle w:val="FootnoteReference"/>
          <w:lang w:val="es-ES_tradnl"/>
        </w:rPr>
        <w:footnoteReference w:id="19"/>
      </w:r>
      <w:r>
        <w:rPr>
          <w:lang w:val="es-ES_tradnl"/>
        </w:rPr>
        <w:t>.</w:t>
      </w:r>
    </w:p>
    <w:p w:rsidR="00000000" w:rsidRDefault="00000000">
      <w:pPr>
        <w:spacing w:after="240"/>
      </w:pPr>
      <w:r>
        <w:rPr>
          <w:lang w:val="es-ES_tradnl"/>
        </w:rPr>
        <w:t>85.</w:t>
      </w:r>
      <w:r>
        <w:rPr>
          <w:lang w:val="es-ES_tradnl"/>
        </w:rPr>
        <w:tab/>
        <w:t>La Carta Política establece que:  "El trabajo es un derecho y un deber social.  Gozará de la protección del Estado, el que asegurará al trabajador el respeto a su dignidad, una existencia decorosa y una remuneración justa que cubra sus necesidades y las de su familia".  Dentro de las normas fundamentales de este artículo señala que "Los derechos del trabajador son irrenunciables.  Será nula toda estipulación que implique su renuncia, disminución o alteración"</w:t>
      </w:r>
      <w:r>
        <w:rPr>
          <w:rStyle w:val="FootnoteReference"/>
          <w:lang w:val="es-ES_tradnl"/>
        </w:rPr>
        <w:footnoteReference w:id="20"/>
      </w:r>
      <w:r>
        <w:rPr>
          <w:lang w:val="es-ES_tradnl"/>
        </w:rPr>
        <w:t>.</w:t>
      </w:r>
    </w:p>
    <w:p w:rsidR="00000000" w:rsidRDefault="00000000">
      <w:pPr>
        <w:spacing w:after="240"/>
        <w:rPr>
          <w:lang w:val="es-ES_tradnl"/>
        </w:rPr>
      </w:pPr>
      <w:r>
        <w:rPr>
          <w:lang w:val="es-ES_tradnl"/>
        </w:rPr>
        <w:t>86.</w:t>
      </w:r>
      <w:r>
        <w:rPr>
          <w:lang w:val="es-ES_tradnl"/>
        </w:rPr>
        <w:tab/>
        <w:t>Constitucionalmente se introducen importantes cambios en cuanto a reconocimiento de derechos se refiere, como la "incorporación de las mujeres al trabajo remunerado, en igualdad de derechos y oportunidades, garantizándoles idéntica remuneración por trabajo de igual valor".  Además, se estipula que "velará especialmente por el respeto a los derechos laborales y reproductivos para el mejoramiento de sus condiciones de trabajo y el acceso a los sistemas de seguridad social, especialmente en el caso de la madre gestante y en período de lactancia, de la mujer trabajadora, la del sector informal, la del sector artesanal, la jefa de hogar y la que se encuentre en estado de viudez.  Se prohíbe todo tipo de discriminación laboral contra la mujer.  El trabajo del cónyuge o conviviente en el hogar, será tomado en consideración para compensarle equitativamente, en situaciones especiales en que aquél se encuentre en desventaja económica.  Se reconocerá como labor productiva el trabajo doméstico no remunerado"</w:t>
      </w:r>
      <w:r>
        <w:rPr>
          <w:rStyle w:val="FootnoteReference"/>
          <w:lang w:val="es-ES_tradnl"/>
        </w:rPr>
        <w:footnoteReference w:id="21"/>
      </w:r>
      <w:r>
        <w:rPr>
          <w:lang w:val="es-ES_tradnl"/>
        </w:rPr>
        <w:t>.</w:t>
      </w:r>
    </w:p>
    <w:p w:rsidR="00000000" w:rsidRDefault="00000000">
      <w:pPr>
        <w:spacing w:after="240"/>
      </w:pPr>
      <w:r>
        <w:rPr>
          <w:lang w:val="es-ES_tradnl"/>
        </w:rPr>
        <w:t>87.</w:t>
      </w:r>
      <w:r>
        <w:rPr>
          <w:lang w:val="es-ES_tradnl"/>
        </w:rPr>
        <w:tab/>
        <w:t>El Código del Trabajo contempla el derecho de que las personas tienen la libertad de elegir su trabajo a labor lícita:  "A nadie se le puede exigir servicios gratuitos ni remunerados que no sean impuestos por la ley, salvo los casos de urgencia extraordinaria o de necesidad de inmediato auxilio.  Fuera de estos casos nadie estará obligado a trabajar sino mediante un contrato y la remuneración correspondiente.  En general, todo trabajo debe ser remunerado"</w:t>
      </w:r>
      <w:r>
        <w:rPr>
          <w:rStyle w:val="FootnoteReference"/>
          <w:lang w:val="es-ES_tradnl"/>
        </w:rPr>
        <w:footnoteReference w:id="22"/>
      </w:r>
      <w:r>
        <w:rPr>
          <w:lang w:val="es-ES_tradnl"/>
        </w:rPr>
        <w:t>.</w:t>
      </w:r>
    </w:p>
    <w:p w:rsidR="00000000" w:rsidRDefault="00000000">
      <w:pPr>
        <w:spacing w:after="240"/>
      </w:pPr>
      <w:r>
        <w:rPr>
          <w:i/>
          <w:iCs/>
          <w:lang w:val="es-ES_tradnl"/>
        </w:rPr>
        <w:t>Sistema de fijación de salarios</w:t>
      </w:r>
    </w:p>
    <w:p w:rsidR="00000000" w:rsidRDefault="00000000">
      <w:pPr>
        <w:spacing w:after="240"/>
      </w:pPr>
      <w:r>
        <w:rPr>
          <w:lang w:val="es-ES_tradnl"/>
        </w:rPr>
        <w:t>88.</w:t>
      </w:r>
      <w:r>
        <w:rPr>
          <w:lang w:val="es-ES_tradnl"/>
        </w:rPr>
        <w:tab/>
        <w:t>La Constitución del Ecuador en su artículo 118 define las instituciones que conforman el sector público.  En el numeral 9 del artículo 35 se distinguen dos grandes sectores:  servidores sujetos a leyes que regulan a la administración pública y el que regula a los obreros y trabajadores amparados por el Código del Trabajo.</w:t>
      </w:r>
    </w:p>
    <w:p w:rsidR="00000000" w:rsidRDefault="00000000">
      <w:pPr>
        <w:spacing w:after="240"/>
      </w:pPr>
      <w:r>
        <w:rPr>
          <w:lang w:val="es-ES_tradnl"/>
        </w:rPr>
        <w:t>89.</w:t>
      </w:r>
      <w:r>
        <w:rPr>
          <w:lang w:val="es-ES_tradnl"/>
        </w:rPr>
        <w:tab/>
        <w:t>De conformidad con los principios establecidos en la Constitución Política y disposiciones constantes en el Código del Trabajo, la fijación de salarios se viene implementando a través de tres mecanismos:</w:t>
      </w:r>
    </w:p>
    <w:p w:rsidR="00000000" w:rsidRDefault="00000000">
      <w:pPr>
        <w:spacing w:after="240"/>
        <w:ind w:left="1134" w:hanging="567"/>
      </w:pPr>
      <w:r>
        <w:rPr>
          <w:lang w:val="es-ES_tradnl"/>
        </w:rPr>
        <w:t>a)</w:t>
      </w:r>
      <w:r>
        <w:rPr>
          <w:lang w:val="es-ES_tradnl"/>
        </w:rPr>
        <w:tab/>
        <w:t>La facultad de fijar los salarios estuvo a cargo del Congreso Nacional, pasó al ejecutivo y actualmente le corresponde ejecutar al Consejo Nacional de Salarios.  El salario mínimo vital general para todo trabajador será el que fije semestralmente, mediante resolución, el Consejo Nacional de Salarios (CONADES).  Igualmente y con la misma periodicidad, el CONADES determinará los aumentos generales de remuneraciones.  El Presidente de la República, mediante decreto, fijará el sueldo básico del Magisterio Fiscal con sujeción a las normas de la ley pertinente y al salario mínimo establecido por el CONADES.</w:t>
      </w:r>
    </w:p>
    <w:p w:rsidR="00000000" w:rsidRDefault="00000000">
      <w:pPr>
        <w:spacing w:after="240"/>
        <w:ind w:left="1134" w:hanging="567"/>
      </w:pPr>
      <w:r>
        <w:rPr>
          <w:lang w:val="es-ES_tradnl"/>
        </w:rPr>
        <w:t>b)</w:t>
      </w:r>
      <w:r>
        <w:rPr>
          <w:lang w:val="es-ES_tradnl"/>
        </w:rPr>
        <w:tab/>
        <w:t xml:space="preserve">Las Comisiones Sectoriales de Salario Mínimo son organismos tripartitos integrados por representantes de los trabajadores, empleadores y Gobierno, encargados de la fijación anual de sueldos, salarios </w:t>
      </w:r>
      <w:proofErr w:type="spellStart"/>
      <w:r>
        <w:rPr>
          <w:lang w:val="es-ES_tradnl"/>
        </w:rPr>
        <w:t>y/o</w:t>
      </w:r>
      <w:proofErr w:type="spellEnd"/>
      <w:r>
        <w:rPr>
          <w:lang w:val="es-ES_tradnl"/>
        </w:rPr>
        <w:t xml:space="preserve"> tarifas mínimas sectoriales para los trabajadores que trabajan protegidos por el Código del Trabajo en diferentes ramas de actividad por intermedio de las Comisiones Sectoriales, con la asesoría del CONADES.</w:t>
      </w:r>
    </w:p>
    <w:p w:rsidR="00000000" w:rsidRDefault="00000000">
      <w:pPr>
        <w:spacing w:after="240"/>
        <w:ind w:left="1134" w:hanging="567"/>
      </w:pPr>
      <w:r>
        <w:rPr>
          <w:lang w:val="es-ES_tradnl"/>
        </w:rPr>
        <w:t>c)</w:t>
      </w:r>
      <w:r>
        <w:rPr>
          <w:lang w:val="es-ES_tradnl"/>
        </w:rPr>
        <w:tab/>
        <w:t>Existe un tercer mecanismo de fijación de salarios a través de la negociación de contratos colectivos mediante el cual los trabajadores sindicalizados negocian directamente con su empleador y con intervención del Ministerio de Trabajo y Recursos Humanos, las condiciones de trabajo por las que se regirán, estableciéndose entre ellas las referentes a la fijación de salarios básicos, así como ciertos beneficios sociales de acuerdo a las posibilidades de la empresa.</w:t>
      </w:r>
    </w:p>
    <w:p w:rsidR="00000000" w:rsidRDefault="00000000">
      <w:pPr>
        <w:spacing w:after="240"/>
      </w:pPr>
      <w:r>
        <w:rPr>
          <w:lang w:val="es-ES_tradnl"/>
        </w:rPr>
        <w:t>90.</w:t>
      </w:r>
      <w:r>
        <w:rPr>
          <w:lang w:val="es-ES_tradnl"/>
        </w:rPr>
        <w:tab/>
        <w:t>El salario mínimo vital general se aplica a aquellas personas que por las características de sus actividades no pueden ser asimiladas a las ocupaciones constantes en las tablas sectoriales por rama de actividad económica.</w:t>
      </w:r>
    </w:p>
    <w:p w:rsidR="00000000" w:rsidRDefault="00000000">
      <w:pPr>
        <w:spacing w:after="240"/>
      </w:pPr>
      <w:r>
        <w:rPr>
          <w:lang w:val="es-ES_tradnl"/>
        </w:rPr>
        <w:t>91.</w:t>
      </w:r>
      <w:r>
        <w:rPr>
          <w:lang w:val="es-ES_tradnl"/>
        </w:rPr>
        <w:tab/>
        <w:t>La División de Salario Mínimo del Ministerio de Trabajo y Recursos Humanos señala que el país no cuenta con estadísticas sobre el número de personas que están incluidas en este grupo.</w:t>
      </w:r>
    </w:p>
    <w:p w:rsidR="00000000" w:rsidRDefault="00000000">
      <w:pPr>
        <w:spacing w:after="240"/>
      </w:pPr>
      <w:r>
        <w:t>92.</w:t>
      </w:r>
      <w:r>
        <w:tab/>
      </w:r>
      <w:r>
        <w:rPr>
          <w:lang w:val="es-ES_tradnl"/>
        </w:rPr>
        <w:t>El INEC, es la entidad que realiza las encuestas de condiciones de vida y de empleo, desempleo y subempleo y obtiene datos sobre los ingresos percibidos por los trabajadores.  Se ha detectado que en los formularios utilizados por este organismo no existe una variable que investigue los salarios básicos específicamente, sino el monto total de los ingresos, en los que incluye, además, los obtenidos adicionalmente.  A este inconveniente se suma el hecho que la encuesta realizada por el INEC se efectúa exclusivamente en el área urbana.</w:t>
      </w:r>
    </w:p>
    <w:p w:rsidR="00000000" w:rsidRDefault="00000000">
      <w:pPr>
        <w:spacing w:after="240"/>
      </w:pPr>
      <w:r>
        <w:rPr>
          <w:lang w:val="es-ES_tradnl"/>
        </w:rPr>
        <w:t>93.</w:t>
      </w:r>
      <w:r>
        <w:rPr>
          <w:lang w:val="es-ES_tradnl"/>
        </w:rPr>
        <w:tab/>
        <w:t xml:space="preserve">Los salarios mínimos fijados en cada caso son legalmente obligatorios y su ejecución está garantizada por la Supervisión del Ministerio de Trabajo y Recursos Humanos; su cumplimiento tanto del salario mínimo vital como de los sueldos, salarios </w:t>
      </w:r>
      <w:proofErr w:type="spellStart"/>
      <w:r>
        <w:rPr>
          <w:lang w:val="es-ES_tradnl"/>
        </w:rPr>
        <w:t>y/o</w:t>
      </w:r>
      <w:proofErr w:type="spellEnd"/>
      <w:r>
        <w:rPr>
          <w:lang w:val="es-ES_tradnl"/>
        </w:rPr>
        <w:t xml:space="preserve"> tarifas mínimas sectoriales se supervisan a través de la Dirección General del Trabajo en la provincia del Pichincha y de las respectivas oficinas regionales en el resto del país, esto es, Subdirecciones del Trabajo del Litoral,</w:t>
      </w:r>
      <w:r>
        <w:t xml:space="preserve"> </w:t>
      </w:r>
      <w:r>
        <w:rPr>
          <w:lang w:val="es-ES_tradnl"/>
        </w:rPr>
        <w:t>del Austro y del Centro, así como de las Inspectorías del Trabajo de otras provincias; trabajadores y empleadores acuden a sus dependencias buscando asesoramiento sobre la aplicación de las disposiciones legales vigentes en materia salarial y para exigir su cumplimiento.</w:t>
      </w:r>
    </w:p>
    <w:p w:rsidR="00000000" w:rsidRDefault="00000000">
      <w:pPr>
        <w:spacing w:after="240"/>
      </w:pPr>
      <w:r>
        <w:rPr>
          <w:lang w:val="es-ES_tradnl"/>
        </w:rPr>
        <w:t>94.</w:t>
      </w:r>
      <w:r>
        <w:rPr>
          <w:lang w:val="es-ES_tradnl"/>
        </w:rPr>
        <w:tab/>
        <w:t>A la aplicación de los salarios vigentes contribuye desde 1997 el Instituto Ecuatoriano de Seguridad Social (IESS), entidad que para lograr una mayor capitalización se encuentra exigiendo a los empleadores que la aportación patronal y personal al IESS se efectúe basándose en los salarios establecidos por ley.</w:t>
      </w:r>
    </w:p>
    <w:p w:rsidR="00000000" w:rsidRDefault="00000000">
      <w:pPr>
        <w:spacing w:after="240"/>
      </w:pPr>
      <w:r>
        <w:rPr>
          <w:b/>
          <w:bCs/>
          <w:lang w:val="es-ES_tradnl"/>
        </w:rPr>
        <w:t>Fijación del salario mínimo</w:t>
      </w:r>
    </w:p>
    <w:p w:rsidR="00000000" w:rsidRDefault="00000000">
      <w:pPr>
        <w:spacing w:after="240"/>
      </w:pPr>
      <w:r>
        <w:rPr>
          <w:lang w:val="es-ES_tradnl"/>
        </w:rPr>
        <w:t>95.</w:t>
      </w:r>
      <w:r>
        <w:rPr>
          <w:lang w:val="es-ES_tradnl"/>
        </w:rPr>
        <w:tab/>
        <w:t>Para la fijación del salario mínimo vital general, el Departamento de Salario Mínimo que actúa en calidad de secretaría técnica del CONADES elabora un informe técnico en el que se analiza la situación económica y social del país y de la clase trabajadora amparada por los mecanismos de fijación salarial del salario mínimo vital y del salario sectorial.</w:t>
      </w:r>
    </w:p>
    <w:p w:rsidR="00000000" w:rsidRDefault="00000000">
      <w:pPr>
        <w:spacing w:after="240"/>
      </w:pPr>
      <w:r>
        <w:rPr>
          <w:lang w:val="es-ES_tradnl"/>
        </w:rPr>
        <w:t>96.</w:t>
      </w:r>
      <w:r>
        <w:rPr>
          <w:lang w:val="es-ES_tradnl"/>
        </w:rPr>
        <w:tab/>
        <w:t>El informe elaborado por la secretaría técnica del CONADES, así como los aportes y sugerencias de los distintos delegados de este organismo son básicas dentro del análisis para la fijación del salario mínimo vital.  Para la determinación salarial por parte de las comisiones sectoriales, se efectúa una investigación y los estudios pertinentes, en la negociación de contratos colectivos, prevalece la voluntad de las partes así como la situación económica y perspectivas de cada empresa.</w:t>
      </w:r>
    </w:p>
    <w:p w:rsidR="00000000" w:rsidRDefault="00000000">
      <w:pPr>
        <w:spacing w:after="240"/>
      </w:pPr>
      <w:r>
        <w:rPr>
          <w:lang w:val="es-ES_tradnl"/>
        </w:rPr>
        <w:t>97.</w:t>
      </w:r>
      <w:r>
        <w:rPr>
          <w:lang w:val="es-ES_tradnl"/>
        </w:rPr>
        <w:tab/>
        <w:t>En el Ecuador son varias las leyes que rigen la administración de los recursos humanos, siendo para el servicio civil dos las fundamentales:  la Ley de servicio civil y carrera administrativa y la Ley de remuneraciones de los servidores públicos, y para el sector privado, el Código del Trabajo y la Constitución Política del Estado.</w:t>
      </w:r>
    </w:p>
    <w:p w:rsidR="00000000" w:rsidRDefault="00000000">
      <w:pPr>
        <w:spacing w:after="240"/>
      </w:pPr>
      <w:r>
        <w:rPr>
          <w:lang w:val="es-ES_tradnl"/>
        </w:rPr>
        <w:t>98.</w:t>
      </w:r>
      <w:r>
        <w:rPr>
          <w:lang w:val="es-ES_tradnl"/>
        </w:rPr>
        <w:tab/>
        <w:t xml:space="preserve">La Ley de remuneraciones de los servidores públicos se expide en el año 975 para regular su sistema de pagos.  En el decenio de 1990 se emiten las leyes de escalafón profesional, en las que fundamentalmente se regula el sueldo básico </w:t>
      </w:r>
      <w:proofErr w:type="spellStart"/>
      <w:r>
        <w:rPr>
          <w:lang w:val="es-ES_tradnl"/>
        </w:rPr>
        <w:t>escalafonario</w:t>
      </w:r>
      <w:proofErr w:type="spellEnd"/>
      <w:r>
        <w:rPr>
          <w:lang w:val="es-ES_tradnl"/>
        </w:rPr>
        <w:t>.</w:t>
      </w:r>
    </w:p>
    <w:p w:rsidR="00000000" w:rsidRDefault="00000000">
      <w:pPr>
        <w:spacing w:after="240"/>
      </w:pPr>
      <w:r>
        <w:rPr>
          <w:lang w:val="es-ES_tradnl"/>
        </w:rPr>
        <w:t>99.</w:t>
      </w:r>
      <w:r>
        <w:rPr>
          <w:lang w:val="es-ES_tradnl"/>
        </w:rPr>
        <w:tab/>
        <w:t xml:space="preserve">En la Ley para la reforma de las finanzas públicas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181 de 30 de abril de 1999, en el artículo 51 se crea el Consejo Nacional de Remuneraciones del Sector Público (</w:t>
      </w:r>
      <w:proofErr w:type="spellStart"/>
      <w:r>
        <w:rPr>
          <w:lang w:val="es-ES_tradnl"/>
        </w:rPr>
        <w:t>CONAREM</w:t>
      </w:r>
      <w:proofErr w:type="spellEnd"/>
      <w:r>
        <w:rPr>
          <w:lang w:val="es-ES_tradnl"/>
        </w:rPr>
        <w:t xml:space="preserve">), organismo que tiene como atribución el "determinar las políticas </w:t>
      </w:r>
      <w:proofErr w:type="spellStart"/>
      <w:r>
        <w:rPr>
          <w:lang w:val="es-ES_tradnl"/>
        </w:rPr>
        <w:t>salariales</w:t>
      </w:r>
      <w:proofErr w:type="spellEnd"/>
      <w:r>
        <w:rPr>
          <w:lang w:val="es-ES_tradnl"/>
        </w:rPr>
        <w:t xml:space="preserve"> a aplicarse en las instituciones del Estado, sea que la relación de éstas con sus funcionarios, empleados o trabajadores se hallen regulados por la Ley de servicio civil y carrera administrativa, otras leyes especiales que regulan la relación de servicio o del Código del Trabajo".</w:t>
      </w:r>
    </w:p>
    <w:p w:rsidR="00000000" w:rsidRDefault="00000000">
      <w:pPr>
        <w:spacing w:after="240"/>
      </w:pPr>
      <w:r>
        <w:rPr>
          <w:lang w:val="es-ES_tradnl"/>
        </w:rPr>
        <w:t>100.</w:t>
      </w:r>
      <w:r>
        <w:rPr>
          <w:lang w:val="es-ES_tradnl"/>
        </w:rPr>
        <w:tab/>
        <w:t>El informe técnico elaborado por el CONADES es considerado como instrumento de trabajo básico para el análisis y discusión del tema salarial; sin embargo prevalece el aspecto de la incidencia en la Caja Fiscal, por el hecho de que el salario mínimo vital, al encontrarse indexado a múltiples beneficios conseguidos por los trabajadores que están amparados por contratos colectivos y por escalafones del magisterio nacional, profesionales, representa un gran impacto en las finanzas públicas.  Desde 1994 se ha adoptado como política el aumentar otros rubros que forman parte de la remuneración de los trabajadores, como es el caso de la compensación por el incremento del costo de vida y la bonificación complementaria, que tienen menor repercusión económica para el Estado.</w:t>
      </w:r>
    </w:p>
    <w:p w:rsidR="00000000" w:rsidRDefault="00000000">
      <w:pPr>
        <w:spacing w:after="240"/>
      </w:pPr>
      <w:r>
        <w:rPr>
          <w:lang w:val="es-ES_tradnl"/>
        </w:rPr>
        <w:t>101.</w:t>
      </w:r>
      <w:r>
        <w:rPr>
          <w:lang w:val="es-ES_tradnl"/>
        </w:rPr>
        <w:tab/>
        <w:t xml:space="preserve">Los mecanismos establecidos para la fijación, vigilancia y ajustes de los sueldos del sector público, se enmarcan en lo dispuesto en el artículo 53 de la Ley para la reforma de las finanzas públicas que señala:  "es de competencia privativa del Consejo Nacional de Remuneraciones del Sector Público la determinación y fijación de las políticas y los criterios de remuneración de los funcionarios y empleados de las instituciones del Estado; por lo tanto, el Consejo, precautelando la capacidad adquisitiva del salario, determinará con base en las disponibilidades de fondos, las escalas </w:t>
      </w:r>
      <w:proofErr w:type="spellStart"/>
      <w:r>
        <w:rPr>
          <w:lang w:val="es-ES_tradnl"/>
        </w:rPr>
        <w:t>salariales</w:t>
      </w:r>
      <w:proofErr w:type="spellEnd"/>
      <w:r>
        <w:rPr>
          <w:lang w:val="es-ES_tradnl"/>
        </w:rPr>
        <w:t xml:space="preserve"> aplicables a dichos funcionarios, las mismas que serán de aplicación general".</w:t>
      </w:r>
    </w:p>
    <w:p w:rsidR="00000000" w:rsidRDefault="00000000">
      <w:pPr>
        <w:spacing w:after="240"/>
      </w:pPr>
      <w:r>
        <w:rPr>
          <w:lang w:val="es-ES_tradnl"/>
        </w:rPr>
        <w:t>102.</w:t>
      </w:r>
      <w:r>
        <w:rPr>
          <w:lang w:val="es-ES_tradnl"/>
        </w:rPr>
        <w:tab/>
        <w:t>El sistema de sueldos básicos del sector público es fijado en base a criterios de:  disponibilidad fiscal, niveles inflacionario (inflación pasada) y niveles de responsabilidad.</w:t>
      </w:r>
    </w:p>
    <w:p w:rsidR="00000000" w:rsidRDefault="00000000">
      <w:pPr>
        <w:spacing w:after="240"/>
      </w:pPr>
      <w:r>
        <w:rPr>
          <w:lang w:val="es-ES_tradnl"/>
        </w:rPr>
        <w:t>103.</w:t>
      </w:r>
      <w:r>
        <w:rPr>
          <w:lang w:val="es-ES_tradnl"/>
        </w:rPr>
        <w:tab/>
        <w:t xml:space="preserve">De igual manera para el caso del sector privado, es el Consejo Nacional de Remuneraciones el organismo que determina las políticas </w:t>
      </w:r>
      <w:proofErr w:type="spellStart"/>
      <w:r>
        <w:rPr>
          <w:lang w:val="es-ES_tradnl"/>
        </w:rPr>
        <w:t>salariales</w:t>
      </w:r>
      <w:proofErr w:type="spellEnd"/>
      <w:r>
        <w:rPr>
          <w:lang w:val="es-ES_tradnl"/>
        </w:rPr>
        <w:t>, el salario mínimo y los aumentos generales de los trabajadores en general.</w:t>
      </w:r>
    </w:p>
    <w:p w:rsidR="00000000" w:rsidRDefault="00000000">
      <w:pPr>
        <w:spacing w:after="160"/>
        <w:jc w:val="center"/>
        <w:rPr>
          <w:b/>
          <w:bCs/>
          <w:sz w:val="20"/>
          <w:lang w:val="es-ES_tradnl"/>
        </w:rPr>
      </w:pPr>
      <w:r>
        <w:rPr>
          <w:b/>
          <w:bCs/>
          <w:sz w:val="20"/>
          <w:lang w:val="es-ES_tradnl"/>
        </w:rPr>
        <w:t>Ingreso total del trabajador en general</w:t>
      </w:r>
    </w:p>
    <w:p w:rsidR="00000000" w:rsidRDefault="00000000">
      <w:pPr>
        <w:spacing w:after="160"/>
        <w:jc w:val="center"/>
        <w:rPr>
          <w:b/>
          <w:bCs/>
          <w:sz w:val="20"/>
        </w:rPr>
      </w:pPr>
      <w:r>
        <w:rPr>
          <w:b/>
          <w:bCs/>
          <w:sz w:val="20"/>
          <w:lang w:val="es-ES_tradnl"/>
        </w:rPr>
        <w:t>Borja-</w:t>
      </w:r>
      <w:proofErr w:type="spellStart"/>
      <w:r>
        <w:rPr>
          <w:b/>
          <w:bCs/>
          <w:sz w:val="20"/>
          <w:lang w:val="es-ES_tradnl"/>
        </w:rPr>
        <w:t>Parodi</w:t>
      </w:r>
      <w:proofErr w:type="spellEnd"/>
      <w:r>
        <w:rPr>
          <w:b/>
          <w:bCs/>
          <w:sz w:val="20"/>
          <w:lang w:val="es-ES_tradnl"/>
        </w:rPr>
        <w:t xml:space="preserve"> de agosto de 1988 a agosto de 1992</w:t>
      </w:r>
    </w:p>
    <w:p w:rsidR="00000000" w:rsidRDefault="00000000">
      <w:pPr>
        <w:spacing w:after="160"/>
        <w:jc w:val="center"/>
        <w:rPr>
          <w:b/>
          <w:bCs/>
          <w:sz w:val="20"/>
        </w:rPr>
      </w:pPr>
      <w:r>
        <w:rPr>
          <w:b/>
          <w:bCs/>
          <w:sz w:val="20"/>
          <w:lang w:val="es-ES_tradnl"/>
        </w:rPr>
        <w:t>(En sucres)</w:t>
      </w:r>
    </w:p>
    <w:tbl>
      <w:tblPr>
        <w:tblW w:w="9198" w:type="dxa"/>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7"/>
        <w:gridCol w:w="1101"/>
        <w:gridCol w:w="1101"/>
        <w:gridCol w:w="1102"/>
        <w:gridCol w:w="1248"/>
        <w:gridCol w:w="985"/>
        <w:gridCol w:w="1104"/>
      </w:tblGrid>
      <w:tr w:rsidR="00000000">
        <w:tblPrEx>
          <w:tblCellMar>
            <w:top w:w="0" w:type="dxa"/>
            <w:bottom w:w="0" w:type="dxa"/>
          </w:tblCellMar>
        </w:tblPrEx>
        <w:trPr>
          <w:cantSplit/>
          <w:jc w:val="center"/>
        </w:trPr>
        <w:tc>
          <w:tcPr>
            <w:tcW w:w="2557" w:type="dxa"/>
            <w:vMerge w:val="restart"/>
            <w:vAlign w:val="center"/>
          </w:tcPr>
          <w:p w:rsidR="00000000" w:rsidRDefault="00000000">
            <w:pPr>
              <w:jc w:val="center"/>
              <w:rPr>
                <w:sz w:val="20"/>
                <w:szCs w:val="2"/>
              </w:rPr>
            </w:pPr>
            <w:r>
              <w:rPr>
                <w:sz w:val="20"/>
                <w:szCs w:val="2"/>
              </w:rPr>
              <w:t>Concepto y años</w:t>
            </w:r>
          </w:p>
        </w:tc>
        <w:tc>
          <w:tcPr>
            <w:tcW w:w="2202" w:type="dxa"/>
            <w:gridSpan w:val="2"/>
          </w:tcPr>
          <w:p w:rsidR="00000000" w:rsidRDefault="00000000">
            <w:pPr>
              <w:jc w:val="center"/>
              <w:rPr>
                <w:sz w:val="20"/>
                <w:szCs w:val="2"/>
              </w:rPr>
            </w:pPr>
            <w:r>
              <w:rPr>
                <w:sz w:val="20"/>
                <w:szCs w:val="2"/>
              </w:rPr>
              <w:t>1990</w:t>
            </w:r>
          </w:p>
        </w:tc>
        <w:tc>
          <w:tcPr>
            <w:tcW w:w="2350" w:type="dxa"/>
            <w:gridSpan w:val="2"/>
          </w:tcPr>
          <w:p w:rsidR="00000000" w:rsidRDefault="00000000">
            <w:pPr>
              <w:jc w:val="center"/>
              <w:rPr>
                <w:sz w:val="20"/>
                <w:szCs w:val="2"/>
              </w:rPr>
            </w:pPr>
            <w:r>
              <w:rPr>
                <w:sz w:val="20"/>
                <w:szCs w:val="2"/>
              </w:rPr>
              <w:t>1992</w:t>
            </w:r>
          </w:p>
        </w:tc>
        <w:tc>
          <w:tcPr>
            <w:tcW w:w="2089" w:type="dxa"/>
            <w:gridSpan w:val="2"/>
          </w:tcPr>
          <w:p w:rsidR="00000000" w:rsidRDefault="00000000">
            <w:pPr>
              <w:jc w:val="center"/>
              <w:rPr>
                <w:sz w:val="20"/>
                <w:szCs w:val="2"/>
              </w:rPr>
            </w:pPr>
            <w:r>
              <w:rPr>
                <w:sz w:val="20"/>
                <w:szCs w:val="2"/>
              </w:rPr>
              <w:t>Incremento del período</w:t>
            </w:r>
          </w:p>
        </w:tc>
      </w:tr>
      <w:tr w:rsidR="00000000">
        <w:tblPrEx>
          <w:tblCellMar>
            <w:top w:w="0" w:type="dxa"/>
            <w:bottom w:w="0" w:type="dxa"/>
          </w:tblCellMar>
        </w:tblPrEx>
        <w:trPr>
          <w:cantSplit/>
          <w:jc w:val="center"/>
        </w:trPr>
        <w:tc>
          <w:tcPr>
            <w:tcW w:w="2557" w:type="dxa"/>
            <w:vMerge/>
          </w:tcPr>
          <w:p w:rsidR="00000000" w:rsidRDefault="00000000">
            <w:pPr>
              <w:rPr>
                <w:sz w:val="20"/>
                <w:szCs w:val="2"/>
              </w:rPr>
            </w:pPr>
          </w:p>
        </w:tc>
        <w:tc>
          <w:tcPr>
            <w:tcW w:w="1101" w:type="dxa"/>
            <w:vAlign w:val="center"/>
          </w:tcPr>
          <w:p w:rsidR="00000000" w:rsidRDefault="00000000">
            <w:pPr>
              <w:jc w:val="center"/>
              <w:rPr>
                <w:sz w:val="20"/>
                <w:szCs w:val="2"/>
              </w:rPr>
            </w:pPr>
            <w:r>
              <w:rPr>
                <w:sz w:val="20"/>
                <w:szCs w:val="2"/>
              </w:rPr>
              <w:t>1º de enero</w:t>
            </w:r>
          </w:p>
        </w:tc>
        <w:tc>
          <w:tcPr>
            <w:tcW w:w="1101" w:type="dxa"/>
            <w:vAlign w:val="center"/>
          </w:tcPr>
          <w:p w:rsidR="00000000" w:rsidRDefault="00000000">
            <w:pPr>
              <w:jc w:val="center"/>
              <w:rPr>
                <w:sz w:val="20"/>
                <w:szCs w:val="2"/>
              </w:rPr>
            </w:pPr>
            <w:r>
              <w:rPr>
                <w:sz w:val="20"/>
                <w:szCs w:val="2"/>
              </w:rPr>
              <w:t>22 de julio</w:t>
            </w:r>
          </w:p>
        </w:tc>
        <w:tc>
          <w:tcPr>
            <w:tcW w:w="1102" w:type="dxa"/>
            <w:vAlign w:val="center"/>
          </w:tcPr>
          <w:p w:rsidR="00000000" w:rsidRDefault="00000000">
            <w:pPr>
              <w:jc w:val="center"/>
              <w:rPr>
                <w:sz w:val="20"/>
                <w:szCs w:val="2"/>
              </w:rPr>
            </w:pPr>
            <w:r>
              <w:rPr>
                <w:sz w:val="20"/>
                <w:szCs w:val="2"/>
              </w:rPr>
              <w:t>1º de enero</w:t>
            </w:r>
          </w:p>
        </w:tc>
        <w:tc>
          <w:tcPr>
            <w:tcW w:w="1248" w:type="dxa"/>
            <w:vAlign w:val="center"/>
          </w:tcPr>
          <w:p w:rsidR="00000000" w:rsidRDefault="00000000">
            <w:pPr>
              <w:jc w:val="center"/>
              <w:rPr>
                <w:sz w:val="20"/>
                <w:szCs w:val="2"/>
              </w:rPr>
            </w:pPr>
            <w:r>
              <w:rPr>
                <w:sz w:val="20"/>
                <w:szCs w:val="2"/>
              </w:rPr>
              <w:t>10 de agosto</w:t>
            </w:r>
          </w:p>
        </w:tc>
        <w:tc>
          <w:tcPr>
            <w:tcW w:w="985" w:type="dxa"/>
            <w:vAlign w:val="center"/>
          </w:tcPr>
          <w:p w:rsidR="00000000" w:rsidRDefault="00000000">
            <w:pPr>
              <w:jc w:val="center"/>
              <w:rPr>
                <w:sz w:val="20"/>
                <w:szCs w:val="2"/>
              </w:rPr>
            </w:pPr>
            <w:r>
              <w:rPr>
                <w:sz w:val="20"/>
                <w:szCs w:val="2"/>
              </w:rPr>
              <w:t>Porcentaje</w:t>
            </w:r>
          </w:p>
        </w:tc>
        <w:tc>
          <w:tcPr>
            <w:tcW w:w="1104" w:type="dxa"/>
            <w:vAlign w:val="center"/>
          </w:tcPr>
          <w:p w:rsidR="00000000" w:rsidRDefault="00000000">
            <w:pPr>
              <w:jc w:val="center"/>
              <w:rPr>
                <w:sz w:val="20"/>
                <w:szCs w:val="2"/>
              </w:rPr>
            </w:pPr>
            <w:r>
              <w:rPr>
                <w:sz w:val="20"/>
                <w:szCs w:val="2"/>
              </w:rPr>
              <w:t>Absoluto</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Salario mínimo vital</w:t>
            </w:r>
          </w:p>
        </w:tc>
        <w:tc>
          <w:tcPr>
            <w:tcW w:w="1101" w:type="dxa"/>
          </w:tcPr>
          <w:p w:rsidR="00000000" w:rsidRDefault="00000000">
            <w:pPr>
              <w:jc w:val="right"/>
              <w:rPr>
                <w:sz w:val="20"/>
                <w:szCs w:val="2"/>
              </w:rPr>
            </w:pPr>
            <w:r>
              <w:rPr>
                <w:sz w:val="20"/>
                <w:szCs w:val="2"/>
              </w:rPr>
              <w:t>32.000</w:t>
            </w:r>
          </w:p>
        </w:tc>
        <w:tc>
          <w:tcPr>
            <w:tcW w:w="1101" w:type="dxa"/>
          </w:tcPr>
          <w:p w:rsidR="00000000" w:rsidRDefault="00000000">
            <w:pPr>
              <w:jc w:val="right"/>
              <w:rPr>
                <w:sz w:val="20"/>
                <w:szCs w:val="2"/>
              </w:rPr>
            </w:pPr>
            <w:r>
              <w:rPr>
                <w:sz w:val="20"/>
                <w:szCs w:val="2"/>
              </w:rPr>
              <w:t>32.000</w:t>
            </w:r>
          </w:p>
        </w:tc>
        <w:tc>
          <w:tcPr>
            <w:tcW w:w="1102" w:type="dxa"/>
          </w:tcPr>
          <w:p w:rsidR="00000000" w:rsidRDefault="00000000">
            <w:pPr>
              <w:jc w:val="right"/>
              <w:rPr>
                <w:sz w:val="20"/>
                <w:szCs w:val="2"/>
              </w:rPr>
            </w:pPr>
            <w:r>
              <w:rPr>
                <w:sz w:val="20"/>
                <w:szCs w:val="2"/>
              </w:rPr>
              <w:t>40.000</w:t>
            </w:r>
          </w:p>
        </w:tc>
        <w:tc>
          <w:tcPr>
            <w:tcW w:w="1248" w:type="dxa"/>
          </w:tcPr>
          <w:p w:rsidR="00000000" w:rsidRDefault="00000000">
            <w:pPr>
              <w:jc w:val="right"/>
              <w:rPr>
                <w:sz w:val="20"/>
                <w:szCs w:val="2"/>
              </w:rPr>
            </w:pPr>
            <w:r>
              <w:rPr>
                <w:sz w:val="20"/>
                <w:szCs w:val="2"/>
              </w:rPr>
              <w:t>60.000</w:t>
            </w:r>
          </w:p>
        </w:tc>
        <w:tc>
          <w:tcPr>
            <w:tcW w:w="985" w:type="dxa"/>
          </w:tcPr>
          <w:p w:rsidR="00000000" w:rsidRDefault="00000000">
            <w:pPr>
              <w:jc w:val="right"/>
              <w:rPr>
                <w:sz w:val="20"/>
              </w:rPr>
            </w:pPr>
            <w:r>
              <w:rPr>
                <w:sz w:val="20"/>
                <w:szCs w:val="23"/>
                <w:lang w:val="es-ES_tradnl"/>
              </w:rPr>
              <w:t>87,50</w:t>
            </w:r>
          </w:p>
        </w:tc>
        <w:tc>
          <w:tcPr>
            <w:tcW w:w="1104" w:type="dxa"/>
          </w:tcPr>
          <w:p w:rsidR="00000000" w:rsidRDefault="00000000">
            <w:pPr>
              <w:jc w:val="right"/>
              <w:rPr>
                <w:sz w:val="20"/>
              </w:rPr>
            </w:pPr>
            <w:r>
              <w:rPr>
                <w:sz w:val="20"/>
                <w:szCs w:val="23"/>
                <w:lang w:val="es-ES_tradnl"/>
              </w:rPr>
              <w:t>28.000</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Comp. costo de vida</w:t>
            </w:r>
          </w:p>
        </w:tc>
        <w:tc>
          <w:tcPr>
            <w:tcW w:w="1101" w:type="dxa"/>
          </w:tcPr>
          <w:p w:rsidR="00000000" w:rsidRDefault="00000000">
            <w:pPr>
              <w:jc w:val="right"/>
              <w:rPr>
                <w:sz w:val="20"/>
                <w:szCs w:val="2"/>
              </w:rPr>
            </w:pPr>
            <w:r>
              <w:rPr>
                <w:sz w:val="20"/>
                <w:szCs w:val="2"/>
              </w:rPr>
              <w:t>2.500</w:t>
            </w:r>
          </w:p>
        </w:tc>
        <w:tc>
          <w:tcPr>
            <w:tcW w:w="1101" w:type="dxa"/>
          </w:tcPr>
          <w:p w:rsidR="00000000" w:rsidRDefault="00000000">
            <w:pPr>
              <w:jc w:val="right"/>
              <w:rPr>
                <w:sz w:val="20"/>
                <w:szCs w:val="2"/>
              </w:rPr>
            </w:pPr>
            <w:r>
              <w:rPr>
                <w:sz w:val="20"/>
                <w:szCs w:val="2"/>
              </w:rPr>
              <w:t>2.500</w:t>
            </w:r>
          </w:p>
        </w:tc>
        <w:tc>
          <w:tcPr>
            <w:tcW w:w="1102" w:type="dxa"/>
          </w:tcPr>
          <w:p w:rsidR="00000000" w:rsidRDefault="00000000">
            <w:pPr>
              <w:jc w:val="right"/>
              <w:rPr>
                <w:sz w:val="20"/>
                <w:szCs w:val="2"/>
              </w:rPr>
            </w:pPr>
            <w:r>
              <w:rPr>
                <w:sz w:val="20"/>
                <w:szCs w:val="2"/>
              </w:rPr>
              <w:t>20.000</w:t>
            </w:r>
          </w:p>
        </w:tc>
        <w:tc>
          <w:tcPr>
            <w:tcW w:w="1248" w:type="dxa"/>
          </w:tcPr>
          <w:p w:rsidR="00000000" w:rsidRDefault="00000000">
            <w:pPr>
              <w:jc w:val="right"/>
              <w:rPr>
                <w:sz w:val="20"/>
                <w:szCs w:val="2"/>
              </w:rPr>
            </w:pPr>
            <w:r>
              <w:rPr>
                <w:sz w:val="20"/>
                <w:szCs w:val="2"/>
              </w:rPr>
              <w:t>20.000</w:t>
            </w:r>
          </w:p>
        </w:tc>
        <w:tc>
          <w:tcPr>
            <w:tcW w:w="985" w:type="dxa"/>
          </w:tcPr>
          <w:p w:rsidR="00000000" w:rsidRDefault="00000000">
            <w:pPr>
              <w:jc w:val="right"/>
              <w:rPr>
                <w:sz w:val="20"/>
              </w:rPr>
            </w:pPr>
            <w:r>
              <w:rPr>
                <w:sz w:val="20"/>
                <w:szCs w:val="23"/>
                <w:lang w:val="es-ES_tradnl"/>
              </w:rPr>
              <w:t>1.233,33</w:t>
            </w:r>
          </w:p>
        </w:tc>
        <w:tc>
          <w:tcPr>
            <w:tcW w:w="1104" w:type="dxa"/>
          </w:tcPr>
          <w:p w:rsidR="00000000" w:rsidRDefault="00000000">
            <w:pPr>
              <w:jc w:val="right"/>
              <w:rPr>
                <w:sz w:val="20"/>
              </w:rPr>
            </w:pPr>
            <w:r>
              <w:rPr>
                <w:sz w:val="20"/>
                <w:szCs w:val="23"/>
                <w:lang w:val="es-ES_tradnl"/>
              </w:rPr>
              <w:t>17.500</w:t>
            </w:r>
          </w:p>
        </w:tc>
      </w:tr>
      <w:tr w:rsidR="00000000">
        <w:tblPrEx>
          <w:tblCellMar>
            <w:top w:w="0" w:type="dxa"/>
            <w:bottom w:w="0" w:type="dxa"/>
          </w:tblCellMar>
        </w:tblPrEx>
        <w:trPr>
          <w:jc w:val="center"/>
        </w:trPr>
        <w:tc>
          <w:tcPr>
            <w:tcW w:w="2557" w:type="dxa"/>
          </w:tcPr>
          <w:p w:rsidR="00000000" w:rsidRDefault="00000000">
            <w:pPr>
              <w:rPr>
                <w:sz w:val="20"/>
                <w:szCs w:val="2"/>
              </w:rPr>
            </w:pPr>
            <w:proofErr w:type="spellStart"/>
            <w:r>
              <w:rPr>
                <w:sz w:val="20"/>
                <w:szCs w:val="2"/>
              </w:rPr>
              <w:t>Bonif</w:t>
            </w:r>
            <w:proofErr w:type="spellEnd"/>
            <w:r>
              <w:rPr>
                <w:sz w:val="20"/>
                <w:szCs w:val="2"/>
              </w:rPr>
              <w:t>. complementaria</w:t>
            </w:r>
          </w:p>
        </w:tc>
        <w:tc>
          <w:tcPr>
            <w:tcW w:w="1101" w:type="dxa"/>
          </w:tcPr>
          <w:p w:rsidR="00000000" w:rsidRDefault="00000000">
            <w:pPr>
              <w:jc w:val="right"/>
              <w:rPr>
                <w:sz w:val="20"/>
                <w:szCs w:val="2"/>
              </w:rPr>
            </w:pPr>
            <w:r>
              <w:rPr>
                <w:sz w:val="20"/>
                <w:szCs w:val="2"/>
              </w:rPr>
              <w:t>1.000</w:t>
            </w:r>
          </w:p>
        </w:tc>
        <w:tc>
          <w:tcPr>
            <w:tcW w:w="1101" w:type="dxa"/>
          </w:tcPr>
          <w:p w:rsidR="00000000" w:rsidRDefault="00000000">
            <w:pPr>
              <w:jc w:val="right"/>
              <w:rPr>
                <w:sz w:val="20"/>
                <w:szCs w:val="2"/>
              </w:rPr>
            </w:pPr>
            <w:r>
              <w:rPr>
                <w:sz w:val="20"/>
                <w:szCs w:val="2"/>
              </w:rPr>
              <w:t>1.000</w:t>
            </w:r>
          </w:p>
        </w:tc>
        <w:tc>
          <w:tcPr>
            <w:tcW w:w="1102" w:type="dxa"/>
          </w:tcPr>
          <w:p w:rsidR="00000000" w:rsidRDefault="00000000">
            <w:pPr>
              <w:jc w:val="right"/>
              <w:rPr>
                <w:sz w:val="20"/>
                <w:szCs w:val="2"/>
              </w:rPr>
            </w:pPr>
            <w:r>
              <w:rPr>
                <w:sz w:val="20"/>
                <w:szCs w:val="2"/>
              </w:rPr>
              <w:t>1.000</w:t>
            </w:r>
          </w:p>
        </w:tc>
        <w:tc>
          <w:tcPr>
            <w:tcW w:w="1248" w:type="dxa"/>
          </w:tcPr>
          <w:p w:rsidR="00000000" w:rsidRDefault="00000000">
            <w:pPr>
              <w:jc w:val="right"/>
              <w:rPr>
                <w:sz w:val="20"/>
                <w:szCs w:val="2"/>
              </w:rPr>
            </w:pPr>
            <w:r>
              <w:rPr>
                <w:sz w:val="20"/>
                <w:szCs w:val="2"/>
              </w:rPr>
              <w:t>1.000</w:t>
            </w:r>
          </w:p>
        </w:tc>
        <w:tc>
          <w:tcPr>
            <w:tcW w:w="985" w:type="dxa"/>
          </w:tcPr>
          <w:p w:rsidR="00000000" w:rsidRDefault="00000000">
            <w:pPr>
              <w:jc w:val="right"/>
              <w:rPr>
                <w:sz w:val="20"/>
              </w:rPr>
            </w:pPr>
            <w:r>
              <w:rPr>
                <w:sz w:val="20"/>
                <w:szCs w:val="23"/>
                <w:lang w:val="es-ES_tradnl"/>
              </w:rPr>
              <w:t>100,00</w:t>
            </w:r>
          </w:p>
        </w:tc>
        <w:tc>
          <w:tcPr>
            <w:tcW w:w="1104" w:type="dxa"/>
          </w:tcPr>
          <w:p w:rsidR="00000000" w:rsidRDefault="00000000">
            <w:pPr>
              <w:jc w:val="right"/>
              <w:rPr>
                <w:sz w:val="20"/>
              </w:rPr>
            </w:pPr>
            <w:r>
              <w:rPr>
                <w:sz w:val="20"/>
                <w:szCs w:val="23"/>
                <w:lang w:val="es-ES_tradnl"/>
              </w:rPr>
              <w:t>0</w:t>
            </w:r>
          </w:p>
        </w:tc>
      </w:tr>
      <w:tr w:rsidR="00000000">
        <w:tblPrEx>
          <w:tblCellMar>
            <w:top w:w="0" w:type="dxa"/>
            <w:bottom w:w="0" w:type="dxa"/>
          </w:tblCellMar>
        </w:tblPrEx>
        <w:trPr>
          <w:jc w:val="center"/>
        </w:trPr>
        <w:tc>
          <w:tcPr>
            <w:tcW w:w="2557" w:type="dxa"/>
          </w:tcPr>
          <w:p w:rsidR="00000000" w:rsidRDefault="00000000">
            <w:pPr>
              <w:rPr>
                <w:sz w:val="20"/>
                <w:szCs w:val="2"/>
              </w:rPr>
            </w:pPr>
            <w:proofErr w:type="spellStart"/>
            <w:r>
              <w:rPr>
                <w:sz w:val="20"/>
                <w:szCs w:val="2"/>
              </w:rPr>
              <w:t>Compens</w:t>
            </w:r>
            <w:proofErr w:type="spellEnd"/>
            <w:r>
              <w:rPr>
                <w:sz w:val="20"/>
                <w:szCs w:val="2"/>
              </w:rPr>
              <w:t>. transporte</w:t>
            </w:r>
          </w:p>
        </w:tc>
        <w:tc>
          <w:tcPr>
            <w:tcW w:w="1101" w:type="dxa"/>
          </w:tcPr>
          <w:p w:rsidR="00000000" w:rsidRDefault="00000000">
            <w:pPr>
              <w:jc w:val="right"/>
              <w:rPr>
                <w:sz w:val="20"/>
                <w:szCs w:val="2"/>
              </w:rPr>
            </w:pPr>
            <w:r>
              <w:rPr>
                <w:sz w:val="20"/>
                <w:szCs w:val="2"/>
              </w:rPr>
              <w:t>2.400</w:t>
            </w:r>
          </w:p>
        </w:tc>
        <w:tc>
          <w:tcPr>
            <w:tcW w:w="1101" w:type="dxa"/>
          </w:tcPr>
          <w:p w:rsidR="00000000" w:rsidRDefault="00000000">
            <w:pPr>
              <w:jc w:val="right"/>
              <w:rPr>
                <w:sz w:val="20"/>
                <w:szCs w:val="2"/>
              </w:rPr>
            </w:pPr>
            <w:r>
              <w:rPr>
                <w:sz w:val="20"/>
                <w:szCs w:val="2"/>
              </w:rPr>
              <w:t>3.200</w:t>
            </w:r>
          </w:p>
        </w:tc>
        <w:tc>
          <w:tcPr>
            <w:tcW w:w="1102" w:type="dxa"/>
          </w:tcPr>
          <w:p w:rsidR="00000000" w:rsidRDefault="00000000">
            <w:pPr>
              <w:jc w:val="right"/>
              <w:rPr>
                <w:sz w:val="20"/>
                <w:szCs w:val="2"/>
              </w:rPr>
            </w:pPr>
            <w:r>
              <w:rPr>
                <w:sz w:val="20"/>
                <w:szCs w:val="2"/>
              </w:rPr>
              <w:t>4.000</w:t>
            </w:r>
          </w:p>
        </w:tc>
        <w:tc>
          <w:tcPr>
            <w:tcW w:w="1248" w:type="dxa"/>
          </w:tcPr>
          <w:p w:rsidR="00000000" w:rsidRDefault="00000000">
            <w:pPr>
              <w:jc w:val="right"/>
              <w:rPr>
                <w:sz w:val="20"/>
                <w:szCs w:val="2"/>
              </w:rPr>
            </w:pPr>
            <w:r>
              <w:rPr>
                <w:sz w:val="20"/>
                <w:szCs w:val="2"/>
              </w:rPr>
              <w:t>7.200</w:t>
            </w:r>
          </w:p>
        </w:tc>
        <w:tc>
          <w:tcPr>
            <w:tcW w:w="985" w:type="dxa"/>
          </w:tcPr>
          <w:p w:rsidR="00000000" w:rsidRDefault="00000000">
            <w:pPr>
              <w:jc w:val="right"/>
              <w:rPr>
                <w:sz w:val="20"/>
              </w:rPr>
            </w:pPr>
            <w:r>
              <w:rPr>
                <w:sz w:val="20"/>
                <w:szCs w:val="23"/>
                <w:lang w:val="es-ES_tradnl"/>
              </w:rPr>
              <w:t>260,00</w:t>
            </w:r>
          </w:p>
        </w:tc>
        <w:tc>
          <w:tcPr>
            <w:tcW w:w="1104" w:type="dxa"/>
          </w:tcPr>
          <w:p w:rsidR="00000000" w:rsidRDefault="00000000">
            <w:pPr>
              <w:jc w:val="right"/>
              <w:rPr>
                <w:sz w:val="20"/>
              </w:rPr>
            </w:pPr>
            <w:r>
              <w:rPr>
                <w:sz w:val="20"/>
                <w:szCs w:val="23"/>
                <w:lang w:val="es-ES_tradnl"/>
              </w:rPr>
              <w:t>4.800</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Mensual nominal</w:t>
            </w:r>
          </w:p>
        </w:tc>
        <w:tc>
          <w:tcPr>
            <w:tcW w:w="1101" w:type="dxa"/>
          </w:tcPr>
          <w:p w:rsidR="00000000" w:rsidRDefault="00000000">
            <w:pPr>
              <w:jc w:val="right"/>
              <w:rPr>
                <w:sz w:val="20"/>
                <w:szCs w:val="2"/>
              </w:rPr>
            </w:pPr>
            <w:r>
              <w:rPr>
                <w:sz w:val="20"/>
                <w:szCs w:val="2"/>
              </w:rPr>
              <w:t>37.900</w:t>
            </w:r>
          </w:p>
        </w:tc>
        <w:tc>
          <w:tcPr>
            <w:tcW w:w="1101" w:type="dxa"/>
          </w:tcPr>
          <w:p w:rsidR="00000000" w:rsidRDefault="00000000">
            <w:pPr>
              <w:jc w:val="right"/>
              <w:rPr>
                <w:sz w:val="20"/>
                <w:szCs w:val="2"/>
              </w:rPr>
            </w:pPr>
            <w:r>
              <w:rPr>
                <w:sz w:val="20"/>
                <w:szCs w:val="2"/>
              </w:rPr>
              <w:t>38.700</w:t>
            </w:r>
          </w:p>
        </w:tc>
        <w:tc>
          <w:tcPr>
            <w:tcW w:w="1102" w:type="dxa"/>
          </w:tcPr>
          <w:p w:rsidR="00000000" w:rsidRDefault="00000000">
            <w:pPr>
              <w:jc w:val="right"/>
              <w:rPr>
                <w:sz w:val="20"/>
                <w:szCs w:val="2"/>
              </w:rPr>
            </w:pPr>
            <w:r>
              <w:rPr>
                <w:sz w:val="20"/>
                <w:szCs w:val="2"/>
              </w:rPr>
              <w:t>65.000</w:t>
            </w:r>
          </w:p>
        </w:tc>
        <w:tc>
          <w:tcPr>
            <w:tcW w:w="1248" w:type="dxa"/>
          </w:tcPr>
          <w:p w:rsidR="00000000" w:rsidRDefault="00000000">
            <w:pPr>
              <w:jc w:val="right"/>
              <w:rPr>
                <w:sz w:val="20"/>
                <w:szCs w:val="2"/>
              </w:rPr>
            </w:pPr>
            <w:r>
              <w:rPr>
                <w:sz w:val="20"/>
                <w:szCs w:val="2"/>
              </w:rPr>
              <w:t>88.200</w:t>
            </w:r>
          </w:p>
        </w:tc>
        <w:tc>
          <w:tcPr>
            <w:tcW w:w="985" w:type="dxa"/>
          </w:tcPr>
          <w:p w:rsidR="00000000" w:rsidRDefault="00000000">
            <w:pPr>
              <w:jc w:val="right"/>
              <w:rPr>
                <w:sz w:val="20"/>
              </w:rPr>
            </w:pPr>
            <w:r>
              <w:rPr>
                <w:sz w:val="20"/>
                <w:szCs w:val="23"/>
                <w:lang w:val="es-ES_tradnl"/>
              </w:rPr>
              <w:t>132,72</w:t>
            </w:r>
          </w:p>
        </w:tc>
        <w:tc>
          <w:tcPr>
            <w:tcW w:w="1104" w:type="dxa"/>
          </w:tcPr>
          <w:p w:rsidR="00000000" w:rsidRDefault="00000000">
            <w:pPr>
              <w:jc w:val="right"/>
              <w:rPr>
                <w:sz w:val="20"/>
              </w:rPr>
            </w:pPr>
            <w:r>
              <w:rPr>
                <w:sz w:val="20"/>
                <w:szCs w:val="23"/>
                <w:lang w:val="es-ES_tradnl"/>
              </w:rPr>
              <w:t>50.300</w:t>
            </w:r>
          </w:p>
        </w:tc>
      </w:tr>
      <w:tr w:rsidR="00000000">
        <w:tblPrEx>
          <w:tblCellMar>
            <w:top w:w="0" w:type="dxa"/>
            <w:bottom w:w="0" w:type="dxa"/>
          </w:tblCellMar>
        </w:tblPrEx>
        <w:trPr>
          <w:jc w:val="center"/>
        </w:trPr>
        <w:tc>
          <w:tcPr>
            <w:tcW w:w="2557" w:type="dxa"/>
          </w:tcPr>
          <w:p w:rsidR="00000000" w:rsidRDefault="00000000">
            <w:pPr>
              <w:rPr>
                <w:sz w:val="20"/>
                <w:szCs w:val="2"/>
              </w:rPr>
            </w:pPr>
          </w:p>
        </w:tc>
        <w:tc>
          <w:tcPr>
            <w:tcW w:w="1101" w:type="dxa"/>
          </w:tcPr>
          <w:p w:rsidR="00000000" w:rsidRDefault="00000000">
            <w:pPr>
              <w:jc w:val="right"/>
              <w:rPr>
                <w:sz w:val="20"/>
                <w:szCs w:val="2"/>
              </w:rPr>
            </w:pPr>
          </w:p>
        </w:tc>
        <w:tc>
          <w:tcPr>
            <w:tcW w:w="1101" w:type="dxa"/>
          </w:tcPr>
          <w:p w:rsidR="00000000" w:rsidRDefault="00000000">
            <w:pPr>
              <w:jc w:val="right"/>
              <w:rPr>
                <w:sz w:val="20"/>
                <w:szCs w:val="2"/>
              </w:rPr>
            </w:pPr>
          </w:p>
        </w:tc>
        <w:tc>
          <w:tcPr>
            <w:tcW w:w="1102" w:type="dxa"/>
          </w:tcPr>
          <w:p w:rsidR="00000000" w:rsidRDefault="00000000">
            <w:pPr>
              <w:jc w:val="right"/>
              <w:rPr>
                <w:sz w:val="20"/>
                <w:szCs w:val="2"/>
              </w:rPr>
            </w:pPr>
          </w:p>
        </w:tc>
        <w:tc>
          <w:tcPr>
            <w:tcW w:w="1248" w:type="dxa"/>
          </w:tcPr>
          <w:p w:rsidR="00000000" w:rsidRDefault="00000000">
            <w:pPr>
              <w:jc w:val="right"/>
              <w:rPr>
                <w:sz w:val="20"/>
                <w:szCs w:val="2"/>
              </w:rPr>
            </w:pPr>
          </w:p>
        </w:tc>
        <w:tc>
          <w:tcPr>
            <w:tcW w:w="985" w:type="dxa"/>
          </w:tcPr>
          <w:p w:rsidR="00000000" w:rsidRDefault="00000000">
            <w:pPr>
              <w:jc w:val="right"/>
              <w:rPr>
                <w:sz w:val="20"/>
              </w:rPr>
            </w:pPr>
          </w:p>
        </w:tc>
        <w:tc>
          <w:tcPr>
            <w:tcW w:w="1104" w:type="dxa"/>
          </w:tcPr>
          <w:p w:rsidR="00000000" w:rsidRDefault="00000000">
            <w:pPr>
              <w:jc w:val="right"/>
              <w:rPr>
                <w:sz w:val="20"/>
              </w:rPr>
            </w:pPr>
          </w:p>
        </w:tc>
      </w:tr>
      <w:tr w:rsidR="00000000">
        <w:tblPrEx>
          <w:tblCellMar>
            <w:top w:w="0" w:type="dxa"/>
            <w:bottom w:w="0" w:type="dxa"/>
          </w:tblCellMar>
        </w:tblPrEx>
        <w:trPr>
          <w:jc w:val="center"/>
        </w:trPr>
        <w:tc>
          <w:tcPr>
            <w:tcW w:w="2557" w:type="dxa"/>
          </w:tcPr>
          <w:p w:rsidR="00000000" w:rsidRDefault="00000000">
            <w:pPr>
              <w:rPr>
                <w:sz w:val="20"/>
                <w:szCs w:val="2"/>
              </w:rPr>
            </w:pPr>
            <w:proofErr w:type="spellStart"/>
            <w:r>
              <w:rPr>
                <w:sz w:val="20"/>
                <w:szCs w:val="2"/>
              </w:rPr>
              <w:t>Decimotercer</w:t>
            </w:r>
            <w:proofErr w:type="spellEnd"/>
            <w:r>
              <w:rPr>
                <w:sz w:val="20"/>
                <w:szCs w:val="2"/>
              </w:rPr>
              <w:t xml:space="preserve"> sueldo</w:t>
            </w:r>
          </w:p>
        </w:tc>
        <w:tc>
          <w:tcPr>
            <w:tcW w:w="1101" w:type="dxa"/>
          </w:tcPr>
          <w:p w:rsidR="00000000" w:rsidRDefault="00000000">
            <w:pPr>
              <w:jc w:val="right"/>
              <w:rPr>
                <w:sz w:val="20"/>
                <w:szCs w:val="2"/>
              </w:rPr>
            </w:pPr>
            <w:r>
              <w:rPr>
                <w:sz w:val="20"/>
                <w:szCs w:val="2"/>
              </w:rPr>
              <w:t>2.667</w:t>
            </w:r>
          </w:p>
        </w:tc>
        <w:tc>
          <w:tcPr>
            <w:tcW w:w="1101" w:type="dxa"/>
          </w:tcPr>
          <w:p w:rsidR="00000000" w:rsidRDefault="00000000">
            <w:pPr>
              <w:jc w:val="right"/>
              <w:rPr>
                <w:sz w:val="20"/>
                <w:szCs w:val="2"/>
              </w:rPr>
            </w:pPr>
            <w:r>
              <w:rPr>
                <w:sz w:val="20"/>
                <w:szCs w:val="2"/>
              </w:rPr>
              <w:t>2.667</w:t>
            </w:r>
          </w:p>
        </w:tc>
        <w:tc>
          <w:tcPr>
            <w:tcW w:w="1102" w:type="dxa"/>
          </w:tcPr>
          <w:p w:rsidR="00000000" w:rsidRDefault="00000000">
            <w:pPr>
              <w:jc w:val="right"/>
              <w:rPr>
                <w:sz w:val="20"/>
                <w:szCs w:val="2"/>
              </w:rPr>
            </w:pPr>
            <w:r>
              <w:rPr>
                <w:sz w:val="20"/>
                <w:szCs w:val="2"/>
              </w:rPr>
              <w:t>3.333</w:t>
            </w:r>
          </w:p>
        </w:tc>
        <w:tc>
          <w:tcPr>
            <w:tcW w:w="1248" w:type="dxa"/>
          </w:tcPr>
          <w:p w:rsidR="00000000" w:rsidRDefault="00000000">
            <w:pPr>
              <w:jc w:val="right"/>
              <w:rPr>
                <w:sz w:val="20"/>
                <w:szCs w:val="2"/>
              </w:rPr>
            </w:pPr>
            <w:r>
              <w:rPr>
                <w:sz w:val="20"/>
                <w:szCs w:val="2"/>
              </w:rPr>
              <w:t>5.000</w:t>
            </w:r>
          </w:p>
        </w:tc>
        <w:tc>
          <w:tcPr>
            <w:tcW w:w="985" w:type="dxa"/>
          </w:tcPr>
          <w:p w:rsidR="00000000" w:rsidRDefault="00000000">
            <w:pPr>
              <w:jc w:val="right"/>
              <w:rPr>
                <w:sz w:val="20"/>
              </w:rPr>
            </w:pPr>
            <w:r>
              <w:rPr>
                <w:sz w:val="20"/>
                <w:szCs w:val="23"/>
                <w:lang w:val="es-ES_tradnl"/>
              </w:rPr>
              <w:t>122,22</w:t>
            </w:r>
          </w:p>
        </w:tc>
        <w:tc>
          <w:tcPr>
            <w:tcW w:w="1104" w:type="dxa"/>
          </w:tcPr>
          <w:p w:rsidR="00000000" w:rsidRDefault="00000000">
            <w:pPr>
              <w:jc w:val="right"/>
              <w:rPr>
                <w:sz w:val="20"/>
              </w:rPr>
            </w:pPr>
            <w:r>
              <w:rPr>
                <w:sz w:val="20"/>
                <w:szCs w:val="23"/>
                <w:lang w:val="es-ES_tradnl"/>
              </w:rPr>
              <w:t>2.333</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Decimocuarto sueldo</w:t>
            </w:r>
          </w:p>
        </w:tc>
        <w:tc>
          <w:tcPr>
            <w:tcW w:w="1101" w:type="dxa"/>
          </w:tcPr>
          <w:p w:rsidR="00000000" w:rsidRDefault="00000000">
            <w:pPr>
              <w:jc w:val="right"/>
              <w:rPr>
                <w:sz w:val="20"/>
                <w:szCs w:val="2"/>
              </w:rPr>
            </w:pPr>
            <w:r>
              <w:rPr>
                <w:sz w:val="20"/>
                <w:szCs w:val="2"/>
              </w:rPr>
              <w:t>5.333</w:t>
            </w:r>
          </w:p>
        </w:tc>
        <w:tc>
          <w:tcPr>
            <w:tcW w:w="1101" w:type="dxa"/>
          </w:tcPr>
          <w:p w:rsidR="00000000" w:rsidRDefault="00000000">
            <w:pPr>
              <w:jc w:val="right"/>
              <w:rPr>
                <w:sz w:val="20"/>
                <w:szCs w:val="2"/>
              </w:rPr>
            </w:pPr>
            <w:r>
              <w:rPr>
                <w:sz w:val="20"/>
                <w:szCs w:val="2"/>
              </w:rPr>
              <w:t>5.333</w:t>
            </w:r>
          </w:p>
        </w:tc>
        <w:tc>
          <w:tcPr>
            <w:tcW w:w="1102" w:type="dxa"/>
          </w:tcPr>
          <w:p w:rsidR="00000000" w:rsidRDefault="00000000">
            <w:pPr>
              <w:jc w:val="right"/>
              <w:rPr>
                <w:sz w:val="20"/>
                <w:szCs w:val="2"/>
              </w:rPr>
            </w:pPr>
            <w:r>
              <w:rPr>
                <w:sz w:val="20"/>
                <w:szCs w:val="2"/>
              </w:rPr>
              <w:t>6.667</w:t>
            </w:r>
          </w:p>
        </w:tc>
        <w:tc>
          <w:tcPr>
            <w:tcW w:w="1248" w:type="dxa"/>
          </w:tcPr>
          <w:p w:rsidR="00000000" w:rsidRDefault="00000000">
            <w:pPr>
              <w:jc w:val="right"/>
              <w:rPr>
                <w:sz w:val="20"/>
                <w:szCs w:val="2"/>
              </w:rPr>
            </w:pPr>
            <w:r>
              <w:rPr>
                <w:sz w:val="20"/>
                <w:szCs w:val="2"/>
              </w:rPr>
              <w:t>10.000</w:t>
            </w:r>
          </w:p>
        </w:tc>
        <w:tc>
          <w:tcPr>
            <w:tcW w:w="985" w:type="dxa"/>
          </w:tcPr>
          <w:p w:rsidR="00000000" w:rsidRDefault="00000000">
            <w:pPr>
              <w:jc w:val="right"/>
              <w:rPr>
                <w:sz w:val="20"/>
              </w:rPr>
            </w:pPr>
            <w:r>
              <w:rPr>
                <w:sz w:val="20"/>
                <w:szCs w:val="23"/>
                <w:lang w:val="es-ES_tradnl"/>
              </w:rPr>
              <w:t>122,22</w:t>
            </w:r>
          </w:p>
        </w:tc>
        <w:tc>
          <w:tcPr>
            <w:tcW w:w="1104" w:type="dxa"/>
          </w:tcPr>
          <w:p w:rsidR="00000000" w:rsidRDefault="00000000">
            <w:pPr>
              <w:jc w:val="right"/>
              <w:rPr>
                <w:sz w:val="20"/>
              </w:rPr>
            </w:pPr>
            <w:r>
              <w:rPr>
                <w:sz w:val="20"/>
                <w:szCs w:val="23"/>
                <w:lang w:val="es-ES_tradnl"/>
              </w:rPr>
              <w:t>4.667</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Decimoquinto sueldo</w:t>
            </w:r>
          </w:p>
        </w:tc>
        <w:tc>
          <w:tcPr>
            <w:tcW w:w="1101" w:type="dxa"/>
          </w:tcPr>
          <w:p w:rsidR="00000000" w:rsidRDefault="00000000">
            <w:pPr>
              <w:jc w:val="right"/>
              <w:rPr>
                <w:sz w:val="20"/>
                <w:szCs w:val="2"/>
              </w:rPr>
            </w:pPr>
            <w:r>
              <w:rPr>
                <w:sz w:val="20"/>
                <w:szCs w:val="2"/>
              </w:rPr>
              <w:t>833</w:t>
            </w:r>
          </w:p>
        </w:tc>
        <w:tc>
          <w:tcPr>
            <w:tcW w:w="1101" w:type="dxa"/>
          </w:tcPr>
          <w:p w:rsidR="00000000" w:rsidRDefault="00000000">
            <w:pPr>
              <w:jc w:val="right"/>
              <w:rPr>
                <w:sz w:val="20"/>
                <w:szCs w:val="2"/>
              </w:rPr>
            </w:pPr>
            <w:r>
              <w:rPr>
                <w:sz w:val="20"/>
                <w:szCs w:val="2"/>
              </w:rPr>
              <w:t>4.167</w:t>
            </w:r>
          </w:p>
        </w:tc>
        <w:tc>
          <w:tcPr>
            <w:tcW w:w="1102" w:type="dxa"/>
          </w:tcPr>
          <w:p w:rsidR="00000000" w:rsidRDefault="00000000">
            <w:pPr>
              <w:jc w:val="right"/>
              <w:rPr>
                <w:sz w:val="20"/>
                <w:szCs w:val="2"/>
              </w:rPr>
            </w:pPr>
            <w:r>
              <w:rPr>
                <w:sz w:val="20"/>
                <w:szCs w:val="2"/>
              </w:rPr>
              <w:t>4.167</w:t>
            </w:r>
          </w:p>
        </w:tc>
        <w:tc>
          <w:tcPr>
            <w:tcW w:w="1248" w:type="dxa"/>
          </w:tcPr>
          <w:p w:rsidR="00000000" w:rsidRDefault="00000000">
            <w:pPr>
              <w:jc w:val="right"/>
              <w:rPr>
                <w:sz w:val="20"/>
                <w:szCs w:val="2"/>
              </w:rPr>
            </w:pPr>
            <w:r>
              <w:rPr>
                <w:sz w:val="20"/>
                <w:szCs w:val="2"/>
              </w:rPr>
              <w:t>4.167</w:t>
            </w:r>
          </w:p>
        </w:tc>
        <w:tc>
          <w:tcPr>
            <w:tcW w:w="985" w:type="dxa"/>
          </w:tcPr>
          <w:p w:rsidR="00000000" w:rsidRDefault="00000000">
            <w:pPr>
              <w:jc w:val="right"/>
              <w:rPr>
                <w:sz w:val="20"/>
              </w:rPr>
            </w:pPr>
            <w:r>
              <w:rPr>
                <w:sz w:val="20"/>
                <w:szCs w:val="23"/>
                <w:lang w:val="es-ES_tradnl"/>
              </w:rPr>
              <w:t>400,00</w:t>
            </w:r>
          </w:p>
        </w:tc>
        <w:tc>
          <w:tcPr>
            <w:tcW w:w="1104" w:type="dxa"/>
          </w:tcPr>
          <w:p w:rsidR="00000000" w:rsidRDefault="00000000">
            <w:pPr>
              <w:jc w:val="right"/>
              <w:rPr>
                <w:sz w:val="20"/>
              </w:rPr>
            </w:pPr>
            <w:r>
              <w:rPr>
                <w:sz w:val="20"/>
                <w:szCs w:val="23"/>
                <w:lang w:val="es-ES_tradnl"/>
              </w:rPr>
              <w:t>3.333</w:t>
            </w:r>
          </w:p>
        </w:tc>
      </w:tr>
      <w:tr w:rsidR="00000000">
        <w:tblPrEx>
          <w:tblCellMar>
            <w:top w:w="0" w:type="dxa"/>
            <w:bottom w:w="0" w:type="dxa"/>
          </w:tblCellMar>
        </w:tblPrEx>
        <w:trPr>
          <w:jc w:val="center"/>
        </w:trPr>
        <w:tc>
          <w:tcPr>
            <w:tcW w:w="2557" w:type="dxa"/>
          </w:tcPr>
          <w:p w:rsidR="00000000" w:rsidRDefault="00000000">
            <w:pPr>
              <w:rPr>
                <w:sz w:val="20"/>
                <w:szCs w:val="2"/>
              </w:rPr>
            </w:pPr>
            <w:r>
              <w:rPr>
                <w:sz w:val="20"/>
                <w:szCs w:val="2"/>
              </w:rPr>
              <w:t>Fondo de reserva</w:t>
            </w:r>
          </w:p>
        </w:tc>
        <w:tc>
          <w:tcPr>
            <w:tcW w:w="1101" w:type="dxa"/>
          </w:tcPr>
          <w:p w:rsidR="00000000" w:rsidRDefault="00000000">
            <w:pPr>
              <w:jc w:val="right"/>
              <w:rPr>
                <w:sz w:val="20"/>
                <w:szCs w:val="2"/>
              </w:rPr>
            </w:pPr>
            <w:r>
              <w:rPr>
                <w:sz w:val="20"/>
                <w:szCs w:val="2"/>
              </w:rPr>
              <w:t>2.667</w:t>
            </w:r>
          </w:p>
        </w:tc>
        <w:tc>
          <w:tcPr>
            <w:tcW w:w="1101" w:type="dxa"/>
          </w:tcPr>
          <w:p w:rsidR="00000000" w:rsidRDefault="00000000">
            <w:pPr>
              <w:jc w:val="right"/>
              <w:rPr>
                <w:sz w:val="20"/>
                <w:szCs w:val="2"/>
              </w:rPr>
            </w:pPr>
            <w:r>
              <w:rPr>
                <w:sz w:val="20"/>
                <w:szCs w:val="2"/>
              </w:rPr>
              <w:t>2.667</w:t>
            </w:r>
          </w:p>
        </w:tc>
        <w:tc>
          <w:tcPr>
            <w:tcW w:w="1102" w:type="dxa"/>
          </w:tcPr>
          <w:p w:rsidR="00000000" w:rsidRDefault="00000000">
            <w:pPr>
              <w:jc w:val="right"/>
              <w:rPr>
                <w:sz w:val="20"/>
                <w:szCs w:val="2"/>
              </w:rPr>
            </w:pPr>
            <w:r>
              <w:rPr>
                <w:sz w:val="20"/>
                <w:szCs w:val="2"/>
              </w:rPr>
              <w:t>3.333</w:t>
            </w:r>
          </w:p>
        </w:tc>
        <w:tc>
          <w:tcPr>
            <w:tcW w:w="1248" w:type="dxa"/>
          </w:tcPr>
          <w:p w:rsidR="00000000" w:rsidRDefault="00000000">
            <w:pPr>
              <w:jc w:val="right"/>
              <w:rPr>
                <w:sz w:val="20"/>
                <w:szCs w:val="2"/>
              </w:rPr>
            </w:pPr>
            <w:r>
              <w:rPr>
                <w:sz w:val="20"/>
                <w:szCs w:val="2"/>
              </w:rPr>
              <w:t>5.000</w:t>
            </w:r>
          </w:p>
        </w:tc>
        <w:tc>
          <w:tcPr>
            <w:tcW w:w="985" w:type="dxa"/>
          </w:tcPr>
          <w:p w:rsidR="00000000" w:rsidRDefault="00000000">
            <w:pPr>
              <w:jc w:val="right"/>
              <w:rPr>
                <w:sz w:val="20"/>
              </w:rPr>
            </w:pPr>
            <w:r>
              <w:rPr>
                <w:sz w:val="20"/>
                <w:szCs w:val="23"/>
                <w:lang w:val="es-ES_tradnl"/>
              </w:rPr>
              <w:t>122,22</w:t>
            </w:r>
          </w:p>
        </w:tc>
        <w:tc>
          <w:tcPr>
            <w:tcW w:w="1104" w:type="dxa"/>
          </w:tcPr>
          <w:p w:rsidR="00000000" w:rsidRDefault="00000000">
            <w:pPr>
              <w:jc w:val="right"/>
              <w:rPr>
                <w:sz w:val="20"/>
              </w:rPr>
            </w:pPr>
            <w:r>
              <w:rPr>
                <w:sz w:val="20"/>
                <w:szCs w:val="23"/>
                <w:lang w:val="es-ES_tradnl"/>
              </w:rPr>
              <w:t>2.333</w:t>
            </w:r>
          </w:p>
        </w:tc>
      </w:tr>
      <w:tr w:rsidR="00000000">
        <w:tblPrEx>
          <w:tblCellMar>
            <w:top w:w="0" w:type="dxa"/>
            <w:bottom w:w="0" w:type="dxa"/>
          </w:tblCellMar>
        </w:tblPrEx>
        <w:trPr>
          <w:jc w:val="center"/>
        </w:trPr>
        <w:tc>
          <w:tcPr>
            <w:tcW w:w="2557" w:type="dxa"/>
          </w:tcPr>
          <w:p w:rsidR="00000000" w:rsidRDefault="00000000">
            <w:pPr>
              <w:tabs>
                <w:tab w:val="left" w:pos="284"/>
              </w:tabs>
              <w:rPr>
                <w:sz w:val="20"/>
                <w:szCs w:val="2"/>
              </w:rPr>
            </w:pPr>
            <w:r>
              <w:rPr>
                <w:sz w:val="20"/>
                <w:szCs w:val="2"/>
              </w:rPr>
              <w:tab/>
              <w:t>Ingreso total</w:t>
            </w:r>
          </w:p>
        </w:tc>
        <w:tc>
          <w:tcPr>
            <w:tcW w:w="1101" w:type="dxa"/>
          </w:tcPr>
          <w:p w:rsidR="00000000" w:rsidRDefault="00000000">
            <w:pPr>
              <w:jc w:val="right"/>
              <w:rPr>
                <w:sz w:val="20"/>
                <w:szCs w:val="2"/>
              </w:rPr>
            </w:pPr>
            <w:r>
              <w:rPr>
                <w:sz w:val="20"/>
                <w:szCs w:val="2"/>
              </w:rPr>
              <w:t>49.400</w:t>
            </w:r>
          </w:p>
        </w:tc>
        <w:tc>
          <w:tcPr>
            <w:tcW w:w="1101" w:type="dxa"/>
          </w:tcPr>
          <w:p w:rsidR="00000000" w:rsidRDefault="00000000">
            <w:pPr>
              <w:jc w:val="right"/>
              <w:rPr>
                <w:sz w:val="20"/>
                <w:szCs w:val="2"/>
              </w:rPr>
            </w:pPr>
            <w:r>
              <w:rPr>
                <w:sz w:val="20"/>
                <w:szCs w:val="2"/>
              </w:rPr>
              <w:t>53.533</w:t>
            </w:r>
          </w:p>
        </w:tc>
        <w:tc>
          <w:tcPr>
            <w:tcW w:w="1102" w:type="dxa"/>
          </w:tcPr>
          <w:p w:rsidR="00000000" w:rsidRDefault="00000000">
            <w:pPr>
              <w:jc w:val="right"/>
              <w:rPr>
                <w:sz w:val="20"/>
                <w:szCs w:val="2"/>
              </w:rPr>
            </w:pPr>
            <w:r>
              <w:rPr>
                <w:sz w:val="20"/>
                <w:szCs w:val="2"/>
              </w:rPr>
              <w:t>82.500</w:t>
            </w:r>
          </w:p>
        </w:tc>
        <w:tc>
          <w:tcPr>
            <w:tcW w:w="1248" w:type="dxa"/>
          </w:tcPr>
          <w:p w:rsidR="00000000" w:rsidRDefault="00000000">
            <w:pPr>
              <w:jc w:val="right"/>
              <w:rPr>
                <w:sz w:val="20"/>
                <w:szCs w:val="2"/>
              </w:rPr>
            </w:pPr>
            <w:r>
              <w:rPr>
                <w:sz w:val="20"/>
                <w:szCs w:val="2"/>
              </w:rPr>
              <w:t>112.367</w:t>
            </w:r>
          </w:p>
        </w:tc>
        <w:tc>
          <w:tcPr>
            <w:tcW w:w="985" w:type="dxa"/>
          </w:tcPr>
          <w:p w:rsidR="00000000" w:rsidRDefault="00000000">
            <w:pPr>
              <w:jc w:val="right"/>
              <w:rPr>
                <w:sz w:val="20"/>
              </w:rPr>
            </w:pPr>
            <w:r>
              <w:rPr>
                <w:sz w:val="20"/>
                <w:szCs w:val="23"/>
                <w:lang w:val="es-ES_tradnl"/>
              </w:rPr>
              <w:t>175,18</w:t>
            </w:r>
          </w:p>
        </w:tc>
        <w:tc>
          <w:tcPr>
            <w:tcW w:w="1104" w:type="dxa"/>
          </w:tcPr>
          <w:p w:rsidR="00000000" w:rsidRDefault="00000000">
            <w:pPr>
              <w:jc w:val="right"/>
              <w:rPr>
                <w:sz w:val="20"/>
              </w:rPr>
            </w:pPr>
            <w:r>
              <w:rPr>
                <w:sz w:val="20"/>
                <w:szCs w:val="23"/>
                <w:lang w:val="es-ES_tradnl"/>
              </w:rPr>
              <w:t>62.967</w:t>
            </w:r>
          </w:p>
        </w:tc>
      </w:tr>
    </w:tbl>
    <w:p w:rsidR="00000000" w:rsidRDefault="00000000">
      <w:pPr>
        <w:keepNext/>
        <w:spacing w:before="480" w:after="160"/>
        <w:jc w:val="center"/>
        <w:rPr>
          <w:b/>
          <w:bCs/>
          <w:sz w:val="20"/>
          <w:szCs w:val="22"/>
          <w:lang w:val="es-ES_tradnl"/>
        </w:rPr>
      </w:pPr>
      <w:r>
        <w:rPr>
          <w:b/>
          <w:bCs/>
          <w:sz w:val="20"/>
          <w:szCs w:val="22"/>
          <w:lang w:val="es-ES_tradnl"/>
        </w:rPr>
        <w:t>Ingreso total del trabajador en general</w:t>
      </w:r>
    </w:p>
    <w:p w:rsidR="00000000" w:rsidRDefault="00000000">
      <w:pPr>
        <w:keepNext/>
        <w:spacing w:after="160"/>
        <w:jc w:val="center"/>
        <w:rPr>
          <w:b/>
          <w:bCs/>
          <w:sz w:val="20"/>
        </w:rPr>
      </w:pPr>
      <w:r>
        <w:rPr>
          <w:b/>
          <w:bCs/>
          <w:sz w:val="20"/>
          <w:szCs w:val="22"/>
          <w:lang w:val="es-ES_tradnl"/>
        </w:rPr>
        <w:t xml:space="preserve">Duran </w:t>
      </w:r>
      <w:proofErr w:type="spellStart"/>
      <w:r>
        <w:rPr>
          <w:b/>
          <w:bCs/>
          <w:sz w:val="20"/>
          <w:szCs w:val="22"/>
          <w:lang w:val="es-ES_tradnl"/>
        </w:rPr>
        <w:t>Ballen</w:t>
      </w:r>
      <w:proofErr w:type="spellEnd"/>
      <w:r>
        <w:rPr>
          <w:b/>
          <w:bCs/>
          <w:sz w:val="20"/>
          <w:szCs w:val="22"/>
          <w:lang w:val="es-ES_tradnl"/>
        </w:rPr>
        <w:t>-</w:t>
      </w:r>
      <w:proofErr w:type="spellStart"/>
      <w:r>
        <w:rPr>
          <w:b/>
          <w:bCs/>
          <w:sz w:val="20"/>
          <w:szCs w:val="22"/>
          <w:lang w:val="es-ES_tradnl"/>
        </w:rPr>
        <w:t>Dahik</w:t>
      </w:r>
      <w:proofErr w:type="spellEnd"/>
      <w:r>
        <w:rPr>
          <w:b/>
          <w:bCs/>
          <w:sz w:val="20"/>
          <w:szCs w:val="22"/>
          <w:lang w:val="es-ES_tradnl"/>
        </w:rPr>
        <w:t xml:space="preserve">-Peña </w:t>
      </w:r>
      <w:proofErr w:type="spellStart"/>
      <w:r>
        <w:rPr>
          <w:b/>
          <w:bCs/>
          <w:sz w:val="20"/>
          <w:szCs w:val="22"/>
          <w:lang w:val="es-ES_tradnl"/>
        </w:rPr>
        <w:t>Triviño</w:t>
      </w:r>
      <w:proofErr w:type="spellEnd"/>
      <w:r>
        <w:rPr>
          <w:b/>
          <w:bCs/>
          <w:sz w:val="20"/>
          <w:szCs w:val="22"/>
          <w:lang w:val="es-ES_tradnl"/>
        </w:rPr>
        <w:t xml:space="preserve"> de agosto de 1992 a agosto de 1996</w:t>
      </w:r>
    </w:p>
    <w:p w:rsidR="00000000" w:rsidRDefault="00000000">
      <w:pPr>
        <w:keepNext/>
        <w:spacing w:after="160"/>
        <w:jc w:val="center"/>
        <w:rPr>
          <w:b/>
          <w:bCs/>
          <w:sz w:val="20"/>
          <w:szCs w:val="22"/>
          <w:lang w:val="es-ES_tradnl"/>
        </w:rPr>
      </w:pPr>
      <w:r>
        <w:rPr>
          <w:b/>
          <w:bCs/>
          <w:sz w:val="20"/>
          <w:szCs w:val="22"/>
          <w:lang w:val="es-ES_tradnl"/>
        </w:rPr>
        <w:t>(En sucres)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086"/>
        <w:gridCol w:w="1092"/>
        <w:gridCol w:w="1093"/>
        <w:gridCol w:w="1093"/>
        <w:gridCol w:w="1093"/>
        <w:gridCol w:w="1095"/>
        <w:gridCol w:w="1012"/>
        <w:gridCol w:w="871"/>
      </w:tblGrid>
      <w:tr w:rsidR="00000000">
        <w:tblPrEx>
          <w:tblCellMar>
            <w:top w:w="0" w:type="dxa"/>
            <w:bottom w:w="0" w:type="dxa"/>
          </w:tblCellMar>
        </w:tblPrEx>
        <w:trPr>
          <w:cantSplit/>
          <w:jc w:val="center"/>
        </w:trPr>
        <w:tc>
          <w:tcPr>
            <w:tcW w:w="2085" w:type="dxa"/>
            <w:vMerge w:val="restart"/>
            <w:vAlign w:val="center"/>
          </w:tcPr>
          <w:p w:rsidR="00000000" w:rsidRDefault="00000000">
            <w:pPr>
              <w:keepNext/>
              <w:jc w:val="center"/>
              <w:rPr>
                <w:sz w:val="20"/>
              </w:rPr>
            </w:pPr>
            <w:r>
              <w:rPr>
                <w:sz w:val="20"/>
                <w:szCs w:val="22"/>
                <w:lang w:val="es-ES_tradnl"/>
              </w:rPr>
              <w:t>Concepto y años</w:t>
            </w:r>
          </w:p>
        </w:tc>
        <w:tc>
          <w:tcPr>
            <w:tcW w:w="1092" w:type="dxa"/>
            <w:vAlign w:val="center"/>
          </w:tcPr>
          <w:p w:rsidR="00000000" w:rsidRDefault="00000000">
            <w:pPr>
              <w:keepNext/>
              <w:jc w:val="center"/>
              <w:rPr>
                <w:sz w:val="20"/>
              </w:rPr>
            </w:pPr>
            <w:r>
              <w:rPr>
                <w:sz w:val="20"/>
                <w:lang w:val="es-ES_tradnl"/>
              </w:rPr>
              <w:t>1992</w:t>
            </w:r>
          </w:p>
        </w:tc>
        <w:tc>
          <w:tcPr>
            <w:tcW w:w="1093" w:type="dxa"/>
            <w:vAlign w:val="center"/>
          </w:tcPr>
          <w:p w:rsidR="00000000" w:rsidRDefault="00000000">
            <w:pPr>
              <w:keepNext/>
              <w:jc w:val="center"/>
              <w:rPr>
                <w:sz w:val="20"/>
              </w:rPr>
            </w:pPr>
            <w:r>
              <w:rPr>
                <w:sz w:val="20"/>
                <w:szCs w:val="22"/>
                <w:lang w:val="es-ES_tradnl"/>
              </w:rPr>
              <w:t>1994</w:t>
            </w:r>
          </w:p>
        </w:tc>
        <w:tc>
          <w:tcPr>
            <w:tcW w:w="1093" w:type="dxa"/>
            <w:vAlign w:val="center"/>
          </w:tcPr>
          <w:p w:rsidR="00000000" w:rsidRDefault="00000000">
            <w:pPr>
              <w:keepNext/>
              <w:jc w:val="center"/>
              <w:rPr>
                <w:sz w:val="20"/>
              </w:rPr>
            </w:pPr>
            <w:r>
              <w:rPr>
                <w:sz w:val="20"/>
                <w:szCs w:val="22"/>
                <w:lang w:val="es-ES_tradnl"/>
              </w:rPr>
              <w:t>1995</w:t>
            </w:r>
          </w:p>
        </w:tc>
        <w:tc>
          <w:tcPr>
            <w:tcW w:w="2188" w:type="dxa"/>
            <w:gridSpan w:val="2"/>
            <w:vAlign w:val="center"/>
          </w:tcPr>
          <w:p w:rsidR="00000000" w:rsidRDefault="00000000">
            <w:pPr>
              <w:keepNext/>
              <w:jc w:val="center"/>
              <w:rPr>
                <w:sz w:val="20"/>
              </w:rPr>
            </w:pPr>
            <w:r>
              <w:rPr>
                <w:sz w:val="20"/>
              </w:rPr>
              <w:t>1996</w:t>
            </w:r>
          </w:p>
        </w:tc>
        <w:tc>
          <w:tcPr>
            <w:tcW w:w="1883" w:type="dxa"/>
            <w:gridSpan w:val="2"/>
            <w:vAlign w:val="center"/>
          </w:tcPr>
          <w:p w:rsidR="00000000" w:rsidRDefault="00000000">
            <w:pPr>
              <w:keepNext/>
              <w:jc w:val="center"/>
              <w:rPr>
                <w:sz w:val="20"/>
              </w:rPr>
            </w:pPr>
            <w:r>
              <w:rPr>
                <w:sz w:val="20"/>
                <w:lang w:val="es-ES_tradnl"/>
              </w:rPr>
              <w:t xml:space="preserve">Incremento del </w:t>
            </w:r>
            <w:r>
              <w:rPr>
                <w:sz w:val="20"/>
                <w:szCs w:val="22"/>
                <w:lang w:val="es-ES_tradnl"/>
              </w:rPr>
              <w:t>período</w:t>
            </w:r>
          </w:p>
        </w:tc>
      </w:tr>
      <w:tr w:rsidR="00000000">
        <w:tblPrEx>
          <w:tblCellMar>
            <w:top w:w="0" w:type="dxa"/>
            <w:bottom w:w="0" w:type="dxa"/>
          </w:tblCellMar>
        </w:tblPrEx>
        <w:trPr>
          <w:cantSplit/>
          <w:jc w:val="center"/>
        </w:trPr>
        <w:tc>
          <w:tcPr>
            <w:tcW w:w="2085" w:type="dxa"/>
            <w:vMerge/>
            <w:vAlign w:val="center"/>
          </w:tcPr>
          <w:p w:rsidR="00000000" w:rsidRDefault="00000000">
            <w:pPr>
              <w:keepNext/>
              <w:jc w:val="center"/>
              <w:rPr>
                <w:sz w:val="20"/>
              </w:rPr>
            </w:pPr>
          </w:p>
        </w:tc>
        <w:tc>
          <w:tcPr>
            <w:tcW w:w="1092" w:type="dxa"/>
            <w:vAlign w:val="center"/>
          </w:tcPr>
          <w:p w:rsidR="00000000" w:rsidRDefault="00000000">
            <w:pPr>
              <w:keepNext/>
              <w:jc w:val="center"/>
              <w:rPr>
                <w:sz w:val="20"/>
              </w:rPr>
            </w:pPr>
            <w:r>
              <w:rPr>
                <w:sz w:val="20"/>
                <w:lang w:val="es-ES_tradnl"/>
              </w:rPr>
              <w:t>10 de agosto</w:t>
            </w:r>
          </w:p>
        </w:tc>
        <w:tc>
          <w:tcPr>
            <w:tcW w:w="1093" w:type="dxa"/>
            <w:vAlign w:val="center"/>
          </w:tcPr>
          <w:p w:rsidR="00000000" w:rsidRDefault="00000000">
            <w:pPr>
              <w:keepNext/>
              <w:jc w:val="center"/>
              <w:rPr>
                <w:sz w:val="20"/>
              </w:rPr>
            </w:pPr>
            <w:r>
              <w:rPr>
                <w:sz w:val="20"/>
                <w:lang w:val="es-ES_tradnl"/>
              </w:rPr>
              <w:t>1º de enero</w:t>
            </w:r>
          </w:p>
        </w:tc>
        <w:tc>
          <w:tcPr>
            <w:tcW w:w="1093" w:type="dxa"/>
            <w:vAlign w:val="center"/>
          </w:tcPr>
          <w:p w:rsidR="00000000" w:rsidRDefault="00000000">
            <w:pPr>
              <w:keepNext/>
              <w:jc w:val="center"/>
              <w:rPr>
                <w:sz w:val="20"/>
              </w:rPr>
            </w:pPr>
            <w:r>
              <w:rPr>
                <w:sz w:val="20"/>
                <w:lang w:val="es-ES_tradnl"/>
              </w:rPr>
              <w:t>1º de enero</w:t>
            </w:r>
          </w:p>
        </w:tc>
        <w:tc>
          <w:tcPr>
            <w:tcW w:w="1093" w:type="dxa"/>
            <w:vAlign w:val="center"/>
          </w:tcPr>
          <w:p w:rsidR="00000000" w:rsidRDefault="00000000">
            <w:pPr>
              <w:keepNext/>
              <w:jc w:val="center"/>
              <w:rPr>
                <w:sz w:val="20"/>
              </w:rPr>
            </w:pPr>
            <w:r>
              <w:rPr>
                <w:sz w:val="20"/>
              </w:rPr>
              <w:t>1º de enero</w:t>
            </w:r>
          </w:p>
        </w:tc>
        <w:tc>
          <w:tcPr>
            <w:tcW w:w="1095" w:type="dxa"/>
            <w:vAlign w:val="center"/>
          </w:tcPr>
          <w:p w:rsidR="00000000" w:rsidRDefault="00000000">
            <w:pPr>
              <w:keepNext/>
              <w:jc w:val="center"/>
              <w:rPr>
                <w:sz w:val="20"/>
              </w:rPr>
            </w:pPr>
            <w:r>
              <w:rPr>
                <w:sz w:val="20"/>
              </w:rPr>
              <w:t>1º de julio</w:t>
            </w:r>
          </w:p>
        </w:tc>
        <w:tc>
          <w:tcPr>
            <w:tcW w:w="1012" w:type="dxa"/>
            <w:vAlign w:val="center"/>
          </w:tcPr>
          <w:p w:rsidR="00000000" w:rsidRDefault="00000000">
            <w:pPr>
              <w:keepNext/>
              <w:jc w:val="center"/>
              <w:rPr>
                <w:sz w:val="20"/>
              </w:rPr>
            </w:pPr>
            <w:r>
              <w:rPr>
                <w:sz w:val="20"/>
              </w:rPr>
              <w:t>Porcentaje</w:t>
            </w:r>
          </w:p>
        </w:tc>
        <w:tc>
          <w:tcPr>
            <w:tcW w:w="871" w:type="dxa"/>
            <w:vAlign w:val="center"/>
          </w:tcPr>
          <w:p w:rsidR="00000000" w:rsidRDefault="00000000">
            <w:pPr>
              <w:keepNext/>
              <w:jc w:val="center"/>
              <w:rPr>
                <w:sz w:val="20"/>
              </w:rPr>
            </w:pPr>
            <w:r>
              <w:rPr>
                <w:sz w:val="20"/>
                <w:szCs w:val="22"/>
                <w:lang w:val="es-ES_tradnl"/>
              </w:rPr>
              <w:t>Absoluto</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Salario mínimo vital</w:t>
            </w:r>
          </w:p>
        </w:tc>
        <w:tc>
          <w:tcPr>
            <w:tcW w:w="1092" w:type="dxa"/>
          </w:tcPr>
          <w:p w:rsidR="00000000" w:rsidRDefault="00000000">
            <w:pPr>
              <w:keepNext/>
              <w:jc w:val="right"/>
              <w:rPr>
                <w:sz w:val="20"/>
              </w:rPr>
            </w:pPr>
            <w:r>
              <w:rPr>
                <w:sz w:val="20"/>
                <w:lang w:val="es-ES_tradnl"/>
              </w:rPr>
              <w:t>60.000</w:t>
            </w:r>
          </w:p>
        </w:tc>
        <w:tc>
          <w:tcPr>
            <w:tcW w:w="1093" w:type="dxa"/>
          </w:tcPr>
          <w:p w:rsidR="00000000" w:rsidRDefault="00000000">
            <w:pPr>
              <w:keepNext/>
              <w:jc w:val="right"/>
              <w:rPr>
                <w:sz w:val="20"/>
              </w:rPr>
            </w:pPr>
            <w:r>
              <w:rPr>
                <w:sz w:val="20"/>
                <w:lang w:val="es-ES_tradnl"/>
              </w:rPr>
              <w:t>66.000</w:t>
            </w:r>
            <w:r>
              <w:rPr>
                <w:sz w:val="20"/>
              </w:rPr>
              <w:t xml:space="preserve"> </w:t>
            </w:r>
          </w:p>
        </w:tc>
        <w:tc>
          <w:tcPr>
            <w:tcW w:w="1093" w:type="dxa"/>
          </w:tcPr>
          <w:p w:rsidR="00000000" w:rsidRDefault="00000000">
            <w:pPr>
              <w:keepNext/>
              <w:jc w:val="right"/>
              <w:rPr>
                <w:sz w:val="20"/>
              </w:rPr>
            </w:pPr>
            <w:r>
              <w:rPr>
                <w:sz w:val="20"/>
                <w:lang w:val="es-ES_tradnl"/>
              </w:rPr>
              <w:t>75.000</w:t>
            </w:r>
            <w:r>
              <w:rPr>
                <w:sz w:val="20"/>
              </w:rPr>
              <w:t xml:space="preserve"> </w:t>
            </w:r>
          </w:p>
        </w:tc>
        <w:tc>
          <w:tcPr>
            <w:tcW w:w="1093" w:type="dxa"/>
          </w:tcPr>
          <w:p w:rsidR="00000000" w:rsidRDefault="00000000">
            <w:pPr>
              <w:keepNext/>
              <w:jc w:val="right"/>
              <w:rPr>
                <w:sz w:val="20"/>
              </w:rPr>
            </w:pPr>
            <w:r>
              <w:rPr>
                <w:sz w:val="20"/>
              </w:rPr>
              <w:t>95.000</w:t>
            </w:r>
          </w:p>
        </w:tc>
        <w:tc>
          <w:tcPr>
            <w:tcW w:w="1095" w:type="dxa"/>
          </w:tcPr>
          <w:p w:rsidR="00000000" w:rsidRDefault="00000000">
            <w:pPr>
              <w:keepNext/>
              <w:jc w:val="right"/>
              <w:rPr>
                <w:sz w:val="20"/>
              </w:rPr>
            </w:pPr>
            <w:r>
              <w:rPr>
                <w:sz w:val="20"/>
              </w:rPr>
              <w:t>95.000</w:t>
            </w:r>
          </w:p>
        </w:tc>
        <w:tc>
          <w:tcPr>
            <w:tcW w:w="1012" w:type="dxa"/>
          </w:tcPr>
          <w:p w:rsidR="00000000" w:rsidRDefault="00000000">
            <w:pPr>
              <w:keepNext/>
              <w:jc w:val="right"/>
              <w:rPr>
                <w:sz w:val="20"/>
              </w:rPr>
            </w:pPr>
            <w:r>
              <w:rPr>
                <w:sz w:val="20"/>
                <w:szCs w:val="22"/>
                <w:lang w:val="es-ES_tradnl"/>
              </w:rPr>
              <w:t>58,33</w:t>
            </w:r>
          </w:p>
        </w:tc>
        <w:tc>
          <w:tcPr>
            <w:tcW w:w="871" w:type="dxa"/>
          </w:tcPr>
          <w:p w:rsidR="00000000" w:rsidRDefault="00000000">
            <w:pPr>
              <w:keepNext/>
              <w:jc w:val="right"/>
              <w:rPr>
                <w:sz w:val="20"/>
              </w:rPr>
            </w:pPr>
            <w:r>
              <w:rPr>
                <w:sz w:val="20"/>
                <w:szCs w:val="22"/>
                <w:lang w:val="es-ES_tradnl"/>
              </w:rPr>
              <w:t>35.000</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Comp. costo de vida</w:t>
            </w:r>
          </w:p>
        </w:tc>
        <w:tc>
          <w:tcPr>
            <w:tcW w:w="1092" w:type="dxa"/>
          </w:tcPr>
          <w:p w:rsidR="00000000" w:rsidRDefault="00000000">
            <w:pPr>
              <w:keepNext/>
              <w:jc w:val="right"/>
              <w:rPr>
                <w:sz w:val="20"/>
              </w:rPr>
            </w:pPr>
            <w:r>
              <w:rPr>
                <w:sz w:val="20"/>
                <w:lang w:val="es-ES_tradnl"/>
              </w:rPr>
              <w:t>20.000</w:t>
            </w:r>
          </w:p>
        </w:tc>
        <w:tc>
          <w:tcPr>
            <w:tcW w:w="1093" w:type="dxa"/>
          </w:tcPr>
          <w:p w:rsidR="00000000" w:rsidRDefault="00000000">
            <w:pPr>
              <w:keepNext/>
              <w:jc w:val="right"/>
              <w:rPr>
                <w:sz w:val="20"/>
              </w:rPr>
            </w:pPr>
            <w:r>
              <w:rPr>
                <w:sz w:val="20"/>
                <w:lang w:val="es-ES_tradnl"/>
              </w:rPr>
              <w:t>100.000</w:t>
            </w:r>
            <w:r>
              <w:rPr>
                <w:sz w:val="20"/>
              </w:rPr>
              <w:t xml:space="preserve"> </w:t>
            </w:r>
          </w:p>
        </w:tc>
        <w:tc>
          <w:tcPr>
            <w:tcW w:w="1093" w:type="dxa"/>
          </w:tcPr>
          <w:p w:rsidR="00000000" w:rsidRDefault="00000000">
            <w:pPr>
              <w:keepNext/>
              <w:jc w:val="right"/>
              <w:rPr>
                <w:sz w:val="20"/>
              </w:rPr>
            </w:pPr>
            <w:r>
              <w:rPr>
                <w:sz w:val="20"/>
                <w:lang w:val="es-ES_tradnl"/>
              </w:rPr>
              <w:t>125.000</w:t>
            </w:r>
            <w:r>
              <w:rPr>
                <w:sz w:val="20"/>
              </w:rPr>
              <w:t xml:space="preserve"> </w:t>
            </w:r>
          </w:p>
        </w:tc>
        <w:tc>
          <w:tcPr>
            <w:tcW w:w="1093" w:type="dxa"/>
          </w:tcPr>
          <w:p w:rsidR="00000000" w:rsidRDefault="00000000">
            <w:pPr>
              <w:keepNext/>
              <w:jc w:val="right"/>
              <w:rPr>
                <w:sz w:val="20"/>
              </w:rPr>
            </w:pPr>
            <w:r>
              <w:rPr>
                <w:sz w:val="20"/>
              </w:rPr>
              <w:t>145.000</w:t>
            </w:r>
          </w:p>
        </w:tc>
        <w:tc>
          <w:tcPr>
            <w:tcW w:w="1095" w:type="dxa"/>
          </w:tcPr>
          <w:p w:rsidR="00000000" w:rsidRDefault="00000000">
            <w:pPr>
              <w:keepNext/>
              <w:jc w:val="right"/>
              <w:rPr>
                <w:sz w:val="20"/>
              </w:rPr>
            </w:pPr>
            <w:r>
              <w:rPr>
                <w:sz w:val="20"/>
              </w:rPr>
              <w:t>155.000</w:t>
            </w:r>
          </w:p>
        </w:tc>
        <w:tc>
          <w:tcPr>
            <w:tcW w:w="1012" w:type="dxa"/>
          </w:tcPr>
          <w:p w:rsidR="00000000" w:rsidRDefault="00000000">
            <w:pPr>
              <w:keepNext/>
              <w:jc w:val="right"/>
              <w:rPr>
                <w:sz w:val="20"/>
              </w:rPr>
            </w:pPr>
            <w:r>
              <w:rPr>
                <w:sz w:val="20"/>
                <w:szCs w:val="22"/>
                <w:lang w:val="es-ES_tradnl"/>
              </w:rPr>
              <w:t>675,00</w:t>
            </w:r>
            <w:r>
              <w:rPr>
                <w:sz w:val="20"/>
              </w:rPr>
              <w:t xml:space="preserve"> </w:t>
            </w:r>
          </w:p>
        </w:tc>
        <w:tc>
          <w:tcPr>
            <w:tcW w:w="871" w:type="dxa"/>
          </w:tcPr>
          <w:p w:rsidR="00000000" w:rsidRDefault="00000000">
            <w:pPr>
              <w:keepNext/>
              <w:jc w:val="right"/>
              <w:rPr>
                <w:sz w:val="20"/>
              </w:rPr>
            </w:pPr>
            <w:r>
              <w:rPr>
                <w:sz w:val="20"/>
                <w:szCs w:val="22"/>
                <w:lang w:val="es-ES_tradnl"/>
              </w:rPr>
              <w:t>135.000</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proofErr w:type="spellStart"/>
            <w:r>
              <w:rPr>
                <w:sz w:val="20"/>
                <w:lang w:val="es-ES_tradnl"/>
              </w:rPr>
              <w:t>Bonif</w:t>
            </w:r>
            <w:proofErr w:type="spellEnd"/>
            <w:r>
              <w:rPr>
                <w:sz w:val="20"/>
                <w:lang w:val="es-ES_tradnl"/>
              </w:rPr>
              <w:t>. complementaria</w:t>
            </w:r>
          </w:p>
        </w:tc>
        <w:tc>
          <w:tcPr>
            <w:tcW w:w="1092" w:type="dxa"/>
          </w:tcPr>
          <w:p w:rsidR="00000000" w:rsidRDefault="00000000">
            <w:pPr>
              <w:keepNext/>
              <w:jc w:val="right"/>
              <w:rPr>
                <w:sz w:val="20"/>
              </w:rPr>
            </w:pPr>
            <w:r>
              <w:rPr>
                <w:sz w:val="20"/>
                <w:lang w:val="es-ES_tradnl"/>
              </w:rPr>
              <w:t>1.000</w:t>
            </w:r>
          </w:p>
        </w:tc>
        <w:tc>
          <w:tcPr>
            <w:tcW w:w="1093" w:type="dxa"/>
          </w:tcPr>
          <w:p w:rsidR="00000000" w:rsidRDefault="00000000">
            <w:pPr>
              <w:keepNext/>
              <w:jc w:val="right"/>
              <w:rPr>
                <w:sz w:val="20"/>
              </w:rPr>
            </w:pPr>
            <w:r>
              <w:rPr>
                <w:sz w:val="20"/>
                <w:lang w:val="es-ES_tradnl"/>
              </w:rPr>
              <w:t>1.000</w:t>
            </w:r>
            <w:r>
              <w:rPr>
                <w:sz w:val="20"/>
              </w:rPr>
              <w:t xml:space="preserve"> </w:t>
            </w:r>
          </w:p>
        </w:tc>
        <w:tc>
          <w:tcPr>
            <w:tcW w:w="1093" w:type="dxa"/>
          </w:tcPr>
          <w:p w:rsidR="00000000" w:rsidRDefault="00000000">
            <w:pPr>
              <w:keepNext/>
              <w:jc w:val="right"/>
              <w:rPr>
                <w:sz w:val="20"/>
              </w:rPr>
            </w:pPr>
            <w:r>
              <w:rPr>
                <w:sz w:val="20"/>
                <w:lang w:val="es-ES_tradnl"/>
              </w:rPr>
              <w:t>96.000</w:t>
            </w:r>
            <w:r>
              <w:rPr>
                <w:sz w:val="20"/>
              </w:rPr>
              <w:t xml:space="preserve"> </w:t>
            </w:r>
          </w:p>
        </w:tc>
        <w:tc>
          <w:tcPr>
            <w:tcW w:w="1093" w:type="dxa"/>
          </w:tcPr>
          <w:p w:rsidR="00000000" w:rsidRDefault="00000000">
            <w:pPr>
              <w:keepNext/>
              <w:jc w:val="right"/>
              <w:rPr>
                <w:sz w:val="20"/>
              </w:rPr>
            </w:pPr>
            <w:r>
              <w:rPr>
                <w:sz w:val="20"/>
              </w:rPr>
              <w:t>180.000</w:t>
            </w:r>
          </w:p>
        </w:tc>
        <w:tc>
          <w:tcPr>
            <w:tcW w:w="1095" w:type="dxa"/>
          </w:tcPr>
          <w:p w:rsidR="00000000" w:rsidRDefault="00000000">
            <w:pPr>
              <w:keepNext/>
              <w:jc w:val="right"/>
              <w:rPr>
                <w:sz w:val="20"/>
              </w:rPr>
            </w:pPr>
            <w:r>
              <w:rPr>
                <w:sz w:val="20"/>
              </w:rPr>
              <w:t>240.000</w:t>
            </w:r>
          </w:p>
        </w:tc>
        <w:tc>
          <w:tcPr>
            <w:tcW w:w="1012" w:type="dxa"/>
          </w:tcPr>
          <w:p w:rsidR="00000000" w:rsidRDefault="00000000">
            <w:pPr>
              <w:keepNext/>
              <w:jc w:val="right"/>
              <w:rPr>
                <w:sz w:val="20"/>
              </w:rPr>
            </w:pPr>
            <w:r>
              <w:rPr>
                <w:sz w:val="20"/>
                <w:szCs w:val="22"/>
                <w:lang w:val="es-ES_tradnl"/>
              </w:rPr>
              <w:t>23.900,00</w:t>
            </w:r>
            <w:r>
              <w:rPr>
                <w:sz w:val="20"/>
              </w:rPr>
              <w:t xml:space="preserve"> </w:t>
            </w:r>
          </w:p>
        </w:tc>
        <w:tc>
          <w:tcPr>
            <w:tcW w:w="871" w:type="dxa"/>
          </w:tcPr>
          <w:p w:rsidR="00000000" w:rsidRDefault="00000000">
            <w:pPr>
              <w:keepNext/>
              <w:jc w:val="right"/>
              <w:rPr>
                <w:sz w:val="20"/>
              </w:rPr>
            </w:pPr>
            <w:r>
              <w:rPr>
                <w:sz w:val="20"/>
                <w:szCs w:val="22"/>
                <w:lang w:val="es-ES_tradnl"/>
              </w:rPr>
              <w:t>239.000</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Comp. transporte</w:t>
            </w:r>
          </w:p>
        </w:tc>
        <w:tc>
          <w:tcPr>
            <w:tcW w:w="1092" w:type="dxa"/>
          </w:tcPr>
          <w:p w:rsidR="00000000" w:rsidRDefault="00000000">
            <w:pPr>
              <w:keepNext/>
              <w:jc w:val="right"/>
              <w:rPr>
                <w:sz w:val="20"/>
              </w:rPr>
            </w:pPr>
            <w:r>
              <w:rPr>
                <w:sz w:val="20"/>
                <w:lang w:val="es-ES_tradnl"/>
              </w:rPr>
              <w:t>7.200</w:t>
            </w:r>
          </w:p>
        </w:tc>
        <w:tc>
          <w:tcPr>
            <w:tcW w:w="1093" w:type="dxa"/>
          </w:tcPr>
          <w:p w:rsidR="00000000" w:rsidRDefault="00000000">
            <w:pPr>
              <w:keepNext/>
              <w:jc w:val="right"/>
              <w:rPr>
                <w:sz w:val="20"/>
              </w:rPr>
            </w:pPr>
            <w:r>
              <w:rPr>
                <w:sz w:val="20"/>
                <w:lang w:val="es-ES_tradnl"/>
              </w:rPr>
              <w:t>12.000</w:t>
            </w:r>
            <w:r>
              <w:rPr>
                <w:sz w:val="20"/>
              </w:rPr>
              <w:t xml:space="preserve"> </w:t>
            </w:r>
          </w:p>
        </w:tc>
        <w:tc>
          <w:tcPr>
            <w:tcW w:w="1093" w:type="dxa"/>
          </w:tcPr>
          <w:p w:rsidR="00000000" w:rsidRDefault="00000000">
            <w:pPr>
              <w:keepNext/>
              <w:jc w:val="right"/>
              <w:rPr>
                <w:sz w:val="20"/>
              </w:rPr>
            </w:pPr>
            <w:r>
              <w:rPr>
                <w:sz w:val="20"/>
                <w:lang w:val="es-ES_tradnl"/>
              </w:rPr>
              <w:t>16.000</w:t>
            </w:r>
            <w:r>
              <w:rPr>
                <w:sz w:val="20"/>
              </w:rPr>
              <w:t xml:space="preserve"> </w:t>
            </w:r>
          </w:p>
        </w:tc>
        <w:tc>
          <w:tcPr>
            <w:tcW w:w="1093" w:type="dxa"/>
          </w:tcPr>
          <w:p w:rsidR="00000000" w:rsidRDefault="00000000">
            <w:pPr>
              <w:keepNext/>
              <w:jc w:val="right"/>
              <w:rPr>
                <w:sz w:val="20"/>
              </w:rPr>
            </w:pPr>
            <w:r>
              <w:rPr>
                <w:sz w:val="20"/>
              </w:rPr>
              <w:t>20.000</w:t>
            </w:r>
          </w:p>
        </w:tc>
        <w:tc>
          <w:tcPr>
            <w:tcW w:w="1095" w:type="dxa"/>
          </w:tcPr>
          <w:p w:rsidR="00000000" w:rsidRDefault="00000000">
            <w:pPr>
              <w:keepNext/>
              <w:jc w:val="right"/>
              <w:rPr>
                <w:sz w:val="20"/>
              </w:rPr>
            </w:pPr>
            <w:r>
              <w:rPr>
                <w:sz w:val="20"/>
              </w:rPr>
              <w:t>20.000</w:t>
            </w:r>
          </w:p>
        </w:tc>
        <w:tc>
          <w:tcPr>
            <w:tcW w:w="1012" w:type="dxa"/>
          </w:tcPr>
          <w:p w:rsidR="00000000" w:rsidRDefault="00000000">
            <w:pPr>
              <w:keepNext/>
              <w:jc w:val="right"/>
              <w:rPr>
                <w:sz w:val="20"/>
              </w:rPr>
            </w:pPr>
            <w:r>
              <w:rPr>
                <w:sz w:val="20"/>
                <w:szCs w:val="22"/>
                <w:lang w:val="es-ES_tradnl"/>
              </w:rPr>
              <w:t>177,78</w:t>
            </w:r>
            <w:r>
              <w:rPr>
                <w:sz w:val="20"/>
              </w:rPr>
              <w:t xml:space="preserve"> </w:t>
            </w:r>
          </w:p>
        </w:tc>
        <w:tc>
          <w:tcPr>
            <w:tcW w:w="871" w:type="dxa"/>
          </w:tcPr>
          <w:p w:rsidR="00000000" w:rsidRDefault="00000000">
            <w:pPr>
              <w:keepNext/>
              <w:jc w:val="right"/>
              <w:rPr>
                <w:sz w:val="20"/>
              </w:rPr>
            </w:pPr>
            <w:r>
              <w:rPr>
                <w:sz w:val="20"/>
                <w:szCs w:val="22"/>
                <w:lang w:val="es-ES_tradnl"/>
              </w:rPr>
              <w:t>12.800</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Decimosexto sueldo</w:t>
            </w:r>
          </w:p>
        </w:tc>
        <w:tc>
          <w:tcPr>
            <w:tcW w:w="1092" w:type="dxa"/>
          </w:tcPr>
          <w:p w:rsidR="00000000" w:rsidRDefault="00000000">
            <w:pPr>
              <w:keepNext/>
              <w:jc w:val="right"/>
              <w:rPr>
                <w:sz w:val="20"/>
              </w:rPr>
            </w:pPr>
            <w:r>
              <w:rPr>
                <w:sz w:val="20"/>
              </w:rPr>
              <w:t xml:space="preserve"> </w:t>
            </w:r>
          </w:p>
        </w:tc>
        <w:tc>
          <w:tcPr>
            <w:tcW w:w="1093" w:type="dxa"/>
          </w:tcPr>
          <w:p w:rsidR="00000000" w:rsidRDefault="00000000">
            <w:pPr>
              <w:keepNext/>
              <w:jc w:val="right"/>
              <w:rPr>
                <w:sz w:val="20"/>
              </w:rPr>
            </w:pPr>
            <w:r>
              <w:rPr>
                <w:sz w:val="20"/>
                <w:lang w:val="es-ES_tradnl"/>
              </w:rPr>
              <w:t>11.000</w:t>
            </w:r>
            <w:r>
              <w:rPr>
                <w:sz w:val="20"/>
              </w:rPr>
              <w:t xml:space="preserve"> </w:t>
            </w:r>
          </w:p>
        </w:tc>
        <w:tc>
          <w:tcPr>
            <w:tcW w:w="1093" w:type="dxa"/>
          </w:tcPr>
          <w:p w:rsidR="00000000" w:rsidRDefault="00000000">
            <w:pPr>
              <w:keepNext/>
              <w:jc w:val="right"/>
              <w:rPr>
                <w:sz w:val="20"/>
              </w:rPr>
            </w:pPr>
            <w:r>
              <w:rPr>
                <w:sz w:val="20"/>
                <w:lang w:val="es-ES_tradnl"/>
              </w:rPr>
              <w:t>12.500</w:t>
            </w:r>
            <w:r>
              <w:rPr>
                <w:sz w:val="20"/>
              </w:rPr>
              <w:t xml:space="preserve"> </w:t>
            </w:r>
          </w:p>
        </w:tc>
        <w:tc>
          <w:tcPr>
            <w:tcW w:w="1093" w:type="dxa"/>
          </w:tcPr>
          <w:p w:rsidR="00000000" w:rsidRDefault="00000000">
            <w:pPr>
              <w:keepNext/>
              <w:jc w:val="right"/>
              <w:rPr>
                <w:sz w:val="20"/>
              </w:rPr>
            </w:pPr>
            <w:r>
              <w:rPr>
                <w:sz w:val="20"/>
              </w:rPr>
              <w:t>15.833</w:t>
            </w:r>
          </w:p>
        </w:tc>
        <w:tc>
          <w:tcPr>
            <w:tcW w:w="1095" w:type="dxa"/>
          </w:tcPr>
          <w:p w:rsidR="00000000" w:rsidRDefault="00000000">
            <w:pPr>
              <w:keepNext/>
              <w:jc w:val="right"/>
              <w:rPr>
                <w:sz w:val="20"/>
              </w:rPr>
            </w:pPr>
            <w:r>
              <w:rPr>
                <w:sz w:val="20"/>
              </w:rPr>
              <w:t>15.833</w:t>
            </w:r>
          </w:p>
        </w:tc>
        <w:tc>
          <w:tcPr>
            <w:tcW w:w="1012" w:type="dxa"/>
          </w:tcPr>
          <w:p w:rsidR="00000000" w:rsidRDefault="00000000">
            <w:pPr>
              <w:keepNext/>
              <w:jc w:val="right"/>
              <w:rPr>
                <w:sz w:val="20"/>
              </w:rPr>
            </w:pPr>
            <w:r>
              <w:rPr>
                <w:sz w:val="20"/>
                <w:szCs w:val="22"/>
                <w:lang w:val="es-ES_tradnl"/>
              </w:rPr>
              <w:t>58,33</w:t>
            </w:r>
            <w:r>
              <w:rPr>
                <w:sz w:val="20"/>
              </w:rPr>
              <w:t xml:space="preserve"> </w:t>
            </w:r>
          </w:p>
        </w:tc>
        <w:tc>
          <w:tcPr>
            <w:tcW w:w="871" w:type="dxa"/>
          </w:tcPr>
          <w:p w:rsidR="00000000" w:rsidRDefault="00000000">
            <w:pPr>
              <w:keepNext/>
              <w:jc w:val="right"/>
              <w:rPr>
                <w:sz w:val="20"/>
              </w:rPr>
            </w:pPr>
            <w:r>
              <w:rPr>
                <w:sz w:val="20"/>
                <w:szCs w:val="22"/>
                <w:lang w:val="es-ES_tradnl"/>
              </w:rPr>
              <w:t>15.833</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Mensual nominal</w:t>
            </w:r>
          </w:p>
        </w:tc>
        <w:tc>
          <w:tcPr>
            <w:tcW w:w="1092" w:type="dxa"/>
          </w:tcPr>
          <w:p w:rsidR="00000000" w:rsidRDefault="00000000">
            <w:pPr>
              <w:keepNext/>
              <w:jc w:val="right"/>
              <w:rPr>
                <w:sz w:val="20"/>
              </w:rPr>
            </w:pPr>
            <w:r>
              <w:rPr>
                <w:sz w:val="20"/>
                <w:szCs w:val="22"/>
                <w:lang w:val="es-ES_tradnl"/>
              </w:rPr>
              <w:t>88.200</w:t>
            </w:r>
          </w:p>
        </w:tc>
        <w:tc>
          <w:tcPr>
            <w:tcW w:w="1093" w:type="dxa"/>
          </w:tcPr>
          <w:p w:rsidR="00000000" w:rsidRDefault="00000000">
            <w:pPr>
              <w:keepNext/>
              <w:jc w:val="right"/>
              <w:rPr>
                <w:sz w:val="20"/>
              </w:rPr>
            </w:pPr>
            <w:r>
              <w:rPr>
                <w:sz w:val="20"/>
                <w:szCs w:val="22"/>
                <w:lang w:val="es-ES_tradnl"/>
              </w:rPr>
              <w:t>190.000</w:t>
            </w:r>
            <w:r>
              <w:rPr>
                <w:sz w:val="20"/>
              </w:rPr>
              <w:t xml:space="preserve"> </w:t>
            </w:r>
          </w:p>
        </w:tc>
        <w:tc>
          <w:tcPr>
            <w:tcW w:w="1093" w:type="dxa"/>
          </w:tcPr>
          <w:p w:rsidR="00000000" w:rsidRDefault="00000000">
            <w:pPr>
              <w:keepNext/>
              <w:jc w:val="right"/>
              <w:rPr>
                <w:sz w:val="20"/>
              </w:rPr>
            </w:pPr>
            <w:r>
              <w:rPr>
                <w:sz w:val="20"/>
                <w:szCs w:val="22"/>
                <w:lang w:val="es-ES_tradnl"/>
              </w:rPr>
              <w:t>324.500</w:t>
            </w:r>
            <w:r>
              <w:rPr>
                <w:sz w:val="20"/>
              </w:rPr>
              <w:t xml:space="preserve"> </w:t>
            </w:r>
          </w:p>
        </w:tc>
        <w:tc>
          <w:tcPr>
            <w:tcW w:w="1093" w:type="dxa"/>
          </w:tcPr>
          <w:p w:rsidR="00000000" w:rsidRDefault="00000000">
            <w:pPr>
              <w:keepNext/>
              <w:jc w:val="right"/>
              <w:rPr>
                <w:sz w:val="20"/>
              </w:rPr>
            </w:pPr>
            <w:r>
              <w:rPr>
                <w:sz w:val="20"/>
              </w:rPr>
              <w:t>455.833</w:t>
            </w:r>
          </w:p>
        </w:tc>
        <w:tc>
          <w:tcPr>
            <w:tcW w:w="1095" w:type="dxa"/>
          </w:tcPr>
          <w:p w:rsidR="00000000" w:rsidRDefault="00000000">
            <w:pPr>
              <w:keepNext/>
              <w:jc w:val="right"/>
              <w:rPr>
                <w:sz w:val="20"/>
              </w:rPr>
            </w:pPr>
            <w:r>
              <w:rPr>
                <w:sz w:val="20"/>
              </w:rPr>
              <w:t>485.833</w:t>
            </w:r>
          </w:p>
        </w:tc>
        <w:tc>
          <w:tcPr>
            <w:tcW w:w="1012" w:type="dxa"/>
          </w:tcPr>
          <w:p w:rsidR="00000000" w:rsidRDefault="00000000">
            <w:pPr>
              <w:keepNext/>
              <w:jc w:val="right"/>
              <w:rPr>
                <w:sz w:val="20"/>
              </w:rPr>
            </w:pPr>
            <w:r>
              <w:rPr>
                <w:sz w:val="20"/>
                <w:szCs w:val="22"/>
                <w:lang w:val="es-ES_tradnl"/>
              </w:rPr>
              <w:t>450,83</w:t>
            </w:r>
            <w:r>
              <w:rPr>
                <w:sz w:val="20"/>
              </w:rPr>
              <w:t xml:space="preserve"> </w:t>
            </w:r>
          </w:p>
        </w:tc>
        <w:tc>
          <w:tcPr>
            <w:tcW w:w="871" w:type="dxa"/>
          </w:tcPr>
          <w:p w:rsidR="00000000" w:rsidRDefault="00000000">
            <w:pPr>
              <w:keepNext/>
              <w:jc w:val="right"/>
              <w:rPr>
                <w:sz w:val="20"/>
              </w:rPr>
            </w:pPr>
            <w:r>
              <w:rPr>
                <w:sz w:val="20"/>
                <w:szCs w:val="22"/>
                <w:lang w:val="es-ES_tradnl"/>
              </w:rPr>
              <w:t>397.633</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lang w:val="es-ES_tradnl"/>
              </w:rPr>
            </w:pPr>
          </w:p>
        </w:tc>
        <w:tc>
          <w:tcPr>
            <w:tcW w:w="1092" w:type="dxa"/>
          </w:tcPr>
          <w:p w:rsidR="00000000" w:rsidRDefault="00000000">
            <w:pPr>
              <w:keepNext/>
              <w:jc w:val="right"/>
              <w:rPr>
                <w:sz w:val="20"/>
                <w:szCs w:val="22"/>
                <w:lang w:val="es-ES_tradnl"/>
              </w:rPr>
            </w:pPr>
          </w:p>
        </w:tc>
        <w:tc>
          <w:tcPr>
            <w:tcW w:w="1093" w:type="dxa"/>
          </w:tcPr>
          <w:p w:rsidR="00000000" w:rsidRDefault="00000000">
            <w:pPr>
              <w:keepNext/>
              <w:jc w:val="right"/>
              <w:rPr>
                <w:sz w:val="20"/>
                <w:szCs w:val="22"/>
                <w:lang w:val="es-ES_tradnl"/>
              </w:rPr>
            </w:pPr>
          </w:p>
        </w:tc>
        <w:tc>
          <w:tcPr>
            <w:tcW w:w="1093" w:type="dxa"/>
          </w:tcPr>
          <w:p w:rsidR="00000000" w:rsidRDefault="00000000">
            <w:pPr>
              <w:keepNext/>
              <w:jc w:val="right"/>
              <w:rPr>
                <w:sz w:val="20"/>
                <w:szCs w:val="22"/>
                <w:lang w:val="es-ES_tradnl"/>
              </w:rPr>
            </w:pPr>
          </w:p>
        </w:tc>
        <w:tc>
          <w:tcPr>
            <w:tcW w:w="1093" w:type="dxa"/>
          </w:tcPr>
          <w:p w:rsidR="00000000" w:rsidRDefault="00000000">
            <w:pPr>
              <w:keepNext/>
              <w:jc w:val="right"/>
              <w:rPr>
                <w:sz w:val="20"/>
              </w:rPr>
            </w:pPr>
          </w:p>
        </w:tc>
        <w:tc>
          <w:tcPr>
            <w:tcW w:w="1095" w:type="dxa"/>
          </w:tcPr>
          <w:p w:rsidR="00000000" w:rsidRDefault="00000000">
            <w:pPr>
              <w:keepNext/>
              <w:jc w:val="right"/>
              <w:rPr>
                <w:sz w:val="20"/>
              </w:rPr>
            </w:pPr>
          </w:p>
        </w:tc>
        <w:tc>
          <w:tcPr>
            <w:tcW w:w="1012" w:type="dxa"/>
          </w:tcPr>
          <w:p w:rsidR="00000000" w:rsidRDefault="00000000">
            <w:pPr>
              <w:keepNext/>
              <w:jc w:val="right"/>
              <w:rPr>
                <w:sz w:val="20"/>
                <w:szCs w:val="22"/>
                <w:lang w:val="es-ES_tradnl"/>
              </w:rPr>
            </w:pPr>
          </w:p>
        </w:tc>
        <w:tc>
          <w:tcPr>
            <w:tcW w:w="871" w:type="dxa"/>
          </w:tcPr>
          <w:p w:rsidR="00000000" w:rsidRDefault="00000000">
            <w:pPr>
              <w:keepNext/>
              <w:jc w:val="right"/>
              <w:rPr>
                <w:sz w:val="20"/>
                <w:szCs w:val="22"/>
                <w:lang w:val="es-ES_tradnl"/>
              </w:rPr>
            </w:pPr>
          </w:p>
        </w:tc>
      </w:tr>
      <w:tr w:rsidR="00000000">
        <w:tblPrEx>
          <w:tblCellMar>
            <w:top w:w="0" w:type="dxa"/>
            <w:bottom w:w="0" w:type="dxa"/>
          </w:tblCellMar>
        </w:tblPrEx>
        <w:trPr>
          <w:cantSplit/>
          <w:jc w:val="center"/>
        </w:trPr>
        <w:tc>
          <w:tcPr>
            <w:tcW w:w="2085" w:type="dxa"/>
          </w:tcPr>
          <w:p w:rsidR="00000000" w:rsidRDefault="00000000">
            <w:pPr>
              <w:keepNext/>
              <w:rPr>
                <w:sz w:val="20"/>
              </w:rPr>
            </w:pPr>
            <w:proofErr w:type="spellStart"/>
            <w:r>
              <w:rPr>
                <w:sz w:val="20"/>
                <w:lang w:val="es-ES_tradnl"/>
              </w:rPr>
              <w:t>Decimotercer</w:t>
            </w:r>
            <w:proofErr w:type="spellEnd"/>
            <w:r>
              <w:rPr>
                <w:sz w:val="20"/>
                <w:lang w:val="es-ES_tradnl"/>
              </w:rPr>
              <w:t xml:space="preserve"> sueldo</w:t>
            </w:r>
          </w:p>
        </w:tc>
        <w:tc>
          <w:tcPr>
            <w:tcW w:w="1092" w:type="dxa"/>
          </w:tcPr>
          <w:p w:rsidR="00000000" w:rsidRDefault="00000000">
            <w:pPr>
              <w:keepNext/>
              <w:jc w:val="right"/>
              <w:rPr>
                <w:sz w:val="20"/>
              </w:rPr>
            </w:pPr>
            <w:r>
              <w:rPr>
                <w:sz w:val="20"/>
                <w:szCs w:val="22"/>
                <w:lang w:val="es-ES_tradnl"/>
              </w:rPr>
              <w:t>5.000</w:t>
            </w:r>
            <w:r>
              <w:rPr>
                <w:sz w:val="20"/>
              </w:rPr>
              <w:t xml:space="preserve"> </w:t>
            </w:r>
          </w:p>
        </w:tc>
        <w:tc>
          <w:tcPr>
            <w:tcW w:w="1093" w:type="dxa"/>
          </w:tcPr>
          <w:p w:rsidR="00000000" w:rsidRDefault="00000000">
            <w:pPr>
              <w:keepNext/>
              <w:jc w:val="right"/>
              <w:rPr>
                <w:sz w:val="20"/>
              </w:rPr>
            </w:pPr>
            <w:r>
              <w:rPr>
                <w:sz w:val="20"/>
                <w:szCs w:val="22"/>
                <w:lang w:val="es-ES_tradnl"/>
              </w:rPr>
              <w:t>5.500</w:t>
            </w:r>
            <w:r>
              <w:rPr>
                <w:sz w:val="20"/>
              </w:rPr>
              <w:t xml:space="preserve"> </w:t>
            </w:r>
          </w:p>
        </w:tc>
        <w:tc>
          <w:tcPr>
            <w:tcW w:w="1093" w:type="dxa"/>
          </w:tcPr>
          <w:p w:rsidR="00000000" w:rsidRDefault="00000000">
            <w:pPr>
              <w:keepNext/>
              <w:jc w:val="right"/>
              <w:rPr>
                <w:sz w:val="20"/>
              </w:rPr>
            </w:pPr>
            <w:r>
              <w:rPr>
                <w:sz w:val="20"/>
                <w:szCs w:val="22"/>
                <w:lang w:val="es-ES_tradnl"/>
              </w:rPr>
              <w:t>6.250</w:t>
            </w:r>
            <w:r>
              <w:rPr>
                <w:sz w:val="20"/>
              </w:rPr>
              <w:t xml:space="preserve"> </w:t>
            </w:r>
          </w:p>
        </w:tc>
        <w:tc>
          <w:tcPr>
            <w:tcW w:w="1093" w:type="dxa"/>
          </w:tcPr>
          <w:p w:rsidR="00000000" w:rsidRDefault="00000000">
            <w:pPr>
              <w:keepNext/>
              <w:jc w:val="right"/>
              <w:rPr>
                <w:sz w:val="20"/>
              </w:rPr>
            </w:pPr>
            <w:r>
              <w:rPr>
                <w:sz w:val="20"/>
              </w:rPr>
              <w:t>7.917</w:t>
            </w:r>
          </w:p>
        </w:tc>
        <w:tc>
          <w:tcPr>
            <w:tcW w:w="1095" w:type="dxa"/>
          </w:tcPr>
          <w:p w:rsidR="00000000" w:rsidRDefault="00000000">
            <w:pPr>
              <w:keepNext/>
              <w:jc w:val="right"/>
              <w:rPr>
                <w:sz w:val="20"/>
              </w:rPr>
            </w:pPr>
            <w:r>
              <w:rPr>
                <w:sz w:val="20"/>
              </w:rPr>
              <w:t>7.917</w:t>
            </w:r>
          </w:p>
        </w:tc>
        <w:tc>
          <w:tcPr>
            <w:tcW w:w="1012" w:type="dxa"/>
          </w:tcPr>
          <w:p w:rsidR="00000000" w:rsidRDefault="00000000">
            <w:pPr>
              <w:keepNext/>
              <w:jc w:val="right"/>
              <w:rPr>
                <w:sz w:val="20"/>
              </w:rPr>
            </w:pPr>
            <w:r>
              <w:rPr>
                <w:sz w:val="20"/>
                <w:szCs w:val="22"/>
                <w:lang w:val="es-ES_tradnl"/>
              </w:rPr>
              <w:t>58,33</w:t>
            </w:r>
            <w:r>
              <w:rPr>
                <w:sz w:val="20"/>
              </w:rPr>
              <w:t xml:space="preserve"> </w:t>
            </w:r>
          </w:p>
        </w:tc>
        <w:tc>
          <w:tcPr>
            <w:tcW w:w="871" w:type="dxa"/>
          </w:tcPr>
          <w:p w:rsidR="00000000" w:rsidRDefault="00000000">
            <w:pPr>
              <w:keepNext/>
              <w:jc w:val="right"/>
              <w:rPr>
                <w:sz w:val="20"/>
              </w:rPr>
            </w:pPr>
            <w:r>
              <w:rPr>
                <w:sz w:val="20"/>
                <w:szCs w:val="22"/>
                <w:lang w:val="es-ES_tradnl"/>
              </w:rPr>
              <w:t>2.917</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Decimocuarto sueldo</w:t>
            </w:r>
          </w:p>
        </w:tc>
        <w:tc>
          <w:tcPr>
            <w:tcW w:w="1092" w:type="dxa"/>
          </w:tcPr>
          <w:p w:rsidR="00000000" w:rsidRDefault="00000000">
            <w:pPr>
              <w:keepNext/>
              <w:jc w:val="right"/>
              <w:rPr>
                <w:sz w:val="20"/>
              </w:rPr>
            </w:pPr>
            <w:r>
              <w:rPr>
                <w:sz w:val="20"/>
                <w:szCs w:val="22"/>
                <w:lang w:val="es-ES_tradnl"/>
              </w:rPr>
              <w:t>10.000</w:t>
            </w:r>
            <w:r>
              <w:rPr>
                <w:sz w:val="20"/>
              </w:rPr>
              <w:t xml:space="preserve"> </w:t>
            </w:r>
          </w:p>
        </w:tc>
        <w:tc>
          <w:tcPr>
            <w:tcW w:w="1093" w:type="dxa"/>
          </w:tcPr>
          <w:p w:rsidR="00000000" w:rsidRDefault="00000000">
            <w:pPr>
              <w:keepNext/>
              <w:jc w:val="right"/>
              <w:rPr>
                <w:sz w:val="20"/>
              </w:rPr>
            </w:pPr>
            <w:r>
              <w:rPr>
                <w:sz w:val="20"/>
                <w:szCs w:val="22"/>
                <w:lang w:val="es-ES_tradnl"/>
              </w:rPr>
              <w:t>11.000</w:t>
            </w:r>
            <w:r>
              <w:rPr>
                <w:sz w:val="20"/>
              </w:rPr>
              <w:t xml:space="preserve"> </w:t>
            </w:r>
          </w:p>
        </w:tc>
        <w:tc>
          <w:tcPr>
            <w:tcW w:w="1093" w:type="dxa"/>
          </w:tcPr>
          <w:p w:rsidR="00000000" w:rsidRDefault="00000000">
            <w:pPr>
              <w:keepNext/>
              <w:jc w:val="right"/>
              <w:rPr>
                <w:sz w:val="20"/>
              </w:rPr>
            </w:pPr>
            <w:r>
              <w:rPr>
                <w:sz w:val="20"/>
                <w:szCs w:val="22"/>
                <w:lang w:val="es-ES_tradnl"/>
              </w:rPr>
              <w:t>12.500</w:t>
            </w:r>
            <w:r>
              <w:rPr>
                <w:sz w:val="20"/>
              </w:rPr>
              <w:t xml:space="preserve"> </w:t>
            </w:r>
          </w:p>
        </w:tc>
        <w:tc>
          <w:tcPr>
            <w:tcW w:w="1093" w:type="dxa"/>
          </w:tcPr>
          <w:p w:rsidR="00000000" w:rsidRDefault="00000000">
            <w:pPr>
              <w:keepNext/>
              <w:jc w:val="right"/>
              <w:rPr>
                <w:sz w:val="20"/>
              </w:rPr>
            </w:pPr>
            <w:r>
              <w:rPr>
                <w:sz w:val="20"/>
              </w:rPr>
              <w:t>15.833</w:t>
            </w:r>
          </w:p>
        </w:tc>
        <w:tc>
          <w:tcPr>
            <w:tcW w:w="1095" w:type="dxa"/>
          </w:tcPr>
          <w:p w:rsidR="00000000" w:rsidRDefault="00000000">
            <w:pPr>
              <w:keepNext/>
              <w:jc w:val="right"/>
              <w:rPr>
                <w:sz w:val="20"/>
              </w:rPr>
            </w:pPr>
            <w:r>
              <w:rPr>
                <w:sz w:val="20"/>
              </w:rPr>
              <w:t>15.833</w:t>
            </w:r>
          </w:p>
        </w:tc>
        <w:tc>
          <w:tcPr>
            <w:tcW w:w="1012" w:type="dxa"/>
          </w:tcPr>
          <w:p w:rsidR="00000000" w:rsidRDefault="00000000">
            <w:pPr>
              <w:keepNext/>
              <w:jc w:val="right"/>
              <w:rPr>
                <w:sz w:val="20"/>
              </w:rPr>
            </w:pPr>
            <w:r>
              <w:rPr>
                <w:sz w:val="20"/>
                <w:szCs w:val="22"/>
                <w:lang w:val="es-ES_tradnl"/>
              </w:rPr>
              <w:t>58,33</w:t>
            </w:r>
            <w:r>
              <w:rPr>
                <w:sz w:val="20"/>
              </w:rPr>
              <w:t xml:space="preserve"> </w:t>
            </w:r>
          </w:p>
        </w:tc>
        <w:tc>
          <w:tcPr>
            <w:tcW w:w="871" w:type="dxa"/>
          </w:tcPr>
          <w:p w:rsidR="00000000" w:rsidRDefault="00000000">
            <w:pPr>
              <w:keepNext/>
              <w:jc w:val="right"/>
              <w:rPr>
                <w:sz w:val="20"/>
              </w:rPr>
            </w:pPr>
            <w:r>
              <w:rPr>
                <w:sz w:val="20"/>
                <w:szCs w:val="22"/>
                <w:lang w:val="es-ES_tradnl"/>
              </w:rPr>
              <w:t>5.833</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Decimoquinto sueldo</w:t>
            </w:r>
          </w:p>
        </w:tc>
        <w:tc>
          <w:tcPr>
            <w:tcW w:w="1092" w:type="dxa"/>
          </w:tcPr>
          <w:p w:rsidR="00000000" w:rsidRDefault="00000000">
            <w:pPr>
              <w:keepNext/>
              <w:jc w:val="right"/>
              <w:rPr>
                <w:sz w:val="20"/>
              </w:rPr>
            </w:pPr>
            <w:r>
              <w:rPr>
                <w:sz w:val="20"/>
                <w:szCs w:val="22"/>
                <w:lang w:val="es-ES_tradnl"/>
              </w:rPr>
              <w:t>4.167</w:t>
            </w:r>
            <w:r>
              <w:rPr>
                <w:sz w:val="20"/>
              </w:rPr>
              <w:t xml:space="preserve"> </w:t>
            </w:r>
          </w:p>
        </w:tc>
        <w:tc>
          <w:tcPr>
            <w:tcW w:w="1093" w:type="dxa"/>
          </w:tcPr>
          <w:p w:rsidR="00000000" w:rsidRDefault="00000000">
            <w:pPr>
              <w:keepNext/>
              <w:jc w:val="right"/>
              <w:rPr>
                <w:sz w:val="20"/>
              </w:rPr>
            </w:pPr>
            <w:r>
              <w:rPr>
                <w:sz w:val="20"/>
                <w:szCs w:val="22"/>
                <w:lang w:val="es-ES_tradnl"/>
              </w:rPr>
              <w:t>4.167</w:t>
            </w:r>
            <w:r>
              <w:rPr>
                <w:sz w:val="20"/>
              </w:rPr>
              <w:t xml:space="preserve"> </w:t>
            </w:r>
          </w:p>
        </w:tc>
        <w:tc>
          <w:tcPr>
            <w:tcW w:w="1093" w:type="dxa"/>
          </w:tcPr>
          <w:p w:rsidR="00000000" w:rsidRDefault="00000000">
            <w:pPr>
              <w:keepNext/>
              <w:jc w:val="right"/>
              <w:rPr>
                <w:sz w:val="20"/>
              </w:rPr>
            </w:pPr>
            <w:r>
              <w:rPr>
                <w:sz w:val="20"/>
                <w:szCs w:val="22"/>
                <w:lang w:val="es-ES_tradnl"/>
              </w:rPr>
              <w:t>4.167</w:t>
            </w:r>
            <w:r>
              <w:rPr>
                <w:sz w:val="20"/>
              </w:rPr>
              <w:t xml:space="preserve"> </w:t>
            </w:r>
          </w:p>
        </w:tc>
        <w:tc>
          <w:tcPr>
            <w:tcW w:w="1093" w:type="dxa"/>
          </w:tcPr>
          <w:p w:rsidR="00000000" w:rsidRDefault="00000000">
            <w:pPr>
              <w:keepNext/>
              <w:jc w:val="right"/>
              <w:rPr>
                <w:sz w:val="20"/>
              </w:rPr>
            </w:pPr>
            <w:r>
              <w:rPr>
                <w:sz w:val="20"/>
              </w:rPr>
              <w:t>4.167</w:t>
            </w:r>
          </w:p>
        </w:tc>
        <w:tc>
          <w:tcPr>
            <w:tcW w:w="1095" w:type="dxa"/>
          </w:tcPr>
          <w:p w:rsidR="00000000" w:rsidRDefault="00000000">
            <w:pPr>
              <w:keepNext/>
              <w:jc w:val="right"/>
              <w:rPr>
                <w:sz w:val="20"/>
              </w:rPr>
            </w:pPr>
            <w:r>
              <w:rPr>
                <w:sz w:val="20"/>
              </w:rPr>
              <w:t>4.167</w:t>
            </w:r>
          </w:p>
        </w:tc>
        <w:tc>
          <w:tcPr>
            <w:tcW w:w="1012" w:type="dxa"/>
          </w:tcPr>
          <w:p w:rsidR="00000000" w:rsidRDefault="00000000">
            <w:pPr>
              <w:keepNext/>
              <w:jc w:val="right"/>
              <w:rPr>
                <w:sz w:val="20"/>
              </w:rPr>
            </w:pPr>
            <w:r>
              <w:rPr>
                <w:sz w:val="20"/>
                <w:szCs w:val="22"/>
                <w:lang w:val="es-ES_tradnl"/>
              </w:rPr>
              <w:t>0,00</w:t>
            </w:r>
            <w:r>
              <w:rPr>
                <w:sz w:val="20"/>
              </w:rPr>
              <w:t xml:space="preserve"> </w:t>
            </w:r>
          </w:p>
        </w:tc>
        <w:tc>
          <w:tcPr>
            <w:tcW w:w="871" w:type="dxa"/>
          </w:tcPr>
          <w:p w:rsidR="00000000" w:rsidRDefault="00000000">
            <w:pPr>
              <w:keepNext/>
              <w:jc w:val="right"/>
              <w:rPr>
                <w:sz w:val="20"/>
              </w:rPr>
            </w:pPr>
            <w:r>
              <w:rPr>
                <w:sz w:val="20"/>
                <w:szCs w:val="22"/>
                <w:lang w:val="es-ES_tradnl"/>
              </w:rPr>
              <w:t>0</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rPr>
                <w:sz w:val="20"/>
              </w:rPr>
            </w:pPr>
            <w:r>
              <w:rPr>
                <w:sz w:val="20"/>
                <w:lang w:val="es-ES_tradnl"/>
              </w:rPr>
              <w:t>Fondo de reserva</w:t>
            </w:r>
          </w:p>
        </w:tc>
        <w:tc>
          <w:tcPr>
            <w:tcW w:w="1092" w:type="dxa"/>
          </w:tcPr>
          <w:p w:rsidR="00000000" w:rsidRDefault="00000000">
            <w:pPr>
              <w:keepNext/>
              <w:jc w:val="right"/>
              <w:rPr>
                <w:sz w:val="20"/>
              </w:rPr>
            </w:pPr>
            <w:r>
              <w:rPr>
                <w:sz w:val="20"/>
                <w:szCs w:val="22"/>
                <w:lang w:val="es-ES_tradnl"/>
              </w:rPr>
              <w:t>5.000</w:t>
            </w:r>
            <w:r>
              <w:rPr>
                <w:sz w:val="20"/>
              </w:rPr>
              <w:t xml:space="preserve"> </w:t>
            </w:r>
          </w:p>
        </w:tc>
        <w:tc>
          <w:tcPr>
            <w:tcW w:w="1093" w:type="dxa"/>
          </w:tcPr>
          <w:p w:rsidR="00000000" w:rsidRDefault="00000000">
            <w:pPr>
              <w:keepNext/>
              <w:jc w:val="right"/>
              <w:rPr>
                <w:sz w:val="20"/>
              </w:rPr>
            </w:pPr>
            <w:r>
              <w:rPr>
                <w:sz w:val="20"/>
                <w:szCs w:val="22"/>
                <w:lang w:val="es-ES_tradnl"/>
              </w:rPr>
              <w:t>5.500</w:t>
            </w:r>
            <w:r>
              <w:rPr>
                <w:sz w:val="20"/>
              </w:rPr>
              <w:t xml:space="preserve"> </w:t>
            </w:r>
          </w:p>
        </w:tc>
        <w:tc>
          <w:tcPr>
            <w:tcW w:w="1093" w:type="dxa"/>
          </w:tcPr>
          <w:p w:rsidR="00000000" w:rsidRDefault="00000000">
            <w:pPr>
              <w:keepNext/>
              <w:jc w:val="right"/>
              <w:rPr>
                <w:sz w:val="20"/>
              </w:rPr>
            </w:pPr>
            <w:r>
              <w:rPr>
                <w:sz w:val="20"/>
                <w:szCs w:val="22"/>
                <w:lang w:val="es-ES_tradnl"/>
              </w:rPr>
              <w:t>6.250</w:t>
            </w:r>
            <w:r>
              <w:rPr>
                <w:sz w:val="20"/>
              </w:rPr>
              <w:t xml:space="preserve"> </w:t>
            </w:r>
          </w:p>
        </w:tc>
        <w:tc>
          <w:tcPr>
            <w:tcW w:w="1093" w:type="dxa"/>
          </w:tcPr>
          <w:p w:rsidR="00000000" w:rsidRDefault="00000000">
            <w:pPr>
              <w:keepNext/>
              <w:jc w:val="right"/>
              <w:rPr>
                <w:sz w:val="20"/>
              </w:rPr>
            </w:pPr>
            <w:r>
              <w:rPr>
                <w:sz w:val="20"/>
              </w:rPr>
              <w:t>7.917</w:t>
            </w:r>
          </w:p>
        </w:tc>
        <w:tc>
          <w:tcPr>
            <w:tcW w:w="1095" w:type="dxa"/>
          </w:tcPr>
          <w:p w:rsidR="00000000" w:rsidRDefault="00000000">
            <w:pPr>
              <w:keepNext/>
              <w:jc w:val="right"/>
              <w:rPr>
                <w:sz w:val="20"/>
              </w:rPr>
            </w:pPr>
            <w:r>
              <w:rPr>
                <w:sz w:val="20"/>
              </w:rPr>
              <w:t>7.917</w:t>
            </w:r>
          </w:p>
        </w:tc>
        <w:tc>
          <w:tcPr>
            <w:tcW w:w="1012" w:type="dxa"/>
          </w:tcPr>
          <w:p w:rsidR="00000000" w:rsidRDefault="00000000">
            <w:pPr>
              <w:keepNext/>
              <w:jc w:val="right"/>
              <w:rPr>
                <w:sz w:val="20"/>
              </w:rPr>
            </w:pPr>
            <w:r>
              <w:rPr>
                <w:sz w:val="20"/>
                <w:szCs w:val="22"/>
                <w:lang w:val="es-ES_tradnl"/>
              </w:rPr>
              <w:t>58,33</w:t>
            </w:r>
            <w:r>
              <w:rPr>
                <w:sz w:val="20"/>
              </w:rPr>
              <w:t xml:space="preserve"> </w:t>
            </w:r>
          </w:p>
        </w:tc>
        <w:tc>
          <w:tcPr>
            <w:tcW w:w="871" w:type="dxa"/>
          </w:tcPr>
          <w:p w:rsidR="00000000" w:rsidRDefault="00000000">
            <w:pPr>
              <w:keepNext/>
              <w:jc w:val="right"/>
              <w:rPr>
                <w:sz w:val="20"/>
              </w:rPr>
            </w:pPr>
            <w:r>
              <w:rPr>
                <w:sz w:val="20"/>
                <w:szCs w:val="22"/>
                <w:lang w:val="es-ES_tradnl"/>
              </w:rPr>
              <w:t>2.917</w:t>
            </w:r>
            <w:r>
              <w:rPr>
                <w:sz w:val="20"/>
              </w:rPr>
              <w:t xml:space="preserve"> </w:t>
            </w:r>
          </w:p>
        </w:tc>
      </w:tr>
      <w:tr w:rsidR="00000000">
        <w:tblPrEx>
          <w:tblCellMar>
            <w:top w:w="0" w:type="dxa"/>
            <w:bottom w:w="0" w:type="dxa"/>
          </w:tblCellMar>
        </w:tblPrEx>
        <w:trPr>
          <w:cantSplit/>
          <w:jc w:val="center"/>
        </w:trPr>
        <w:tc>
          <w:tcPr>
            <w:tcW w:w="2085" w:type="dxa"/>
          </w:tcPr>
          <w:p w:rsidR="00000000" w:rsidRDefault="00000000">
            <w:pPr>
              <w:keepNext/>
              <w:tabs>
                <w:tab w:val="left" w:pos="284"/>
              </w:tabs>
              <w:rPr>
                <w:sz w:val="20"/>
              </w:rPr>
            </w:pPr>
            <w:r>
              <w:rPr>
                <w:sz w:val="20"/>
                <w:lang w:val="es-ES_tradnl"/>
              </w:rPr>
              <w:tab/>
              <w:t>Ingreso total</w:t>
            </w:r>
          </w:p>
        </w:tc>
        <w:tc>
          <w:tcPr>
            <w:tcW w:w="1092" w:type="dxa"/>
          </w:tcPr>
          <w:p w:rsidR="00000000" w:rsidRDefault="00000000">
            <w:pPr>
              <w:keepNext/>
              <w:jc w:val="right"/>
              <w:rPr>
                <w:sz w:val="20"/>
              </w:rPr>
            </w:pPr>
            <w:r>
              <w:rPr>
                <w:sz w:val="20"/>
                <w:szCs w:val="22"/>
                <w:lang w:val="es-ES_tradnl"/>
              </w:rPr>
              <w:t>112.367</w:t>
            </w:r>
            <w:r>
              <w:rPr>
                <w:sz w:val="20"/>
              </w:rPr>
              <w:t xml:space="preserve"> </w:t>
            </w:r>
          </w:p>
        </w:tc>
        <w:tc>
          <w:tcPr>
            <w:tcW w:w="1093" w:type="dxa"/>
          </w:tcPr>
          <w:p w:rsidR="00000000" w:rsidRDefault="00000000">
            <w:pPr>
              <w:keepNext/>
              <w:jc w:val="right"/>
              <w:rPr>
                <w:sz w:val="20"/>
              </w:rPr>
            </w:pPr>
            <w:r>
              <w:rPr>
                <w:sz w:val="20"/>
                <w:szCs w:val="22"/>
                <w:lang w:val="es-ES_tradnl"/>
              </w:rPr>
              <w:t>216.167</w:t>
            </w:r>
            <w:r>
              <w:rPr>
                <w:sz w:val="20"/>
              </w:rPr>
              <w:t xml:space="preserve"> </w:t>
            </w:r>
          </w:p>
        </w:tc>
        <w:tc>
          <w:tcPr>
            <w:tcW w:w="1093" w:type="dxa"/>
          </w:tcPr>
          <w:p w:rsidR="00000000" w:rsidRDefault="00000000">
            <w:pPr>
              <w:keepNext/>
              <w:jc w:val="right"/>
              <w:rPr>
                <w:sz w:val="20"/>
              </w:rPr>
            </w:pPr>
            <w:r>
              <w:rPr>
                <w:sz w:val="20"/>
                <w:szCs w:val="22"/>
                <w:lang w:val="es-ES_tradnl"/>
              </w:rPr>
              <w:t>353.667</w:t>
            </w:r>
            <w:r>
              <w:rPr>
                <w:sz w:val="20"/>
              </w:rPr>
              <w:t xml:space="preserve"> </w:t>
            </w:r>
          </w:p>
        </w:tc>
        <w:tc>
          <w:tcPr>
            <w:tcW w:w="1093" w:type="dxa"/>
          </w:tcPr>
          <w:p w:rsidR="00000000" w:rsidRDefault="00000000">
            <w:pPr>
              <w:keepNext/>
              <w:jc w:val="right"/>
              <w:rPr>
                <w:sz w:val="20"/>
              </w:rPr>
            </w:pPr>
            <w:r>
              <w:rPr>
                <w:sz w:val="20"/>
              </w:rPr>
              <w:t>491.667</w:t>
            </w:r>
          </w:p>
        </w:tc>
        <w:tc>
          <w:tcPr>
            <w:tcW w:w="1095" w:type="dxa"/>
          </w:tcPr>
          <w:p w:rsidR="00000000" w:rsidRDefault="00000000">
            <w:pPr>
              <w:keepNext/>
              <w:jc w:val="right"/>
              <w:rPr>
                <w:sz w:val="20"/>
              </w:rPr>
            </w:pPr>
            <w:r>
              <w:rPr>
                <w:sz w:val="20"/>
              </w:rPr>
              <w:t>521.667</w:t>
            </w:r>
          </w:p>
        </w:tc>
        <w:tc>
          <w:tcPr>
            <w:tcW w:w="1012" w:type="dxa"/>
          </w:tcPr>
          <w:p w:rsidR="00000000" w:rsidRDefault="00000000">
            <w:pPr>
              <w:keepNext/>
              <w:jc w:val="right"/>
              <w:rPr>
                <w:sz w:val="20"/>
              </w:rPr>
            </w:pPr>
            <w:r>
              <w:rPr>
                <w:sz w:val="20"/>
                <w:szCs w:val="22"/>
                <w:lang w:val="es-ES_tradnl"/>
              </w:rPr>
              <w:t>364,25</w:t>
            </w:r>
            <w:r>
              <w:rPr>
                <w:sz w:val="20"/>
              </w:rPr>
              <w:t xml:space="preserve"> </w:t>
            </w:r>
          </w:p>
        </w:tc>
        <w:tc>
          <w:tcPr>
            <w:tcW w:w="871" w:type="dxa"/>
          </w:tcPr>
          <w:p w:rsidR="00000000" w:rsidRDefault="00000000">
            <w:pPr>
              <w:keepNext/>
              <w:jc w:val="right"/>
              <w:rPr>
                <w:sz w:val="20"/>
              </w:rPr>
            </w:pPr>
            <w:r>
              <w:rPr>
                <w:sz w:val="20"/>
                <w:szCs w:val="22"/>
                <w:lang w:val="es-ES_tradnl"/>
              </w:rPr>
              <w:t>409.300</w:t>
            </w:r>
            <w:r>
              <w:rPr>
                <w:sz w:val="20"/>
              </w:rPr>
              <w:t xml:space="preserve"> </w:t>
            </w:r>
          </w:p>
        </w:tc>
      </w:tr>
    </w:tbl>
    <w:p w:rsidR="00000000" w:rsidRDefault="00000000">
      <w:pPr>
        <w:spacing w:before="480" w:after="160"/>
        <w:jc w:val="center"/>
        <w:rPr>
          <w:b/>
          <w:bCs/>
          <w:sz w:val="20"/>
          <w:lang w:val="es-ES_tradnl"/>
        </w:rPr>
      </w:pPr>
      <w:r>
        <w:rPr>
          <w:b/>
          <w:bCs/>
          <w:sz w:val="20"/>
          <w:lang w:val="es-ES_tradnl"/>
        </w:rPr>
        <w:t>Ingreso total del trabajador en general</w:t>
      </w:r>
    </w:p>
    <w:p w:rsidR="00000000" w:rsidRDefault="00000000">
      <w:pPr>
        <w:spacing w:before="240" w:after="160"/>
        <w:jc w:val="center"/>
        <w:rPr>
          <w:b/>
          <w:bCs/>
          <w:sz w:val="20"/>
          <w:lang w:val="es-ES_tradnl"/>
        </w:rPr>
      </w:pPr>
      <w:proofErr w:type="spellStart"/>
      <w:r>
        <w:rPr>
          <w:b/>
          <w:bCs/>
          <w:sz w:val="20"/>
          <w:lang w:val="es-ES_tradnl"/>
        </w:rPr>
        <w:t>Abdala</w:t>
      </w:r>
      <w:proofErr w:type="spellEnd"/>
      <w:r>
        <w:rPr>
          <w:b/>
          <w:bCs/>
          <w:sz w:val="20"/>
          <w:lang w:val="es-ES_tradnl"/>
        </w:rPr>
        <w:t xml:space="preserve"> </w:t>
      </w:r>
      <w:proofErr w:type="spellStart"/>
      <w:r>
        <w:rPr>
          <w:b/>
          <w:bCs/>
          <w:sz w:val="20"/>
          <w:lang w:val="es-ES_tradnl"/>
        </w:rPr>
        <w:t>Bucaram</w:t>
      </w:r>
      <w:proofErr w:type="spellEnd"/>
      <w:r>
        <w:rPr>
          <w:b/>
          <w:bCs/>
          <w:sz w:val="20"/>
          <w:lang w:val="es-ES_tradnl"/>
        </w:rPr>
        <w:t>-Rosalía Arteaga de agosto de 1996 a febrero de 1997</w:t>
      </w:r>
    </w:p>
    <w:p w:rsidR="00000000" w:rsidRDefault="00000000">
      <w:pPr>
        <w:spacing w:before="240" w:after="160"/>
        <w:jc w:val="center"/>
        <w:rPr>
          <w:b/>
          <w:bCs/>
          <w:sz w:val="20"/>
          <w:lang w:val="es-ES_tradnl"/>
        </w:rPr>
      </w:pPr>
      <w:r>
        <w:rPr>
          <w:b/>
          <w:bCs/>
          <w:sz w:val="20"/>
          <w:lang w:val="es-ES_tradnl"/>
        </w:rPr>
        <w:t>Fabián Alarcón de febrero de 1997 a agosto de 1998</w:t>
      </w:r>
    </w:p>
    <w:p w:rsidR="00000000" w:rsidRDefault="00000000">
      <w:pPr>
        <w:spacing w:before="240" w:after="160"/>
        <w:jc w:val="center"/>
        <w:rPr>
          <w:b/>
          <w:bCs/>
          <w:sz w:val="20"/>
        </w:rPr>
      </w:pPr>
      <w:proofErr w:type="spellStart"/>
      <w:r>
        <w:rPr>
          <w:b/>
          <w:bCs/>
          <w:sz w:val="20"/>
          <w:lang w:val="es-ES_tradnl"/>
        </w:rPr>
        <w:t>Jamil</w:t>
      </w:r>
      <w:proofErr w:type="spellEnd"/>
      <w:r>
        <w:rPr>
          <w:b/>
          <w:bCs/>
          <w:sz w:val="20"/>
          <w:lang w:val="es-ES_tradnl"/>
        </w:rPr>
        <w:t xml:space="preserve"> </w:t>
      </w:r>
      <w:proofErr w:type="spellStart"/>
      <w:r>
        <w:rPr>
          <w:b/>
          <w:bCs/>
          <w:sz w:val="20"/>
          <w:lang w:val="es-ES_tradnl"/>
        </w:rPr>
        <w:t>Mahuad</w:t>
      </w:r>
      <w:proofErr w:type="spellEnd"/>
      <w:r>
        <w:rPr>
          <w:b/>
          <w:bCs/>
          <w:sz w:val="20"/>
          <w:lang w:val="es-ES_tradnl"/>
        </w:rPr>
        <w:t>-Gustavo Noboa de agosto de 1998 a la fecha</w:t>
      </w:r>
    </w:p>
    <w:p w:rsidR="00000000" w:rsidRDefault="00000000">
      <w:pPr>
        <w:spacing w:after="160"/>
        <w:jc w:val="center"/>
        <w:rPr>
          <w:b/>
          <w:bCs/>
          <w:sz w:val="20"/>
        </w:rPr>
      </w:pPr>
      <w:r>
        <w:rPr>
          <w:b/>
          <w:bCs/>
          <w:sz w:val="20"/>
          <w:lang w:val="es-ES_tradnl"/>
        </w:rPr>
        <w:t>(En sucres)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79"/>
        <w:gridCol w:w="1104"/>
        <w:gridCol w:w="1025"/>
        <w:gridCol w:w="1027"/>
        <w:gridCol w:w="1025"/>
        <w:gridCol w:w="1027"/>
        <w:gridCol w:w="925"/>
        <w:gridCol w:w="923"/>
      </w:tblGrid>
      <w:tr w:rsidR="00000000">
        <w:tblPrEx>
          <w:tblCellMar>
            <w:top w:w="0" w:type="dxa"/>
            <w:bottom w:w="0" w:type="dxa"/>
          </w:tblCellMar>
        </w:tblPrEx>
        <w:trPr>
          <w:cantSplit/>
          <w:jc w:val="center"/>
        </w:trPr>
        <w:tc>
          <w:tcPr>
            <w:tcW w:w="1261" w:type="pct"/>
            <w:vMerge w:val="restart"/>
            <w:vAlign w:val="center"/>
          </w:tcPr>
          <w:p w:rsidR="00000000" w:rsidRDefault="00000000">
            <w:pPr>
              <w:jc w:val="center"/>
              <w:rPr>
                <w:sz w:val="20"/>
              </w:rPr>
            </w:pPr>
            <w:r>
              <w:rPr>
                <w:sz w:val="20"/>
                <w:lang w:val="es-ES_tradnl"/>
              </w:rPr>
              <w:t>Concepto y años</w:t>
            </w:r>
          </w:p>
        </w:tc>
        <w:tc>
          <w:tcPr>
            <w:tcW w:w="585" w:type="pct"/>
            <w:vAlign w:val="center"/>
          </w:tcPr>
          <w:p w:rsidR="00000000" w:rsidRDefault="00000000">
            <w:pPr>
              <w:jc w:val="center"/>
              <w:rPr>
                <w:sz w:val="20"/>
              </w:rPr>
            </w:pPr>
            <w:r>
              <w:rPr>
                <w:sz w:val="20"/>
                <w:lang w:val="es-ES_tradnl"/>
              </w:rPr>
              <w:t>1996</w:t>
            </w:r>
          </w:p>
        </w:tc>
        <w:tc>
          <w:tcPr>
            <w:tcW w:w="543" w:type="pct"/>
            <w:vAlign w:val="center"/>
          </w:tcPr>
          <w:p w:rsidR="00000000" w:rsidRDefault="00000000">
            <w:pPr>
              <w:jc w:val="center"/>
              <w:rPr>
                <w:sz w:val="20"/>
              </w:rPr>
            </w:pPr>
            <w:r>
              <w:rPr>
                <w:sz w:val="20"/>
                <w:lang w:val="es-ES_tradnl"/>
              </w:rPr>
              <w:t>1997</w:t>
            </w:r>
          </w:p>
        </w:tc>
        <w:tc>
          <w:tcPr>
            <w:tcW w:w="544" w:type="pct"/>
            <w:vAlign w:val="center"/>
          </w:tcPr>
          <w:p w:rsidR="00000000" w:rsidRDefault="00000000">
            <w:pPr>
              <w:jc w:val="center"/>
              <w:rPr>
                <w:sz w:val="20"/>
              </w:rPr>
            </w:pPr>
            <w:r>
              <w:rPr>
                <w:sz w:val="20"/>
                <w:lang w:val="es-ES_tradnl"/>
              </w:rPr>
              <w:t>1998</w:t>
            </w:r>
          </w:p>
        </w:tc>
        <w:tc>
          <w:tcPr>
            <w:tcW w:w="1087" w:type="pct"/>
            <w:gridSpan w:val="2"/>
            <w:vAlign w:val="center"/>
          </w:tcPr>
          <w:p w:rsidR="00000000" w:rsidRDefault="00000000">
            <w:pPr>
              <w:jc w:val="center"/>
              <w:rPr>
                <w:sz w:val="20"/>
              </w:rPr>
            </w:pPr>
            <w:r>
              <w:rPr>
                <w:sz w:val="20"/>
                <w:lang w:val="es-ES_tradnl"/>
              </w:rPr>
              <w:t>1999</w:t>
            </w:r>
          </w:p>
        </w:tc>
        <w:tc>
          <w:tcPr>
            <w:tcW w:w="979" w:type="pct"/>
            <w:gridSpan w:val="2"/>
            <w:vAlign w:val="center"/>
          </w:tcPr>
          <w:p w:rsidR="00000000" w:rsidRDefault="00000000">
            <w:pPr>
              <w:jc w:val="center"/>
              <w:rPr>
                <w:sz w:val="20"/>
              </w:rPr>
            </w:pPr>
            <w:r>
              <w:rPr>
                <w:sz w:val="20"/>
                <w:lang w:val="es-ES_tradnl"/>
              </w:rPr>
              <w:t>Incremento del período</w:t>
            </w:r>
          </w:p>
        </w:tc>
      </w:tr>
      <w:tr w:rsidR="00000000">
        <w:tblPrEx>
          <w:tblCellMar>
            <w:top w:w="0" w:type="dxa"/>
            <w:bottom w:w="0" w:type="dxa"/>
          </w:tblCellMar>
        </w:tblPrEx>
        <w:trPr>
          <w:cantSplit/>
          <w:jc w:val="center"/>
        </w:trPr>
        <w:tc>
          <w:tcPr>
            <w:tcW w:w="1261" w:type="pct"/>
            <w:vMerge/>
          </w:tcPr>
          <w:p w:rsidR="00000000" w:rsidRDefault="00000000">
            <w:pPr>
              <w:rPr>
                <w:sz w:val="20"/>
              </w:rPr>
            </w:pPr>
          </w:p>
        </w:tc>
        <w:tc>
          <w:tcPr>
            <w:tcW w:w="585" w:type="pct"/>
          </w:tcPr>
          <w:p w:rsidR="00000000" w:rsidRDefault="00000000">
            <w:pPr>
              <w:jc w:val="center"/>
              <w:rPr>
                <w:sz w:val="20"/>
              </w:rPr>
            </w:pPr>
            <w:r>
              <w:rPr>
                <w:sz w:val="20"/>
                <w:lang w:val="es-ES_tradnl"/>
              </w:rPr>
              <w:t>10 de agosto</w:t>
            </w:r>
          </w:p>
        </w:tc>
        <w:tc>
          <w:tcPr>
            <w:tcW w:w="543" w:type="pct"/>
          </w:tcPr>
          <w:p w:rsidR="00000000" w:rsidRDefault="00000000">
            <w:pPr>
              <w:jc w:val="center"/>
              <w:rPr>
                <w:sz w:val="20"/>
              </w:rPr>
            </w:pPr>
            <w:r>
              <w:rPr>
                <w:sz w:val="20"/>
                <w:lang w:val="es-ES_tradnl"/>
              </w:rPr>
              <w:t>1º de enero</w:t>
            </w:r>
          </w:p>
        </w:tc>
        <w:tc>
          <w:tcPr>
            <w:tcW w:w="544" w:type="pct"/>
          </w:tcPr>
          <w:p w:rsidR="00000000" w:rsidRDefault="00000000">
            <w:pPr>
              <w:jc w:val="center"/>
              <w:rPr>
                <w:sz w:val="20"/>
              </w:rPr>
            </w:pPr>
            <w:r>
              <w:rPr>
                <w:sz w:val="20"/>
                <w:lang w:val="es-ES_tradnl"/>
              </w:rPr>
              <w:t>1º de enero</w:t>
            </w:r>
          </w:p>
        </w:tc>
        <w:tc>
          <w:tcPr>
            <w:tcW w:w="543" w:type="pct"/>
          </w:tcPr>
          <w:p w:rsidR="00000000" w:rsidRDefault="00000000">
            <w:pPr>
              <w:jc w:val="center"/>
              <w:rPr>
                <w:sz w:val="20"/>
              </w:rPr>
            </w:pPr>
            <w:r>
              <w:rPr>
                <w:sz w:val="20"/>
                <w:lang w:val="es-ES_tradnl"/>
              </w:rPr>
              <w:t>1º de enero</w:t>
            </w:r>
          </w:p>
        </w:tc>
        <w:tc>
          <w:tcPr>
            <w:tcW w:w="544" w:type="pct"/>
          </w:tcPr>
          <w:p w:rsidR="00000000" w:rsidRDefault="00000000">
            <w:pPr>
              <w:jc w:val="center"/>
              <w:rPr>
                <w:sz w:val="20"/>
              </w:rPr>
            </w:pPr>
            <w:r>
              <w:rPr>
                <w:sz w:val="20"/>
                <w:lang w:val="es-ES_tradnl"/>
              </w:rPr>
              <w:t>1º de julio</w:t>
            </w:r>
          </w:p>
        </w:tc>
        <w:tc>
          <w:tcPr>
            <w:tcW w:w="490" w:type="pct"/>
          </w:tcPr>
          <w:p w:rsidR="00000000" w:rsidRDefault="00000000">
            <w:pPr>
              <w:jc w:val="center"/>
              <w:rPr>
                <w:sz w:val="20"/>
              </w:rPr>
            </w:pPr>
            <w:r>
              <w:rPr>
                <w:sz w:val="20"/>
                <w:lang w:val="es-ES_tradnl"/>
              </w:rPr>
              <w:t>Porcentaje</w:t>
            </w:r>
          </w:p>
        </w:tc>
        <w:tc>
          <w:tcPr>
            <w:tcW w:w="489" w:type="pct"/>
          </w:tcPr>
          <w:p w:rsidR="00000000" w:rsidRDefault="00000000">
            <w:pPr>
              <w:jc w:val="center"/>
              <w:rPr>
                <w:sz w:val="20"/>
              </w:rPr>
            </w:pPr>
            <w:r>
              <w:rPr>
                <w:sz w:val="20"/>
                <w:lang w:val="es-ES_tradnl"/>
              </w:rPr>
              <w:t>Absoluto</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Salario mínimo vital</w:t>
            </w:r>
          </w:p>
        </w:tc>
        <w:tc>
          <w:tcPr>
            <w:tcW w:w="585" w:type="pct"/>
          </w:tcPr>
          <w:p w:rsidR="00000000" w:rsidRDefault="00000000">
            <w:pPr>
              <w:jc w:val="right"/>
              <w:rPr>
                <w:sz w:val="20"/>
              </w:rPr>
            </w:pPr>
            <w:r>
              <w:rPr>
                <w:sz w:val="20"/>
                <w:lang w:val="es-ES_tradnl"/>
              </w:rPr>
              <w:t>95.000</w:t>
            </w:r>
          </w:p>
        </w:tc>
        <w:tc>
          <w:tcPr>
            <w:tcW w:w="543" w:type="pct"/>
          </w:tcPr>
          <w:p w:rsidR="00000000" w:rsidRDefault="00000000">
            <w:pPr>
              <w:jc w:val="right"/>
              <w:rPr>
                <w:sz w:val="20"/>
              </w:rPr>
            </w:pPr>
            <w:r>
              <w:rPr>
                <w:sz w:val="20"/>
                <w:lang w:val="es-ES_tradnl"/>
              </w:rPr>
              <w:t>95.000</w:t>
            </w:r>
          </w:p>
        </w:tc>
        <w:tc>
          <w:tcPr>
            <w:tcW w:w="544" w:type="pct"/>
          </w:tcPr>
          <w:p w:rsidR="00000000" w:rsidRDefault="00000000">
            <w:pPr>
              <w:jc w:val="right"/>
              <w:rPr>
                <w:sz w:val="20"/>
              </w:rPr>
            </w:pPr>
            <w:r>
              <w:rPr>
                <w:sz w:val="20"/>
                <w:lang w:val="es-ES_tradnl"/>
              </w:rPr>
              <w:t>100.000</w:t>
            </w:r>
          </w:p>
        </w:tc>
        <w:tc>
          <w:tcPr>
            <w:tcW w:w="543" w:type="pct"/>
          </w:tcPr>
          <w:p w:rsidR="00000000" w:rsidRDefault="00000000">
            <w:pPr>
              <w:jc w:val="right"/>
              <w:rPr>
                <w:sz w:val="20"/>
              </w:rPr>
            </w:pPr>
            <w:r>
              <w:rPr>
                <w:sz w:val="20"/>
                <w:lang w:val="es-ES_tradnl"/>
              </w:rPr>
              <w:t>100.000</w:t>
            </w:r>
          </w:p>
        </w:tc>
        <w:tc>
          <w:tcPr>
            <w:tcW w:w="544" w:type="pct"/>
          </w:tcPr>
          <w:p w:rsidR="00000000" w:rsidRDefault="00000000">
            <w:pPr>
              <w:jc w:val="right"/>
              <w:rPr>
                <w:sz w:val="20"/>
              </w:rPr>
            </w:pPr>
            <w:r>
              <w:rPr>
                <w:sz w:val="20"/>
                <w:lang w:val="es-ES_tradnl"/>
              </w:rPr>
              <w:t>100.000</w:t>
            </w:r>
          </w:p>
        </w:tc>
        <w:tc>
          <w:tcPr>
            <w:tcW w:w="490" w:type="pct"/>
          </w:tcPr>
          <w:p w:rsidR="00000000" w:rsidRDefault="00000000">
            <w:pPr>
              <w:jc w:val="right"/>
              <w:rPr>
                <w:sz w:val="20"/>
              </w:rPr>
            </w:pPr>
            <w:r>
              <w:rPr>
                <w:sz w:val="20"/>
                <w:lang w:val="es-ES_tradnl"/>
              </w:rPr>
              <w:t>5,26</w:t>
            </w:r>
          </w:p>
        </w:tc>
        <w:tc>
          <w:tcPr>
            <w:tcW w:w="489" w:type="pct"/>
          </w:tcPr>
          <w:p w:rsidR="00000000" w:rsidRDefault="00000000">
            <w:pPr>
              <w:jc w:val="right"/>
              <w:rPr>
                <w:sz w:val="20"/>
              </w:rPr>
            </w:pPr>
            <w:r>
              <w:rPr>
                <w:sz w:val="20"/>
                <w:lang w:val="es-ES_tradnl"/>
              </w:rPr>
              <w:t>5.000</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Comp. costo de vida</w:t>
            </w:r>
          </w:p>
        </w:tc>
        <w:tc>
          <w:tcPr>
            <w:tcW w:w="585" w:type="pct"/>
          </w:tcPr>
          <w:p w:rsidR="00000000" w:rsidRDefault="00000000">
            <w:pPr>
              <w:jc w:val="right"/>
              <w:rPr>
                <w:sz w:val="20"/>
              </w:rPr>
            </w:pPr>
            <w:r>
              <w:rPr>
                <w:sz w:val="20"/>
                <w:lang w:val="es-ES_tradnl"/>
              </w:rPr>
              <w:t>155.000</w:t>
            </w:r>
          </w:p>
        </w:tc>
        <w:tc>
          <w:tcPr>
            <w:tcW w:w="543" w:type="pct"/>
          </w:tcPr>
          <w:p w:rsidR="00000000" w:rsidRDefault="00000000">
            <w:pPr>
              <w:jc w:val="right"/>
              <w:rPr>
                <w:sz w:val="20"/>
              </w:rPr>
            </w:pPr>
            <w:r>
              <w:rPr>
                <w:sz w:val="20"/>
                <w:lang w:val="es-ES_tradnl"/>
              </w:rPr>
              <w:t>175.000</w:t>
            </w:r>
          </w:p>
        </w:tc>
        <w:tc>
          <w:tcPr>
            <w:tcW w:w="544" w:type="pct"/>
          </w:tcPr>
          <w:p w:rsidR="00000000" w:rsidRDefault="00000000">
            <w:pPr>
              <w:jc w:val="right"/>
              <w:rPr>
                <w:sz w:val="20"/>
              </w:rPr>
            </w:pPr>
            <w:r>
              <w:rPr>
                <w:sz w:val="20"/>
                <w:lang w:val="es-ES_tradnl"/>
              </w:rPr>
              <w:t>190.000</w:t>
            </w:r>
          </w:p>
        </w:tc>
        <w:tc>
          <w:tcPr>
            <w:tcW w:w="543" w:type="pct"/>
          </w:tcPr>
          <w:p w:rsidR="00000000" w:rsidRDefault="00000000">
            <w:pPr>
              <w:jc w:val="right"/>
              <w:rPr>
                <w:sz w:val="20"/>
              </w:rPr>
            </w:pPr>
            <w:r>
              <w:rPr>
                <w:sz w:val="20"/>
                <w:lang w:val="es-ES_tradnl"/>
              </w:rPr>
              <w:t>300.000</w:t>
            </w:r>
          </w:p>
        </w:tc>
        <w:tc>
          <w:tcPr>
            <w:tcW w:w="544" w:type="pct"/>
          </w:tcPr>
          <w:p w:rsidR="00000000" w:rsidRDefault="00000000">
            <w:pPr>
              <w:jc w:val="right"/>
              <w:rPr>
                <w:sz w:val="20"/>
              </w:rPr>
            </w:pPr>
            <w:r>
              <w:rPr>
                <w:sz w:val="20"/>
                <w:lang w:val="es-ES_tradnl"/>
              </w:rPr>
              <w:t>300.000</w:t>
            </w:r>
          </w:p>
        </w:tc>
        <w:tc>
          <w:tcPr>
            <w:tcW w:w="490" w:type="pct"/>
          </w:tcPr>
          <w:p w:rsidR="00000000" w:rsidRDefault="00000000">
            <w:pPr>
              <w:jc w:val="right"/>
              <w:rPr>
                <w:sz w:val="20"/>
              </w:rPr>
            </w:pPr>
            <w:r>
              <w:rPr>
                <w:sz w:val="20"/>
                <w:lang w:val="es-ES_tradnl"/>
              </w:rPr>
              <w:t>93,55</w:t>
            </w:r>
          </w:p>
        </w:tc>
        <w:tc>
          <w:tcPr>
            <w:tcW w:w="489" w:type="pct"/>
          </w:tcPr>
          <w:p w:rsidR="00000000" w:rsidRDefault="00000000">
            <w:pPr>
              <w:jc w:val="right"/>
              <w:rPr>
                <w:sz w:val="20"/>
              </w:rPr>
            </w:pPr>
            <w:r>
              <w:rPr>
                <w:sz w:val="20"/>
                <w:lang w:val="es-ES_tradnl"/>
              </w:rPr>
              <w:t>145.000</w:t>
            </w:r>
          </w:p>
        </w:tc>
      </w:tr>
      <w:tr w:rsidR="00000000">
        <w:tblPrEx>
          <w:tblCellMar>
            <w:top w:w="0" w:type="dxa"/>
            <w:bottom w:w="0" w:type="dxa"/>
          </w:tblCellMar>
        </w:tblPrEx>
        <w:trPr>
          <w:jc w:val="center"/>
        </w:trPr>
        <w:tc>
          <w:tcPr>
            <w:tcW w:w="1261" w:type="pct"/>
          </w:tcPr>
          <w:p w:rsidR="00000000" w:rsidRDefault="00000000">
            <w:pPr>
              <w:rPr>
                <w:sz w:val="20"/>
              </w:rPr>
            </w:pPr>
            <w:proofErr w:type="spellStart"/>
            <w:r>
              <w:rPr>
                <w:sz w:val="20"/>
                <w:lang w:val="es-ES_tradnl"/>
              </w:rPr>
              <w:t>Bonif</w:t>
            </w:r>
            <w:proofErr w:type="spellEnd"/>
            <w:r>
              <w:rPr>
                <w:sz w:val="20"/>
                <w:lang w:val="es-ES_tradnl"/>
              </w:rPr>
              <w:t>. complementaria</w:t>
            </w:r>
          </w:p>
        </w:tc>
        <w:tc>
          <w:tcPr>
            <w:tcW w:w="585" w:type="pct"/>
          </w:tcPr>
          <w:p w:rsidR="00000000" w:rsidRDefault="00000000">
            <w:pPr>
              <w:jc w:val="right"/>
              <w:rPr>
                <w:sz w:val="20"/>
              </w:rPr>
            </w:pPr>
            <w:r>
              <w:rPr>
                <w:sz w:val="20"/>
                <w:lang w:val="es-ES_tradnl"/>
              </w:rPr>
              <w:t>240.000</w:t>
            </w:r>
          </w:p>
        </w:tc>
        <w:tc>
          <w:tcPr>
            <w:tcW w:w="543" w:type="pct"/>
          </w:tcPr>
          <w:p w:rsidR="00000000" w:rsidRDefault="00000000">
            <w:pPr>
              <w:jc w:val="right"/>
              <w:rPr>
                <w:sz w:val="20"/>
              </w:rPr>
            </w:pPr>
            <w:r>
              <w:rPr>
                <w:sz w:val="20"/>
                <w:lang w:val="es-ES_tradnl"/>
              </w:rPr>
              <w:t>282.000</w:t>
            </w:r>
          </w:p>
        </w:tc>
        <w:tc>
          <w:tcPr>
            <w:tcW w:w="544" w:type="pct"/>
          </w:tcPr>
          <w:p w:rsidR="00000000" w:rsidRDefault="00000000">
            <w:pPr>
              <w:jc w:val="right"/>
              <w:rPr>
                <w:sz w:val="20"/>
              </w:rPr>
            </w:pPr>
            <w:r>
              <w:rPr>
                <w:sz w:val="20"/>
                <w:lang w:val="es-ES_tradnl"/>
              </w:rPr>
              <w:t>386.000</w:t>
            </w:r>
          </w:p>
        </w:tc>
        <w:tc>
          <w:tcPr>
            <w:tcW w:w="543" w:type="pct"/>
          </w:tcPr>
          <w:p w:rsidR="00000000" w:rsidRDefault="00000000">
            <w:pPr>
              <w:jc w:val="right"/>
              <w:rPr>
                <w:sz w:val="20"/>
              </w:rPr>
            </w:pPr>
            <w:r>
              <w:rPr>
                <w:sz w:val="20"/>
                <w:lang w:val="es-ES_tradnl"/>
              </w:rPr>
              <w:t>546.400</w:t>
            </w:r>
          </w:p>
        </w:tc>
        <w:tc>
          <w:tcPr>
            <w:tcW w:w="544" w:type="pct"/>
          </w:tcPr>
          <w:p w:rsidR="00000000" w:rsidRDefault="00000000">
            <w:pPr>
              <w:jc w:val="right"/>
              <w:rPr>
                <w:sz w:val="20"/>
              </w:rPr>
            </w:pPr>
            <w:r>
              <w:rPr>
                <w:sz w:val="20"/>
                <w:lang w:val="es-ES_tradnl"/>
              </w:rPr>
              <w:t>700.000</w:t>
            </w:r>
          </w:p>
        </w:tc>
        <w:tc>
          <w:tcPr>
            <w:tcW w:w="490" w:type="pct"/>
          </w:tcPr>
          <w:p w:rsidR="00000000" w:rsidRDefault="00000000">
            <w:pPr>
              <w:jc w:val="right"/>
              <w:rPr>
                <w:sz w:val="20"/>
              </w:rPr>
            </w:pPr>
            <w:r>
              <w:rPr>
                <w:sz w:val="20"/>
                <w:lang w:val="es-ES_tradnl"/>
              </w:rPr>
              <w:t>191,67</w:t>
            </w:r>
          </w:p>
        </w:tc>
        <w:tc>
          <w:tcPr>
            <w:tcW w:w="489" w:type="pct"/>
          </w:tcPr>
          <w:p w:rsidR="00000000" w:rsidRDefault="00000000">
            <w:pPr>
              <w:jc w:val="right"/>
              <w:rPr>
                <w:sz w:val="20"/>
              </w:rPr>
            </w:pPr>
            <w:r>
              <w:rPr>
                <w:sz w:val="20"/>
                <w:lang w:val="es-ES_tradnl"/>
              </w:rPr>
              <w:t>460.000</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Comp. transporte</w:t>
            </w:r>
          </w:p>
        </w:tc>
        <w:tc>
          <w:tcPr>
            <w:tcW w:w="585" w:type="pct"/>
          </w:tcPr>
          <w:p w:rsidR="00000000" w:rsidRDefault="00000000">
            <w:pPr>
              <w:jc w:val="right"/>
              <w:rPr>
                <w:sz w:val="20"/>
              </w:rPr>
            </w:pPr>
            <w:r>
              <w:rPr>
                <w:sz w:val="20"/>
                <w:lang w:val="es-ES_tradnl"/>
              </w:rPr>
              <w:t>20.000</w:t>
            </w:r>
          </w:p>
        </w:tc>
        <w:tc>
          <w:tcPr>
            <w:tcW w:w="543" w:type="pct"/>
          </w:tcPr>
          <w:p w:rsidR="00000000" w:rsidRDefault="00000000">
            <w:pPr>
              <w:jc w:val="right"/>
              <w:rPr>
                <w:sz w:val="20"/>
              </w:rPr>
            </w:pPr>
            <w:r>
              <w:rPr>
                <w:sz w:val="20"/>
                <w:lang w:val="es-ES_tradnl"/>
              </w:rPr>
              <w:t>32.000</w:t>
            </w:r>
          </w:p>
        </w:tc>
        <w:tc>
          <w:tcPr>
            <w:tcW w:w="544" w:type="pct"/>
          </w:tcPr>
          <w:p w:rsidR="00000000" w:rsidRDefault="00000000">
            <w:pPr>
              <w:jc w:val="right"/>
              <w:rPr>
                <w:sz w:val="20"/>
              </w:rPr>
            </w:pPr>
            <w:r>
              <w:rPr>
                <w:sz w:val="20"/>
                <w:lang w:val="es-ES_tradnl"/>
              </w:rPr>
              <w:t>40.000</w:t>
            </w:r>
          </w:p>
        </w:tc>
        <w:tc>
          <w:tcPr>
            <w:tcW w:w="543" w:type="pct"/>
          </w:tcPr>
          <w:p w:rsidR="00000000" w:rsidRDefault="00000000">
            <w:pPr>
              <w:jc w:val="right"/>
              <w:rPr>
                <w:sz w:val="20"/>
              </w:rPr>
            </w:pPr>
            <w:r>
              <w:rPr>
                <w:sz w:val="20"/>
                <w:lang w:val="es-ES_tradnl"/>
              </w:rPr>
              <w:t>56.000</w:t>
            </w:r>
          </w:p>
        </w:tc>
        <w:tc>
          <w:tcPr>
            <w:tcW w:w="544" w:type="pct"/>
          </w:tcPr>
          <w:p w:rsidR="00000000" w:rsidRDefault="00000000">
            <w:pPr>
              <w:jc w:val="right"/>
              <w:rPr>
                <w:sz w:val="20"/>
              </w:rPr>
            </w:pPr>
            <w:r>
              <w:rPr>
                <w:sz w:val="20"/>
                <w:lang w:val="es-ES_tradnl"/>
              </w:rPr>
              <w:t>80.000</w:t>
            </w:r>
          </w:p>
        </w:tc>
        <w:tc>
          <w:tcPr>
            <w:tcW w:w="490" w:type="pct"/>
          </w:tcPr>
          <w:p w:rsidR="00000000" w:rsidRDefault="00000000">
            <w:pPr>
              <w:jc w:val="right"/>
              <w:rPr>
                <w:sz w:val="20"/>
              </w:rPr>
            </w:pPr>
            <w:r>
              <w:rPr>
                <w:sz w:val="20"/>
                <w:lang w:val="es-ES_tradnl"/>
              </w:rPr>
              <w:t>300,00</w:t>
            </w:r>
          </w:p>
        </w:tc>
        <w:tc>
          <w:tcPr>
            <w:tcW w:w="489" w:type="pct"/>
          </w:tcPr>
          <w:p w:rsidR="00000000" w:rsidRDefault="00000000">
            <w:pPr>
              <w:jc w:val="right"/>
              <w:rPr>
                <w:sz w:val="20"/>
              </w:rPr>
            </w:pPr>
            <w:r>
              <w:rPr>
                <w:sz w:val="20"/>
                <w:lang w:val="es-ES_tradnl"/>
              </w:rPr>
              <w:t>60.000</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Decimosexto sueldo</w:t>
            </w:r>
          </w:p>
        </w:tc>
        <w:tc>
          <w:tcPr>
            <w:tcW w:w="585" w:type="pct"/>
          </w:tcPr>
          <w:p w:rsidR="00000000" w:rsidRDefault="00000000">
            <w:pPr>
              <w:jc w:val="right"/>
              <w:rPr>
                <w:sz w:val="20"/>
              </w:rPr>
            </w:pPr>
            <w:r>
              <w:rPr>
                <w:sz w:val="20"/>
                <w:lang w:val="es-ES_tradnl"/>
              </w:rPr>
              <w:t>15.833</w:t>
            </w:r>
          </w:p>
        </w:tc>
        <w:tc>
          <w:tcPr>
            <w:tcW w:w="543" w:type="pct"/>
          </w:tcPr>
          <w:p w:rsidR="00000000" w:rsidRDefault="00000000">
            <w:pPr>
              <w:jc w:val="right"/>
              <w:rPr>
                <w:sz w:val="20"/>
              </w:rPr>
            </w:pPr>
            <w:r>
              <w:rPr>
                <w:sz w:val="20"/>
                <w:lang w:val="es-ES_tradnl"/>
              </w:rPr>
              <w:t>15.833</w:t>
            </w:r>
          </w:p>
        </w:tc>
        <w:tc>
          <w:tcPr>
            <w:tcW w:w="544" w:type="pct"/>
          </w:tcPr>
          <w:p w:rsidR="00000000" w:rsidRDefault="00000000">
            <w:pPr>
              <w:jc w:val="right"/>
              <w:rPr>
                <w:sz w:val="20"/>
              </w:rPr>
            </w:pPr>
            <w:r>
              <w:rPr>
                <w:sz w:val="20"/>
                <w:lang w:val="es-ES_tradnl"/>
              </w:rPr>
              <w:t>16.667</w:t>
            </w:r>
          </w:p>
        </w:tc>
        <w:tc>
          <w:tcPr>
            <w:tcW w:w="543" w:type="pct"/>
          </w:tcPr>
          <w:p w:rsidR="00000000" w:rsidRDefault="00000000">
            <w:pPr>
              <w:jc w:val="right"/>
              <w:rPr>
                <w:sz w:val="20"/>
              </w:rPr>
            </w:pPr>
            <w:r>
              <w:rPr>
                <w:sz w:val="20"/>
                <w:lang w:val="es-ES_tradnl"/>
              </w:rPr>
              <w:t>16.667</w:t>
            </w:r>
          </w:p>
        </w:tc>
        <w:tc>
          <w:tcPr>
            <w:tcW w:w="544" w:type="pct"/>
          </w:tcPr>
          <w:p w:rsidR="00000000" w:rsidRDefault="00000000">
            <w:pPr>
              <w:jc w:val="right"/>
              <w:rPr>
                <w:sz w:val="20"/>
              </w:rPr>
            </w:pPr>
            <w:r>
              <w:rPr>
                <w:sz w:val="20"/>
                <w:lang w:val="es-ES_tradnl"/>
              </w:rPr>
              <w:t>16.667</w:t>
            </w:r>
          </w:p>
        </w:tc>
        <w:tc>
          <w:tcPr>
            <w:tcW w:w="490" w:type="pct"/>
          </w:tcPr>
          <w:p w:rsidR="00000000" w:rsidRDefault="00000000">
            <w:pPr>
              <w:jc w:val="right"/>
              <w:rPr>
                <w:sz w:val="20"/>
              </w:rPr>
            </w:pPr>
            <w:r>
              <w:rPr>
                <w:sz w:val="20"/>
                <w:lang w:val="es-ES_tradnl"/>
              </w:rPr>
              <w:t>5,27</w:t>
            </w:r>
          </w:p>
        </w:tc>
        <w:tc>
          <w:tcPr>
            <w:tcW w:w="489" w:type="pct"/>
          </w:tcPr>
          <w:p w:rsidR="00000000" w:rsidRDefault="00000000">
            <w:pPr>
              <w:jc w:val="right"/>
              <w:rPr>
                <w:sz w:val="20"/>
              </w:rPr>
            </w:pPr>
            <w:r>
              <w:rPr>
                <w:sz w:val="20"/>
                <w:lang w:val="es-ES_tradnl"/>
              </w:rPr>
              <w:t>834</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Mensual nominal</w:t>
            </w:r>
          </w:p>
        </w:tc>
        <w:tc>
          <w:tcPr>
            <w:tcW w:w="585" w:type="pct"/>
          </w:tcPr>
          <w:p w:rsidR="00000000" w:rsidRDefault="00000000">
            <w:pPr>
              <w:jc w:val="right"/>
              <w:rPr>
                <w:sz w:val="20"/>
              </w:rPr>
            </w:pPr>
            <w:r>
              <w:rPr>
                <w:sz w:val="20"/>
                <w:lang w:val="es-ES_tradnl"/>
              </w:rPr>
              <w:t>525.833</w:t>
            </w:r>
          </w:p>
        </w:tc>
        <w:tc>
          <w:tcPr>
            <w:tcW w:w="543" w:type="pct"/>
          </w:tcPr>
          <w:p w:rsidR="00000000" w:rsidRDefault="00000000">
            <w:pPr>
              <w:jc w:val="right"/>
              <w:rPr>
                <w:sz w:val="20"/>
              </w:rPr>
            </w:pPr>
            <w:r>
              <w:rPr>
                <w:sz w:val="20"/>
                <w:lang w:val="es-ES_tradnl"/>
              </w:rPr>
              <w:t>599.833</w:t>
            </w:r>
          </w:p>
        </w:tc>
        <w:tc>
          <w:tcPr>
            <w:tcW w:w="544" w:type="pct"/>
          </w:tcPr>
          <w:p w:rsidR="00000000" w:rsidRDefault="00000000">
            <w:pPr>
              <w:jc w:val="right"/>
              <w:rPr>
                <w:sz w:val="20"/>
              </w:rPr>
            </w:pPr>
            <w:r>
              <w:rPr>
                <w:sz w:val="20"/>
                <w:lang w:val="es-ES_tradnl"/>
              </w:rPr>
              <w:t>732.667</w:t>
            </w:r>
          </w:p>
        </w:tc>
        <w:tc>
          <w:tcPr>
            <w:tcW w:w="543" w:type="pct"/>
          </w:tcPr>
          <w:p w:rsidR="00000000" w:rsidRDefault="00000000">
            <w:pPr>
              <w:jc w:val="right"/>
              <w:rPr>
                <w:sz w:val="20"/>
              </w:rPr>
            </w:pPr>
            <w:r>
              <w:rPr>
                <w:sz w:val="20"/>
                <w:lang w:val="es-ES_tradnl"/>
              </w:rPr>
              <w:t>1.019.067</w:t>
            </w:r>
          </w:p>
        </w:tc>
        <w:tc>
          <w:tcPr>
            <w:tcW w:w="544" w:type="pct"/>
          </w:tcPr>
          <w:p w:rsidR="00000000" w:rsidRDefault="00000000">
            <w:pPr>
              <w:jc w:val="right"/>
              <w:rPr>
                <w:sz w:val="20"/>
              </w:rPr>
            </w:pPr>
            <w:r>
              <w:rPr>
                <w:sz w:val="20"/>
                <w:lang w:val="es-ES_tradnl"/>
              </w:rPr>
              <w:t>1.196.667</w:t>
            </w:r>
          </w:p>
        </w:tc>
        <w:tc>
          <w:tcPr>
            <w:tcW w:w="490" w:type="pct"/>
          </w:tcPr>
          <w:p w:rsidR="00000000" w:rsidRDefault="00000000">
            <w:pPr>
              <w:jc w:val="right"/>
              <w:rPr>
                <w:sz w:val="20"/>
              </w:rPr>
            </w:pPr>
            <w:r>
              <w:rPr>
                <w:sz w:val="20"/>
                <w:lang w:val="es-ES_tradnl"/>
              </w:rPr>
              <w:t>127,58</w:t>
            </w:r>
          </w:p>
        </w:tc>
        <w:tc>
          <w:tcPr>
            <w:tcW w:w="489" w:type="pct"/>
          </w:tcPr>
          <w:p w:rsidR="00000000" w:rsidRDefault="00000000">
            <w:pPr>
              <w:jc w:val="right"/>
              <w:rPr>
                <w:sz w:val="20"/>
              </w:rPr>
            </w:pPr>
            <w:r>
              <w:rPr>
                <w:sz w:val="20"/>
                <w:lang w:val="es-ES_tradnl"/>
              </w:rPr>
              <w:t>670.834</w:t>
            </w:r>
          </w:p>
        </w:tc>
      </w:tr>
      <w:tr w:rsidR="00000000">
        <w:tblPrEx>
          <w:tblCellMar>
            <w:top w:w="0" w:type="dxa"/>
            <w:bottom w:w="0" w:type="dxa"/>
          </w:tblCellMar>
        </w:tblPrEx>
        <w:trPr>
          <w:jc w:val="center"/>
        </w:trPr>
        <w:tc>
          <w:tcPr>
            <w:tcW w:w="1261" w:type="pct"/>
          </w:tcPr>
          <w:p w:rsidR="00000000" w:rsidRDefault="00000000">
            <w:pPr>
              <w:rPr>
                <w:sz w:val="20"/>
                <w:lang w:val="es-ES_tradnl"/>
              </w:rPr>
            </w:pPr>
          </w:p>
        </w:tc>
        <w:tc>
          <w:tcPr>
            <w:tcW w:w="585" w:type="pct"/>
          </w:tcPr>
          <w:p w:rsidR="00000000" w:rsidRDefault="00000000">
            <w:pPr>
              <w:jc w:val="right"/>
              <w:rPr>
                <w:sz w:val="20"/>
                <w:lang w:val="es-ES_tradnl"/>
              </w:rPr>
            </w:pPr>
          </w:p>
        </w:tc>
        <w:tc>
          <w:tcPr>
            <w:tcW w:w="543" w:type="pct"/>
          </w:tcPr>
          <w:p w:rsidR="00000000" w:rsidRDefault="00000000">
            <w:pPr>
              <w:jc w:val="right"/>
              <w:rPr>
                <w:sz w:val="20"/>
                <w:lang w:val="es-ES_tradnl"/>
              </w:rPr>
            </w:pPr>
          </w:p>
        </w:tc>
        <w:tc>
          <w:tcPr>
            <w:tcW w:w="544" w:type="pct"/>
          </w:tcPr>
          <w:p w:rsidR="00000000" w:rsidRDefault="00000000">
            <w:pPr>
              <w:jc w:val="right"/>
              <w:rPr>
                <w:sz w:val="20"/>
                <w:lang w:val="es-ES_tradnl"/>
              </w:rPr>
            </w:pPr>
          </w:p>
        </w:tc>
        <w:tc>
          <w:tcPr>
            <w:tcW w:w="543" w:type="pct"/>
          </w:tcPr>
          <w:p w:rsidR="00000000" w:rsidRDefault="00000000">
            <w:pPr>
              <w:jc w:val="right"/>
              <w:rPr>
                <w:sz w:val="20"/>
                <w:lang w:val="es-ES_tradnl"/>
              </w:rPr>
            </w:pPr>
          </w:p>
        </w:tc>
        <w:tc>
          <w:tcPr>
            <w:tcW w:w="544" w:type="pct"/>
          </w:tcPr>
          <w:p w:rsidR="00000000" w:rsidRDefault="00000000">
            <w:pPr>
              <w:jc w:val="right"/>
              <w:rPr>
                <w:sz w:val="20"/>
                <w:lang w:val="es-ES_tradnl"/>
              </w:rPr>
            </w:pPr>
          </w:p>
        </w:tc>
        <w:tc>
          <w:tcPr>
            <w:tcW w:w="490" w:type="pct"/>
          </w:tcPr>
          <w:p w:rsidR="00000000" w:rsidRDefault="00000000">
            <w:pPr>
              <w:jc w:val="right"/>
              <w:rPr>
                <w:sz w:val="20"/>
                <w:lang w:val="es-ES_tradnl"/>
              </w:rPr>
            </w:pPr>
          </w:p>
        </w:tc>
        <w:tc>
          <w:tcPr>
            <w:tcW w:w="489" w:type="pct"/>
          </w:tcPr>
          <w:p w:rsidR="00000000" w:rsidRDefault="00000000">
            <w:pPr>
              <w:jc w:val="right"/>
              <w:rPr>
                <w:sz w:val="20"/>
                <w:lang w:val="es-ES_tradnl"/>
              </w:rPr>
            </w:pPr>
          </w:p>
        </w:tc>
      </w:tr>
      <w:tr w:rsidR="00000000">
        <w:tblPrEx>
          <w:tblCellMar>
            <w:top w:w="0" w:type="dxa"/>
            <w:bottom w:w="0" w:type="dxa"/>
          </w:tblCellMar>
        </w:tblPrEx>
        <w:trPr>
          <w:jc w:val="center"/>
        </w:trPr>
        <w:tc>
          <w:tcPr>
            <w:tcW w:w="1261" w:type="pct"/>
          </w:tcPr>
          <w:p w:rsidR="00000000" w:rsidRDefault="00000000">
            <w:pPr>
              <w:rPr>
                <w:sz w:val="20"/>
              </w:rPr>
            </w:pPr>
            <w:proofErr w:type="spellStart"/>
            <w:r>
              <w:rPr>
                <w:sz w:val="20"/>
                <w:lang w:val="es-ES_tradnl"/>
              </w:rPr>
              <w:t>Decimotercer</w:t>
            </w:r>
            <w:proofErr w:type="spellEnd"/>
            <w:r>
              <w:rPr>
                <w:sz w:val="20"/>
                <w:lang w:val="es-ES_tradnl"/>
              </w:rPr>
              <w:t xml:space="preserve"> sueldo</w:t>
            </w:r>
          </w:p>
        </w:tc>
        <w:tc>
          <w:tcPr>
            <w:tcW w:w="585" w:type="pct"/>
          </w:tcPr>
          <w:p w:rsidR="00000000" w:rsidRDefault="00000000">
            <w:pPr>
              <w:jc w:val="right"/>
              <w:rPr>
                <w:sz w:val="20"/>
              </w:rPr>
            </w:pPr>
            <w:r>
              <w:rPr>
                <w:sz w:val="20"/>
                <w:lang w:val="es-ES_tradnl"/>
              </w:rPr>
              <w:t>7.917</w:t>
            </w:r>
          </w:p>
        </w:tc>
        <w:tc>
          <w:tcPr>
            <w:tcW w:w="543" w:type="pct"/>
          </w:tcPr>
          <w:p w:rsidR="00000000" w:rsidRDefault="00000000">
            <w:pPr>
              <w:jc w:val="right"/>
              <w:rPr>
                <w:sz w:val="20"/>
              </w:rPr>
            </w:pPr>
            <w:r>
              <w:rPr>
                <w:sz w:val="20"/>
                <w:lang w:val="es-ES_tradnl"/>
              </w:rPr>
              <w:t>8.090</w:t>
            </w:r>
          </w:p>
        </w:tc>
        <w:tc>
          <w:tcPr>
            <w:tcW w:w="544" w:type="pct"/>
          </w:tcPr>
          <w:p w:rsidR="00000000" w:rsidRDefault="00000000">
            <w:pPr>
              <w:jc w:val="right"/>
              <w:rPr>
                <w:sz w:val="20"/>
              </w:rPr>
            </w:pPr>
            <w:r>
              <w:rPr>
                <w:sz w:val="20"/>
                <w:lang w:val="es-ES_tradnl"/>
              </w:rPr>
              <w:t>8.333</w:t>
            </w:r>
          </w:p>
        </w:tc>
        <w:tc>
          <w:tcPr>
            <w:tcW w:w="543" w:type="pct"/>
          </w:tcPr>
          <w:p w:rsidR="00000000" w:rsidRDefault="00000000">
            <w:pPr>
              <w:jc w:val="right"/>
              <w:rPr>
                <w:sz w:val="20"/>
              </w:rPr>
            </w:pPr>
            <w:r>
              <w:rPr>
                <w:sz w:val="20"/>
                <w:lang w:val="es-ES_tradnl"/>
              </w:rPr>
              <w:t>8.333</w:t>
            </w:r>
          </w:p>
        </w:tc>
        <w:tc>
          <w:tcPr>
            <w:tcW w:w="544" w:type="pct"/>
          </w:tcPr>
          <w:p w:rsidR="00000000" w:rsidRDefault="00000000">
            <w:pPr>
              <w:jc w:val="right"/>
              <w:rPr>
                <w:sz w:val="20"/>
              </w:rPr>
            </w:pPr>
            <w:r>
              <w:rPr>
                <w:sz w:val="20"/>
                <w:lang w:val="es-ES_tradnl"/>
              </w:rPr>
              <w:t>8.333</w:t>
            </w:r>
          </w:p>
        </w:tc>
        <w:tc>
          <w:tcPr>
            <w:tcW w:w="490" w:type="pct"/>
          </w:tcPr>
          <w:p w:rsidR="00000000" w:rsidRDefault="00000000">
            <w:pPr>
              <w:jc w:val="right"/>
              <w:rPr>
                <w:sz w:val="20"/>
              </w:rPr>
            </w:pPr>
            <w:r>
              <w:rPr>
                <w:sz w:val="20"/>
                <w:lang w:val="es-ES_tradnl"/>
              </w:rPr>
              <w:t>5,26</w:t>
            </w:r>
          </w:p>
        </w:tc>
        <w:tc>
          <w:tcPr>
            <w:tcW w:w="489" w:type="pct"/>
          </w:tcPr>
          <w:p w:rsidR="00000000" w:rsidRDefault="00000000">
            <w:pPr>
              <w:jc w:val="right"/>
              <w:rPr>
                <w:sz w:val="20"/>
              </w:rPr>
            </w:pPr>
            <w:r>
              <w:rPr>
                <w:sz w:val="20"/>
                <w:lang w:val="es-ES_tradnl"/>
              </w:rPr>
              <w:t>417</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Decimocuarto sueldo</w:t>
            </w:r>
          </w:p>
        </w:tc>
        <w:tc>
          <w:tcPr>
            <w:tcW w:w="585" w:type="pct"/>
          </w:tcPr>
          <w:p w:rsidR="00000000" w:rsidRDefault="00000000">
            <w:pPr>
              <w:jc w:val="right"/>
              <w:rPr>
                <w:sz w:val="20"/>
              </w:rPr>
            </w:pPr>
            <w:r>
              <w:rPr>
                <w:sz w:val="20"/>
                <w:lang w:val="es-ES_tradnl"/>
              </w:rPr>
              <w:t>15.833</w:t>
            </w:r>
          </w:p>
        </w:tc>
        <w:tc>
          <w:tcPr>
            <w:tcW w:w="543" w:type="pct"/>
          </w:tcPr>
          <w:p w:rsidR="00000000" w:rsidRDefault="00000000">
            <w:pPr>
              <w:jc w:val="right"/>
              <w:rPr>
                <w:sz w:val="20"/>
              </w:rPr>
            </w:pPr>
            <w:r>
              <w:rPr>
                <w:sz w:val="20"/>
                <w:lang w:val="es-ES_tradnl"/>
              </w:rPr>
              <w:t>16.667</w:t>
            </w:r>
          </w:p>
        </w:tc>
        <w:tc>
          <w:tcPr>
            <w:tcW w:w="544" w:type="pct"/>
          </w:tcPr>
          <w:p w:rsidR="00000000" w:rsidRDefault="00000000">
            <w:pPr>
              <w:jc w:val="right"/>
              <w:rPr>
                <w:sz w:val="20"/>
              </w:rPr>
            </w:pPr>
            <w:r>
              <w:rPr>
                <w:sz w:val="20"/>
                <w:lang w:val="es-ES_tradnl"/>
              </w:rPr>
              <w:t>16.668</w:t>
            </w:r>
          </w:p>
        </w:tc>
        <w:tc>
          <w:tcPr>
            <w:tcW w:w="543" w:type="pct"/>
          </w:tcPr>
          <w:p w:rsidR="00000000" w:rsidRDefault="00000000">
            <w:pPr>
              <w:jc w:val="right"/>
              <w:rPr>
                <w:sz w:val="20"/>
              </w:rPr>
            </w:pPr>
            <w:r>
              <w:rPr>
                <w:sz w:val="20"/>
                <w:lang w:val="es-ES_tradnl"/>
              </w:rPr>
              <w:t>16.668</w:t>
            </w:r>
          </w:p>
        </w:tc>
        <w:tc>
          <w:tcPr>
            <w:tcW w:w="544" w:type="pct"/>
          </w:tcPr>
          <w:p w:rsidR="00000000" w:rsidRDefault="00000000">
            <w:pPr>
              <w:jc w:val="right"/>
              <w:rPr>
                <w:sz w:val="20"/>
              </w:rPr>
            </w:pPr>
            <w:r>
              <w:rPr>
                <w:sz w:val="20"/>
                <w:lang w:val="es-ES_tradnl"/>
              </w:rPr>
              <w:t>16.668</w:t>
            </w:r>
          </w:p>
        </w:tc>
        <w:tc>
          <w:tcPr>
            <w:tcW w:w="490" w:type="pct"/>
          </w:tcPr>
          <w:p w:rsidR="00000000" w:rsidRDefault="00000000">
            <w:pPr>
              <w:jc w:val="right"/>
              <w:rPr>
                <w:sz w:val="20"/>
              </w:rPr>
            </w:pPr>
            <w:r>
              <w:rPr>
                <w:sz w:val="20"/>
                <w:lang w:val="es-ES_tradnl"/>
              </w:rPr>
              <w:t>5,27</w:t>
            </w:r>
          </w:p>
        </w:tc>
        <w:tc>
          <w:tcPr>
            <w:tcW w:w="489" w:type="pct"/>
          </w:tcPr>
          <w:p w:rsidR="00000000" w:rsidRDefault="00000000">
            <w:pPr>
              <w:jc w:val="right"/>
              <w:rPr>
                <w:sz w:val="20"/>
              </w:rPr>
            </w:pPr>
            <w:r>
              <w:rPr>
                <w:sz w:val="20"/>
                <w:lang w:val="es-ES_tradnl"/>
              </w:rPr>
              <w:t>834</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Decimoquinto sueldo</w:t>
            </w:r>
          </w:p>
        </w:tc>
        <w:tc>
          <w:tcPr>
            <w:tcW w:w="585" w:type="pct"/>
          </w:tcPr>
          <w:p w:rsidR="00000000" w:rsidRDefault="00000000">
            <w:pPr>
              <w:jc w:val="right"/>
              <w:rPr>
                <w:sz w:val="20"/>
              </w:rPr>
            </w:pPr>
            <w:r>
              <w:rPr>
                <w:sz w:val="20"/>
                <w:szCs w:val="22"/>
                <w:lang w:val="es-ES_tradnl"/>
              </w:rPr>
              <w:t>4.167</w:t>
            </w:r>
          </w:p>
        </w:tc>
        <w:tc>
          <w:tcPr>
            <w:tcW w:w="543" w:type="pct"/>
          </w:tcPr>
          <w:p w:rsidR="00000000" w:rsidRDefault="00000000">
            <w:pPr>
              <w:jc w:val="right"/>
              <w:rPr>
                <w:sz w:val="20"/>
              </w:rPr>
            </w:pPr>
            <w:r>
              <w:rPr>
                <w:sz w:val="20"/>
                <w:lang w:val="es-ES_tradnl"/>
              </w:rPr>
              <w:t>4.167</w:t>
            </w:r>
          </w:p>
        </w:tc>
        <w:tc>
          <w:tcPr>
            <w:tcW w:w="544" w:type="pct"/>
          </w:tcPr>
          <w:p w:rsidR="00000000" w:rsidRDefault="00000000">
            <w:pPr>
              <w:jc w:val="right"/>
              <w:rPr>
                <w:sz w:val="20"/>
              </w:rPr>
            </w:pPr>
            <w:r>
              <w:rPr>
                <w:sz w:val="20"/>
                <w:lang w:val="es-ES_tradnl"/>
              </w:rPr>
              <w:t>4.167</w:t>
            </w:r>
          </w:p>
        </w:tc>
        <w:tc>
          <w:tcPr>
            <w:tcW w:w="543" w:type="pct"/>
          </w:tcPr>
          <w:p w:rsidR="00000000" w:rsidRDefault="00000000">
            <w:pPr>
              <w:jc w:val="right"/>
              <w:rPr>
                <w:sz w:val="20"/>
              </w:rPr>
            </w:pPr>
            <w:r>
              <w:rPr>
                <w:sz w:val="20"/>
                <w:lang w:val="es-ES_tradnl"/>
              </w:rPr>
              <w:t>4.167</w:t>
            </w:r>
          </w:p>
        </w:tc>
        <w:tc>
          <w:tcPr>
            <w:tcW w:w="544" w:type="pct"/>
          </w:tcPr>
          <w:p w:rsidR="00000000" w:rsidRDefault="00000000">
            <w:pPr>
              <w:jc w:val="right"/>
              <w:rPr>
                <w:sz w:val="20"/>
              </w:rPr>
            </w:pPr>
            <w:r>
              <w:rPr>
                <w:sz w:val="20"/>
                <w:lang w:val="es-ES_tradnl"/>
              </w:rPr>
              <w:t>4.167</w:t>
            </w:r>
          </w:p>
        </w:tc>
        <w:tc>
          <w:tcPr>
            <w:tcW w:w="490" w:type="pct"/>
          </w:tcPr>
          <w:p w:rsidR="00000000" w:rsidRDefault="00000000">
            <w:pPr>
              <w:jc w:val="right"/>
              <w:rPr>
                <w:sz w:val="20"/>
              </w:rPr>
            </w:pPr>
            <w:r>
              <w:rPr>
                <w:sz w:val="20"/>
                <w:lang w:val="es-ES_tradnl"/>
              </w:rPr>
              <w:t>0,00</w:t>
            </w:r>
          </w:p>
        </w:tc>
        <w:tc>
          <w:tcPr>
            <w:tcW w:w="489" w:type="pct"/>
          </w:tcPr>
          <w:p w:rsidR="00000000" w:rsidRDefault="00000000">
            <w:pPr>
              <w:jc w:val="center"/>
              <w:rPr>
                <w:sz w:val="20"/>
              </w:rPr>
            </w:pPr>
            <w:r>
              <w:rPr>
                <w:sz w:val="20"/>
                <w:lang w:val="es-ES_tradnl"/>
              </w:rPr>
              <w:t>-</w:t>
            </w:r>
          </w:p>
        </w:tc>
      </w:tr>
      <w:tr w:rsidR="00000000">
        <w:tblPrEx>
          <w:tblCellMar>
            <w:top w:w="0" w:type="dxa"/>
            <w:bottom w:w="0" w:type="dxa"/>
          </w:tblCellMar>
        </w:tblPrEx>
        <w:trPr>
          <w:jc w:val="center"/>
        </w:trPr>
        <w:tc>
          <w:tcPr>
            <w:tcW w:w="1261" w:type="pct"/>
          </w:tcPr>
          <w:p w:rsidR="00000000" w:rsidRDefault="00000000">
            <w:pPr>
              <w:rPr>
                <w:sz w:val="20"/>
              </w:rPr>
            </w:pPr>
            <w:r>
              <w:rPr>
                <w:sz w:val="20"/>
                <w:lang w:val="es-ES_tradnl"/>
              </w:rPr>
              <w:t>Fondo de reserva</w:t>
            </w:r>
          </w:p>
        </w:tc>
        <w:tc>
          <w:tcPr>
            <w:tcW w:w="585" w:type="pct"/>
          </w:tcPr>
          <w:p w:rsidR="00000000" w:rsidRDefault="00000000">
            <w:pPr>
              <w:jc w:val="right"/>
              <w:rPr>
                <w:sz w:val="20"/>
              </w:rPr>
            </w:pPr>
            <w:r>
              <w:rPr>
                <w:sz w:val="20"/>
                <w:szCs w:val="22"/>
                <w:lang w:val="es-ES_tradnl"/>
              </w:rPr>
              <w:t>7.917</w:t>
            </w:r>
          </w:p>
        </w:tc>
        <w:tc>
          <w:tcPr>
            <w:tcW w:w="543" w:type="pct"/>
          </w:tcPr>
          <w:p w:rsidR="00000000" w:rsidRDefault="00000000">
            <w:pPr>
              <w:jc w:val="right"/>
              <w:rPr>
                <w:sz w:val="20"/>
              </w:rPr>
            </w:pPr>
            <w:r>
              <w:rPr>
                <w:sz w:val="20"/>
                <w:lang w:val="es-ES_tradnl"/>
              </w:rPr>
              <w:t>8.090</w:t>
            </w:r>
          </w:p>
        </w:tc>
        <w:tc>
          <w:tcPr>
            <w:tcW w:w="544" w:type="pct"/>
          </w:tcPr>
          <w:p w:rsidR="00000000" w:rsidRDefault="00000000">
            <w:pPr>
              <w:jc w:val="right"/>
              <w:rPr>
                <w:sz w:val="20"/>
              </w:rPr>
            </w:pPr>
            <w:r>
              <w:rPr>
                <w:sz w:val="20"/>
                <w:lang w:val="es-ES_tradnl"/>
              </w:rPr>
              <w:t>8.333</w:t>
            </w:r>
          </w:p>
        </w:tc>
        <w:tc>
          <w:tcPr>
            <w:tcW w:w="543" w:type="pct"/>
          </w:tcPr>
          <w:p w:rsidR="00000000" w:rsidRDefault="00000000">
            <w:pPr>
              <w:jc w:val="right"/>
              <w:rPr>
                <w:sz w:val="20"/>
              </w:rPr>
            </w:pPr>
            <w:r>
              <w:rPr>
                <w:sz w:val="20"/>
                <w:lang w:val="es-ES_tradnl"/>
              </w:rPr>
              <w:t>8.333</w:t>
            </w:r>
          </w:p>
        </w:tc>
        <w:tc>
          <w:tcPr>
            <w:tcW w:w="544" w:type="pct"/>
          </w:tcPr>
          <w:p w:rsidR="00000000" w:rsidRDefault="00000000">
            <w:pPr>
              <w:jc w:val="right"/>
              <w:rPr>
                <w:sz w:val="20"/>
              </w:rPr>
            </w:pPr>
            <w:r>
              <w:rPr>
                <w:sz w:val="20"/>
                <w:lang w:val="es-ES_tradnl"/>
              </w:rPr>
              <w:t>8.333</w:t>
            </w:r>
          </w:p>
        </w:tc>
        <w:tc>
          <w:tcPr>
            <w:tcW w:w="490" w:type="pct"/>
          </w:tcPr>
          <w:p w:rsidR="00000000" w:rsidRDefault="00000000">
            <w:pPr>
              <w:jc w:val="right"/>
              <w:rPr>
                <w:sz w:val="20"/>
              </w:rPr>
            </w:pPr>
            <w:r>
              <w:rPr>
                <w:sz w:val="20"/>
                <w:lang w:val="es-ES_tradnl"/>
              </w:rPr>
              <w:t>5,26</w:t>
            </w:r>
          </w:p>
        </w:tc>
        <w:tc>
          <w:tcPr>
            <w:tcW w:w="489" w:type="pct"/>
          </w:tcPr>
          <w:p w:rsidR="00000000" w:rsidRDefault="00000000">
            <w:pPr>
              <w:jc w:val="right"/>
              <w:rPr>
                <w:sz w:val="20"/>
              </w:rPr>
            </w:pPr>
            <w:r>
              <w:rPr>
                <w:sz w:val="20"/>
                <w:lang w:val="es-ES_tradnl"/>
              </w:rPr>
              <w:t>417</w:t>
            </w:r>
          </w:p>
        </w:tc>
      </w:tr>
      <w:tr w:rsidR="00000000">
        <w:tblPrEx>
          <w:tblCellMar>
            <w:top w:w="0" w:type="dxa"/>
            <w:bottom w:w="0" w:type="dxa"/>
          </w:tblCellMar>
        </w:tblPrEx>
        <w:trPr>
          <w:jc w:val="center"/>
        </w:trPr>
        <w:tc>
          <w:tcPr>
            <w:tcW w:w="1261" w:type="pct"/>
          </w:tcPr>
          <w:p w:rsidR="00000000" w:rsidRDefault="00000000">
            <w:pPr>
              <w:tabs>
                <w:tab w:val="left" w:pos="284"/>
              </w:tabs>
              <w:rPr>
                <w:sz w:val="20"/>
              </w:rPr>
            </w:pPr>
            <w:r>
              <w:rPr>
                <w:sz w:val="20"/>
                <w:lang w:val="es-ES_tradnl"/>
              </w:rPr>
              <w:tab/>
              <w:t>Ingreso total</w:t>
            </w:r>
          </w:p>
        </w:tc>
        <w:tc>
          <w:tcPr>
            <w:tcW w:w="585" w:type="pct"/>
          </w:tcPr>
          <w:p w:rsidR="00000000" w:rsidRDefault="00000000">
            <w:pPr>
              <w:jc w:val="right"/>
              <w:rPr>
                <w:sz w:val="20"/>
              </w:rPr>
            </w:pPr>
            <w:r>
              <w:rPr>
                <w:sz w:val="20"/>
                <w:lang w:val="es-ES_tradnl"/>
              </w:rPr>
              <w:t>561.666</w:t>
            </w:r>
          </w:p>
        </w:tc>
        <w:tc>
          <w:tcPr>
            <w:tcW w:w="543" w:type="pct"/>
          </w:tcPr>
          <w:p w:rsidR="00000000" w:rsidRDefault="00000000">
            <w:pPr>
              <w:jc w:val="right"/>
              <w:rPr>
                <w:sz w:val="20"/>
              </w:rPr>
            </w:pPr>
            <w:r>
              <w:rPr>
                <w:sz w:val="20"/>
                <w:lang w:val="es-ES_tradnl"/>
              </w:rPr>
              <w:t>636.847</w:t>
            </w:r>
          </w:p>
        </w:tc>
        <w:tc>
          <w:tcPr>
            <w:tcW w:w="544" w:type="pct"/>
          </w:tcPr>
          <w:p w:rsidR="00000000" w:rsidRDefault="00000000">
            <w:pPr>
              <w:jc w:val="right"/>
              <w:rPr>
                <w:sz w:val="20"/>
              </w:rPr>
            </w:pPr>
            <w:r>
              <w:rPr>
                <w:sz w:val="20"/>
                <w:lang w:val="es-ES_tradnl"/>
              </w:rPr>
              <w:t>770.168</w:t>
            </w:r>
          </w:p>
        </w:tc>
        <w:tc>
          <w:tcPr>
            <w:tcW w:w="543" w:type="pct"/>
          </w:tcPr>
          <w:p w:rsidR="00000000" w:rsidRDefault="00000000">
            <w:pPr>
              <w:jc w:val="right"/>
              <w:rPr>
                <w:sz w:val="20"/>
              </w:rPr>
            </w:pPr>
            <w:r>
              <w:rPr>
                <w:sz w:val="20"/>
                <w:lang w:val="es-ES_tradnl"/>
              </w:rPr>
              <w:t>1.056.568</w:t>
            </w:r>
          </w:p>
        </w:tc>
        <w:tc>
          <w:tcPr>
            <w:tcW w:w="544" w:type="pct"/>
          </w:tcPr>
          <w:p w:rsidR="00000000" w:rsidRDefault="00000000">
            <w:pPr>
              <w:jc w:val="right"/>
              <w:rPr>
                <w:sz w:val="20"/>
              </w:rPr>
            </w:pPr>
            <w:r>
              <w:rPr>
                <w:sz w:val="20"/>
                <w:lang w:val="es-ES_tradnl"/>
              </w:rPr>
              <w:t>1.234.168</w:t>
            </w:r>
          </w:p>
        </w:tc>
        <w:tc>
          <w:tcPr>
            <w:tcW w:w="490" w:type="pct"/>
          </w:tcPr>
          <w:p w:rsidR="00000000" w:rsidRDefault="00000000">
            <w:pPr>
              <w:jc w:val="right"/>
              <w:rPr>
                <w:sz w:val="20"/>
              </w:rPr>
            </w:pPr>
            <w:r>
              <w:rPr>
                <w:sz w:val="20"/>
                <w:lang w:val="es-ES_tradnl"/>
              </w:rPr>
              <w:t>119,73</w:t>
            </w:r>
          </w:p>
        </w:tc>
        <w:tc>
          <w:tcPr>
            <w:tcW w:w="489" w:type="pct"/>
          </w:tcPr>
          <w:p w:rsidR="00000000" w:rsidRDefault="00000000">
            <w:pPr>
              <w:jc w:val="right"/>
              <w:rPr>
                <w:sz w:val="20"/>
              </w:rPr>
            </w:pPr>
            <w:r>
              <w:rPr>
                <w:sz w:val="20"/>
                <w:lang w:val="es-ES_tradnl"/>
              </w:rPr>
              <w:t>672.502</w:t>
            </w:r>
          </w:p>
        </w:tc>
      </w:tr>
    </w:tbl>
    <w:p w:rsidR="00000000" w:rsidRDefault="00000000">
      <w:pPr>
        <w:keepNext/>
        <w:spacing w:before="480" w:after="160"/>
        <w:jc w:val="center"/>
        <w:rPr>
          <w:b/>
          <w:bCs/>
          <w:sz w:val="20"/>
        </w:rPr>
      </w:pPr>
      <w:r>
        <w:rPr>
          <w:b/>
          <w:bCs/>
          <w:sz w:val="20"/>
          <w:szCs w:val="21"/>
          <w:lang w:val="es-ES_tradnl"/>
        </w:rPr>
        <w:t>Ingreso total del trabajador en general</w:t>
      </w:r>
    </w:p>
    <w:p w:rsidR="00000000" w:rsidRDefault="00000000">
      <w:pPr>
        <w:keepNext/>
        <w:spacing w:after="160"/>
        <w:jc w:val="center"/>
        <w:rPr>
          <w:b/>
          <w:bCs/>
          <w:sz w:val="20"/>
          <w:szCs w:val="21"/>
          <w:lang w:val="es-ES_tradnl"/>
        </w:rPr>
      </w:pPr>
      <w:r>
        <w:rPr>
          <w:b/>
          <w:bCs/>
          <w:sz w:val="20"/>
          <w:szCs w:val="21"/>
          <w:lang w:val="es-ES_tradnl"/>
        </w:rPr>
        <w:t>(En sucres)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66"/>
        <w:gridCol w:w="1131"/>
        <w:gridCol w:w="1131"/>
        <w:gridCol w:w="1131"/>
        <w:gridCol w:w="1178"/>
        <w:gridCol w:w="1178"/>
        <w:gridCol w:w="1179"/>
      </w:tblGrid>
      <w:tr w:rsidR="00000000">
        <w:tblPrEx>
          <w:tblCellMar>
            <w:top w:w="0" w:type="dxa"/>
            <w:bottom w:w="0" w:type="dxa"/>
          </w:tblCellMar>
        </w:tblPrEx>
        <w:trPr>
          <w:cantSplit/>
        </w:trPr>
        <w:tc>
          <w:tcPr>
            <w:tcW w:w="2566" w:type="dxa"/>
            <w:vAlign w:val="center"/>
          </w:tcPr>
          <w:p w:rsidR="00000000" w:rsidRDefault="00000000">
            <w:pPr>
              <w:keepNext/>
              <w:jc w:val="center"/>
              <w:rPr>
                <w:sz w:val="20"/>
                <w:szCs w:val="21"/>
                <w:lang w:val="es-ES_tradnl"/>
              </w:rPr>
            </w:pPr>
          </w:p>
        </w:tc>
        <w:tc>
          <w:tcPr>
            <w:tcW w:w="1131" w:type="dxa"/>
            <w:vAlign w:val="center"/>
          </w:tcPr>
          <w:p w:rsidR="00000000" w:rsidRDefault="00000000">
            <w:pPr>
              <w:keepNext/>
              <w:jc w:val="center"/>
              <w:rPr>
                <w:sz w:val="20"/>
                <w:szCs w:val="21"/>
                <w:lang w:val="es-ES_tradnl"/>
              </w:rPr>
            </w:pPr>
            <w:r>
              <w:rPr>
                <w:sz w:val="20"/>
                <w:szCs w:val="21"/>
                <w:lang w:val="es-ES_tradnl"/>
              </w:rPr>
              <w:t>1990</w:t>
            </w:r>
          </w:p>
        </w:tc>
        <w:tc>
          <w:tcPr>
            <w:tcW w:w="1131" w:type="dxa"/>
            <w:vAlign w:val="center"/>
          </w:tcPr>
          <w:p w:rsidR="00000000" w:rsidRDefault="00000000">
            <w:pPr>
              <w:keepNext/>
              <w:jc w:val="center"/>
              <w:rPr>
                <w:sz w:val="20"/>
                <w:szCs w:val="21"/>
                <w:lang w:val="es-ES_tradnl"/>
              </w:rPr>
            </w:pPr>
            <w:r>
              <w:rPr>
                <w:sz w:val="20"/>
                <w:szCs w:val="21"/>
                <w:lang w:val="es-ES_tradnl"/>
              </w:rPr>
              <w:t>1995</w:t>
            </w:r>
          </w:p>
        </w:tc>
        <w:tc>
          <w:tcPr>
            <w:tcW w:w="1131" w:type="dxa"/>
            <w:vAlign w:val="center"/>
          </w:tcPr>
          <w:p w:rsidR="00000000" w:rsidRDefault="00000000">
            <w:pPr>
              <w:keepNext/>
              <w:jc w:val="center"/>
              <w:rPr>
                <w:sz w:val="20"/>
                <w:szCs w:val="21"/>
                <w:lang w:val="es-ES_tradnl"/>
              </w:rPr>
            </w:pPr>
            <w:r>
              <w:rPr>
                <w:sz w:val="20"/>
                <w:szCs w:val="21"/>
                <w:lang w:val="es-ES_tradnl"/>
              </w:rPr>
              <w:t>1999</w:t>
            </w:r>
          </w:p>
        </w:tc>
        <w:tc>
          <w:tcPr>
            <w:tcW w:w="3535" w:type="dxa"/>
            <w:gridSpan w:val="3"/>
            <w:vAlign w:val="center"/>
          </w:tcPr>
          <w:p w:rsidR="00000000" w:rsidRDefault="00000000">
            <w:pPr>
              <w:keepNext/>
              <w:jc w:val="center"/>
              <w:rPr>
                <w:sz w:val="20"/>
                <w:szCs w:val="21"/>
                <w:lang w:val="es-ES_tradnl"/>
              </w:rPr>
            </w:pPr>
            <w:r>
              <w:rPr>
                <w:sz w:val="20"/>
                <w:szCs w:val="21"/>
                <w:lang w:val="es-ES_tradnl"/>
              </w:rPr>
              <w:t>Variación</w:t>
            </w:r>
          </w:p>
        </w:tc>
      </w:tr>
      <w:tr w:rsidR="00000000">
        <w:tblPrEx>
          <w:tblCellMar>
            <w:top w:w="0" w:type="dxa"/>
            <w:bottom w:w="0" w:type="dxa"/>
          </w:tblCellMar>
        </w:tblPrEx>
        <w:tc>
          <w:tcPr>
            <w:tcW w:w="2566" w:type="dxa"/>
            <w:vAlign w:val="center"/>
          </w:tcPr>
          <w:p w:rsidR="00000000" w:rsidRDefault="00000000">
            <w:pPr>
              <w:keepNext/>
              <w:jc w:val="center"/>
              <w:rPr>
                <w:sz w:val="20"/>
                <w:szCs w:val="21"/>
                <w:lang w:val="es-ES_tradnl"/>
              </w:rPr>
            </w:pPr>
          </w:p>
        </w:tc>
        <w:tc>
          <w:tcPr>
            <w:tcW w:w="1131" w:type="dxa"/>
            <w:vAlign w:val="center"/>
          </w:tcPr>
          <w:p w:rsidR="00000000" w:rsidRDefault="00000000">
            <w:pPr>
              <w:keepNext/>
              <w:jc w:val="center"/>
              <w:rPr>
                <w:sz w:val="20"/>
                <w:szCs w:val="21"/>
                <w:lang w:val="es-ES_tradnl"/>
              </w:rPr>
            </w:pPr>
            <w:r>
              <w:rPr>
                <w:sz w:val="20"/>
                <w:szCs w:val="21"/>
                <w:lang w:val="es-ES_tradnl"/>
              </w:rPr>
              <w:t>Enero</w:t>
            </w:r>
          </w:p>
        </w:tc>
        <w:tc>
          <w:tcPr>
            <w:tcW w:w="1131" w:type="dxa"/>
            <w:vAlign w:val="center"/>
          </w:tcPr>
          <w:p w:rsidR="00000000" w:rsidRDefault="00000000">
            <w:pPr>
              <w:keepNext/>
              <w:jc w:val="center"/>
              <w:rPr>
                <w:sz w:val="20"/>
                <w:szCs w:val="21"/>
                <w:lang w:val="es-ES_tradnl"/>
              </w:rPr>
            </w:pPr>
            <w:r>
              <w:rPr>
                <w:sz w:val="20"/>
                <w:szCs w:val="21"/>
                <w:lang w:val="es-ES_tradnl"/>
              </w:rPr>
              <w:t>Febrero</w:t>
            </w:r>
          </w:p>
        </w:tc>
        <w:tc>
          <w:tcPr>
            <w:tcW w:w="1131" w:type="dxa"/>
            <w:vAlign w:val="center"/>
          </w:tcPr>
          <w:p w:rsidR="00000000" w:rsidRDefault="00000000">
            <w:pPr>
              <w:keepNext/>
              <w:jc w:val="center"/>
              <w:rPr>
                <w:sz w:val="20"/>
                <w:szCs w:val="21"/>
                <w:lang w:val="es-ES_tradnl"/>
              </w:rPr>
            </w:pPr>
            <w:r>
              <w:rPr>
                <w:sz w:val="20"/>
                <w:szCs w:val="21"/>
                <w:lang w:val="es-ES_tradnl"/>
              </w:rPr>
              <w:t>Diciembre</w:t>
            </w:r>
          </w:p>
        </w:tc>
        <w:tc>
          <w:tcPr>
            <w:tcW w:w="1178" w:type="dxa"/>
            <w:vAlign w:val="center"/>
          </w:tcPr>
          <w:p w:rsidR="00000000" w:rsidRDefault="00000000">
            <w:pPr>
              <w:keepNext/>
              <w:jc w:val="center"/>
              <w:rPr>
                <w:sz w:val="20"/>
                <w:szCs w:val="21"/>
                <w:lang w:val="es-ES_tradnl"/>
              </w:rPr>
            </w:pPr>
            <w:r>
              <w:rPr>
                <w:sz w:val="20"/>
                <w:szCs w:val="21"/>
                <w:lang w:val="es-ES_tradnl"/>
              </w:rPr>
              <w:t>De enero de 1990 a enero de 1995</w:t>
            </w:r>
          </w:p>
        </w:tc>
        <w:tc>
          <w:tcPr>
            <w:tcW w:w="1178" w:type="dxa"/>
            <w:vAlign w:val="center"/>
          </w:tcPr>
          <w:p w:rsidR="00000000" w:rsidRDefault="00000000">
            <w:pPr>
              <w:keepNext/>
              <w:jc w:val="center"/>
              <w:rPr>
                <w:sz w:val="20"/>
                <w:szCs w:val="21"/>
                <w:lang w:val="es-ES_tradnl"/>
              </w:rPr>
            </w:pPr>
            <w:r>
              <w:rPr>
                <w:sz w:val="20"/>
                <w:szCs w:val="21"/>
                <w:lang w:val="es-ES_tradnl"/>
              </w:rPr>
              <w:t>De diciembre de 1990 a enero de 1990</w:t>
            </w:r>
          </w:p>
        </w:tc>
        <w:tc>
          <w:tcPr>
            <w:tcW w:w="1179" w:type="dxa"/>
            <w:vAlign w:val="center"/>
          </w:tcPr>
          <w:p w:rsidR="00000000" w:rsidRDefault="00000000">
            <w:pPr>
              <w:keepNext/>
              <w:jc w:val="center"/>
              <w:rPr>
                <w:sz w:val="20"/>
                <w:szCs w:val="21"/>
                <w:lang w:val="es-ES_tradnl"/>
              </w:rPr>
            </w:pPr>
            <w:r>
              <w:rPr>
                <w:sz w:val="20"/>
                <w:szCs w:val="21"/>
                <w:lang w:val="es-ES_tradnl"/>
              </w:rPr>
              <w:t>De enero de 1995 a diciembre de 1999</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Salario mínimo vital</w:t>
            </w:r>
          </w:p>
        </w:tc>
        <w:tc>
          <w:tcPr>
            <w:tcW w:w="1131" w:type="dxa"/>
          </w:tcPr>
          <w:p w:rsidR="00000000" w:rsidRDefault="00000000">
            <w:pPr>
              <w:keepNext/>
              <w:jc w:val="right"/>
              <w:rPr>
                <w:sz w:val="20"/>
                <w:szCs w:val="21"/>
                <w:lang w:val="es-ES_tradnl"/>
              </w:rPr>
            </w:pPr>
            <w:r>
              <w:rPr>
                <w:sz w:val="20"/>
                <w:szCs w:val="21"/>
                <w:lang w:val="es-ES_tradnl"/>
              </w:rPr>
              <w:t>32.000</w:t>
            </w:r>
          </w:p>
        </w:tc>
        <w:tc>
          <w:tcPr>
            <w:tcW w:w="1131" w:type="dxa"/>
          </w:tcPr>
          <w:p w:rsidR="00000000" w:rsidRDefault="00000000">
            <w:pPr>
              <w:keepNext/>
              <w:jc w:val="right"/>
              <w:rPr>
                <w:sz w:val="20"/>
                <w:szCs w:val="21"/>
                <w:lang w:val="es-ES_tradnl"/>
              </w:rPr>
            </w:pPr>
            <w:r>
              <w:rPr>
                <w:sz w:val="20"/>
                <w:szCs w:val="21"/>
                <w:lang w:val="es-ES_tradnl"/>
              </w:rPr>
              <w:t>75.000</w:t>
            </w:r>
          </w:p>
        </w:tc>
        <w:tc>
          <w:tcPr>
            <w:tcW w:w="1131" w:type="dxa"/>
          </w:tcPr>
          <w:p w:rsidR="00000000" w:rsidRDefault="00000000">
            <w:pPr>
              <w:keepNext/>
              <w:jc w:val="right"/>
              <w:rPr>
                <w:sz w:val="20"/>
                <w:szCs w:val="21"/>
                <w:lang w:val="es-ES_tradnl"/>
              </w:rPr>
            </w:pPr>
            <w:r>
              <w:rPr>
                <w:sz w:val="20"/>
                <w:szCs w:val="21"/>
                <w:lang w:val="es-ES_tradnl"/>
              </w:rPr>
              <w:t>100.000</w:t>
            </w:r>
          </w:p>
        </w:tc>
        <w:tc>
          <w:tcPr>
            <w:tcW w:w="1178" w:type="dxa"/>
          </w:tcPr>
          <w:p w:rsidR="00000000" w:rsidRDefault="00000000">
            <w:pPr>
              <w:keepNext/>
              <w:jc w:val="right"/>
              <w:rPr>
                <w:sz w:val="20"/>
                <w:szCs w:val="21"/>
                <w:lang w:val="es-ES_tradnl"/>
              </w:rPr>
            </w:pPr>
            <w:r>
              <w:rPr>
                <w:sz w:val="20"/>
                <w:szCs w:val="21"/>
                <w:lang w:val="es-ES_tradnl"/>
              </w:rPr>
              <w:t>134%</w:t>
            </w:r>
          </w:p>
        </w:tc>
        <w:tc>
          <w:tcPr>
            <w:tcW w:w="1178" w:type="dxa"/>
          </w:tcPr>
          <w:p w:rsidR="00000000" w:rsidRDefault="00000000">
            <w:pPr>
              <w:keepNext/>
              <w:jc w:val="right"/>
              <w:rPr>
                <w:sz w:val="20"/>
                <w:szCs w:val="21"/>
                <w:lang w:val="es-ES_tradnl"/>
              </w:rPr>
            </w:pPr>
            <w:r>
              <w:rPr>
                <w:sz w:val="20"/>
                <w:szCs w:val="21"/>
                <w:lang w:val="es-ES_tradnl"/>
              </w:rPr>
              <w:t>213%</w:t>
            </w:r>
          </w:p>
        </w:tc>
        <w:tc>
          <w:tcPr>
            <w:tcW w:w="1179" w:type="dxa"/>
          </w:tcPr>
          <w:p w:rsidR="00000000" w:rsidRDefault="00000000">
            <w:pPr>
              <w:keepNext/>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Comp. costo de vida</w:t>
            </w:r>
          </w:p>
        </w:tc>
        <w:tc>
          <w:tcPr>
            <w:tcW w:w="1131" w:type="dxa"/>
          </w:tcPr>
          <w:p w:rsidR="00000000" w:rsidRDefault="00000000">
            <w:pPr>
              <w:keepNext/>
              <w:jc w:val="right"/>
              <w:rPr>
                <w:sz w:val="20"/>
                <w:szCs w:val="21"/>
                <w:lang w:val="fr-CH"/>
              </w:rPr>
            </w:pPr>
            <w:proofErr w:type="spellStart"/>
            <w:r>
              <w:rPr>
                <w:sz w:val="20"/>
                <w:szCs w:val="21"/>
                <w:lang w:val="fr-CH"/>
              </w:rPr>
              <w:t>2.500</w:t>
            </w:r>
            <w:proofErr w:type="spellEnd"/>
          </w:p>
        </w:tc>
        <w:tc>
          <w:tcPr>
            <w:tcW w:w="1131" w:type="dxa"/>
          </w:tcPr>
          <w:p w:rsidR="00000000" w:rsidRDefault="00000000">
            <w:pPr>
              <w:keepNext/>
              <w:jc w:val="right"/>
              <w:rPr>
                <w:sz w:val="20"/>
                <w:szCs w:val="21"/>
                <w:lang w:val="fr-CH"/>
              </w:rPr>
            </w:pPr>
            <w:proofErr w:type="spellStart"/>
            <w:r>
              <w:rPr>
                <w:sz w:val="20"/>
                <w:szCs w:val="21"/>
                <w:lang w:val="fr-CH"/>
              </w:rPr>
              <w:t>125.000</w:t>
            </w:r>
            <w:proofErr w:type="spellEnd"/>
          </w:p>
        </w:tc>
        <w:tc>
          <w:tcPr>
            <w:tcW w:w="1131" w:type="dxa"/>
          </w:tcPr>
          <w:p w:rsidR="00000000" w:rsidRDefault="00000000">
            <w:pPr>
              <w:keepNext/>
              <w:jc w:val="right"/>
              <w:rPr>
                <w:sz w:val="20"/>
                <w:szCs w:val="21"/>
                <w:lang w:val="fr-CH"/>
              </w:rPr>
            </w:pPr>
            <w:proofErr w:type="spellStart"/>
            <w:r>
              <w:rPr>
                <w:sz w:val="20"/>
                <w:szCs w:val="21"/>
                <w:lang w:val="fr-CH"/>
              </w:rPr>
              <w:t>300.000</w:t>
            </w:r>
            <w:proofErr w:type="spellEnd"/>
          </w:p>
        </w:tc>
        <w:tc>
          <w:tcPr>
            <w:tcW w:w="1178" w:type="dxa"/>
          </w:tcPr>
          <w:p w:rsidR="00000000" w:rsidRDefault="00000000">
            <w:pPr>
              <w:keepNext/>
              <w:jc w:val="right"/>
              <w:rPr>
                <w:sz w:val="20"/>
                <w:szCs w:val="21"/>
                <w:lang w:val="fr-CH"/>
              </w:rPr>
            </w:pPr>
            <w:proofErr w:type="spellStart"/>
            <w:r>
              <w:rPr>
                <w:sz w:val="20"/>
                <w:szCs w:val="21"/>
                <w:lang w:val="fr-CH"/>
              </w:rPr>
              <w:t>4.900</w:t>
            </w:r>
            <w:proofErr w:type="spellEnd"/>
            <w:r>
              <w:rPr>
                <w:sz w:val="20"/>
                <w:szCs w:val="21"/>
                <w:lang w:val="fr-CH"/>
              </w:rPr>
              <w:t>%</w:t>
            </w:r>
          </w:p>
        </w:tc>
        <w:tc>
          <w:tcPr>
            <w:tcW w:w="1178" w:type="dxa"/>
          </w:tcPr>
          <w:p w:rsidR="00000000" w:rsidRDefault="00000000">
            <w:pPr>
              <w:keepNext/>
              <w:jc w:val="right"/>
              <w:rPr>
                <w:sz w:val="20"/>
                <w:szCs w:val="21"/>
                <w:lang w:val="fr-CH"/>
              </w:rPr>
            </w:pPr>
            <w:proofErr w:type="spellStart"/>
            <w:r>
              <w:rPr>
                <w:sz w:val="20"/>
                <w:szCs w:val="21"/>
                <w:lang w:val="fr-CH"/>
              </w:rPr>
              <w:t>11.900</w:t>
            </w:r>
            <w:proofErr w:type="spellEnd"/>
            <w:r>
              <w:rPr>
                <w:sz w:val="20"/>
                <w:szCs w:val="21"/>
                <w:lang w:val="fr-CH"/>
              </w:rPr>
              <w:t>%</w:t>
            </w:r>
          </w:p>
        </w:tc>
        <w:tc>
          <w:tcPr>
            <w:tcW w:w="1179" w:type="dxa"/>
          </w:tcPr>
          <w:p w:rsidR="00000000" w:rsidRDefault="00000000">
            <w:pPr>
              <w:keepNext/>
              <w:jc w:val="right"/>
              <w:rPr>
                <w:sz w:val="20"/>
                <w:lang w:val="fr-CH"/>
              </w:rPr>
            </w:pPr>
            <w:r>
              <w:rPr>
                <w:sz w:val="20"/>
                <w:szCs w:val="21"/>
                <w:lang w:val="fr-CH"/>
              </w:rPr>
              <w:t>140%</w:t>
            </w:r>
          </w:p>
        </w:tc>
      </w:tr>
      <w:tr w:rsidR="00000000">
        <w:tblPrEx>
          <w:tblCellMar>
            <w:top w:w="0" w:type="dxa"/>
            <w:bottom w:w="0" w:type="dxa"/>
          </w:tblCellMar>
        </w:tblPrEx>
        <w:tc>
          <w:tcPr>
            <w:tcW w:w="2566" w:type="dxa"/>
          </w:tcPr>
          <w:p w:rsidR="00000000" w:rsidRDefault="00000000">
            <w:pPr>
              <w:keepNext/>
              <w:rPr>
                <w:sz w:val="20"/>
                <w:szCs w:val="21"/>
                <w:lang w:val="fr-CH"/>
              </w:rPr>
            </w:pPr>
            <w:r>
              <w:rPr>
                <w:sz w:val="20"/>
                <w:szCs w:val="21"/>
                <w:lang w:val="fr-CH"/>
              </w:rPr>
              <w:t xml:space="preserve">Bonif. </w:t>
            </w:r>
            <w:proofErr w:type="spellStart"/>
            <w:r>
              <w:rPr>
                <w:sz w:val="20"/>
                <w:szCs w:val="21"/>
                <w:lang w:val="fr-CH"/>
              </w:rPr>
              <w:t>complement</w:t>
            </w:r>
            <w:proofErr w:type="spellEnd"/>
            <w:r>
              <w:rPr>
                <w:sz w:val="20"/>
                <w:szCs w:val="21"/>
                <w:lang w:val="fr-CH"/>
              </w:rPr>
              <w:t>.</w:t>
            </w:r>
          </w:p>
        </w:tc>
        <w:tc>
          <w:tcPr>
            <w:tcW w:w="1131" w:type="dxa"/>
          </w:tcPr>
          <w:p w:rsidR="00000000" w:rsidRDefault="00000000">
            <w:pPr>
              <w:keepNext/>
              <w:jc w:val="right"/>
              <w:rPr>
                <w:sz w:val="20"/>
                <w:szCs w:val="21"/>
                <w:lang w:val="fr-CH"/>
              </w:rPr>
            </w:pPr>
            <w:proofErr w:type="spellStart"/>
            <w:r>
              <w:rPr>
                <w:sz w:val="20"/>
                <w:szCs w:val="21"/>
                <w:lang w:val="fr-CH"/>
              </w:rPr>
              <w:t>1.000</w:t>
            </w:r>
            <w:proofErr w:type="spellEnd"/>
          </w:p>
        </w:tc>
        <w:tc>
          <w:tcPr>
            <w:tcW w:w="1131" w:type="dxa"/>
          </w:tcPr>
          <w:p w:rsidR="00000000" w:rsidRDefault="00000000">
            <w:pPr>
              <w:keepNext/>
              <w:jc w:val="right"/>
              <w:rPr>
                <w:sz w:val="20"/>
                <w:szCs w:val="21"/>
                <w:lang w:val="fr-CH"/>
              </w:rPr>
            </w:pPr>
            <w:proofErr w:type="spellStart"/>
            <w:r>
              <w:rPr>
                <w:sz w:val="20"/>
                <w:szCs w:val="21"/>
                <w:lang w:val="fr-CH"/>
              </w:rPr>
              <w:t>96.000</w:t>
            </w:r>
            <w:proofErr w:type="spellEnd"/>
          </w:p>
        </w:tc>
        <w:tc>
          <w:tcPr>
            <w:tcW w:w="1131" w:type="dxa"/>
          </w:tcPr>
          <w:p w:rsidR="00000000" w:rsidRDefault="00000000">
            <w:pPr>
              <w:keepNext/>
              <w:jc w:val="right"/>
              <w:rPr>
                <w:sz w:val="20"/>
                <w:szCs w:val="21"/>
                <w:lang w:val="fr-CH"/>
              </w:rPr>
            </w:pPr>
            <w:proofErr w:type="spellStart"/>
            <w:r>
              <w:rPr>
                <w:sz w:val="20"/>
                <w:szCs w:val="21"/>
                <w:lang w:val="fr-CH"/>
              </w:rPr>
              <w:t>700.000</w:t>
            </w:r>
            <w:proofErr w:type="spellEnd"/>
          </w:p>
        </w:tc>
        <w:tc>
          <w:tcPr>
            <w:tcW w:w="1178" w:type="dxa"/>
          </w:tcPr>
          <w:p w:rsidR="00000000" w:rsidRDefault="00000000">
            <w:pPr>
              <w:keepNext/>
              <w:jc w:val="right"/>
              <w:rPr>
                <w:sz w:val="20"/>
                <w:szCs w:val="21"/>
                <w:lang w:val="fr-CH"/>
              </w:rPr>
            </w:pPr>
            <w:proofErr w:type="spellStart"/>
            <w:r>
              <w:rPr>
                <w:sz w:val="20"/>
                <w:szCs w:val="21"/>
                <w:lang w:val="fr-CH"/>
              </w:rPr>
              <w:t>9.500</w:t>
            </w:r>
            <w:proofErr w:type="spellEnd"/>
            <w:r>
              <w:rPr>
                <w:sz w:val="20"/>
                <w:szCs w:val="21"/>
                <w:lang w:val="fr-CH"/>
              </w:rPr>
              <w:t>%</w:t>
            </w:r>
          </w:p>
        </w:tc>
        <w:tc>
          <w:tcPr>
            <w:tcW w:w="1178" w:type="dxa"/>
          </w:tcPr>
          <w:p w:rsidR="00000000" w:rsidRDefault="00000000">
            <w:pPr>
              <w:keepNext/>
              <w:jc w:val="right"/>
              <w:rPr>
                <w:sz w:val="20"/>
                <w:szCs w:val="21"/>
                <w:lang w:val="fr-CH"/>
              </w:rPr>
            </w:pPr>
            <w:proofErr w:type="spellStart"/>
            <w:r>
              <w:rPr>
                <w:sz w:val="20"/>
                <w:szCs w:val="21"/>
                <w:lang w:val="fr-CH"/>
              </w:rPr>
              <w:t>69.900</w:t>
            </w:r>
            <w:proofErr w:type="spellEnd"/>
            <w:r>
              <w:rPr>
                <w:sz w:val="20"/>
                <w:szCs w:val="21"/>
                <w:lang w:val="fr-CH"/>
              </w:rPr>
              <w:t>%</w:t>
            </w:r>
          </w:p>
        </w:tc>
        <w:tc>
          <w:tcPr>
            <w:tcW w:w="1179" w:type="dxa"/>
          </w:tcPr>
          <w:p w:rsidR="00000000" w:rsidRDefault="00000000">
            <w:pPr>
              <w:keepNext/>
              <w:jc w:val="right"/>
              <w:rPr>
                <w:sz w:val="20"/>
                <w:lang w:val="fr-CH"/>
              </w:rPr>
            </w:pPr>
            <w:r>
              <w:rPr>
                <w:sz w:val="20"/>
                <w:szCs w:val="21"/>
                <w:lang w:val="fr-CH"/>
              </w:rPr>
              <w:t>629%</w:t>
            </w:r>
          </w:p>
        </w:tc>
      </w:tr>
      <w:tr w:rsidR="00000000">
        <w:tblPrEx>
          <w:tblCellMar>
            <w:top w:w="0" w:type="dxa"/>
            <w:bottom w:w="0" w:type="dxa"/>
          </w:tblCellMar>
        </w:tblPrEx>
        <w:tc>
          <w:tcPr>
            <w:tcW w:w="2566" w:type="dxa"/>
          </w:tcPr>
          <w:p w:rsidR="00000000" w:rsidRDefault="00000000">
            <w:pPr>
              <w:keepNext/>
              <w:rPr>
                <w:sz w:val="20"/>
                <w:szCs w:val="21"/>
                <w:lang w:val="fr-CH"/>
              </w:rPr>
            </w:pPr>
            <w:proofErr w:type="spellStart"/>
            <w:r>
              <w:rPr>
                <w:sz w:val="20"/>
                <w:szCs w:val="21"/>
                <w:lang w:val="fr-CH"/>
              </w:rPr>
              <w:t>Comp</w:t>
            </w:r>
            <w:proofErr w:type="spellEnd"/>
            <w:r>
              <w:rPr>
                <w:sz w:val="20"/>
                <w:szCs w:val="21"/>
                <w:lang w:val="fr-CH"/>
              </w:rPr>
              <w:t>. transporte</w:t>
            </w:r>
          </w:p>
        </w:tc>
        <w:tc>
          <w:tcPr>
            <w:tcW w:w="1131" w:type="dxa"/>
          </w:tcPr>
          <w:p w:rsidR="00000000" w:rsidRDefault="00000000">
            <w:pPr>
              <w:keepNext/>
              <w:jc w:val="right"/>
              <w:rPr>
                <w:sz w:val="20"/>
                <w:szCs w:val="21"/>
                <w:lang w:val="es-ES_tradnl"/>
              </w:rPr>
            </w:pPr>
            <w:r>
              <w:rPr>
                <w:sz w:val="20"/>
                <w:szCs w:val="21"/>
                <w:lang w:val="es-ES_tradnl"/>
              </w:rPr>
              <w:t>2.400</w:t>
            </w:r>
          </w:p>
        </w:tc>
        <w:tc>
          <w:tcPr>
            <w:tcW w:w="1131" w:type="dxa"/>
          </w:tcPr>
          <w:p w:rsidR="00000000" w:rsidRDefault="00000000">
            <w:pPr>
              <w:keepNext/>
              <w:jc w:val="right"/>
              <w:rPr>
                <w:sz w:val="20"/>
                <w:szCs w:val="21"/>
                <w:lang w:val="es-ES_tradnl"/>
              </w:rPr>
            </w:pPr>
            <w:r>
              <w:rPr>
                <w:sz w:val="20"/>
                <w:szCs w:val="21"/>
                <w:lang w:val="es-ES_tradnl"/>
              </w:rPr>
              <w:t>16.000</w:t>
            </w:r>
          </w:p>
        </w:tc>
        <w:tc>
          <w:tcPr>
            <w:tcW w:w="1131" w:type="dxa"/>
          </w:tcPr>
          <w:p w:rsidR="00000000" w:rsidRDefault="00000000">
            <w:pPr>
              <w:keepNext/>
              <w:jc w:val="right"/>
              <w:rPr>
                <w:sz w:val="20"/>
                <w:szCs w:val="21"/>
                <w:lang w:val="es-ES_tradnl"/>
              </w:rPr>
            </w:pPr>
            <w:r>
              <w:rPr>
                <w:sz w:val="20"/>
                <w:szCs w:val="21"/>
                <w:lang w:val="es-ES_tradnl"/>
              </w:rPr>
              <w:t>80.000</w:t>
            </w:r>
          </w:p>
        </w:tc>
        <w:tc>
          <w:tcPr>
            <w:tcW w:w="1178" w:type="dxa"/>
          </w:tcPr>
          <w:p w:rsidR="00000000" w:rsidRDefault="00000000">
            <w:pPr>
              <w:keepNext/>
              <w:jc w:val="right"/>
              <w:rPr>
                <w:sz w:val="20"/>
                <w:szCs w:val="21"/>
                <w:lang w:val="es-ES_tradnl"/>
              </w:rPr>
            </w:pPr>
            <w:r>
              <w:rPr>
                <w:sz w:val="20"/>
                <w:szCs w:val="21"/>
                <w:lang w:val="es-ES_tradnl"/>
              </w:rPr>
              <w:t>567%</w:t>
            </w:r>
          </w:p>
        </w:tc>
        <w:tc>
          <w:tcPr>
            <w:tcW w:w="1178" w:type="dxa"/>
          </w:tcPr>
          <w:p w:rsidR="00000000" w:rsidRDefault="00000000">
            <w:pPr>
              <w:keepNext/>
              <w:jc w:val="right"/>
              <w:rPr>
                <w:sz w:val="20"/>
                <w:szCs w:val="21"/>
                <w:lang w:val="es-ES_tradnl"/>
              </w:rPr>
            </w:pPr>
            <w:r>
              <w:rPr>
                <w:sz w:val="20"/>
                <w:szCs w:val="21"/>
                <w:lang w:val="es-ES_tradnl"/>
              </w:rPr>
              <w:t>3.233%</w:t>
            </w:r>
          </w:p>
        </w:tc>
        <w:tc>
          <w:tcPr>
            <w:tcW w:w="1179" w:type="dxa"/>
          </w:tcPr>
          <w:p w:rsidR="00000000" w:rsidRDefault="00000000">
            <w:pPr>
              <w:keepNext/>
              <w:jc w:val="right"/>
              <w:rPr>
                <w:sz w:val="20"/>
                <w:lang w:val="es-ES_tradnl"/>
              </w:rPr>
            </w:pPr>
            <w:r>
              <w:rPr>
                <w:sz w:val="20"/>
                <w:szCs w:val="21"/>
                <w:lang w:val="es-ES_tradnl"/>
              </w:rPr>
              <w:t>400%</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Decimosexto sueldo</w:t>
            </w:r>
          </w:p>
        </w:tc>
        <w:tc>
          <w:tcPr>
            <w:tcW w:w="1131" w:type="dxa"/>
          </w:tcPr>
          <w:p w:rsidR="00000000" w:rsidRDefault="00000000">
            <w:pPr>
              <w:keepNext/>
              <w:jc w:val="right"/>
              <w:rPr>
                <w:sz w:val="20"/>
                <w:szCs w:val="21"/>
                <w:lang w:val="es-ES_tradnl"/>
              </w:rPr>
            </w:pPr>
          </w:p>
        </w:tc>
        <w:tc>
          <w:tcPr>
            <w:tcW w:w="1131" w:type="dxa"/>
          </w:tcPr>
          <w:p w:rsidR="00000000" w:rsidRDefault="00000000">
            <w:pPr>
              <w:keepNext/>
              <w:jc w:val="right"/>
              <w:rPr>
                <w:sz w:val="20"/>
                <w:szCs w:val="21"/>
                <w:lang w:val="es-ES_tradnl"/>
              </w:rPr>
            </w:pPr>
            <w:r>
              <w:rPr>
                <w:sz w:val="20"/>
                <w:szCs w:val="21"/>
                <w:lang w:val="es-ES_tradnl"/>
              </w:rPr>
              <w:t>12.500</w:t>
            </w:r>
          </w:p>
        </w:tc>
        <w:tc>
          <w:tcPr>
            <w:tcW w:w="1131" w:type="dxa"/>
          </w:tcPr>
          <w:p w:rsidR="00000000" w:rsidRDefault="00000000">
            <w:pPr>
              <w:keepNext/>
              <w:jc w:val="right"/>
              <w:rPr>
                <w:sz w:val="20"/>
                <w:szCs w:val="21"/>
                <w:lang w:val="es-ES_tradnl"/>
              </w:rPr>
            </w:pPr>
            <w:r>
              <w:rPr>
                <w:sz w:val="20"/>
                <w:szCs w:val="21"/>
                <w:lang w:val="es-ES_tradnl"/>
              </w:rPr>
              <w:t>16.667</w:t>
            </w:r>
          </w:p>
        </w:tc>
        <w:tc>
          <w:tcPr>
            <w:tcW w:w="1178" w:type="dxa"/>
          </w:tcPr>
          <w:p w:rsidR="00000000" w:rsidRDefault="00000000">
            <w:pPr>
              <w:keepNext/>
              <w:jc w:val="right"/>
              <w:rPr>
                <w:sz w:val="20"/>
                <w:szCs w:val="21"/>
                <w:lang w:val="es-ES_tradnl"/>
              </w:rPr>
            </w:pPr>
          </w:p>
        </w:tc>
        <w:tc>
          <w:tcPr>
            <w:tcW w:w="1178" w:type="dxa"/>
          </w:tcPr>
          <w:p w:rsidR="00000000" w:rsidRDefault="00000000">
            <w:pPr>
              <w:keepNext/>
              <w:jc w:val="right"/>
              <w:rPr>
                <w:sz w:val="20"/>
                <w:szCs w:val="21"/>
                <w:lang w:val="es-ES_tradnl"/>
              </w:rPr>
            </w:pPr>
          </w:p>
        </w:tc>
        <w:tc>
          <w:tcPr>
            <w:tcW w:w="1179" w:type="dxa"/>
          </w:tcPr>
          <w:p w:rsidR="00000000" w:rsidRDefault="00000000">
            <w:pPr>
              <w:keepNext/>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rPr>
                <w:sz w:val="20"/>
                <w:szCs w:val="21"/>
                <w:lang w:val="es-ES_tradnl"/>
              </w:rPr>
            </w:pPr>
            <w:proofErr w:type="spellStart"/>
            <w:r>
              <w:rPr>
                <w:sz w:val="20"/>
                <w:szCs w:val="21"/>
                <w:lang w:val="es-ES_tradnl"/>
              </w:rPr>
              <w:t>Decimotercer</w:t>
            </w:r>
            <w:proofErr w:type="spellEnd"/>
            <w:r>
              <w:rPr>
                <w:sz w:val="20"/>
                <w:szCs w:val="21"/>
                <w:lang w:val="es-ES_tradnl"/>
              </w:rPr>
              <w:t xml:space="preserve"> sueldo</w:t>
            </w:r>
          </w:p>
        </w:tc>
        <w:tc>
          <w:tcPr>
            <w:tcW w:w="1131" w:type="dxa"/>
          </w:tcPr>
          <w:p w:rsidR="00000000" w:rsidRDefault="00000000">
            <w:pPr>
              <w:keepNext/>
              <w:jc w:val="right"/>
              <w:rPr>
                <w:sz w:val="20"/>
                <w:szCs w:val="21"/>
                <w:lang w:val="es-ES_tradnl"/>
              </w:rPr>
            </w:pPr>
            <w:r>
              <w:rPr>
                <w:sz w:val="20"/>
                <w:szCs w:val="21"/>
                <w:lang w:val="es-ES_tradnl"/>
              </w:rPr>
              <w:t>2.667</w:t>
            </w:r>
          </w:p>
        </w:tc>
        <w:tc>
          <w:tcPr>
            <w:tcW w:w="1131" w:type="dxa"/>
          </w:tcPr>
          <w:p w:rsidR="00000000" w:rsidRDefault="00000000">
            <w:pPr>
              <w:keepNext/>
              <w:jc w:val="right"/>
              <w:rPr>
                <w:sz w:val="20"/>
                <w:szCs w:val="21"/>
                <w:lang w:val="es-ES_tradnl"/>
              </w:rPr>
            </w:pPr>
            <w:r>
              <w:rPr>
                <w:sz w:val="20"/>
                <w:szCs w:val="21"/>
                <w:lang w:val="es-ES_tradnl"/>
              </w:rPr>
              <w:t>6.250</w:t>
            </w:r>
          </w:p>
        </w:tc>
        <w:tc>
          <w:tcPr>
            <w:tcW w:w="1131" w:type="dxa"/>
          </w:tcPr>
          <w:p w:rsidR="00000000" w:rsidRDefault="00000000">
            <w:pPr>
              <w:keepNext/>
              <w:jc w:val="right"/>
              <w:rPr>
                <w:sz w:val="20"/>
                <w:szCs w:val="21"/>
                <w:lang w:val="es-ES_tradnl"/>
              </w:rPr>
            </w:pPr>
            <w:r>
              <w:rPr>
                <w:sz w:val="20"/>
                <w:szCs w:val="21"/>
                <w:lang w:val="es-ES_tradnl"/>
              </w:rPr>
              <w:t>8.333</w:t>
            </w:r>
          </w:p>
        </w:tc>
        <w:tc>
          <w:tcPr>
            <w:tcW w:w="1178" w:type="dxa"/>
          </w:tcPr>
          <w:p w:rsidR="00000000" w:rsidRDefault="00000000">
            <w:pPr>
              <w:keepNext/>
              <w:jc w:val="right"/>
              <w:rPr>
                <w:sz w:val="20"/>
                <w:szCs w:val="21"/>
                <w:lang w:val="es-ES_tradnl"/>
              </w:rPr>
            </w:pPr>
            <w:r>
              <w:rPr>
                <w:sz w:val="20"/>
                <w:szCs w:val="21"/>
                <w:lang w:val="es-ES_tradnl"/>
              </w:rPr>
              <w:t>134%</w:t>
            </w:r>
          </w:p>
        </w:tc>
        <w:tc>
          <w:tcPr>
            <w:tcW w:w="1178" w:type="dxa"/>
          </w:tcPr>
          <w:p w:rsidR="00000000" w:rsidRDefault="00000000">
            <w:pPr>
              <w:keepNext/>
              <w:jc w:val="right"/>
              <w:rPr>
                <w:sz w:val="20"/>
                <w:szCs w:val="21"/>
                <w:lang w:val="es-ES_tradnl"/>
              </w:rPr>
            </w:pPr>
            <w:r>
              <w:rPr>
                <w:sz w:val="20"/>
                <w:szCs w:val="21"/>
                <w:lang w:val="es-ES_tradnl"/>
              </w:rPr>
              <w:t>212%</w:t>
            </w:r>
          </w:p>
        </w:tc>
        <w:tc>
          <w:tcPr>
            <w:tcW w:w="1179" w:type="dxa"/>
          </w:tcPr>
          <w:p w:rsidR="00000000" w:rsidRDefault="00000000">
            <w:pPr>
              <w:keepNext/>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Decimocuarto sueldo</w:t>
            </w:r>
          </w:p>
        </w:tc>
        <w:tc>
          <w:tcPr>
            <w:tcW w:w="1131" w:type="dxa"/>
          </w:tcPr>
          <w:p w:rsidR="00000000" w:rsidRDefault="00000000">
            <w:pPr>
              <w:keepNext/>
              <w:jc w:val="right"/>
              <w:rPr>
                <w:sz w:val="20"/>
                <w:szCs w:val="21"/>
                <w:lang w:val="es-ES_tradnl"/>
              </w:rPr>
            </w:pPr>
            <w:r>
              <w:rPr>
                <w:sz w:val="20"/>
                <w:szCs w:val="21"/>
                <w:lang w:val="es-ES_tradnl"/>
              </w:rPr>
              <w:t>5.333</w:t>
            </w:r>
          </w:p>
        </w:tc>
        <w:tc>
          <w:tcPr>
            <w:tcW w:w="1131" w:type="dxa"/>
          </w:tcPr>
          <w:p w:rsidR="00000000" w:rsidRDefault="00000000">
            <w:pPr>
              <w:keepNext/>
              <w:jc w:val="right"/>
              <w:rPr>
                <w:sz w:val="20"/>
                <w:szCs w:val="21"/>
                <w:lang w:val="es-ES_tradnl"/>
              </w:rPr>
            </w:pPr>
            <w:r>
              <w:rPr>
                <w:sz w:val="20"/>
                <w:szCs w:val="21"/>
                <w:lang w:val="es-ES_tradnl"/>
              </w:rPr>
              <w:t>12.500</w:t>
            </w:r>
          </w:p>
        </w:tc>
        <w:tc>
          <w:tcPr>
            <w:tcW w:w="1131" w:type="dxa"/>
          </w:tcPr>
          <w:p w:rsidR="00000000" w:rsidRDefault="00000000">
            <w:pPr>
              <w:keepNext/>
              <w:jc w:val="right"/>
              <w:rPr>
                <w:sz w:val="20"/>
                <w:szCs w:val="21"/>
                <w:lang w:val="es-ES_tradnl"/>
              </w:rPr>
            </w:pPr>
            <w:r>
              <w:rPr>
                <w:sz w:val="20"/>
                <w:szCs w:val="21"/>
                <w:lang w:val="es-ES_tradnl"/>
              </w:rPr>
              <w:t>16.667</w:t>
            </w:r>
          </w:p>
        </w:tc>
        <w:tc>
          <w:tcPr>
            <w:tcW w:w="1178" w:type="dxa"/>
          </w:tcPr>
          <w:p w:rsidR="00000000" w:rsidRDefault="00000000">
            <w:pPr>
              <w:keepNext/>
              <w:jc w:val="right"/>
              <w:rPr>
                <w:sz w:val="20"/>
                <w:szCs w:val="21"/>
                <w:lang w:val="es-ES_tradnl"/>
              </w:rPr>
            </w:pPr>
            <w:r>
              <w:rPr>
                <w:sz w:val="20"/>
                <w:szCs w:val="21"/>
                <w:lang w:val="es-ES_tradnl"/>
              </w:rPr>
              <w:t>134%</w:t>
            </w:r>
          </w:p>
        </w:tc>
        <w:tc>
          <w:tcPr>
            <w:tcW w:w="1178" w:type="dxa"/>
          </w:tcPr>
          <w:p w:rsidR="00000000" w:rsidRDefault="00000000">
            <w:pPr>
              <w:keepNext/>
              <w:jc w:val="right"/>
              <w:rPr>
                <w:sz w:val="20"/>
                <w:szCs w:val="21"/>
                <w:lang w:val="es-ES_tradnl"/>
              </w:rPr>
            </w:pPr>
            <w:r>
              <w:rPr>
                <w:sz w:val="20"/>
                <w:szCs w:val="21"/>
                <w:lang w:val="es-ES_tradnl"/>
              </w:rPr>
              <w:t>213%</w:t>
            </w:r>
          </w:p>
        </w:tc>
        <w:tc>
          <w:tcPr>
            <w:tcW w:w="1179" w:type="dxa"/>
          </w:tcPr>
          <w:p w:rsidR="00000000" w:rsidRDefault="00000000">
            <w:pPr>
              <w:keepNext/>
              <w:jc w:val="right"/>
              <w:rPr>
                <w:sz w:val="20"/>
              </w:rPr>
            </w:pPr>
            <w:r>
              <w:rPr>
                <w:sz w:val="20"/>
                <w:szCs w:val="21"/>
                <w:lang w:val="es-ES_tradnl"/>
              </w:rPr>
              <w:t>33%</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Decimoquinto sueldo</w:t>
            </w:r>
          </w:p>
        </w:tc>
        <w:tc>
          <w:tcPr>
            <w:tcW w:w="1131" w:type="dxa"/>
          </w:tcPr>
          <w:p w:rsidR="00000000" w:rsidRDefault="00000000">
            <w:pPr>
              <w:keepNext/>
              <w:jc w:val="right"/>
              <w:rPr>
                <w:sz w:val="20"/>
                <w:szCs w:val="21"/>
                <w:lang w:val="es-ES_tradnl"/>
              </w:rPr>
            </w:pPr>
            <w:r>
              <w:rPr>
                <w:sz w:val="20"/>
                <w:szCs w:val="21"/>
                <w:lang w:val="es-ES_tradnl"/>
              </w:rPr>
              <w:t>833</w:t>
            </w:r>
          </w:p>
        </w:tc>
        <w:tc>
          <w:tcPr>
            <w:tcW w:w="1131" w:type="dxa"/>
          </w:tcPr>
          <w:p w:rsidR="00000000" w:rsidRDefault="00000000">
            <w:pPr>
              <w:keepNext/>
              <w:jc w:val="right"/>
              <w:rPr>
                <w:sz w:val="20"/>
                <w:szCs w:val="21"/>
                <w:lang w:val="es-ES_tradnl"/>
              </w:rPr>
            </w:pPr>
            <w:r>
              <w:rPr>
                <w:sz w:val="20"/>
                <w:szCs w:val="21"/>
                <w:lang w:val="es-ES_tradnl"/>
              </w:rPr>
              <w:t>4.167</w:t>
            </w:r>
          </w:p>
        </w:tc>
        <w:tc>
          <w:tcPr>
            <w:tcW w:w="1131" w:type="dxa"/>
          </w:tcPr>
          <w:p w:rsidR="00000000" w:rsidRDefault="00000000">
            <w:pPr>
              <w:keepNext/>
              <w:jc w:val="right"/>
              <w:rPr>
                <w:sz w:val="20"/>
                <w:szCs w:val="21"/>
                <w:lang w:val="es-ES_tradnl"/>
              </w:rPr>
            </w:pPr>
            <w:r>
              <w:rPr>
                <w:sz w:val="20"/>
                <w:szCs w:val="21"/>
                <w:lang w:val="es-ES_tradnl"/>
              </w:rPr>
              <w:t>4.208</w:t>
            </w:r>
          </w:p>
        </w:tc>
        <w:tc>
          <w:tcPr>
            <w:tcW w:w="1178" w:type="dxa"/>
          </w:tcPr>
          <w:p w:rsidR="00000000" w:rsidRDefault="00000000">
            <w:pPr>
              <w:keepNext/>
              <w:jc w:val="right"/>
              <w:rPr>
                <w:sz w:val="20"/>
                <w:szCs w:val="21"/>
                <w:lang w:val="es-ES_tradnl"/>
              </w:rPr>
            </w:pPr>
            <w:r>
              <w:rPr>
                <w:sz w:val="20"/>
                <w:szCs w:val="21"/>
                <w:lang w:val="es-ES_tradnl"/>
              </w:rPr>
              <w:t>400%</w:t>
            </w:r>
          </w:p>
        </w:tc>
        <w:tc>
          <w:tcPr>
            <w:tcW w:w="1178" w:type="dxa"/>
          </w:tcPr>
          <w:p w:rsidR="00000000" w:rsidRDefault="00000000">
            <w:pPr>
              <w:keepNext/>
              <w:jc w:val="right"/>
              <w:rPr>
                <w:sz w:val="20"/>
                <w:szCs w:val="21"/>
                <w:lang w:val="es-ES_tradnl"/>
              </w:rPr>
            </w:pPr>
            <w:r>
              <w:rPr>
                <w:sz w:val="20"/>
                <w:szCs w:val="21"/>
                <w:lang w:val="es-ES_tradnl"/>
              </w:rPr>
              <w:t>405%</w:t>
            </w:r>
          </w:p>
        </w:tc>
        <w:tc>
          <w:tcPr>
            <w:tcW w:w="1179" w:type="dxa"/>
          </w:tcPr>
          <w:p w:rsidR="00000000" w:rsidRDefault="00000000">
            <w:pPr>
              <w:keepNext/>
              <w:jc w:val="right"/>
              <w:rPr>
                <w:sz w:val="20"/>
              </w:rPr>
            </w:pPr>
            <w:r>
              <w:rPr>
                <w:sz w:val="20"/>
                <w:szCs w:val="21"/>
                <w:lang w:val="es-ES_tradnl"/>
              </w:rPr>
              <w:t>1%</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Fondo de reserva</w:t>
            </w:r>
          </w:p>
        </w:tc>
        <w:tc>
          <w:tcPr>
            <w:tcW w:w="1131" w:type="dxa"/>
          </w:tcPr>
          <w:p w:rsidR="00000000" w:rsidRDefault="00000000">
            <w:pPr>
              <w:keepNext/>
              <w:jc w:val="right"/>
              <w:rPr>
                <w:sz w:val="20"/>
                <w:szCs w:val="21"/>
                <w:lang w:val="es-ES_tradnl"/>
              </w:rPr>
            </w:pPr>
            <w:r>
              <w:rPr>
                <w:sz w:val="20"/>
                <w:szCs w:val="21"/>
                <w:lang w:val="es-ES_tradnl"/>
              </w:rPr>
              <w:t>2.667</w:t>
            </w:r>
          </w:p>
        </w:tc>
        <w:tc>
          <w:tcPr>
            <w:tcW w:w="1131" w:type="dxa"/>
          </w:tcPr>
          <w:p w:rsidR="00000000" w:rsidRDefault="00000000">
            <w:pPr>
              <w:keepNext/>
              <w:jc w:val="right"/>
              <w:rPr>
                <w:sz w:val="20"/>
                <w:szCs w:val="21"/>
                <w:lang w:val="es-ES_tradnl"/>
              </w:rPr>
            </w:pPr>
            <w:r>
              <w:rPr>
                <w:sz w:val="20"/>
                <w:szCs w:val="21"/>
                <w:lang w:val="es-ES_tradnl"/>
              </w:rPr>
              <w:t>6.250</w:t>
            </w:r>
          </w:p>
        </w:tc>
        <w:tc>
          <w:tcPr>
            <w:tcW w:w="1131" w:type="dxa"/>
          </w:tcPr>
          <w:p w:rsidR="00000000" w:rsidRDefault="00000000">
            <w:pPr>
              <w:keepNext/>
              <w:jc w:val="right"/>
              <w:rPr>
                <w:sz w:val="20"/>
                <w:szCs w:val="21"/>
                <w:lang w:val="es-ES_tradnl"/>
              </w:rPr>
            </w:pPr>
            <w:r>
              <w:rPr>
                <w:sz w:val="20"/>
                <w:szCs w:val="21"/>
                <w:lang w:val="es-ES_tradnl"/>
              </w:rPr>
              <w:t>8.417</w:t>
            </w:r>
          </w:p>
        </w:tc>
        <w:tc>
          <w:tcPr>
            <w:tcW w:w="1178" w:type="dxa"/>
          </w:tcPr>
          <w:p w:rsidR="00000000" w:rsidRDefault="00000000">
            <w:pPr>
              <w:keepNext/>
              <w:jc w:val="right"/>
              <w:rPr>
                <w:sz w:val="20"/>
                <w:szCs w:val="21"/>
                <w:lang w:val="es-ES_tradnl"/>
              </w:rPr>
            </w:pPr>
            <w:r>
              <w:rPr>
                <w:sz w:val="20"/>
                <w:szCs w:val="21"/>
                <w:lang w:val="es-ES_tradnl"/>
              </w:rPr>
              <w:t>134%</w:t>
            </w:r>
          </w:p>
        </w:tc>
        <w:tc>
          <w:tcPr>
            <w:tcW w:w="1178" w:type="dxa"/>
          </w:tcPr>
          <w:p w:rsidR="00000000" w:rsidRDefault="00000000">
            <w:pPr>
              <w:keepNext/>
              <w:jc w:val="right"/>
              <w:rPr>
                <w:sz w:val="20"/>
                <w:szCs w:val="21"/>
                <w:lang w:val="es-ES_tradnl"/>
              </w:rPr>
            </w:pPr>
            <w:r>
              <w:rPr>
                <w:sz w:val="20"/>
                <w:szCs w:val="21"/>
                <w:lang w:val="es-ES_tradnl"/>
              </w:rPr>
              <w:t>216%</w:t>
            </w:r>
          </w:p>
        </w:tc>
        <w:tc>
          <w:tcPr>
            <w:tcW w:w="1179" w:type="dxa"/>
          </w:tcPr>
          <w:p w:rsidR="00000000" w:rsidRDefault="00000000">
            <w:pPr>
              <w:keepNext/>
              <w:jc w:val="right"/>
              <w:rPr>
                <w:sz w:val="20"/>
              </w:rPr>
            </w:pPr>
            <w:r>
              <w:rPr>
                <w:sz w:val="20"/>
                <w:szCs w:val="21"/>
                <w:lang w:val="es-ES_tradnl"/>
              </w:rPr>
              <w:t>35%</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 xml:space="preserve"> Ingreso total nominal</w:t>
            </w:r>
          </w:p>
        </w:tc>
        <w:tc>
          <w:tcPr>
            <w:tcW w:w="1131" w:type="dxa"/>
          </w:tcPr>
          <w:p w:rsidR="00000000" w:rsidRDefault="00000000">
            <w:pPr>
              <w:keepNext/>
              <w:jc w:val="right"/>
              <w:rPr>
                <w:sz w:val="20"/>
                <w:szCs w:val="21"/>
                <w:lang w:val="es-ES_tradnl"/>
              </w:rPr>
            </w:pPr>
            <w:r>
              <w:rPr>
                <w:sz w:val="20"/>
                <w:szCs w:val="21"/>
                <w:lang w:val="es-ES_tradnl"/>
              </w:rPr>
              <w:t>49.400</w:t>
            </w:r>
          </w:p>
        </w:tc>
        <w:tc>
          <w:tcPr>
            <w:tcW w:w="1131" w:type="dxa"/>
          </w:tcPr>
          <w:p w:rsidR="00000000" w:rsidRDefault="00000000">
            <w:pPr>
              <w:keepNext/>
              <w:jc w:val="right"/>
              <w:rPr>
                <w:sz w:val="20"/>
                <w:szCs w:val="21"/>
                <w:lang w:val="es-ES_tradnl"/>
              </w:rPr>
            </w:pPr>
            <w:r>
              <w:rPr>
                <w:sz w:val="20"/>
                <w:szCs w:val="21"/>
                <w:lang w:val="es-ES_tradnl"/>
              </w:rPr>
              <w:t>353.667</w:t>
            </w:r>
          </w:p>
        </w:tc>
        <w:tc>
          <w:tcPr>
            <w:tcW w:w="1131" w:type="dxa"/>
          </w:tcPr>
          <w:p w:rsidR="00000000" w:rsidRDefault="00000000">
            <w:pPr>
              <w:keepNext/>
              <w:jc w:val="right"/>
              <w:rPr>
                <w:sz w:val="20"/>
                <w:szCs w:val="21"/>
                <w:lang w:val="es-ES_tradnl"/>
              </w:rPr>
            </w:pPr>
            <w:r>
              <w:rPr>
                <w:sz w:val="20"/>
                <w:szCs w:val="21"/>
                <w:lang w:val="es-ES_tradnl"/>
              </w:rPr>
              <w:t>1.234.292</w:t>
            </w:r>
          </w:p>
        </w:tc>
        <w:tc>
          <w:tcPr>
            <w:tcW w:w="1178" w:type="dxa"/>
          </w:tcPr>
          <w:p w:rsidR="00000000" w:rsidRDefault="00000000">
            <w:pPr>
              <w:keepNext/>
              <w:jc w:val="right"/>
              <w:rPr>
                <w:sz w:val="20"/>
                <w:szCs w:val="21"/>
                <w:lang w:val="es-ES_tradnl"/>
              </w:rPr>
            </w:pPr>
            <w:r>
              <w:rPr>
                <w:sz w:val="20"/>
                <w:szCs w:val="21"/>
                <w:lang w:val="es-ES_tradnl"/>
              </w:rPr>
              <w:t>616%</w:t>
            </w:r>
          </w:p>
        </w:tc>
        <w:tc>
          <w:tcPr>
            <w:tcW w:w="1178" w:type="dxa"/>
          </w:tcPr>
          <w:p w:rsidR="00000000" w:rsidRDefault="00000000">
            <w:pPr>
              <w:keepNext/>
              <w:jc w:val="right"/>
              <w:rPr>
                <w:sz w:val="20"/>
                <w:szCs w:val="21"/>
                <w:lang w:val="es-ES_tradnl"/>
              </w:rPr>
            </w:pPr>
            <w:r>
              <w:rPr>
                <w:sz w:val="20"/>
                <w:szCs w:val="21"/>
                <w:lang w:val="es-ES_tradnl"/>
              </w:rPr>
              <w:t>2.399%</w:t>
            </w:r>
          </w:p>
        </w:tc>
        <w:tc>
          <w:tcPr>
            <w:tcW w:w="1179" w:type="dxa"/>
          </w:tcPr>
          <w:p w:rsidR="00000000" w:rsidRDefault="00000000">
            <w:pPr>
              <w:keepNext/>
              <w:jc w:val="right"/>
              <w:rPr>
                <w:sz w:val="20"/>
              </w:rPr>
            </w:pPr>
            <w:r>
              <w:rPr>
                <w:sz w:val="20"/>
                <w:szCs w:val="21"/>
                <w:lang w:val="es-ES_tradnl"/>
              </w:rPr>
              <w:t>249%</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Canasta básica</w:t>
            </w:r>
          </w:p>
        </w:tc>
        <w:tc>
          <w:tcPr>
            <w:tcW w:w="1131" w:type="dxa"/>
          </w:tcPr>
          <w:p w:rsidR="00000000" w:rsidRDefault="00000000">
            <w:pPr>
              <w:keepNext/>
              <w:jc w:val="right"/>
              <w:rPr>
                <w:sz w:val="20"/>
                <w:szCs w:val="21"/>
                <w:lang w:val="es-ES_tradnl"/>
              </w:rPr>
            </w:pPr>
            <w:r>
              <w:rPr>
                <w:sz w:val="20"/>
                <w:szCs w:val="21"/>
                <w:lang w:val="es-ES_tradnl"/>
              </w:rPr>
              <w:t>124.785</w:t>
            </w:r>
          </w:p>
        </w:tc>
        <w:tc>
          <w:tcPr>
            <w:tcW w:w="1131" w:type="dxa"/>
          </w:tcPr>
          <w:p w:rsidR="00000000" w:rsidRDefault="00000000">
            <w:pPr>
              <w:keepNext/>
              <w:jc w:val="right"/>
              <w:rPr>
                <w:sz w:val="20"/>
                <w:szCs w:val="21"/>
                <w:lang w:val="es-ES_tradnl"/>
              </w:rPr>
            </w:pPr>
            <w:r>
              <w:rPr>
                <w:sz w:val="20"/>
                <w:szCs w:val="21"/>
                <w:lang w:val="es-ES_tradnl"/>
              </w:rPr>
              <w:t>858.832</w:t>
            </w:r>
          </w:p>
        </w:tc>
        <w:tc>
          <w:tcPr>
            <w:tcW w:w="1131" w:type="dxa"/>
          </w:tcPr>
          <w:p w:rsidR="00000000" w:rsidRDefault="00000000">
            <w:pPr>
              <w:keepNext/>
              <w:jc w:val="right"/>
              <w:rPr>
                <w:sz w:val="20"/>
                <w:szCs w:val="21"/>
                <w:lang w:val="es-ES_tradnl"/>
              </w:rPr>
            </w:pPr>
            <w:r>
              <w:rPr>
                <w:sz w:val="20"/>
                <w:szCs w:val="21"/>
                <w:lang w:val="es-ES_tradnl"/>
              </w:rPr>
              <w:t>3.990.099</w:t>
            </w:r>
          </w:p>
        </w:tc>
        <w:tc>
          <w:tcPr>
            <w:tcW w:w="1178" w:type="dxa"/>
          </w:tcPr>
          <w:p w:rsidR="00000000" w:rsidRDefault="00000000">
            <w:pPr>
              <w:keepNext/>
              <w:jc w:val="right"/>
              <w:rPr>
                <w:sz w:val="20"/>
                <w:szCs w:val="21"/>
                <w:lang w:val="es-ES_tradnl"/>
              </w:rPr>
            </w:pPr>
            <w:r>
              <w:rPr>
                <w:sz w:val="20"/>
                <w:szCs w:val="21"/>
                <w:lang w:val="es-ES_tradnl"/>
              </w:rPr>
              <w:t>588%</w:t>
            </w:r>
          </w:p>
        </w:tc>
        <w:tc>
          <w:tcPr>
            <w:tcW w:w="1178" w:type="dxa"/>
          </w:tcPr>
          <w:p w:rsidR="00000000" w:rsidRDefault="00000000">
            <w:pPr>
              <w:keepNext/>
              <w:jc w:val="right"/>
              <w:rPr>
                <w:sz w:val="20"/>
                <w:szCs w:val="21"/>
                <w:lang w:val="es-ES_tradnl"/>
              </w:rPr>
            </w:pPr>
            <w:r>
              <w:rPr>
                <w:sz w:val="20"/>
                <w:szCs w:val="21"/>
                <w:lang w:val="es-ES_tradnl"/>
              </w:rPr>
              <w:t>3.098%</w:t>
            </w:r>
          </w:p>
        </w:tc>
        <w:tc>
          <w:tcPr>
            <w:tcW w:w="1179" w:type="dxa"/>
          </w:tcPr>
          <w:p w:rsidR="00000000" w:rsidRDefault="00000000">
            <w:pPr>
              <w:keepNext/>
              <w:jc w:val="right"/>
              <w:rPr>
                <w:sz w:val="20"/>
              </w:rPr>
            </w:pPr>
            <w:r>
              <w:rPr>
                <w:sz w:val="20"/>
                <w:szCs w:val="21"/>
                <w:lang w:val="es-ES_tradnl"/>
              </w:rPr>
              <w:t>365%</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IPC</w:t>
            </w:r>
          </w:p>
        </w:tc>
        <w:tc>
          <w:tcPr>
            <w:tcW w:w="1131" w:type="dxa"/>
          </w:tcPr>
          <w:p w:rsidR="00000000" w:rsidRDefault="00000000">
            <w:pPr>
              <w:keepNext/>
              <w:jc w:val="right"/>
              <w:rPr>
                <w:sz w:val="20"/>
                <w:szCs w:val="21"/>
                <w:lang w:val="es-ES_tradnl"/>
              </w:rPr>
            </w:pPr>
            <w:r>
              <w:rPr>
                <w:sz w:val="20"/>
                <w:szCs w:val="21"/>
                <w:lang w:val="es-ES_tradnl"/>
              </w:rPr>
              <w:t>17,1</w:t>
            </w:r>
          </w:p>
        </w:tc>
        <w:tc>
          <w:tcPr>
            <w:tcW w:w="1131" w:type="dxa"/>
          </w:tcPr>
          <w:p w:rsidR="00000000" w:rsidRDefault="00000000">
            <w:pPr>
              <w:keepNext/>
              <w:jc w:val="right"/>
              <w:rPr>
                <w:sz w:val="20"/>
                <w:szCs w:val="21"/>
                <w:lang w:val="es-ES_tradnl"/>
              </w:rPr>
            </w:pPr>
            <w:r>
              <w:rPr>
                <w:sz w:val="20"/>
                <w:szCs w:val="21"/>
                <w:lang w:val="es-ES_tradnl"/>
              </w:rPr>
              <w:t>99,5</w:t>
            </w:r>
          </w:p>
        </w:tc>
        <w:tc>
          <w:tcPr>
            <w:tcW w:w="1131" w:type="dxa"/>
          </w:tcPr>
          <w:p w:rsidR="00000000" w:rsidRDefault="00000000">
            <w:pPr>
              <w:keepNext/>
              <w:jc w:val="right"/>
              <w:rPr>
                <w:sz w:val="20"/>
                <w:szCs w:val="21"/>
                <w:lang w:val="es-ES_tradnl"/>
              </w:rPr>
            </w:pPr>
            <w:r>
              <w:rPr>
                <w:sz w:val="20"/>
                <w:szCs w:val="21"/>
                <w:lang w:val="es-ES_tradnl"/>
              </w:rPr>
              <w:t>448,7</w:t>
            </w:r>
          </w:p>
        </w:tc>
        <w:tc>
          <w:tcPr>
            <w:tcW w:w="1178" w:type="dxa"/>
          </w:tcPr>
          <w:p w:rsidR="00000000" w:rsidRDefault="00000000">
            <w:pPr>
              <w:keepNext/>
              <w:jc w:val="right"/>
              <w:rPr>
                <w:sz w:val="20"/>
                <w:szCs w:val="21"/>
                <w:lang w:val="es-ES_tradnl"/>
              </w:rPr>
            </w:pPr>
            <w:r>
              <w:rPr>
                <w:sz w:val="20"/>
                <w:szCs w:val="21"/>
                <w:lang w:val="es-ES_tradnl"/>
              </w:rPr>
              <w:t>4,8</w:t>
            </w:r>
          </w:p>
        </w:tc>
        <w:tc>
          <w:tcPr>
            <w:tcW w:w="1178" w:type="dxa"/>
          </w:tcPr>
          <w:p w:rsidR="00000000" w:rsidRDefault="00000000">
            <w:pPr>
              <w:keepNext/>
              <w:jc w:val="right"/>
              <w:rPr>
                <w:sz w:val="20"/>
                <w:szCs w:val="21"/>
                <w:lang w:val="es-ES_tradnl"/>
              </w:rPr>
            </w:pPr>
            <w:r>
              <w:rPr>
                <w:sz w:val="20"/>
                <w:szCs w:val="21"/>
                <w:lang w:val="es-ES_tradnl"/>
              </w:rPr>
              <w:t>25,2</w:t>
            </w:r>
          </w:p>
        </w:tc>
        <w:tc>
          <w:tcPr>
            <w:tcW w:w="1179" w:type="dxa"/>
          </w:tcPr>
          <w:p w:rsidR="00000000" w:rsidRDefault="00000000">
            <w:pPr>
              <w:keepNext/>
              <w:jc w:val="right"/>
              <w:rPr>
                <w:sz w:val="20"/>
              </w:rPr>
            </w:pPr>
            <w:r>
              <w:rPr>
                <w:sz w:val="20"/>
                <w:szCs w:val="21"/>
                <w:lang w:val="es-ES_tradnl"/>
              </w:rPr>
              <w:t>3,5</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 xml:space="preserve">Ingreso familiar </w:t>
            </w:r>
            <w:proofErr w:type="spellStart"/>
            <w:r>
              <w:rPr>
                <w:sz w:val="20"/>
                <w:szCs w:val="21"/>
                <w:lang w:val="es-ES_tradnl"/>
              </w:rPr>
              <w:t>disp</w:t>
            </w:r>
            <w:proofErr w:type="spellEnd"/>
            <w:r>
              <w:rPr>
                <w:sz w:val="20"/>
                <w:szCs w:val="21"/>
                <w:lang w:val="es-ES_tradnl"/>
              </w:rPr>
              <w:t>.</w:t>
            </w:r>
          </w:p>
        </w:tc>
        <w:tc>
          <w:tcPr>
            <w:tcW w:w="1131" w:type="dxa"/>
          </w:tcPr>
          <w:p w:rsidR="00000000" w:rsidRDefault="00000000">
            <w:pPr>
              <w:keepNext/>
              <w:jc w:val="right"/>
              <w:rPr>
                <w:sz w:val="20"/>
                <w:szCs w:val="21"/>
                <w:lang w:val="es-ES_tradnl"/>
              </w:rPr>
            </w:pPr>
            <w:r>
              <w:rPr>
                <w:sz w:val="20"/>
                <w:szCs w:val="21"/>
                <w:lang w:val="es-ES_tradnl"/>
              </w:rPr>
              <w:t>79.534</w:t>
            </w:r>
          </w:p>
        </w:tc>
        <w:tc>
          <w:tcPr>
            <w:tcW w:w="1131" w:type="dxa"/>
          </w:tcPr>
          <w:p w:rsidR="00000000" w:rsidRDefault="00000000">
            <w:pPr>
              <w:keepNext/>
              <w:jc w:val="right"/>
              <w:rPr>
                <w:sz w:val="20"/>
                <w:szCs w:val="21"/>
                <w:lang w:val="es-ES_tradnl"/>
              </w:rPr>
            </w:pPr>
            <w:r>
              <w:rPr>
                <w:sz w:val="20"/>
                <w:szCs w:val="21"/>
                <w:lang w:val="es-ES_tradnl"/>
              </w:rPr>
              <w:t>569.403</w:t>
            </w:r>
          </w:p>
        </w:tc>
        <w:tc>
          <w:tcPr>
            <w:tcW w:w="1131" w:type="dxa"/>
          </w:tcPr>
          <w:p w:rsidR="00000000" w:rsidRDefault="00000000">
            <w:pPr>
              <w:keepNext/>
              <w:jc w:val="right"/>
              <w:rPr>
                <w:sz w:val="20"/>
                <w:szCs w:val="21"/>
                <w:lang w:val="es-ES_tradnl"/>
              </w:rPr>
            </w:pPr>
            <w:r>
              <w:rPr>
                <w:sz w:val="20"/>
                <w:szCs w:val="21"/>
                <w:lang w:val="es-ES_tradnl"/>
              </w:rPr>
              <w:t>1.987.210</w:t>
            </w:r>
          </w:p>
        </w:tc>
        <w:tc>
          <w:tcPr>
            <w:tcW w:w="1178" w:type="dxa"/>
          </w:tcPr>
          <w:p w:rsidR="00000000" w:rsidRDefault="00000000">
            <w:pPr>
              <w:keepNext/>
              <w:jc w:val="right"/>
              <w:rPr>
                <w:sz w:val="20"/>
                <w:szCs w:val="21"/>
                <w:lang w:val="es-ES_tradnl"/>
              </w:rPr>
            </w:pPr>
            <w:r>
              <w:rPr>
                <w:sz w:val="20"/>
                <w:szCs w:val="21"/>
                <w:lang w:val="es-ES_tradnl"/>
              </w:rPr>
              <w:t>616%</w:t>
            </w:r>
          </w:p>
        </w:tc>
        <w:tc>
          <w:tcPr>
            <w:tcW w:w="1178" w:type="dxa"/>
          </w:tcPr>
          <w:p w:rsidR="00000000" w:rsidRDefault="00000000">
            <w:pPr>
              <w:keepNext/>
              <w:jc w:val="right"/>
              <w:rPr>
                <w:sz w:val="20"/>
                <w:szCs w:val="21"/>
                <w:lang w:val="es-ES_tradnl"/>
              </w:rPr>
            </w:pPr>
            <w:r>
              <w:rPr>
                <w:sz w:val="20"/>
                <w:szCs w:val="21"/>
                <w:lang w:val="es-ES_tradnl"/>
              </w:rPr>
              <w:t>2.399%</w:t>
            </w:r>
          </w:p>
        </w:tc>
        <w:tc>
          <w:tcPr>
            <w:tcW w:w="1179" w:type="dxa"/>
          </w:tcPr>
          <w:p w:rsidR="00000000" w:rsidRDefault="00000000">
            <w:pPr>
              <w:keepNext/>
              <w:jc w:val="right"/>
              <w:rPr>
                <w:sz w:val="20"/>
              </w:rPr>
            </w:pPr>
            <w:r>
              <w:rPr>
                <w:sz w:val="20"/>
                <w:szCs w:val="21"/>
                <w:lang w:val="es-ES_tradnl"/>
              </w:rPr>
              <w:t>249%</w:t>
            </w:r>
          </w:p>
        </w:tc>
      </w:tr>
      <w:tr w:rsidR="00000000">
        <w:tblPrEx>
          <w:tblCellMar>
            <w:top w:w="0" w:type="dxa"/>
            <w:bottom w:w="0" w:type="dxa"/>
          </w:tblCellMar>
        </w:tblPrEx>
        <w:tc>
          <w:tcPr>
            <w:tcW w:w="2566" w:type="dxa"/>
          </w:tcPr>
          <w:p w:rsidR="00000000" w:rsidRDefault="00000000">
            <w:pPr>
              <w:keepNext/>
              <w:rPr>
                <w:sz w:val="20"/>
                <w:szCs w:val="21"/>
                <w:lang w:val="es-ES_tradnl"/>
              </w:rPr>
            </w:pPr>
            <w:r>
              <w:rPr>
                <w:sz w:val="20"/>
                <w:szCs w:val="21"/>
                <w:lang w:val="es-ES_tradnl"/>
              </w:rPr>
              <w:t>Ingreso total real</w:t>
            </w:r>
          </w:p>
        </w:tc>
        <w:tc>
          <w:tcPr>
            <w:tcW w:w="1131" w:type="dxa"/>
          </w:tcPr>
          <w:p w:rsidR="00000000" w:rsidRDefault="00000000">
            <w:pPr>
              <w:keepNext/>
              <w:jc w:val="right"/>
              <w:rPr>
                <w:sz w:val="20"/>
                <w:szCs w:val="21"/>
                <w:lang w:val="es-ES_tradnl"/>
              </w:rPr>
            </w:pPr>
            <w:r>
              <w:rPr>
                <w:sz w:val="20"/>
                <w:szCs w:val="21"/>
                <w:lang w:val="es-ES_tradnl"/>
              </w:rPr>
              <w:t>288.889</w:t>
            </w:r>
          </w:p>
        </w:tc>
        <w:tc>
          <w:tcPr>
            <w:tcW w:w="1131" w:type="dxa"/>
          </w:tcPr>
          <w:p w:rsidR="00000000" w:rsidRDefault="00000000">
            <w:pPr>
              <w:keepNext/>
              <w:jc w:val="right"/>
              <w:rPr>
                <w:sz w:val="20"/>
                <w:szCs w:val="21"/>
                <w:lang w:val="es-ES_tradnl"/>
              </w:rPr>
            </w:pPr>
            <w:r>
              <w:rPr>
                <w:sz w:val="20"/>
                <w:szCs w:val="21"/>
                <w:lang w:val="es-ES_tradnl"/>
              </w:rPr>
              <w:t>355.444</w:t>
            </w:r>
          </w:p>
        </w:tc>
        <w:tc>
          <w:tcPr>
            <w:tcW w:w="1131" w:type="dxa"/>
          </w:tcPr>
          <w:p w:rsidR="00000000" w:rsidRDefault="00000000">
            <w:pPr>
              <w:keepNext/>
              <w:jc w:val="right"/>
              <w:rPr>
                <w:sz w:val="20"/>
                <w:szCs w:val="21"/>
                <w:lang w:val="es-ES_tradnl"/>
              </w:rPr>
            </w:pPr>
            <w:r>
              <w:rPr>
                <w:sz w:val="20"/>
                <w:szCs w:val="21"/>
                <w:lang w:val="es-ES_tradnl"/>
              </w:rPr>
              <w:t>275.082</w:t>
            </w:r>
          </w:p>
        </w:tc>
        <w:tc>
          <w:tcPr>
            <w:tcW w:w="1178" w:type="dxa"/>
          </w:tcPr>
          <w:p w:rsidR="00000000" w:rsidRDefault="00000000">
            <w:pPr>
              <w:keepNext/>
              <w:jc w:val="right"/>
              <w:rPr>
                <w:sz w:val="20"/>
                <w:szCs w:val="21"/>
                <w:lang w:val="es-ES_tradnl"/>
              </w:rPr>
            </w:pPr>
            <w:r>
              <w:rPr>
                <w:sz w:val="20"/>
                <w:szCs w:val="21"/>
                <w:lang w:val="es-ES_tradnl"/>
              </w:rPr>
              <w:t>23%</w:t>
            </w:r>
          </w:p>
        </w:tc>
        <w:tc>
          <w:tcPr>
            <w:tcW w:w="1178" w:type="dxa"/>
          </w:tcPr>
          <w:p w:rsidR="00000000" w:rsidRDefault="00000000">
            <w:pPr>
              <w:keepNext/>
              <w:jc w:val="right"/>
              <w:rPr>
                <w:sz w:val="20"/>
                <w:szCs w:val="21"/>
                <w:lang w:val="es-ES_tradnl"/>
              </w:rPr>
            </w:pPr>
            <w:r>
              <w:rPr>
                <w:sz w:val="20"/>
                <w:szCs w:val="21"/>
                <w:lang w:val="es-ES_tradnl"/>
              </w:rPr>
              <w:t>-5%</w:t>
            </w:r>
          </w:p>
        </w:tc>
        <w:tc>
          <w:tcPr>
            <w:tcW w:w="1179" w:type="dxa"/>
          </w:tcPr>
          <w:p w:rsidR="00000000" w:rsidRDefault="00000000">
            <w:pPr>
              <w:keepNext/>
              <w:jc w:val="right"/>
              <w:rPr>
                <w:sz w:val="20"/>
              </w:rPr>
            </w:pPr>
            <w:r>
              <w:rPr>
                <w:sz w:val="20"/>
                <w:szCs w:val="21"/>
                <w:lang w:val="es-ES_tradnl"/>
              </w:rPr>
              <w:t>-23%</w:t>
            </w:r>
          </w:p>
        </w:tc>
      </w:tr>
      <w:tr w:rsidR="00000000">
        <w:tblPrEx>
          <w:tblCellMar>
            <w:top w:w="0" w:type="dxa"/>
            <w:bottom w:w="0" w:type="dxa"/>
          </w:tblCellMar>
        </w:tblPrEx>
        <w:tc>
          <w:tcPr>
            <w:tcW w:w="2566" w:type="dxa"/>
          </w:tcPr>
          <w:p w:rsidR="00000000" w:rsidRDefault="00000000">
            <w:pPr>
              <w:keepNext/>
              <w:rPr>
                <w:sz w:val="20"/>
                <w:szCs w:val="21"/>
                <w:lang w:val="es-ES_tradnl"/>
              </w:rPr>
            </w:pPr>
            <w:proofErr w:type="spellStart"/>
            <w:r>
              <w:rPr>
                <w:sz w:val="20"/>
                <w:szCs w:val="21"/>
                <w:lang w:val="es-ES_tradnl"/>
              </w:rPr>
              <w:t>Financ</w:t>
            </w:r>
            <w:proofErr w:type="spellEnd"/>
            <w:r>
              <w:rPr>
                <w:sz w:val="20"/>
                <w:szCs w:val="21"/>
                <w:lang w:val="es-ES_tradnl"/>
              </w:rPr>
              <w:t>. can. básica</w:t>
            </w:r>
          </w:p>
        </w:tc>
        <w:tc>
          <w:tcPr>
            <w:tcW w:w="1131" w:type="dxa"/>
          </w:tcPr>
          <w:p w:rsidR="00000000" w:rsidRDefault="00000000">
            <w:pPr>
              <w:keepNext/>
              <w:jc w:val="right"/>
              <w:rPr>
                <w:sz w:val="20"/>
                <w:szCs w:val="21"/>
                <w:lang w:val="es-ES_tradnl"/>
              </w:rPr>
            </w:pPr>
            <w:r>
              <w:rPr>
                <w:sz w:val="20"/>
                <w:szCs w:val="21"/>
                <w:lang w:val="es-ES_tradnl"/>
              </w:rPr>
              <w:t>63,7%</w:t>
            </w:r>
          </w:p>
        </w:tc>
        <w:tc>
          <w:tcPr>
            <w:tcW w:w="1131" w:type="dxa"/>
          </w:tcPr>
          <w:p w:rsidR="00000000" w:rsidRDefault="00000000">
            <w:pPr>
              <w:keepNext/>
              <w:jc w:val="right"/>
              <w:rPr>
                <w:sz w:val="20"/>
                <w:szCs w:val="21"/>
                <w:lang w:val="es-ES_tradnl"/>
              </w:rPr>
            </w:pPr>
            <w:r>
              <w:rPr>
                <w:sz w:val="20"/>
                <w:szCs w:val="21"/>
                <w:lang w:val="es-ES_tradnl"/>
              </w:rPr>
              <w:t>66,3%</w:t>
            </w:r>
          </w:p>
        </w:tc>
        <w:tc>
          <w:tcPr>
            <w:tcW w:w="1131" w:type="dxa"/>
          </w:tcPr>
          <w:p w:rsidR="00000000" w:rsidRDefault="00000000">
            <w:pPr>
              <w:keepNext/>
              <w:jc w:val="right"/>
              <w:rPr>
                <w:sz w:val="20"/>
                <w:szCs w:val="21"/>
                <w:lang w:val="es-ES_tradnl"/>
              </w:rPr>
            </w:pPr>
            <w:r>
              <w:rPr>
                <w:sz w:val="20"/>
                <w:szCs w:val="21"/>
                <w:lang w:val="es-ES_tradnl"/>
              </w:rPr>
              <w:t>49,8%</w:t>
            </w:r>
          </w:p>
        </w:tc>
        <w:tc>
          <w:tcPr>
            <w:tcW w:w="1178" w:type="dxa"/>
          </w:tcPr>
          <w:p w:rsidR="00000000" w:rsidRDefault="00000000">
            <w:pPr>
              <w:keepNext/>
              <w:jc w:val="right"/>
              <w:rPr>
                <w:sz w:val="20"/>
                <w:szCs w:val="21"/>
                <w:lang w:val="es-ES_tradnl"/>
              </w:rPr>
            </w:pPr>
            <w:r>
              <w:rPr>
                <w:sz w:val="20"/>
                <w:szCs w:val="21"/>
                <w:lang w:val="es-ES_tradnl"/>
              </w:rPr>
              <w:t>4%</w:t>
            </w:r>
          </w:p>
        </w:tc>
        <w:tc>
          <w:tcPr>
            <w:tcW w:w="1178" w:type="dxa"/>
          </w:tcPr>
          <w:p w:rsidR="00000000" w:rsidRDefault="00000000">
            <w:pPr>
              <w:keepNext/>
              <w:jc w:val="right"/>
              <w:rPr>
                <w:sz w:val="20"/>
                <w:szCs w:val="21"/>
                <w:lang w:val="es-ES_tradnl"/>
              </w:rPr>
            </w:pPr>
            <w:r>
              <w:rPr>
                <w:sz w:val="20"/>
                <w:szCs w:val="21"/>
                <w:lang w:val="es-ES_tradnl"/>
              </w:rPr>
              <w:t>-21,9%</w:t>
            </w:r>
          </w:p>
        </w:tc>
        <w:tc>
          <w:tcPr>
            <w:tcW w:w="1179" w:type="dxa"/>
          </w:tcPr>
          <w:p w:rsidR="00000000" w:rsidRDefault="00000000">
            <w:pPr>
              <w:keepNext/>
              <w:jc w:val="right"/>
              <w:rPr>
                <w:sz w:val="20"/>
              </w:rPr>
            </w:pPr>
            <w:r>
              <w:rPr>
                <w:sz w:val="20"/>
                <w:szCs w:val="21"/>
                <w:lang w:val="es-ES_tradnl"/>
              </w:rPr>
              <w:t>-24,9%</w:t>
            </w:r>
          </w:p>
        </w:tc>
      </w:tr>
    </w:tbl>
    <w:p w:rsidR="00000000" w:rsidRDefault="00000000">
      <w:pPr>
        <w:spacing w:before="160" w:after="160"/>
        <w:rPr>
          <w:sz w:val="20"/>
        </w:rPr>
      </w:pPr>
      <w:r>
        <w:rPr>
          <w:i/>
          <w:iCs/>
          <w:sz w:val="20"/>
          <w:szCs w:val="21"/>
          <w:lang w:val="es-ES_tradnl"/>
        </w:rPr>
        <w:t>Fuente</w:t>
      </w:r>
      <w:r>
        <w:rPr>
          <w:sz w:val="20"/>
          <w:szCs w:val="21"/>
          <w:lang w:val="es-ES_tradnl"/>
        </w:rPr>
        <w:t xml:space="preserve">:  INEC, datos del </w:t>
      </w:r>
      <w:proofErr w:type="spellStart"/>
      <w:r>
        <w:rPr>
          <w:sz w:val="20"/>
          <w:szCs w:val="21"/>
          <w:lang w:val="es-ES_tradnl"/>
        </w:rPr>
        <w:t>IPCU</w:t>
      </w:r>
      <w:proofErr w:type="spellEnd"/>
      <w:r>
        <w:rPr>
          <w:sz w:val="20"/>
          <w:szCs w:val="21"/>
          <w:lang w:val="es-ES_tradnl"/>
        </w:rPr>
        <w:t xml:space="preserve"> inflación y Canasta familiar básica / MTRH, datos de remuneraciones.</w:t>
      </w:r>
    </w:p>
    <w:p w:rsidR="00000000" w:rsidRDefault="00000000">
      <w:pPr>
        <w:spacing w:after="320"/>
        <w:rPr>
          <w:sz w:val="20"/>
        </w:rPr>
      </w:pPr>
      <w:r>
        <w:rPr>
          <w:i/>
          <w:iCs/>
          <w:sz w:val="20"/>
          <w:szCs w:val="21"/>
          <w:lang w:val="es-ES_tradnl"/>
        </w:rPr>
        <w:t xml:space="preserve">Nota:  </w:t>
      </w:r>
      <w:r>
        <w:rPr>
          <w:sz w:val="20"/>
          <w:szCs w:val="21"/>
          <w:lang w:val="es-ES_tradnl"/>
        </w:rPr>
        <w:t>Costo de canasta básica para un hogar de cinco miembros.  Ingreso familiar disponible mensual con 1,61 perceptores de salario mínimo vital.  IPC Índice de Precios al Consumidor Urbano, fuente INEC.  Financiamiento de la canasta básica.  Ingreso familiar dividido para el Costo de la Canasta Familiar Básica.</w:t>
      </w:r>
    </w:p>
    <w:p w:rsidR="00000000" w:rsidRDefault="00000000">
      <w:pPr>
        <w:spacing w:after="240"/>
      </w:pPr>
      <w:r>
        <w:rPr>
          <w:lang w:val="es-ES_tradnl"/>
        </w:rPr>
        <w:t>104.</w:t>
      </w:r>
      <w:r>
        <w:rPr>
          <w:lang w:val="es-ES_tradnl"/>
        </w:rPr>
        <w:tab/>
        <w:t>El comportamiento del salario mínimo vital general y otros rubros que por ley forman parte del ingreso del trabajador en general, evidenciando una variación global de 33 y de 249 %, respectivamente en el período de enero de 1995 a diciembre de 1999.  Respecto al Índice de Precios al Consumidor se ha elevado en 351%, es decir en un porcentaje superior al ingreso nominal, lo que implica un deterioro del ingreso real en el orden de -23%.</w:t>
      </w:r>
    </w:p>
    <w:p w:rsidR="00000000" w:rsidRDefault="00000000">
      <w:pPr>
        <w:spacing w:after="240"/>
        <w:rPr>
          <w:lang w:val="es-ES_tradnl"/>
        </w:rPr>
      </w:pPr>
      <w:r>
        <w:rPr>
          <w:lang w:val="es-ES_tradnl"/>
        </w:rPr>
        <w:t>105.</w:t>
      </w:r>
      <w:r>
        <w:rPr>
          <w:lang w:val="es-ES_tradnl"/>
        </w:rPr>
        <w:tab/>
        <w:t>La canasta familiar básica y la canasta familiar de pobreza constituyen instrumentos importantes para la determinación de las necesidades básicas de los trabajadores y sus familias.  Este estudio lo realiza mensualmente el INEC y es elaborado para una familia tipo de cinco miembros, considerando los rubros de alimentación, vivienda, indumentaria y misceláneos, con la diferencia de que en el primer caso se contemplan los requerimientos mínimos de los hogares urbanos de ingresos medio-bajos, mientras en el segundo caso se determinan las necesidades mínimas de subsistencia de los estratos más pobres de la población.</w:t>
      </w:r>
    </w:p>
    <w:p w:rsidR="00000000" w:rsidRDefault="00000000">
      <w:pPr>
        <w:spacing w:after="240"/>
      </w:pPr>
      <w:r>
        <w:rPr>
          <w:lang w:val="es-ES_tradnl"/>
        </w:rPr>
        <w:t>106.</w:t>
      </w:r>
      <w:r>
        <w:rPr>
          <w:lang w:val="es-ES_tradnl"/>
        </w:rPr>
        <w:tab/>
        <w:t>El ingreso familiar se obtiene considerando el 1,61 perceptores del salario mínimo vital, y al relacionarlo con el costo de la canasta familiar respectiva se determina el nivel de financiamiento o, a su vez, el déficit en el consumo familiar.</w:t>
      </w:r>
    </w:p>
    <w:p w:rsidR="00000000" w:rsidRDefault="00000000">
      <w:pPr>
        <w:spacing w:after="240"/>
      </w:pPr>
      <w:r>
        <w:t>107.</w:t>
      </w:r>
      <w:r>
        <w:tab/>
      </w:r>
      <w:r>
        <w:rPr>
          <w:lang w:val="es-ES_tradnl"/>
        </w:rPr>
        <w:t>Se observa también la dinámica que ha sufrido el costo de la canasta, que en enero de 1995 registra un valor de 858.832 sucres, y a diciembre de 1999 asciende a 3.990.099 sucres, dando lugar a una variación global de 365%.  Ello implica que mientras a enero de 1995 el nivel de financiamiento se ubicó en 66,3%, a diciembre de 1999 registra 49,8%, determinando un desgaste en el consumo de -25% en el período analizado.</w:t>
      </w:r>
    </w:p>
    <w:p w:rsidR="00000000" w:rsidRDefault="00000000">
      <w:pPr>
        <w:spacing w:after="240"/>
        <w:rPr>
          <w:i/>
          <w:iCs/>
        </w:rPr>
      </w:pPr>
      <w:r>
        <w:rPr>
          <w:i/>
          <w:iCs/>
          <w:lang w:val="es-ES_tradnl"/>
        </w:rPr>
        <w:t>Sistema de supervisión salarial</w:t>
      </w:r>
    </w:p>
    <w:p w:rsidR="00000000" w:rsidRDefault="00000000">
      <w:pPr>
        <w:spacing w:after="240"/>
      </w:pPr>
      <w:r>
        <w:rPr>
          <w:lang w:val="es-ES_tradnl"/>
        </w:rPr>
        <w:t>108.</w:t>
      </w:r>
      <w:r>
        <w:rPr>
          <w:lang w:val="es-ES_tradnl"/>
        </w:rPr>
        <w:tab/>
        <w:t>Los sueldos y salarios son fijados conforme a las disposiciones legales; sin embargo, la supervisión de su cumplimiento no ha sido factible últimamente por motivos de austeridad fiscal.  No obstante, a través de las inspectorías de trabajo del país se realizan las respectivas inspecciones cuando existen reclamos por parte de trabajadores o empleadores.</w:t>
      </w:r>
    </w:p>
    <w:p w:rsidR="00000000" w:rsidRDefault="00000000">
      <w:pPr>
        <w:spacing w:after="240"/>
      </w:pPr>
      <w:r>
        <w:rPr>
          <w:lang w:val="es-ES_tradnl"/>
        </w:rPr>
        <w:t>109.</w:t>
      </w:r>
      <w:r>
        <w:rPr>
          <w:lang w:val="es-ES_tradnl"/>
        </w:rPr>
        <w:tab/>
        <w:t>Realizan la vigilancia las inspectorías de trabajo del Ministerio de Trabajo y Recursos Humanos, que son las encargadas de velar y exigir el fiel cumplimiento de las disposiciones legales.  El ajuste del salario mínimo vital se realiza en forma semestral, anualmente los sueldos, salarios y tarifas mínimas sectoriales.</w:t>
      </w:r>
    </w:p>
    <w:p w:rsidR="00000000" w:rsidRDefault="00000000">
      <w:pPr>
        <w:spacing w:after="240"/>
        <w:rPr>
          <w:i/>
          <w:iCs/>
        </w:rPr>
      </w:pPr>
      <w:r>
        <w:rPr>
          <w:i/>
          <w:iCs/>
          <w:lang w:val="es-ES_tradnl"/>
        </w:rPr>
        <w:t>Igualdad de remuneraciones</w:t>
      </w:r>
    </w:p>
    <w:p w:rsidR="00000000" w:rsidRDefault="00000000">
      <w:pPr>
        <w:spacing w:after="240"/>
      </w:pPr>
      <w:r>
        <w:rPr>
          <w:lang w:val="es-ES_tradnl"/>
        </w:rPr>
        <w:t>110.</w:t>
      </w:r>
      <w:r>
        <w:rPr>
          <w:lang w:val="es-ES_tradnl"/>
        </w:rPr>
        <w:tab/>
        <w:t>El manejo de desigualdades no es una práctica común en el Ecuador; sin embargo, se están difundiendo mecanismos y técnicas para incorporar en todo el quehacer nacional los derechos garantizados en la Constitución Política vigente y en los instrumentos internacionales como parte del capital social que impulse la modernidad.</w:t>
      </w:r>
    </w:p>
    <w:p w:rsidR="00000000" w:rsidRDefault="00000000">
      <w:pPr>
        <w:spacing w:after="240"/>
      </w:pPr>
      <w:r>
        <w:rPr>
          <w:lang w:val="es-ES_tradnl"/>
        </w:rPr>
        <w:t>111.</w:t>
      </w:r>
      <w:r>
        <w:rPr>
          <w:lang w:val="es-ES_tradnl"/>
        </w:rPr>
        <w:tab/>
        <w:t>La Constitución propicia la incorporación de las mujeres al trabajo remunerado en igualdad de derechos y oportunidades, garantizándose idéntica remuneración por trabajo de igual valor.  Cabe mencionar además que la nueva Constitución reconoce como trabajo productivo el trabajo doméstico no remunerado.</w:t>
      </w:r>
    </w:p>
    <w:p w:rsidR="00000000" w:rsidRDefault="00000000">
      <w:pPr>
        <w:spacing w:after="240"/>
      </w:pPr>
      <w:r>
        <w:rPr>
          <w:lang w:val="es-ES_tradnl"/>
        </w:rPr>
        <w:t>112.</w:t>
      </w:r>
      <w:r>
        <w:rPr>
          <w:lang w:val="es-ES_tradnl"/>
        </w:rPr>
        <w:tab/>
        <w:t>En el sector público se mantiene idéntica remuneración entre hombres y mujeres que ocupan igual puesto o efectúan igual trabajo.  Las diferencias que se encuentran son respecto a la ocupación mayoritariamente masculina de puestos de dirección, y cuando se comparan las diversas entidades del sector público, pues en este caso sí se encuentra diferencias sustanciales en el nivel de remuneraciones.</w:t>
      </w:r>
    </w:p>
    <w:p w:rsidR="00000000" w:rsidRDefault="00000000">
      <w:pPr>
        <w:spacing w:after="240"/>
      </w:pPr>
      <w:r>
        <w:rPr>
          <w:lang w:val="es-ES_tradnl"/>
        </w:rPr>
        <w:t>113.</w:t>
      </w:r>
      <w:r>
        <w:rPr>
          <w:lang w:val="es-ES_tradnl"/>
        </w:rPr>
        <w:tab/>
        <w:t xml:space="preserve">El trabajo con una remuneración justa es un derecho que no admite discriminación alguna.  Las disposiciones </w:t>
      </w:r>
      <w:proofErr w:type="spellStart"/>
      <w:r>
        <w:rPr>
          <w:lang w:val="es-ES_tradnl"/>
        </w:rPr>
        <w:t>salariales</w:t>
      </w:r>
      <w:proofErr w:type="spellEnd"/>
      <w:r>
        <w:rPr>
          <w:lang w:val="es-ES_tradnl"/>
        </w:rPr>
        <w:t xml:space="preserve"> emitidas para los trabajadores que laboran protegidos por el Código del Trabajo a escala nacional son generales para ambos sexos.  En todo caso, mediante las comisiones sectoriales se procura remunerar el factor trabajo de acuerdo a las funciones que realizan, para lo cual se determinan las diferentes estructuras ocupacionales en cada rama de actividad.</w:t>
      </w:r>
    </w:p>
    <w:p w:rsidR="00000000" w:rsidRDefault="00000000">
      <w:pPr>
        <w:spacing w:after="240"/>
      </w:pPr>
      <w:r>
        <w:rPr>
          <w:lang w:val="es-ES_tradnl"/>
        </w:rPr>
        <w:t>114.</w:t>
      </w:r>
      <w:r>
        <w:rPr>
          <w:lang w:val="es-ES_tradnl"/>
        </w:rPr>
        <w:tab/>
        <w:t xml:space="preserve">A pesar de que los sueldos y salarios mínimos sectoriales se fijan sin discriminación de género, estudios realizados por el </w:t>
      </w:r>
      <w:proofErr w:type="spellStart"/>
      <w:r>
        <w:rPr>
          <w:lang w:val="es-ES_tradnl"/>
        </w:rPr>
        <w:t>CONAMU</w:t>
      </w:r>
      <w:proofErr w:type="spellEnd"/>
      <w:r>
        <w:rPr>
          <w:lang w:val="es-ES_tradnl"/>
        </w:rPr>
        <w:t xml:space="preserve"> han permitido evidenciar que existe desigualdad en cuanto al pago de remuneraciones por el trabajo de las mujeres en los trabajos informales.</w:t>
      </w:r>
    </w:p>
    <w:p w:rsidR="00000000" w:rsidRDefault="00000000">
      <w:pPr>
        <w:spacing w:after="240"/>
      </w:pPr>
      <w:r>
        <w:rPr>
          <w:lang w:val="es-ES_tradnl"/>
        </w:rPr>
        <w:t>115.</w:t>
      </w:r>
      <w:r>
        <w:rPr>
          <w:lang w:val="es-ES_tradnl"/>
        </w:rPr>
        <w:tab/>
        <w:t>Respecto a qué medidas se han adoptado para evitar la discriminación a las mujeres en cuanto a la equidad de remuneración por el trabajo de igual valor, el artículo 1 de la Ley de amparo laboral de la mujer, de 16 de enero de 1997, estipula la contratación de un porcentaje mínimo de trabajadoras.</w:t>
      </w:r>
    </w:p>
    <w:p w:rsidR="00000000" w:rsidRDefault="00000000">
      <w:pPr>
        <w:spacing w:after="240"/>
      </w:pPr>
      <w:r>
        <w:rPr>
          <w:lang w:val="es-ES_tradnl"/>
        </w:rPr>
        <w:t>116.</w:t>
      </w:r>
      <w:r>
        <w:rPr>
          <w:lang w:val="es-ES_tradnl"/>
        </w:rPr>
        <w:tab/>
        <w:t xml:space="preserve">En el marco del convenio suscrito entre el </w:t>
      </w:r>
      <w:proofErr w:type="spellStart"/>
      <w:r>
        <w:rPr>
          <w:lang w:val="es-ES_tradnl"/>
        </w:rPr>
        <w:t>CONAMU</w:t>
      </w:r>
      <w:proofErr w:type="spellEnd"/>
      <w:r>
        <w:rPr>
          <w:lang w:val="es-ES_tradnl"/>
        </w:rPr>
        <w:t xml:space="preserve"> y el Ministerio de Trabajo y Recursos Humanos se ha previsto coordinar acciones de mutuo interés para aplicar el principio de equidad de género y beneficiar a las mujeres, tanto en el acceso al mercado laboral como en los ingresos, y reducir la brecha entre hombres y mujeres.</w:t>
      </w:r>
    </w:p>
    <w:p w:rsidR="00000000" w:rsidRDefault="00000000">
      <w:pPr>
        <w:spacing w:after="240"/>
      </w:pPr>
      <w:r>
        <w:t>117.</w:t>
      </w:r>
      <w:r>
        <w:tab/>
      </w:r>
      <w:r>
        <w:rPr>
          <w:lang w:val="es-ES_tradnl"/>
        </w:rPr>
        <w:t xml:space="preserve">Uno de los compromisos que tiene el Ministerio de Trabajo y Recursos Humanos es establecer, proveer y actualizar información estadística sobre el acceso de las mujeres al empleo y salarios; en este ámbito se ha previsto procesar la información que posee esta institución con el objeto de </w:t>
      </w:r>
      <w:proofErr w:type="spellStart"/>
      <w:r>
        <w:rPr>
          <w:lang w:val="es-ES_tradnl"/>
        </w:rPr>
        <w:t>visibilizar</w:t>
      </w:r>
      <w:proofErr w:type="spellEnd"/>
      <w:r>
        <w:rPr>
          <w:lang w:val="es-ES_tradnl"/>
        </w:rPr>
        <w:t xml:space="preserve"> la situación de la mujer respecto al empleo y los salarios por rama de actividad económica.   Al respecto cabe indicar que se están definiendo algunos términos del proyecto para su inmediata ejecución de acuerdo al cronograma establecido.</w:t>
      </w:r>
    </w:p>
    <w:p w:rsidR="00000000" w:rsidRDefault="00000000">
      <w:pPr>
        <w:spacing w:after="240"/>
      </w:pPr>
      <w:r>
        <w:rPr>
          <w:lang w:val="es-ES_tradnl"/>
        </w:rPr>
        <w:t>118.</w:t>
      </w:r>
      <w:r>
        <w:rPr>
          <w:lang w:val="es-ES_tradnl"/>
        </w:rPr>
        <w:tab/>
        <w:t>El análisis de los resultados obtenidos en el procesamiento de esta información servirá de punto de partida para la aplicación de la Ley de amparo laboral de la mujer en lo referente a esta materia.</w:t>
      </w:r>
    </w:p>
    <w:p w:rsidR="00000000" w:rsidRDefault="00000000">
      <w:pPr>
        <w:spacing w:after="240"/>
      </w:pPr>
      <w:r>
        <w:rPr>
          <w:lang w:val="es-ES_tradnl"/>
        </w:rPr>
        <w:t>119.</w:t>
      </w:r>
      <w:r>
        <w:rPr>
          <w:lang w:val="es-ES_tradnl"/>
        </w:rPr>
        <w:tab/>
        <w:t xml:space="preserve">Los proyectos especiales de empleo desarrollados por el Ministerio de Trabajo y Recursos Humanos procuran la generación de nuevos puestos de trabajo de carácter permanente </w:t>
      </w:r>
      <w:proofErr w:type="spellStart"/>
      <w:r>
        <w:rPr>
          <w:lang w:val="es-ES_tradnl"/>
        </w:rPr>
        <w:t>y/o</w:t>
      </w:r>
      <w:proofErr w:type="spellEnd"/>
      <w:r>
        <w:rPr>
          <w:lang w:val="es-ES_tradnl"/>
        </w:rPr>
        <w:t xml:space="preserve"> el mejoramiento de los existentes, elevando su nivel de vida e ingresos, apoyando en el proceso de redistribución de los recursos hacia los sectores más pobres de la población, incidiendo además en la disminución de la migración del campo a la ciudad.</w:t>
      </w:r>
    </w:p>
    <w:p w:rsidR="00000000" w:rsidRDefault="00000000">
      <w:pPr>
        <w:spacing w:after="240"/>
      </w:pPr>
      <w:r>
        <w:t>120.</w:t>
      </w:r>
      <w:r>
        <w:tab/>
      </w:r>
      <w:r>
        <w:rPr>
          <w:lang w:val="es-ES_tradnl"/>
        </w:rPr>
        <w:t>En tal razón se desarrollan procesos de control, seguimiento y evaluación, que se miden tanto en el nivel de impacto y rentabilidad como el número de la población beneficiaria directa e indirecta, en el cumplimiento de los objetivos y metas con el que se diseña cada uno de los proyectos.  Para cumplir con estos procesos existen los instrumentos diseñados para el efecto.</w:t>
      </w:r>
    </w:p>
    <w:p w:rsidR="00000000" w:rsidRDefault="00000000">
      <w:pPr>
        <w:spacing w:after="240"/>
      </w:pPr>
      <w:r>
        <w:rPr>
          <w:lang w:val="es-ES_tradnl"/>
        </w:rPr>
        <w:t>121.</w:t>
      </w:r>
      <w:r>
        <w:rPr>
          <w:lang w:val="es-ES_tradnl"/>
        </w:rPr>
        <w:tab/>
        <w:t>Igualmente, el mencionado Ministerio cumple con una función de intermediación entre oferentes y demandantes de mano de obra.  En tal razón, una vez efectuado dicho proceso se realizan evaluaciones periódicas que permiten medir el grado de aceptación y de adaptabilidad al puesto de trabajo y a través de estadísticas se mide el porcentaje de personal colocado de acuerdo a la oferta y la demanda.</w:t>
      </w:r>
    </w:p>
    <w:p w:rsidR="00000000" w:rsidRDefault="00000000">
      <w:pPr>
        <w:spacing w:after="240"/>
        <w:rPr>
          <w:i/>
          <w:iCs/>
        </w:rPr>
      </w:pPr>
      <w:r>
        <w:rPr>
          <w:i/>
          <w:iCs/>
          <w:lang w:val="es-ES_tradnl"/>
        </w:rPr>
        <w:t>Sectores público y privado</w:t>
      </w:r>
    </w:p>
    <w:p w:rsidR="00000000" w:rsidRDefault="00000000">
      <w:pPr>
        <w:spacing w:after="240"/>
      </w:pPr>
      <w:r>
        <w:rPr>
          <w:lang w:val="es-ES_tradnl"/>
        </w:rPr>
        <w:t>122.</w:t>
      </w:r>
      <w:r>
        <w:rPr>
          <w:lang w:val="es-ES_tradnl"/>
        </w:rPr>
        <w:tab/>
        <w:t>Los sueldos mínimos vitales y sectoriales que se fijan para los trabajadores amparados en el Código del Trabajo rigen en el ámbito nacional tanto para el sector público como para el sector privado.  Sin embargo, en cada sector se otorgan ciertos beneficios adicionales de acuerdo a las posibilidades económicas de las empresas o de los presupuestos fiscales, beneficios que son de orden pecuniario y no pecuniario.</w:t>
      </w:r>
    </w:p>
    <w:p w:rsidR="00000000" w:rsidRDefault="00000000">
      <w:pPr>
        <w:spacing w:after="240"/>
      </w:pPr>
      <w:r>
        <w:rPr>
          <w:lang w:val="es-ES_tradnl"/>
        </w:rPr>
        <w:t>123.</w:t>
      </w:r>
      <w:r>
        <w:rPr>
          <w:lang w:val="es-ES_tradnl"/>
        </w:rPr>
        <w:tab/>
        <w:t>De acuerdo a lo dispuesto por ley, los componentes que forman parte del ingreso total de los trabajadores de los sectores público y privado que se encuentran amparados bajo el Código del Trabajo son los siguientes:</w:t>
      </w:r>
    </w:p>
    <w:p w:rsidR="00000000" w:rsidRDefault="00000000">
      <w:pPr>
        <w:spacing w:after="240"/>
        <w:ind w:left="1134" w:hanging="567"/>
      </w:pPr>
      <w:r>
        <w:rPr>
          <w:lang w:val="es-ES_tradnl"/>
        </w:rPr>
        <w:t>a)</w:t>
      </w:r>
      <w:r>
        <w:rPr>
          <w:lang w:val="es-ES_tradnl"/>
        </w:rPr>
        <w:tab/>
        <w:t xml:space="preserve">Sueldo o salario básico:  de conformidad con lo dispuesto en los artículos 133 y 119 del Código del Trabajo, el Estado garantiza tanto el sueldo mínimo vital como los sueldos, salarios </w:t>
      </w:r>
      <w:proofErr w:type="spellStart"/>
      <w:r>
        <w:rPr>
          <w:lang w:val="es-ES_tradnl"/>
        </w:rPr>
        <w:t>y/o</w:t>
      </w:r>
      <w:proofErr w:type="spellEnd"/>
      <w:r>
        <w:rPr>
          <w:lang w:val="es-ES_tradnl"/>
        </w:rPr>
        <w:t xml:space="preserve"> tarifas mínimas por rama de actividad económica a través de los organismos competentes.</w:t>
      </w:r>
    </w:p>
    <w:p w:rsidR="00000000" w:rsidRDefault="00000000">
      <w:pPr>
        <w:spacing w:after="240"/>
        <w:ind w:left="1134" w:hanging="567"/>
      </w:pPr>
      <w:r>
        <w:rPr>
          <w:lang w:val="es-ES_tradnl"/>
        </w:rPr>
        <w:t>b)</w:t>
      </w:r>
      <w:r>
        <w:rPr>
          <w:lang w:val="es-ES_tradnl"/>
        </w:rPr>
        <w:tab/>
        <w:t>Compensación costo de vida:  tienen derecho a percibir los trabajadores que perciben sueldos básicos de hasta 600.000 sucres.  Quienes ganan sueldos superiores, la compensación es de 205.000 mensuales.</w:t>
      </w:r>
    </w:p>
    <w:p w:rsidR="00000000" w:rsidRDefault="00000000">
      <w:pPr>
        <w:spacing w:after="240"/>
        <w:ind w:left="1134" w:hanging="567"/>
      </w:pPr>
      <w:r>
        <w:t>c)</w:t>
      </w:r>
      <w:r>
        <w:tab/>
      </w:r>
      <w:r>
        <w:rPr>
          <w:lang w:val="es-ES_tradnl"/>
        </w:rPr>
        <w:t>Bonificación complementaria:  se ha establecido en 7 millones de sucres anuales, que debe pagarse en diez dividendos iguales con la segunda quincena del sueldo o salario, excepto en los meses de septiembre y diciembre (artículos </w:t>
      </w:r>
      <w:proofErr w:type="spellStart"/>
      <w:r>
        <w:rPr>
          <w:lang w:val="es-ES_tradnl"/>
        </w:rPr>
        <w:t>l15</w:t>
      </w:r>
      <w:proofErr w:type="spellEnd"/>
      <w:r>
        <w:rPr>
          <w:lang w:val="es-ES_tradnl"/>
        </w:rPr>
        <w:t xml:space="preserve"> a 118 del Código del Trabajo).</w:t>
      </w:r>
    </w:p>
    <w:p w:rsidR="00000000" w:rsidRDefault="00000000">
      <w:pPr>
        <w:spacing w:after="240"/>
        <w:ind w:left="1134" w:hanging="567"/>
      </w:pPr>
      <w:r>
        <w:rPr>
          <w:lang w:val="es-ES_tradnl"/>
        </w:rPr>
        <w:t>d)</w:t>
      </w:r>
      <w:r>
        <w:rPr>
          <w:lang w:val="es-ES_tradnl"/>
        </w:rPr>
        <w:tab/>
        <w:t xml:space="preserve">Decimosexto sueldo:  se creó mediante Ley </w:t>
      </w:r>
      <w:proofErr w:type="spellStart"/>
      <w:r>
        <w:rPr>
          <w:lang w:val="es-ES_tradnl"/>
        </w:rPr>
        <w:t>Nº</w:t>
      </w:r>
      <w:proofErr w:type="spellEnd"/>
      <w:r>
        <w:rPr>
          <w:lang w:val="es-ES_tradnl"/>
        </w:rPr>
        <w:t xml:space="preserve"> 19,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90 de 18 de diciembre de 1992.  Es equivalente a la octava parte del sueldo básico:  nadie percibirá menos de la doceava parte de dos salarios mínimos vitales generales vigentes, ni más de un salario mínimo general por este concepto.</w:t>
      </w:r>
    </w:p>
    <w:p w:rsidR="00000000" w:rsidRDefault="00000000">
      <w:pPr>
        <w:spacing w:after="240"/>
        <w:ind w:left="1134" w:hanging="567"/>
      </w:pPr>
      <w:r>
        <w:rPr>
          <w:lang w:val="es-ES_tradnl"/>
        </w:rPr>
        <w:t>e)</w:t>
      </w:r>
      <w:r>
        <w:rPr>
          <w:lang w:val="es-ES_tradnl"/>
        </w:rPr>
        <w:tab/>
        <w:t xml:space="preserve">Compensación del transporte:  tienen derecho a percibir quienes, al no recibir el servicio de transporte, ganan en concepto de sueldo básico hasta un valor equivalente a dos salarios mínimos vitales generales vigentes, y siempre que su residencia se encuentre distante en un radio de 1 </w:t>
      </w:r>
      <w:proofErr w:type="spellStart"/>
      <w:r>
        <w:rPr>
          <w:lang w:val="es-ES_tradnl"/>
        </w:rPr>
        <w:t>km</w:t>
      </w:r>
      <w:proofErr w:type="spellEnd"/>
      <w:r>
        <w:rPr>
          <w:lang w:val="es-ES_tradnl"/>
        </w:rPr>
        <w:t xml:space="preserve"> del lugar de trabajo; se calcula multiplicando la tarifa de transporte urbano en bus que señale el Consejo Nacional de Tránsito por cuatro pasajes diarios y por 20 días laborables.</w:t>
      </w:r>
    </w:p>
    <w:p w:rsidR="00000000" w:rsidRDefault="00000000">
      <w:pPr>
        <w:spacing w:after="240"/>
        <w:ind w:left="1134" w:hanging="567"/>
      </w:pPr>
      <w:r>
        <w:rPr>
          <w:lang w:val="es-ES_tradnl"/>
        </w:rPr>
        <w:t>f)</w:t>
      </w:r>
      <w:r>
        <w:rPr>
          <w:lang w:val="es-ES_tradnl"/>
        </w:rPr>
        <w:tab/>
      </w:r>
      <w:proofErr w:type="spellStart"/>
      <w:r>
        <w:rPr>
          <w:lang w:val="es-ES_tradnl"/>
        </w:rPr>
        <w:t>Decimotercer</w:t>
      </w:r>
      <w:proofErr w:type="spellEnd"/>
      <w:r>
        <w:rPr>
          <w:lang w:val="es-ES_tradnl"/>
        </w:rPr>
        <w:t xml:space="preserve"> sueldo:  equivale a la doceava parte de lo ganado en el período del 1º de diciembre del año anterior al 30 de noviembre del año que corresponda el pago, considerando sueldos básicos, horas suplementarias y extraordinarias, comisiones, etc. (artículos 95, 111 y 112 del Código del Trabajo).  Se pagará hasta el 24 de diciembre.</w:t>
      </w:r>
    </w:p>
    <w:p w:rsidR="00000000" w:rsidRDefault="00000000">
      <w:pPr>
        <w:spacing w:after="240"/>
        <w:ind w:left="1134" w:hanging="567"/>
      </w:pPr>
      <w:r>
        <w:t>g)</w:t>
      </w:r>
      <w:r>
        <w:tab/>
      </w:r>
      <w:r>
        <w:rPr>
          <w:lang w:val="es-ES_tradnl"/>
        </w:rPr>
        <w:t>Decimocuarto sueldo:  es el valor de dos salarios mínimos vitales generales vigentes, a pagarse hasta el 15 de septiembre, del período comprendido del 1º de septiembre del año anterior al 31 de agosto del año que corresponde el pago (artículos 113 y 114 del Código del Trabajo).</w:t>
      </w:r>
    </w:p>
    <w:p w:rsidR="00000000" w:rsidRDefault="00000000">
      <w:pPr>
        <w:spacing w:after="240"/>
        <w:ind w:left="1134" w:hanging="567"/>
      </w:pPr>
      <w:r>
        <w:rPr>
          <w:lang w:val="es-ES_tradnl"/>
        </w:rPr>
        <w:t>h)</w:t>
      </w:r>
      <w:r>
        <w:rPr>
          <w:lang w:val="es-ES_tradnl"/>
        </w:rPr>
        <w:tab/>
        <w:t xml:space="preserve">Decimoquinto sueldo:  el valor es de 50.000 sucres, a pagarse en cinco cuotas de 10.000 sucres en los primeros siete días de los meses de febrero, abril, junio, agosto y octubre.  Período del 1º de febrero del año anterior al 31 de enero del año que corresponde el pago (Ley </w:t>
      </w:r>
      <w:proofErr w:type="spellStart"/>
      <w:r>
        <w:rPr>
          <w:lang w:val="es-ES_tradnl"/>
        </w:rPr>
        <w:t>Nº</w:t>
      </w:r>
      <w:proofErr w:type="spellEnd"/>
      <w:r>
        <w:rPr>
          <w:lang w:val="es-ES_tradnl"/>
        </w:rPr>
        <w:t xml:space="preserve"> 79,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464, de 22 de junio de 1990).</w:t>
      </w:r>
    </w:p>
    <w:p w:rsidR="00000000" w:rsidRDefault="00000000">
      <w:pPr>
        <w:spacing w:after="240"/>
        <w:ind w:left="1134" w:hanging="567"/>
      </w:pPr>
      <w:proofErr w:type="spellStart"/>
      <w:r>
        <w:rPr>
          <w:lang w:val="es-ES_tradnl"/>
        </w:rPr>
        <w:t>i</w:t>
      </w:r>
      <w:proofErr w:type="spellEnd"/>
      <w:r>
        <w:rPr>
          <w:lang w:val="es-ES_tradnl"/>
        </w:rPr>
        <w:t>)</w:t>
      </w:r>
      <w:r>
        <w:rPr>
          <w:lang w:val="es-ES_tradnl"/>
        </w:rPr>
        <w:tab/>
        <w:t xml:space="preserve">Fondo de reserva:  se calcula en forma similar que el </w:t>
      </w:r>
      <w:proofErr w:type="spellStart"/>
      <w:r>
        <w:rPr>
          <w:lang w:val="es-ES_tradnl"/>
        </w:rPr>
        <w:t>decimotercer</w:t>
      </w:r>
      <w:proofErr w:type="spellEnd"/>
      <w:r>
        <w:rPr>
          <w:lang w:val="es-ES_tradnl"/>
        </w:rPr>
        <w:t xml:space="preserve"> sueldo, pero considerando el respectivo período, según la fecha de ingreso.  Tiene derecho una vez que haya cumplido el segundo año de servicio, valor que el empleador debe depositar en el IESS (artículos 196 y 201 del Código del Trabajo).</w:t>
      </w:r>
    </w:p>
    <w:p w:rsidR="00000000" w:rsidRDefault="00000000">
      <w:pPr>
        <w:spacing w:after="240"/>
        <w:ind w:left="1134" w:hanging="567"/>
      </w:pPr>
      <w:r>
        <w:rPr>
          <w:lang w:val="es-ES_tradnl"/>
        </w:rPr>
        <w:t>j)</w:t>
      </w:r>
      <w:r>
        <w:rPr>
          <w:lang w:val="es-ES_tradnl"/>
        </w:rPr>
        <w:tab/>
        <w:t xml:space="preserve">Utilidades:  los trabajadores privados tienen derecho al reparto de utilidades anuales de la empresa, para lo cual se toma como base las declaraciones o liquidaciones que se hagan para el efecto de pago de impuesto a la renta (artículos 97 a 110 del Código del Trabajo, y las correspondientes reformas establecidas mediante Ley </w:t>
      </w:r>
      <w:proofErr w:type="spellStart"/>
      <w:r>
        <w:rPr>
          <w:lang w:val="es-ES_tradnl"/>
        </w:rPr>
        <w:t>Nº</w:t>
      </w:r>
      <w:proofErr w:type="spellEnd"/>
      <w:r>
        <w:rPr>
          <w:lang w:val="es-ES_tradnl"/>
        </w:rPr>
        <w:t xml:space="preserve"> 85,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672 de abril 1995).  Para el cálculo de este beneficio se considera el período del 1º de enero al 31 de diciembre y se paga hasta el 15 de abril del año siguiente.</w:t>
      </w:r>
    </w:p>
    <w:p w:rsidR="00000000" w:rsidRDefault="00000000">
      <w:pPr>
        <w:spacing w:after="240"/>
        <w:rPr>
          <w:i/>
          <w:iCs/>
          <w:lang w:val="es-ES_tradnl"/>
        </w:rPr>
      </w:pPr>
      <w:r>
        <w:rPr>
          <w:i/>
          <w:iCs/>
          <w:lang w:val="es-ES_tradnl"/>
        </w:rPr>
        <w:t>Seguridad y sanidad laboral</w:t>
      </w:r>
    </w:p>
    <w:p w:rsidR="00000000" w:rsidRDefault="00000000">
      <w:pPr>
        <w:spacing w:after="240"/>
        <w:rPr>
          <w:lang w:val="es-ES_tradnl"/>
        </w:rPr>
      </w:pPr>
      <w:r>
        <w:rPr>
          <w:lang w:val="es-ES_tradnl"/>
        </w:rPr>
        <w:t>124.</w:t>
      </w:r>
      <w:r>
        <w:rPr>
          <w:i/>
          <w:iCs/>
          <w:lang w:val="es-ES_tradnl"/>
        </w:rPr>
        <w:tab/>
      </w:r>
      <w:r>
        <w:rPr>
          <w:lang w:val="es-ES_tradnl"/>
        </w:rPr>
        <w:t>El Ministerio de Trabajo y Recursos Humanos a través de la Dirección o Subdirecciones del Trabajo, por medio del Departamento de Seguridad e Higiene del Trabajo y los inspectores del trabajo tiene la competencia para supervisar y vigilar el acatamiento de las disposiciones legales existentes sobre sanidad y seguridad laboral que tienen los trabajadores en el país.</w:t>
      </w:r>
    </w:p>
    <w:p w:rsidR="00000000" w:rsidRDefault="00000000">
      <w:pPr>
        <w:spacing w:after="240"/>
      </w:pPr>
      <w:r>
        <w:rPr>
          <w:lang w:val="es-ES_tradnl"/>
        </w:rPr>
        <w:t>125.</w:t>
      </w:r>
      <w:r>
        <w:rPr>
          <w:lang w:val="es-ES_tradnl"/>
        </w:rPr>
        <w:tab/>
        <w:t>La base legal existente es la siguiente:  el Código del Trabajo (título IV, "Riesgos del Trabajo") en su artículo 416 establece las obligaciones que tienen los empleadores y trabajadores en la prevención de riesgos:  "Los empleadores están obligados a asegurar a sus trabajadores condiciones de trabajo que no presenten peligro para su salud o su vida.  Los trabajadores están obligados a acatar las medidas de prevención, seguridad e higiene determinadas en los reglamentos y facilitadas por el empleador.  Su omisión constituye justa causa para la terminación del contrato de trabajo".</w:t>
      </w:r>
    </w:p>
    <w:p w:rsidR="00000000" w:rsidRDefault="00000000">
      <w:pPr>
        <w:spacing w:after="240"/>
      </w:pPr>
      <w:r>
        <w:rPr>
          <w:lang w:val="es-ES_tradnl"/>
        </w:rPr>
        <w:t>126.</w:t>
      </w:r>
      <w:r>
        <w:rPr>
          <w:lang w:val="es-ES_tradnl"/>
        </w:rPr>
        <w:tab/>
        <w:t>El Departamento de Seguridad e Higiene del Trabajo y los inspectores de trabajo tienen la obligación de exigir a los propietarios de talleres o fábricas y de los demás medios de trabajo el cumplimiento de las disposiciones existentes que sobre las condiciones mínimas de sanidad y seguridad laboral deben tener a fin de garantizar las condiciones adecuadas para que empleadores y trabajadores puedan cumplir con su labor.</w:t>
      </w:r>
    </w:p>
    <w:p w:rsidR="00000000" w:rsidRDefault="00000000">
      <w:pPr>
        <w:spacing w:after="240"/>
      </w:pPr>
      <w:r>
        <w:t>127.</w:t>
      </w:r>
      <w:r>
        <w:tab/>
      </w:r>
      <w:r>
        <w:rPr>
          <w:lang w:val="es-ES_tradnl"/>
        </w:rPr>
        <w:t>La Dirección General o las Subdirecciones del Trabajo dictarán los reglamentos respectivos determinando los mecanismos preventivos de los riesgos provenientes del trabajo que hayan de emplearse en las diversas industrias y velará por que se pongan en práctica las medidas preventivas necesarias a favor de la salud y seguridad de los trabajadores.</w:t>
      </w:r>
    </w:p>
    <w:p w:rsidR="00000000" w:rsidRDefault="00000000">
      <w:pPr>
        <w:spacing w:after="240"/>
      </w:pPr>
      <w:r>
        <w:t>128.</w:t>
      </w:r>
      <w:r>
        <w:tab/>
      </w:r>
      <w:r>
        <w:rPr>
          <w:lang w:val="es-ES_tradnl"/>
        </w:rPr>
        <w:t>En aquellas empresas sujetas al régimen de riesgos de trabajo, además de las reglas sobre prevención de riesgos establecidas en el Código del Trabajo deberán observarse también las disposiciones o normas que dicte el IESS (artículos 418, 434 y 438 del Código del Trabajo).</w:t>
      </w:r>
    </w:p>
    <w:p w:rsidR="00000000" w:rsidRDefault="00000000">
      <w:pPr>
        <w:spacing w:after="240"/>
      </w:pPr>
      <w:r>
        <w:rPr>
          <w:lang w:val="es-ES_tradnl"/>
        </w:rPr>
        <w:t>129.</w:t>
      </w:r>
      <w:r>
        <w:rPr>
          <w:lang w:val="es-ES_tradnl"/>
        </w:rPr>
        <w:tab/>
        <w:t>El artículo 443 del Código del Trabajo faculta al Ministerio de Trabajo y Recursos Humanos para que disponga "la suspensión de actividades o el cierre de los lugares o medios colectivos de labor, en los que se atentare o afectare a la salud y seguridad e higiene de los trabajadores, o se contraviniera a las medidas de seguridad e higiene dictadas, sin perjuicio de las demás sanciones legales.  Tal decisión requerirá dictamen previo del Jefe del Departamento de Seguridad e Higiene del Trabajo".</w:t>
      </w:r>
    </w:p>
    <w:p w:rsidR="00000000" w:rsidRDefault="00000000">
      <w:pPr>
        <w:keepNext/>
        <w:keepLines/>
        <w:spacing w:after="240"/>
        <w:rPr>
          <w:lang w:val="es-ES_tradnl"/>
        </w:rPr>
      </w:pPr>
      <w:r>
        <w:rPr>
          <w:lang w:val="es-ES_tradnl"/>
        </w:rPr>
        <w:t>130.</w:t>
      </w:r>
      <w:r>
        <w:rPr>
          <w:lang w:val="es-ES_tradnl"/>
        </w:rPr>
        <w:tab/>
        <w:t>Actualmente se dispone de los siguientes reglamentos sobre seguridad en el trabajo:</w:t>
      </w:r>
    </w:p>
    <w:p w:rsidR="00000000" w:rsidRDefault="00000000">
      <w:pPr>
        <w:keepNext/>
        <w:keepLines/>
        <w:spacing w:after="240"/>
        <w:ind w:left="1134" w:hanging="567"/>
      </w:pPr>
      <w:r>
        <w:rPr>
          <w:lang w:val="es-ES_tradnl"/>
        </w:rPr>
        <w:t>a)</w:t>
      </w:r>
      <w:r>
        <w:rPr>
          <w:lang w:val="es-ES_tradnl"/>
        </w:rPr>
        <w:tab/>
        <w:t>Reglamento de Servicios Médicos de Empresa;</w:t>
      </w:r>
    </w:p>
    <w:p w:rsidR="00000000" w:rsidRDefault="00000000">
      <w:pPr>
        <w:keepNext/>
        <w:keepLines/>
        <w:spacing w:after="240"/>
        <w:ind w:left="1134" w:hanging="567"/>
      </w:pPr>
      <w:r>
        <w:rPr>
          <w:lang w:val="es-ES_tradnl"/>
        </w:rPr>
        <w:t>b)</w:t>
      </w:r>
      <w:r>
        <w:rPr>
          <w:lang w:val="es-ES_tradnl"/>
        </w:rPr>
        <w:tab/>
        <w:t xml:space="preserve">Reglamento de Seguridad y Salud de los trabajadores y Mejoramiento del Medio Ambiente de Trabajo, publicado en 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565 de 17 de noviembre de 1986 y su reforma publicada en el </w:t>
      </w:r>
      <w:r>
        <w:rPr>
          <w:i/>
          <w:iCs/>
          <w:lang w:val="es-ES_tradnl"/>
        </w:rPr>
        <w:t>Registro Oficial</w:t>
      </w:r>
      <w:r>
        <w:rPr>
          <w:lang w:val="es-ES_tradnl"/>
        </w:rPr>
        <w:t xml:space="preserve"> </w:t>
      </w:r>
      <w:proofErr w:type="spellStart"/>
      <w:r>
        <w:rPr>
          <w:lang w:val="es-ES_tradnl"/>
        </w:rPr>
        <w:t>Nº</w:t>
      </w:r>
      <w:proofErr w:type="spellEnd"/>
      <w:r>
        <w:rPr>
          <w:lang w:val="es-ES_tradnl"/>
        </w:rPr>
        <w:t> 997 de 10 de agosto de 1988;</w:t>
      </w:r>
    </w:p>
    <w:p w:rsidR="00000000" w:rsidRDefault="00000000">
      <w:pPr>
        <w:spacing w:after="240"/>
        <w:ind w:left="1134" w:hanging="567"/>
      </w:pPr>
      <w:r>
        <w:rPr>
          <w:lang w:val="es-ES_tradnl"/>
        </w:rPr>
        <w:t>c)</w:t>
      </w:r>
      <w:r>
        <w:rPr>
          <w:lang w:val="es-ES_tradnl"/>
        </w:rPr>
        <w:tab/>
        <w:t xml:space="preserve">Reglamento de Seguridad Minera, publicado en el </w:t>
      </w:r>
      <w:r>
        <w:rPr>
          <w:i/>
          <w:iCs/>
          <w:lang w:val="es-ES_tradnl"/>
        </w:rPr>
        <w:t>Registro Oficial</w:t>
      </w:r>
      <w:r>
        <w:rPr>
          <w:lang w:val="es-ES_tradnl"/>
        </w:rPr>
        <w:t xml:space="preserve"> </w:t>
      </w:r>
      <w:proofErr w:type="spellStart"/>
      <w:r>
        <w:rPr>
          <w:lang w:val="es-ES_tradnl"/>
        </w:rPr>
        <w:t>Nº</w:t>
      </w:r>
      <w:proofErr w:type="spellEnd"/>
      <w:r>
        <w:rPr>
          <w:lang w:val="es-ES_tradnl"/>
        </w:rPr>
        <w:t> 999 de 30 de julio 1986;</w:t>
      </w:r>
    </w:p>
    <w:p w:rsidR="00000000" w:rsidRDefault="00000000">
      <w:pPr>
        <w:spacing w:after="240"/>
        <w:ind w:left="1134" w:hanging="567"/>
      </w:pPr>
      <w:r>
        <w:rPr>
          <w:lang w:val="es-ES_tradnl"/>
        </w:rPr>
        <w:t>d)</w:t>
      </w:r>
      <w:r>
        <w:rPr>
          <w:lang w:val="es-ES_tradnl"/>
        </w:rPr>
        <w:tab/>
        <w:t xml:space="preserve">Reglamento de Seguridad del Trabajo contra Riesgos en Instalaciones de Energía Eléctrica, publicado en el </w:t>
      </w:r>
      <w:r>
        <w:rPr>
          <w:i/>
          <w:iCs/>
          <w:lang w:val="es-ES_tradnl"/>
        </w:rPr>
        <w:t>Registro Oficial</w:t>
      </w:r>
      <w:r>
        <w:rPr>
          <w:lang w:val="es-ES_tradnl"/>
        </w:rPr>
        <w:t xml:space="preserve"> </w:t>
      </w:r>
      <w:proofErr w:type="spellStart"/>
      <w:r>
        <w:rPr>
          <w:lang w:val="es-ES_tradnl"/>
        </w:rPr>
        <w:t>Nº</w:t>
      </w:r>
      <w:proofErr w:type="spellEnd"/>
      <w:r>
        <w:rPr>
          <w:lang w:val="es-ES_tradnl"/>
        </w:rPr>
        <w:t> 249 de 3 de febrero de 1999;</w:t>
      </w:r>
    </w:p>
    <w:p w:rsidR="00000000" w:rsidRDefault="00000000">
      <w:pPr>
        <w:spacing w:after="240"/>
        <w:ind w:left="1134" w:hanging="567"/>
      </w:pPr>
      <w:r>
        <w:rPr>
          <w:lang w:val="es-ES_tradnl"/>
        </w:rPr>
        <w:t>e)</w:t>
      </w:r>
      <w:r>
        <w:rPr>
          <w:lang w:val="es-ES_tradnl"/>
        </w:rPr>
        <w:tab/>
        <w:t xml:space="preserve">Reglamento de Seguridad para la Construcción de Obras Públicas, publicado en el </w:t>
      </w:r>
      <w:r>
        <w:rPr>
          <w:i/>
          <w:iCs/>
          <w:lang w:val="es-ES_tradnl"/>
        </w:rPr>
        <w:t>Registro Oficial</w:t>
      </w:r>
      <w:r>
        <w:rPr>
          <w:lang w:val="es-ES_tradnl"/>
        </w:rPr>
        <w:t xml:space="preserve"> </w:t>
      </w:r>
      <w:proofErr w:type="spellStart"/>
      <w:r>
        <w:rPr>
          <w:lang w:val="es-ES_tradnl"/>
        </w:rPr>
        <w:t>Nº</w:t>
      </w:r>
      <w:proofErr w:type="spellEnd"/>
      <w:r>
        <w:rPr>
          <w:lang w:val="es-ES_tradnl"/>
        </w:rPr>
        <w:t> 253 de 9 de febrero de 1999.</w:t>
      </w:r>
    </w:p>
    <w:p w:rsidR="00000000" w:rsidRDefault="00000000">
      <w:pPr>
        <w:spacing w:after="240"/>
      </w:pPr>
      <w:r>
        <w:rPr>
          <w:lang w:val="es-ES_tradnl"/>
        </w:rPr>
        <w:t>131.</w:t>
      </w:r>
      <w:r>
        <w:rPr>
          <w:lang w:val="es-ES_tradnl"/>
        </w:rPr>
        <w:tab/>
        <w:t>Las medidas administrativas tomadas están en relación con las aplicaciones de las respectivas disposiciones legales y reglamentarias estipuladas para el efecto.</w:t>
      </w:r>
    </w:p>
    <w:p w:rsidR="00000000" w:rsidRDefault="00000000">
      <w:pPr>
        <w:spacing w:after="240"/>
      </w:pPr>
      <w:r>
        <w:t>132.</w:t>
      </w:r>
      <w:r>
        <w:tab/>
      </w:r>
      <w:r>
        <w:rPr>
          <w:lang w:val="es-ES_tradnl"/>
        </w:rPr>
        <w:t>Los mecanismos o procedimientos para el control de la aplicación de esta normativa están relacionados con planes y proyectos por parte del Ministerio de Trabajo y Recursos Humanos, denuncias tanto de los trabajadores, centrales sindicales o comités de empresa sobre el incumplimiento de dichas normas.  Las normas existentes en materia de seguridad e higiene del trabajo en nuestro país no excluyen a categoría alguna de trabajadores y son extensivas a todos los trabajadores.</w:t>
      </w:r>
    </w:p>
    <w:p w:rsidR="00000000" w:rsidRDefault="00000000">
      <w:pPr>
        <w:spacing w:after="240"/>
        <w:jc w:val="center"/>
      </w:pPr>
      <w:r>
        <w:rPr>
          <w:b/>
          <w:bCs/>
          <w:szCs w:val="26"/>
          <w:lang w:val="es-ES_tradnl"/>
        </w:rPr>
        <w:t>Estadística de accidentes de trabajo y enfermedades profesionales</w:t>
      </w:r>
    </w:p>
    <w:p w:rsidR="00000000" w:rsidRDefault="00000000">
      <w:pPr>
        <w:spacing w:after="240"/>
        <w:jc w:val="center"/>
      </w:pPr>
      <w:r>
        <w:rPr>
          <w:b/>
          <w:bCs/>
          <w:szCs w:val="21"/>
          <w:lang w:val="es-ES_tradnl"/>
        </w:rPr>
        <w:t>Número de accidentes de trabajo y enfermedades profesionales</w:t>
      </w:r>
    </w:p>
    <w:tbl>
      <w:tblPr>
        <w:tblW w:w="4114" w:type="pct"/>
        <w:jc w:val="center"/>
        <w:tblLayout w:type="fixed"/>
        <w:tblCellMar>
          <w:left w:w="40" w:type="dxa"/>
          <w:right w:w="40" w:type="dxa"/>
        </w:tblCellMar>
        <w:tblLook w:val="0000" w:firstRow="0" w:lastRow="0" w:firstColumn="0" w:lastColumn="0" w:noHBand="0" w:noVBand="0"/>
      </w:tblPr>
      <w:tblGrid>
        <w:gridCol w:w="1137"/>
        <w:gridCol w:w="1359"/>
        <w:gridCol w:w="1404"/>
        <w:gridCol w:w="1208"/>
        <w:gridCol w:w="1054"/>
        <w:gridCol w:w="1601"/>
      </w:tblGrid>
      <w:tr w:rsidR="00000000">
        <w:tblPrEx>
          <w:tblCellMar>
            <w:top w:w="0" w:type="dxa"/>
            <w:bottom w:w="0" w:type="dxa"/>
          </w:tblCellMar>
        </w:tblPrEx>
        <w:trPr>
          <w:cantSplit/>
          <w:jc w:val="center"/>
        </w:trPr>
        <w:tc>
          <w:tcPr>
            <w:tcW w:w="733" w:type="pct"/>
            <w:vMerge w:val="restart"/>
            <w:tcBorders>
              <w:top w:val="single" w:sz="6" w:space="0" w:color="auto"/>
              <w:left w:val="single" w:sz="6" w:space="0" w:color="auto"/>
              <w:right w:val="single" w:sz="4" w:space="0" w:color="auto"/>
            </w:tcBorders>
            <w:noWrap/>
            <w:vAlign w:val="center"/>
          </w:tcPr>
          <w:p w:rsidR="00000000" w:rsidRDefault="00000000">
            <w:pPr>
              <w:jc w:val="center"/>
            </w:pPr>
            <w:r>
              <w:t>Año</w:t>
            </w:r>
          </w:p>
        </w:tc>
        <w:tc>
          <w:tcPr>
            <w:tcW w:w="2557" w:type="pct"/>
            <w:gridSpan w:val="3"/>
            <w:tcBorders>
              <w:top w:val="single" w:sz="6" w:space="0" w:color="auto"/>
              <w:left w:val="single" w:sz="4" w:space="0" w:color="auto"/>
              <w:bottom w:val="single" w:sz="4" w:space="0" w:color="auto"/>
              <w:right w:val="single" w:sz="4" w:space="0" w:color="auto"/>
            </w:tcBorders>
            <w:noWrap/>
            <w:vAlign w:val="center"/>
          </w:tcPr>
          <w:p w:rsidR="00000000" w:rsidRDefault="00000000">
            <w:pPr>
              <w:jc w:val="center"/>
            </w:pPr>
            <w:r>
              <w:t>Tipo de incapacidades</w:t>
            </w:r>
          </w:p>
        </w:tc>
        <w:tc>
          <w:tcPr>
            <w:tcW w:w="679" w:type="pct"/>
            <w:vMerge w:val="restart"/>
            <w:tcBorders>
              <w:top w:val="single" w:sz="6" w:space="0" w:color="auto"/>
              <w:left w:val="single" w:sz="4" w:space="0" w:color="auto"/>
              <w:right w:val="single" w:sz="4" w:space="0" w:color="auto"/>
            </w:tcBorders>
            <w:noWrap/>
            <w:vAlign w:val="center"/>
          </w:tcPr>
          <w:p w:rsidR="00000000" w:rsidRDefault="00000000">
            <w:pPr>
              <w:jc w:val="center"/>
            </w:pPr>
            <w:r>
              <w:t>Total</w:t>
            </w:r>
          </w:p>
        </w:tc>
        <w:tc>
          <w:tcPr>
            <w:tcW w:w="1031" w:type="pct"/>
            <w:vMerge w:val="restart"/>
            <w:tcBorders>
              <w:top w:val="single" w:sz="6" w:space="0" w:color="auto"/>
              <w:left w:val="single" w:sz="4" w:space="0" w:color="auto"/>
              <w:right w:val="single" w:sz="6" w:space="0" w:color="auto"/>
            </w:tcBorders>
            <w:noWrap/>
            <w:vAlign w:val="center"/>
          </w:tcPr>
          <w:p w:rsidR="00000000" w:rsidRDefault="00000000">
            <w:pPr>
              <w:jc w:val="center"/>
            </w:pPr>
            <w:proofErr w:type="spellStart"/>
            <w:r>
              <w:t>Nº</w:t>
            </w:r>
            <w:proofErr w:type="spellEnd"/>
            <w:r>
              <w:t xml:space="preserve"> de afiliados</w:t>
            </w:r>
          </w:p>
        </w:tc>
      </w:tr>
      <w:tr w:rsidR="00000000">
        <w:tblPrEx>
          <w:tblCellMar>
            <w:top w:w="0" w:type="dxa"/>
            <w:bottom w:w="0" w:type="dxa"/>
          </w:tblCellMar>
        </w:tblPrEx>
        <w:trPr>
          <w:cantSplit/>
          <w:jc w:val="center"/>
        </w:trPr>
        <w:tc>
          <w:tcPr>
            <w:tcW w:w="733" w:type="pct"/>
            <w:vMerge/>
            <w:tcBorders>
              <w:left w:val="single" w:sz="6" w:space="0" w:color="auto"/>
              <w:bottom w:val="single" w:sz="4" w:space="0" w:color="auto"/>
              <w:right w:val="single" w:sz="4" w:space="0" w:color="auto"/>
            </w:tcBorders>
            <w:noWrap/>
            <w:vAlign w:val="center"/>
          </w:tcPr>
          <w:p w:rsidR="00000000" w:rsidRDefault="00000000">
            <w:pPr>
              <w:jc w:val="center"/>
            </w:pPr>
          </w:p>
        </w:tc>
        <w:tc>
          <w:tcPr>
            <w:tcW w:w="875" w:type="pct"/>
            <w:tcBorders>
              <w:top w:val="single" w:sz="4" w:space="0" w:color="auto"/>
              <w:left w:val="single" w:sz="4" w:space="0" w:color="auto"/>
              <w:bottom w:val="single" w:sz="4" w:space="0" w:color="auto"/>
              <w:right w:val="single" w:sz="6" w:space="0" w:color="auto"/>
            </w:tcBorders>
            <w:noWrap/>
            <w:vAlign w:val="center"/>
          </w:tcPr>
          <w:p w:rsidR="00000000" w:rsidRDefault="00000000">
            <w:pPr>
              <w:jc w:val="center"/>
            </w:pPr>
            <w:r>
              <w:t>Temporales</w:t>
            </w:r>
          </w:p>
        </w:tc>
        <w:tc>
          <w:tcPr>
            <w:tcW w:w="904" w:type="pct"/>
            <w:tcBorders>
              <w:top w:val="single" w:sz="4" w:space="0" w:color="auto"/>
              <w:left w:val="single" w:sz="6" w:space="0" w:color="auto"/>
              <w:bottom w:val="single" w:sz="4" w:space="0" w:color="auto"/>
              <w:right w:val="single" w:sz="6" w:space="0" w:color="auto"/>
            </w:tcBorders>
            <w:noWrap/>
            <w:vAlign w:val="center"/>
          </w:tcPr>
          <w:p w:rsidR="00000000" w:rsidRDefault="00000000">
            <w:pPr>
              <w:jc w:val="center"/>
            </w:pPr>
            <w:r>
              <w:t>Permanentes</w:t>
            </w:r>
          </w:p>
        </w:tc>
        <w:tc>
          <w:tcPr>
            <w:tcW w:w="778" w:type="pct"/>
            <w:tcBorders>
              <w:top w:val="single" w:sz="4" w:space="0" w:color="auto"/>
              <w:left w:val="single" w:sz="6" w:space="0" w:color="auto"/>
              <w:bottom w:val="single" w:sz="4" w:space="0" w:color="auto"/>
              <w:right w:val="single" w:sz="4" w:space="0" w:color="auto"/>
            </w:tcBorders>
            <w:noWrap/>
            <w:vAlign w:val="center"/>
          </w:tcPr>
          <w:p w:rsidR="00000000" w:rsidRDefault="00000000">
            <w:pPr>
              <w:jc w:val="center"/>
            </w:pPr>
            <w:r>
              <w:t>Fallecidos</w:t>
            </w:r>
          </w:p>
        </w:tc>
        <w:tc>
          <w:tcPr>
            <w:tcW w:w="679" w:type="pct"/>
            <w:vMerge/>
            <w:tcBorders>
              <w:left w:val="single" w:sz="4" w:space="0" w:color="auto"/>
              <w:bottom w:val="single" w:sz="4" w:space="0" w:color="auto"/>
              <w:right w:val="single" w:sz="4" w:space="0" w:color="auto"/>
            </w:tcBorders>
            <w:noWrap/>
            <w:vAlign w:val="center"/>
          </w:tcPr>
          <w:p w:rsidR="00000000" w:rsidRDefault="00000000">
            <w:pPr>
              <w:jc w:val="center"/>
            </w:pPr>
          </w:p>
        </w:tc>
        <w:tc>
          <w:tcPr>
            <w:tcW w:w="1031" w:type="pct"/>
            <w:vMerge/>
            <w:tcBorders>
              <w:left w:val="single" w:sz="4" w:space="0" w:color="auto"/>
              <w:bottom w:val="single" w:sz="4" w:space="0" w:color="auto"/>
              <w:right w:val="single" w:sz="6" w:space="0" w:color="auto"/>
            </w:tcBorders>
            <w:noWrap/>
            <w:vAlign w:val="center"/>
          </w:tcPr>
          <w:p w:rsidR="00000000" w:rsidRDefault="00000000">
            <w:pPr>
              <w:jc w:val="center"/>
            </w:pPr>
          </w:p>
        </w:tc>
      </w:tr>
      <w:tr w:rsidR="00000000">
        <w:tblPrEx>
          <w:tblCellMar>
            <w:top w:w="0" w:type="dxa"/>
            <w:bottom w:w="0" w:type="dxa"/>
          </w:tblCellMar>
        </w:tblPrEx>
        <w:trPr>
          <w:cantSplit/>
          <w:jc w:val="center"/>
        </w:trPr>
        <w:tc>
          <w:tcPr>
            <w:tcW w:w="733" w:type="pct"/>
            <w:tcBorders>
              <w:top w:val="single" w:sz="4" w:space="0" w:color="auto"/>
              <w:left w:val="single" w:sz="4" w:space="0" w:color="auto"/>
              <w:bottom w:val="single" w:sz="4" w:space="0" w:color="auto"/>
              <w:right w:val="single" w:sz="4" w:space="0" w:color="auto"/>
            </w:tcBorders>
            <w:noWrap/>
          </w:tcPr>
          <w:p w:rsidR="00000000" w:rsidRDefault="00000000">
            <w:r>
              <w:rPr>
                <w:szCs w:val="22"/>
                <w:lang w:val="es-ES_tradnl"/>
              </w:rPr>
              <w:t>1990</w:t>
            </w:r>
          </w:p>
        </w:tc>
        <w:tc>
          <w:tcPr>
            <w:tcW w:w="875"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4.185</w:t>
            </w:r>
          </w:p>
        </w:tc>
        <w:tc>
          <w:tcPr>
            <w:tcW w:w="904"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224</w:t>
            </w:r>
          </w:p>
        </w:tc>
        <w:tc>
          <w:tcPr>
            <w:tcW w:w="778"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192</w:t>
            </w:r>
          </w:p>
        </w:tc>
        <w:tc>
          <w:tcPr>
            <w:tcW w:w="679"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4.601</w:t>
            </w:r>
          </w:p>
        </w:tc>
        <w:tc>
          <w:tcPr>
            <w:tcW w:w="1031"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802.140</w:t>
            </w:r>
          </w:p>
        </w:tc>
      </w:tr>
      <w:tr w:rsidR="00000000">
        <w:tblPrEx>
          <w:tblCellMar>
            <w:top w:w="0" w:type="dxa"/>
            <w:bottom w:w="0" w:type="dxa"/>
          </w:tblCellMar>
        </w:tblPrEx>
        <w:trPr>
          <w:cantSplit/>
          <w:jc w:val="center"/>
        </w:trPr>
        <w:tc>
          <w:tcPr>
            <w:tcW w:w="733" w:type="pct"/>
            <w:tcBorders>
              <w:top w:val="single" w:sz="4" w:space="0" w:color="auto"/>
              <w:left w:val="single" w:sz="4" w:space="0" w:color="auto"/>
              <w:bottom w:val="single" w:sz="4" w:space="0" w:color="auto"/>
              <w:right w:val="single" w:sz="4" w:space="0" w:color="auto"/>
            </w:tcBorders>
            <w:noWrap/>
          </w:tcPr>
          <w:p w:rsidR="00000000" w:rsidRDefault="00000000">
            <w:r>
              <w:rPr>
                <w:szCs w:val="22"/>
                <w:lang w:val="es-ES_tradnl"/>
              </w:rPr>
              <w:t>1991</w:t>
            </w:r>
          </w:p>
        </w:tc>
        <w:tc>
          <w:tcPr>
            <w:tcW w:w="875"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4.216</w:t>
            </w:r>
          </w:p>
        </w:tc>
        <w:tc>
          <w:tcPr>
            <w:tcW w:w="904"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330</w:t>
            </w:r>
          </w:p>
        </w:tc>
        <w:tc>
          <w:tcPr>
            <w:tcW w:w="778"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162</w:t>
            </w:r>
          </w:p>
        </w:tc>
        <w:tc>
          <w:tcPr>
            <w:tcW w:w="679"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4.708</w:t>
            </w:r>
          </w:p>
        </w:tc>
        <w:tc>
          <w:tcPr>
            <w:tcW w:w="1031"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866.018</w:t>
            </w:r>
          </w:p>
        </w:tc>
      </w:tr>
      <w:tr w:rsidR="00000000">
        <w:tblPrEx>
          <w:tblCellMar>
            <w:top w:w="0" w:type="dxa"/>
            <w:bottom w:w="0" w:type="dxa"/>
          </w:tblCellMar>
        </w:tblPrEx>
        <w:trPr>
          <w:cantSplit/>
          <w:jc w:val="center"/>
        </w:trPr>
        <w:tc>
          <w:tcPr>
            <w:tcW w:w="733" w:type="pct"/>
            <w:tcBorders>
              <w:top w:val="single" w:sz="4" w:space="0" w:color="auto"/>
              <w:left w:val="single" w:sz="4" w:space="0" w:color="auto"/>
              <w:bottom w:val="single" w:sz="4" w:space="0" w:color="auto"/>
              <w:right w:val="single" w:sz="4" w:space="0" w:color="auto"/>
            </w:tcBorders>
            <w:noWrap/>
          </w:tcPr>
          <w:p w:rsidR="00000000" w:rsidRDefault="00000000">
            <w:r>
              <w:rPr>
                <w:szCs w:val="22"/>
                <w:lang w:val="es-ES_tradnl"/>
              </w:rPr>
              <w:t>1992</w:t>
            </w:r>
          </w:p>
        </w:tc>
        <w:tc>
          <w:tcPr>
            <w:tcW w:w="875"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3.333</w:t>
            </w:r>
          </w:p>
        </w:tc>
        <w:tc>
          <w:tcPr>
            <w:tcW w:w="904"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290</w:t>
            </w:r>
          </w:p>
        </w:tc>
        <w:tc>
          <w:tcPr>
            <w:tcW w:w="778"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157</w:t>
            </w:r>
          </w:p>
        </w:tc>
        <w:tc>
          <w:tcPr>
            <w:tcW w:w="679"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3.780</w:t>
            </w:r>
          </w:p>
        </w:tc>
        <w:tc>
          <w:tcPr>
            <w:tcW w:w="1031"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984.596</w:t>
            </w:r>
          </w:p>
        </w:tc>
      </w:tr>
      <w:tr w:rsidR="00000000">
        <w:tblPrEx>
          <w:tblCellMar>
            <w:top w:w="0" w:type="dxa"/>
            <w:bottom w:w="0" w:type="dxa"/>
          </w:tblCellMar>
        </w:tblPrEx>
        <w:trPr>
          <w:cantSplit/>
          <w:jc w:val="center"/>
        </w:trPr>
        <w:tc>
          <w:tcPr>
            <w:tcW w:w="733" w:type="pct"/>
            <w:tcBorders>
              <w:top w:val="single" w:sz="4" w:space="0" w:color="auto"/>
              <w:left w:val="single" w:sz="4" w:space="0" w:color="auto"/>
              <w:bottom w:val="single" w:sz="4" w:space="0" w:color="auto"/>
              <w:right w:val="single" w:sz="4" w:space="0" w:color="auto"/>
            </w:tcBorders>
            <w:noWrap/>
          </w:tcPr>
          <w:p w:rsidR="00000000" w:rsidRDefault="00000000">
            <w:r>
              <w:rPr>
                <w:szCs w:val="22"/>
                <w:lang w:val="es-ES_tradnl"/>
              </w:rPr>
              <w:t>1993</w:t>
            </w:r>
          </w:p>
        </w:tc>
        <w:tc>
          <w:tcPr>
            <w:tcW w:w="875"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4.337</w:t>
            </w:r>
          </w:p>
        </w:tc>
        <w:tc>
          <w:tcPr>
            <w:tcW w:w="904"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343</w:t>
            </w:r>
          </w:p>
        </w:tc>
        <w:tc>
          <w:tcPr>
            <w:tcW w:w="778"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167</w:t>
            </w:r>
          </w:p>
        </w:tc>
        <w:tc>
          <w:tcPr>
            <w:tcW w:w="679"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4.847</w:t>
            </w:r>
          </w:p>
        </w:tc>
        <w:tc>
          <w:tcPr>
            <w:tcW w:w="1031"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1.056.198</w:t>
            </w:r>
          </w:p>
        </w:tc>
      </w:tr>
      <w:tr w:rsidR="00000000">
        <w:tblPrEx>
          <w:tblCellMar>
            <w:top w:w="0" w:type="dxa"/>
            <w:bottom w:w="0" w:type="dxa"/>
          </w:tblCellMar>
        </w:tblPrEx>
        <w:trPr>
          <w:cantSplit/>
          <w:jc w:val="center"/>
        </w:trPr>
        <w:tc>
          <w:tcPr>
            <w:tcW w:w="733" w:type="pct"/>
            <w:tcBorders>
              <w:top w:val="single" w:sz="4" w:space="0" w:color="auto"/>
              <w:left w:val="single" w:sz="4" w:space="0" w:color="auto"/>
              <w:bottom w:val="single" w:sz="4" w:space="0" w:color="auto"/>
              <w:right w:val="single" w:sz="4" w:space="0" w:color="auto"/>
            </w:tcBorders>
            <w:noWrap/>
          </w:tcPr>
          <w:p w:rsidR="00000000" w:rsidRDefault="00000000">
            <w:r>
              <w:rPr>
                <w:szCs w:val="22"/>
                <w:lang w:val="es-ES_tradnl"/>
              </w:rPr>
              <w:t>1994</w:t>
            </w:r>
          </w:p>
        </w:tc>
        <w:tc>
          <w:tcPr>
            <w:tcW w:w="875"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4.014</w:t>
            </w:r>
          </w:p>
        </w:tc>
        <w:tc>
          <w:tcPr>
            <w:tcW w:w="904"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368</w:t>
            </w:r>
          </w:p>
        </w:tc>
        <w:tc>
          <w:tcPr>
            <w:tcW w:w="778"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170</w:t>
            </w:r>
          </w:p>
        </w:tc>
        <w:tc>
          <w:tcPr>
            <w:tcW w:w="679"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4.552</w:t>
            </w:r>
          </w:p>
        </w:tc>
        <w:tc>
          <w:tcPr>
            <w:tcW w:w="1031" w:type="pct"/>
            <w:tcBorders>
              <w:top w:val="single" w:sz="4" w:space="0" w:color="auto"/>
              <w:left w:val="single" w:sz="4" w:space="0" w:color="auto"/>
              <w:bottom w:val="single" w:sz="4" w:space="0" w:color="auto"/>
              <w:right w:val="single" w:sz="4" w:space="0" w:color="auto"/>
            </w:tcBorders>
            <w:noWrap/>
          </w:tcPr>
          <w:p w:rsidR="00000000" w:rsidRDefault="00000000">
            <w:pPr>
              <w:jc w:val="right"/>
            </w:pPr>
            <w:r>
              <w:rPr>
                <w:szCs w:val="22"/>
                <w:lang w:val="es-ES_tradnl"/>
              </w:rPr>
              <w:t>1.060.750</w:t>
            </w:r>
          </w:p>
        </w:tc>
      </w:tr>
      <w:tr w:rsidR="00000000">
        <w:tblPrEx>
          <w:tblCellMar>
            <w:top w:w="0" w:type="dxa"/>
            <w:bottom w:w="0" w:type="dxa"/>
          </w:tblCellMar>
        </w:tblPrEx>
        <w:trPr>
          <w:cantSplit/>
          <w:jc w:val="center"/>
        </w:trPr>
        <w:tc>
          <w:tcPr>
            <w:tcW w:w="733" w:type="pct"/>
            <w:tcBorders>
              <w:top w:val="single" w:sz="4" w:space="0" w:color="auto"/>
              <w:left w:val="single" w:sz="6" w:space="0" w:color="auto"/>
              <w:bottom w:val="single" w:sz="6" w:space="0" w:color="auto"/>
              <w:right w:val="single" w:sz="6" w:space="0" w:color="auto"/>
            </w:tcBorders>
            <w:noWrap/>
          </w:tcPr>
          <w:p w:rsidR="00000000" w:rsidRDefault="00000000">
            <w:pPr>
              <w:tabs>
                <w:tab w:val="left" w:pos="244"/>
              </w:tabs>
            </w:pPr>
            <w:r>
              <w:tab/>
              <w:t>Totales</w:t>
            </w:r>
          </w:p>
        </w:tc>
        <w:tc>
          <w:tcPr>
            <w:tcW w:w="875" w:type="pct"/>
            <w:tcBorders>
              <w:top w:val="single" w:sz="4" w:space="0" w:color="auto"/>
              <w:left w:val="single" w:sz="6" w:space="0" w:color="auto"/>
              <w:bottom w:val="single" w:sz="6" w:space="0" w:color="auto"/>
              <w:right w:val="single" w:sz="4" w:space="0" w:color="auto"/>
            </w:tcBorders>
            <w:noWrap/>
          </w:tcPr>
          <w:p w:rsidR="00000000" w:rsidRDefault="00000000">
            <w:pPr>
              <w:jc w:val="right"/>
            </w:pPr>
            <w:r>
              <w:rPr>
                <w:szCs w:val="22"/>
                <w:lang w:val="es-ES_tradnl"/>
              </w:rPr>
              <w:t>20.085</w:t>
            </w:r>
          </w:p>
        </w:tc>
        <w:tc>
          <w:tcPr>
            <w:tcW w:w="904" w:type="pct"/>
            <w:tcBorders>
              <w:top w:val="single" w:sz="4" w:space="0" w:color="auto"/>
              <w:left w:val="single" w:sz="4" w:space="0" w:color="auto"/>
              <w:bottom w:val="single" w:sz="6" w:space="0" w:color="auto"/>
              <w:right w:val="single" w:sz="4" w:space="0" w:color="auto"/>
            </w:tcBorders>
            <w:noWrap/>
          </w:tcPr>
          <w:p w:rsidR="00000000" w:rsidRDefault="00000000">
            <w:pPr>
              <w:jc w:val="right"/>
            </w:pPr>
            <w:r>
              <w:rPr>
                <w:szCs w:val="22"/>
                <w:lang w:val="es-ES_tradnl"/>
              </w:rPr>
              <w:t>1.555</w:t>
            </w:r>
          </w:p>
        </w:tc>
        <w:tc>
          <w:tcPr>
            <w:tcW w:w="778" w:type="pct"/>
            <w:tcBorders>
              <w:top w:val="single" w:sz="4" w:space="0" w:color="auto"/>
              <w:left w:val="single" w:sz="4" w:space="0" w:color="auto"/>
              <w:bottom w:val="single" w:sz="6" w:space="0" w:color="auto"/>
              <w:right w:val="single" w:sz="4" w:space="0" w:color="auto"/>
            </w:tcBorders>
            <w:noWrap/>
          </w:tcPr>
          <w:p w:rsidR="00000000" w:rsidRDefault="00000000">
            <w:pPr>
              <w:jc w:val="right"/>
            </w:pPr>
            <w:r>
              <w:rPr>
                <w:szCs w:val="22"/>
                <w:lang w:val="es-ES_tradnl"/>
              </w:rPr>
              <w:t>848</w:t>
            </w:r>
          </w:p>
        </w:tc>
        <w:tc>
          <w:tcPr>
            <w:tcW w:w="679" w:type="pct"/>
            <w:tcBorders>
              <w:top w:val="single" w:sz="4" w:space="0" w:color="auto"/>
              <w:left w:val="single" w:sz="4" w:space="0" w:color="auto"/>
              <w:bottom w:val="single" w:sz="6" w:space="0" w:color="auto"/>
              <w:right w:val="single" w:sz="4" w:space="0" w:color="auto"/>
            </w:tcBorders>
            <w:noWrap/>
          </w:tcPr>
          <w:p w:rsidR="00000000" w:rsidRDefault="00000000">
            <w:pPr>
              <w:jc w:val="right"/>
            </w:pPr>
            <w:r>
              <w:rPr>
                <w:szCs w:val="22"/>
                <w:lang w:val="es-ES_tradnl"/>
              </w:rPr>
              <w:t>22.488</w:t>
            </w:r>
          </w:p>
        </w:tc>
        <w:tc>
          <w:tcPr>
            <w:tcW w:w="1031" w:type="pct"/>
            <w:tcBorders>
              <w:top w:val="single" w:sz="4" w:space="0" w:color="auto"/>
              <w:left w:val="single" w:sz="4" w:space="0" w:color="auto"/>
              <w:bottom w:val="single" w:sz="6" w:space="0" w:color="auto"/>
              <w:right w:val="single" w:sz="6" w:space="0" w:color="auto"/>
            </w:tcBorders>
            <w:noWrap/>
          </w:tcPr>
          <w:p w:rsidR="00000000" w:rsidRDefault="00000000">
            <w:pPr>
              <w:jc w:val="right"/>
            </w:pPr>
          </w:p>
        </w:tc>
      </w:tr>
    </w:tbl>
    <w:p w:rsidR="00000000" w:rsidRDefault="00000000">
      <w:pPr>
        <w:spacing w:before="120" w:after="480"/>
        <w:ind w:left="737"/>
        <w:rPr>
          <w:szCs w:val="2"/>
        </w:rPr>
      </w:pPr>
      <w:r>
        <w:rPr>
          <w:i/>
          <w:iCs/>
          <w:szCs w:val="22"/>
          <w:lang w:val="es-ES_tradnl"/>
        </w:rPr>
        <w:t>Fuente</w:t>
      </w:r>
      <w:r>
        <w:rPr>
          <w:szCs w:val="22"/>
          <w:lang w:val="es-ES_tradnl"/>
        </w:rPr>
        <w:t>:  IESS.</w:t>
      </w:r>
    </w:p>
    <w:p w:rsidR="00000000" w:rsidRDefault="00000000">
      <w:pPr>
        <w:keepNext/>
        <w:keepLines/>
        <w:jc w:val="center"/>
      </w:pPr>
      <w:r>
        <w:rPr>
          <w:b/>
          <w:bCs/>
          <w:szCs w:val="27"/>
          <w:lang w:val="es-ES_tradnl"/>
        </w:rPr>
        <w:t>Naturaleza de los accidentes de trabajo y enfermedades profesionales</w:t>
      </w:r>
    </w:p>
    <w:p w:rsidR="00000000" w:rsidRDefault="00000000">
      <w:pPr>
        <w:keepNext/>
        <w:keepLines/>
        <w:spacing w:after="240"/>
        <w:jc w:val="center"/>
      </w:pPr>
      <w:r>
        <w:rPr>
          <w:b/>
          <w:bCs/>
          <w:szCs w:val="27"/>
          <w:lang w:val="es-ES_tradnl"/>
        </w:rPr>
        <w:t>(Período de 1989 a 1992)</w:t>
      </w:r>
    </w:p>
    <w:tbl>
      <w:tblPr>
        <w:tblW w:w="5000" w:type="pct"/>
        <w:tblCellMar>
          <w:left w:w="40" w:type="dxa"/>
          <w:right w:w="40" w:type="dxa"/>
        </w:tblCellMar>
        <w:tblLook w:val="0000" w:firstRow="0" w:lastRow="0" w:firstColumn="0" w:lastColumn="0" w:noHBand="0" w:noVBand="0"/>
      </w:tblPr>
      <w:tblGrid>
        <w:gridCol w:w="3225"/>
        <w:gridCol w:w="777"/>
        <w:gridCol w:w="804"/>
        <w:gridCol w:w="810"/>
        <w:gridCol w:w="900"/>
        <w:gridCol w:w="904"/>
        <w:gridCol w:w="900"/>
        <w:gridCol w:w="1115"/>
      </w:tblGrid>
      <w:tr w:rsidR="00000000">
        <w:tblPrEx>
          <w:tblCellMar>
            <w:top w:w="0" w:type="dxa"/>
            <w:bottom w:w="0" w:type="dxa"/>
          </w:tblCellMar>
        </w:tblPrEx>
        <w:trPr>
          <w:cantSplit/>
          <w:tblHeader/>
        </w:trPr>
        <w:tc>
          <w:tcPr>
            <w:tcW w:w="0" w:type="auto"/>
            <w:vMerge w:val="restart"/>
            <w:tcBorders>
              <w:top w:val="single" w:sz="4" w:space="0" w:color="auto"/>
              <w:left w:val="single" w:sz="4" w:space="0" w:color="auto"/>
              <w:right w:val="single" w:sz="4" w:space="0" w:color="auto"/>
            </w:tcBorders>
            <w:vAlign w:val="center"/>
          </w:tcPr>
          <w:p w:rsidR="00000000" w:rsidRDefault="00000000">
            <w:pPr>
              <w:keepNext/>
              <w:keepLines/>
              <w:jc w:val="center"/>
            </w:pPr>
            <w:r>
              <w:t>Naturaleza de la lesión</w:t>
            </w:r>
          </w:p>
        </w:tc>
        <w:tc>
          <w:tcPr>
            <w:tcW w:w="2223"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rPr>
                <w:szCs w:val="22"/>
                <w:lang w:val="es-ES_tradnl"/>
              </w:rPr>
              <w:t>Tipo de incapacidad</w:t>
            </w:r>
          </w:p>
        </w:tc>
        <w:tc>
          <w:tcPr>
            <w:tcW w:w="1068"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rPr>
                <w:szCs w:val="22"/>
                <w:lang w:val="es-ES_tradnl"/>
              </w:rPr>
              <w:t>Totales</w:t>
            </w:r>
          </w:p>
        </w:tc>
      </w:tr>
      <w:tr w:rsidR="00000000">
        <w:tblPrEx>
          <w:tblCellMar>
            <w:top w:w="0" w:type="dxa"/>
            <w:bottom w:w="0" w:type="dxa"/>
          </w:tblCellMar>
        </w:tblPrEx>
        <w:trPr>
          <w:cantSplit/>
          <w:tblHeader/>
        </w:trPr>
        <w:tc>
          <w:tcPr>
            <w:tcW w:w="0" w:type="auto"/>
            <w:vMerge/>
            <w:tcBorders>
              <w:left w:val="single" w:sz="4" w:space="0" w:color="auto"/>
              <w:bottom w:val="single" w:sz="4" w:space="0" w:color="auto"/>
              <w:right w:val="single" w:sz="4" w:space="0" w:color="auto"/>
            </w:tcBorders>
            <w:vAlign w:val="center"/>
          </w:tcPr>
          <w:p w:rsidR="00000000" w:rsidRDefault="00000000">
            <w:pPr>
              <w:keepNext/>
              <w:keepLines/>
              <w:jc w:val="center"/>
            </w:pPr>
          </w:p>
        </w:tc>
        <w:tc>
          <w:tcPr>
            <w:tcW w:w="0" w:type="auto"/>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t>Muerte</w:t>
            </w:r>
          </w:p>
        </w:tc>
        <w:tc>
          <w:tcPr>
            <w:tcW w:w="426"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n-US"/>
              </w:rPr>
            </w:pPr>
            <w:r>
              <w:rPr>
                <w:lang w:val="en-US"/>
              </w:rPr>
              <w:t>Abs. perm.</w:t>
            </w:r>
          </w:p>
        </w:tc>
        <w:tc>
          <w:tcPr>
            <w:tcW w:w="42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n-US"/>
              </w:rPr>
            </w:pPr>
            <w:r>
              <w:rPr>
                <w:lang w:val="en-US"/>
              </w:rPr>
              <w:t>Total perm.</w:t>
            </w:r>
          </w:p>
        </w:tc>
        <w:tc>
          <w:tcPr>
            <w:tcW w:w="47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n-US"/>
              </w:rPr>
            </w:pPr>
            <w:proofErr w:type="spellStart"/>
            <w:r>
              <w:rPr>
                <w:lang w:val="en-US"/>
              </w:rPr>
              <w:t>Parc</w:t>
            </w:r>
            <w:proofErr w:type="spellEnd"/>
            <w:r>
              <w:rPr>
                <w:lang w:val="en-US"/>
              </w:rPr>
              <w:t>. perm.</w:t>
            </w:r>
          </w:p>
        </w:tc>
        <w:tc>
          <w:tcPr>
            <w:tcW w:w="47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lang w:val="en-US"/>
              </w:rPr>
            </w:pPr>
            <w:r>
              <w:rPr>
                <w:lang w:val="en-US"/>
              </w:rPr>
              <w:t>Temp.</w:t>
            </w:r>
          </w:p>
        </w:tc>
        <w:tc>
          <w:tcPr>
            <w:tcW w:w="477"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rPr>
                <w:lang w:val="es-ES_tradnl"/>
              </w:rPr>
              <w:t>Número</w:t>
            </w:r>
          </w:p>
        </w:tc>
        <w:tc>
          <w:tcPr>
            <w:tcW w:w="59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pPr>
            <w:r>
              <w:rPr>
                <w:szCs w:val="22"/>
                <w:lang w:val="es-ES_tradnl"/>
              </w:rPr>
              <w:t>Porcentaje</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keepLines/>
            </w:pPr>
            <w:r>
              <w:t>Fracturas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szCs w:val="22"/>
                <w:lang w:val="es-ES_tradnl"/>
              </w:rPr>
              <w:t>157</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lang w:val="es-ES_tradnl"/>
              </w:rPr>
              <w:t>17</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lang w:val="es-ES_tradnl"/>
              </w:rPr>
              <w:t>4</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lang w:val="es-ES_tradnl"/>
              </w:rPr>
              <w:t>103</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lang w:val="es-ES_tradnl"/>
              </w:rPr>
              <w:t>2.811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lang w:val="es-ES_tradnl"/>
              </w:rPr>
              <w:t>3.092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keepNext/>
              <w:keepLines/>
              <w:jc w:val="right"/>
            </w:pPr>
            <w:r>
              <w:rPr>
                <w:szCs w:val="22"/>
                <w:lang w:val="es-ES_tradnl"/>
              </w:rPr>
              <w:t>0,00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Luxaciones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248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254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1,38</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Torceduras y esguinces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5</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1.127</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1.133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6,14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Conmociones y traumatismos internos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349</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20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111</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225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727</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3,94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Amputaciones y enucleaciones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lang w:val="es-ES_tradnl"/>
              </w:rPr>
              <w:t>508</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106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658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3,57</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Otras heridas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23</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4.572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4.612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24,99</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Traumatismos superficiales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2.490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2.519</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13,65</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Contusiones y aplastamientos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56</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7</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86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3.993</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4.148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22,48</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Quemaduras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13</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25</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865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905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4,90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Envenenamientos e intoxicaciones agudas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7</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8</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0,04</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t>Efectos tiempo frío y conexos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0,01</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Asfixia</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39</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4</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5</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84</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0,46</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Efectos electricidad</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16</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276</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313</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1,70</w:t>
            </w:r>
          </w:p>
        </w:tc>
      </w:tr>
      <w:tr w:rsidR="00000000">
        <w:tblPrEx>
          <w:tblCellMar>
            <w:top w:w="0" w:type="dxa"/>
            <w:bottom w:w="0" w:type="dxa"/>
          </w:tblCellMar>
        </w:tblPrEx>
        <w:trPr>
          <w:cantSplit/>
        </w:trPr>
        <w:tc>
          <w:tcPr>
            <w:tcW w:w="0" w:type="auto"/>
            <w:tcBorders>
              <w:top w:val="single" w:sz="4" w:space="0" w:color="auto"/>
              <w:left w:val="single" w:sz="4" w:space="0" w:color="auto"/>
              <w:bottom w:val="single" w:sz="4" w:space="0" w:color="auto"/>
              <w:right w:val="single" w:sz="4" w:space="0" w:color="auto"/>
            </w:tcBorders>
          </w:tcPr>
          <w:p w:rsidR="00000000" w:rsidRDefault="00000000">
            <w:pPr>
              <w:tabs>
                <w:tab w:val="left" w:pos="270"/>
              </w:tabs>
            </w:pPr>
            <w:r>
              <w:rPr>
                <w:szCs w:val="22"/>
                <w:lang w:val="es-ES_tradnl"/>
              </w:rPr>
              <w:tab/>
              <w:t>Totales</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638</w:t>
            </w:r>
          </w:p>
        </w:tc>
        <w:tc>
          <w:tcPr>
            <w:tcW w:w="426"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69</w:t>
            </w:r>
          </w:p>
        </w:tc>
        <w:tc>
          <w:tcPr>
            <w:tcW w:w="42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80</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910</w:t>
            </w:r>
          </w:p>
        </w:tc>
        <w:tc>
          <w:tcPr>
            <w:tcW w:w="479"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16.758</w:t>
            </w:r>
          </w:p>
        </w:tc>
        <w:tc>
          <w:tcPr>
            <w:tcW w:w="477"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18.455</w:t>
            </w:r>
          </w:p>
        </w:tc>
        <w:tc>
          <w:tcPr>
            <w:tcW w:w="591" w:type="pct"/>
            <w:tcBorders>
              <w:top w:val="single" w:sz="4" w:space="0" w:color="auto"/>
              <w:left w:val="single" w:sz="4" w:space="0" w:color="auto"/>
              <w:bottom w:val="single" w:sz="4" w:space="0" w:color="auto"/>
              <w:right w:val="single" w:sz="4" w:space="0" w:color="auto"/>
            </w:tcBorders>
          </w:tcPr>
          <w:p w:rsidR="00000000" w:rsidRDefault="00000000">
            <w:pPr>
              <w:jc w:val="right"/>
            </w:pPr>
            <w:r>
              <w:rPr>
                <w:szCs w:val="22"/>
                <w:lang w:val="es-ES_tradnl"/>
              </w:rPr>
              <w:t>100,00</w:t>
            </w:r>
          </w:p>
        </w:tc>
      </w:tr>
    </w:tbl>
    <w:p w:rsidR="00000000" w:rsidRDefault="00000000">
      <w:pPr>
        <w:spacing w:after="240"/>
        <w:rPr>
          <w:szCs w:val="2"/>
        </w:rPr>
      </w:pPr>
    </w:p>
    <w:p w:rsidR="00000000" w:rsidRDefault="00000000">
      <w:pPr>
        <w:spacing w:after="240"/>
        <w:jc w:val="center"/>
        <w:rPr>
          <w:b/>
          <w:bCs/>
          <w:szCs w:val="18"/>
          <w:lang w:val="es-ES_tradnl"/>
        </w:rPr>
      </w:pPr>
      <w:r>
        <w:rPr>
          <w:b/>
          <w:bCs/>
          <w:szCs w:val="18"/>
          <w:lang w:val="es-ES_tradnl"/>
        </w:rPr>
        <w:t>Profesionales y su evolución y tendencia</w:t>
      </w:r>
    </w:p>
    <w:p w:rsidR="00000000" w:rsidRDefault="00000000">
      <w:pPr>
        <w:spacing w:after="240"/>
        <w:jc w:val="center"/>
        <w:rPr>
          <w:b/>
          <w:bCs/>
        </w:rPr>
      </w:pPr>
      <w:r>
        <w:rPr>
          <w:b/>
          <w:bCs/>
          <w:szCs w:val="18"/>
          <w:lang w:val="es-ES_tradnl"/>
        </w:rPr>
        <w:t>Índices evaluativos de la seguridad en el Ecuador</w:t>
      </w:r>
      <w:r>
        <w:rPr>
          <w:b/>
          <w:bCs/>
          <w:szCs w:val="18"/>
          <w:lang w:val="es-ES_tradnl"/>
        </w:rPr>
        <w:br/>
        <w:t>(afiliados al IESS)</w:t>
      </w:r>
    </w:p>
    <w:tbl>
      <w:tblPr>
        <w:tblW w:w="0" w:type="auto"/>
        <w:jc w:val="center"/>
        <w:tblInd w:w="-773" w:type="dxa"/>
        <w:tblLayout w:type="fixed"/>
        <w:tblCellMar>
          <w:left w:w="40" w:type="dxa"/>
          <w:right w:w="40" w:type="dxa"/>
        </w:tblCellMar>
        <w:tblLook w:val="0000" w:firstRow="0" w:lastRow="0" w:firstColumn="0" w:lastColumn="0" w:noHBand="0" w:noVBand="0"/>
      </w:tblPr>
      <w:tblGrid>
        <w:gridCol w:w="1584"/>
        <w:gridCol w:w="1618"/>
        <w:gridCol w:w="1618"/>
        <w:gridCol w:w="1619"/>
      </w:tblGrid>
      <w:tr w:rsidR="00000000">
        <w:tblPrEx>
          <w:tblCellMar>
            <w:top w:w="0" w:type="dxa"/>
            <w:bottom w:w="0" w:type="dxa"/>
          </w:tblCellMar>
        </w:tblPrEx>
        <w:trPr>
          <w:cantSplit/>
          <w:jc w:val="center"/>
        </w:trPr>
        <w:tc>
          <w:tcPr>
            <w:tcW w:w="1584"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pPr>
            <w:r>
              <w:t>Año</w:t>
            </w:r>
          </w:p>
        </w:tc>
        <w:tc>
          <w:tcPr>
            <w:tcW w:w="1618"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pPr>
            <w:r>
              <w:t>Índices de frecuencia</w:t>
            </w:r>
          </w:p>
        </w:tc>
        <w:tc>
          <w:tcPr>
            <w:tcW w:w="1618"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pPr>
            <w:r>
              <w:t>Índices de gravedad</w:t>
            </w:r>
          </w:p>
        </w:tc>
        <w:tc>
          <w:tcPr>
            <w:tcW w:w="1619" w:type="dxa"/>
            <w:tcBorders>
              <w:top w:val="single" w:sz="6" w:space="0" w:color="auto"/>
              <w:left w:val="single" w:sz="6" w:space="0" w:color="auto"/>
              <w:bottom w:val="single" w:sz="4" w:space="0" w:color="auto"/>
              <w:right w:val="single" w:sz="6" w:space="0" w:color="auto"/>
            </w:tcBorders>
            <w:vAlign w:val="center"/>
          </w:tcPr>
          <w:p w:rsidR="00000000" w:rsidRDefault="00000000">
            <w:pPr>
              <w:jc w:val="center"/>
            </w:pPr>
            <w:r>
              <w:t>Tasa de riesgos</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1988</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2,90</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670,00</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231,30</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1989</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3,45</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735,96</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210,27</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1990</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2,86</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913,34</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319,34</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1991</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2,71</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766,91</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282,99</w:t>
            </w:r>
          </w:p>
        </w:tc>
      </w:tr>
      <w:tr w:rsidR="00000000">
        <w:tblPrEx>
          <w:tblCellMar>
            <w:top w:w="0" w:type="dxa"/>
            <w:bottom w:w="0" w:type="dxa"/>
          </w:tblCellMar>
        </w:tblPrEx>
        <w:trPr>
          <w:cantSplit/>
          <w:jc w:val="center"/>
        </w:trPr>
        <w:tc>
          <w:tcPr>
            <w:tcW w:w="1584" w:type="dxa"/>
            <w:tcBorders>
              <w:top w:val="single" w:sz="4" w:space="0" w:color="auto"/>
              <w:left w:val="single" w:sz="4" w:space="0" w:color="auto"/>
              <w:bottom w:val="single" w:sz="4" w:space="0" w:color="auto"/>
              <w:right w:val="single" w:sz="4" w:space="0" w:color="auto"/>
            </w:tcBorders>
          </w:tcPr>
          <w:p w:rsidR="00000000" w:rsidRDefault="00000000">
            <w:r>
              <w:rPr>
                <w:szCs w:val="18"/>
                <w:lang w:val="es-ES_tradnl"/>
              </w:rPr>
              <w:t>1992</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1,92</w:t>
            </w:r>
          </w:p>
        </w:tc>
        <w:tc>
          <w:tcPr>
            <w:tcW w:w="1618"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594,87</w:t>
            </w:r>
          </w:p>
        </w:tc>
        <w:tc>
          <w:tcPr>
            <w:tcW w:w="1619" w:type="dxa"/>
            <w:tcBorders>
              <w:top w:val="single" w:sz="4" w:space="0" w:color="auto"/>
              <w:left w:val="single" w:sz="4" w:space="0" w:color="auto"/>
              <w:bottom w:val="single" w:sz="4" w:space="0" w:color="auto"/>
              <w:right w:val="single" w:sz="4" w:space="0" w:color="auto"/>
            </w:tcBorders>
          </w:tcPr>
          <w:p w:rsidR="00000000" w:rsidRDefault="00000000">
            <w:pPr>
              <w:jc w:val="right"/>
            </w:pPr>
            <w:r>
              <w:rPr>
                <w:szCs w:val="18"/>
                <w:lang w:val="es-ES_tradnl"/>
              </w:rPr>
              <w:t>309,82</w:t>
            </w:r>
          </w:p>
        </w:tc>
      </w:tr>
    </w:tbl>
    <w:p w:rsidR="00000000" w:rsidRDefault="00000000">
      <w:pPr>
        <w:tabs>
          <w:tab w:val="left" w:pos="4290"/>
        </w:tabs>
        <w:ind w:left="2104"/>
        <w:rPr>
          <w:szCs w:val="18"/>
          <w:lang w:val="es-ES_tradnl"/>
        </w:rPr>
      </w:pPr>
    </w:p>
    <w:tbl>
      <w:tblPr>
        <w:tblW w:w="0" w:type="auto"/>
        <w:jc w:val="center"/>
        <w:tblInd w:w="2104" w:type="dxa"/>
        <w:tblBorders>
          <w:insideH w:val="single" w:sz="4" w:space="0" w:color="auto"/>
        </w:tblBorders>
        <w:tblLayout w:type="fixed"/>
        <w:tblCellMar>
          <w:left w:w="70" w:type="dxa"/>
          <w:right w:w="70" w:type="dxa"/>
        </w:tblCellMar>
        <w:tblLook w:val="0000" w:firstRow="0" w:lastRow="0" w:firstColumn="0" w:lastColumn="0" w:noHBand="0" w:noVBand="0"/>
      </w:tblPr>
      <w:tblGrid>
        <w:gridCol w:w="2178"/>
        <w:gridCol w:w="4374"/>
      </w:tblGrid>
      <w:tr w:rsidR="00000000">
        <w:tblPrEx>
          <w:tblCellMar>
            <w:top w:w="0" w:type="dxa"/>
            <w:bottom w:w="0" w:type="dxa"/>
          </w:tblCellMar>
        </w:tblPrEx>
        <w:trPr>
          <w:jc w:val="center"/>
        </w:trPr>
        <w:tc>
          <w:tcPr>
            <w:tcW w:w="2178" w:type="dxa"/>
            <w:tcBorders>
              <w:top w:val="nil"/>
              <w:bottom w:val="nil"/>
            </w:tcBorders>
          </w:tcPr>
          <w:p w:rsidR="00000000" w:rsidRDefault="00000000">
            <w:pPr>
              <w:spacing w:before="120" w:after="120"/>
              <w:rPr>
                <w:szCs w:val="18"/>
                <w:lang w:val="es-ES_tradnl"/>
              </w:rPr>
            </w:pPr>
            <w:r>
              <w:rPr>
                <w:szCs w:val="18"/>
                <w:lang w:val="es-ES_tradnl"/>
              </w:rPr>
              <w:t>Índice de frecuencia:</w:t>
            </w:r>
          </w:p>
        </w:tc>
        <w:tc>
          <w:tcPr>
            <w:tcW w:w="4374" w:type="dxa"/>
          </w:tcPr>
          <w:p w:rsidR="00000000" w:rsidRDefault="00000000">
            <w:pPr>
              <w:spacing w:before="120" w:after="120"/>
              <w:jc w:val="center"/>
              <w:rPr>
                <w:vertAlign w:val="subscript"/>
              </w:rPr>
            </w:pPr>
            <w:proofErr w:type="spellStart"/>
            <w:r>
              <w:rPr>
                <w:szCs w:val="18"/>
                <w:lang w:val="es-ES_tradnl"/>
              </w:rPr>
              <w:t>IF</w:t>
            </w:r>
            <w:proofErr w:type="spellEnd"/>
            <w:r>
              <w:rPr>
                <w:szCs w:val="18"/>
                <w:lang w:val="es-ES_tradnl"/>
              </w:rPr>
              <w:t xml:space="preserve"> = Número de accidentes con </w:t>
            </w:r>
            <w:proofErr w:type="spellStart"/>
            <w:r>
              <w:rPr>
                <w:szCs w:val="18"/>
                <w:lang w:val="es-ES_tradnl"/>
              </w:rPr>
              <w:t>bajas*10</w:t>
            </w:r>
            <w:r>
              <w:rPr>
                <w:szCs w:val="18"/>
                <w:vertAlign w:val="subscript"/>
                <w:lang w:val="es-ES_tradnl"/>
              </w:rPr>
              <w:t>6</w:t>
            </w:r>
            <w:proofErr w:type="spellEnd"/>
          </w:p>
        </w:tc>
      </w:tr>
      <w:tr w:rsidR="00000000">
        <w:tblPrEx>
          <w:tblCellMar>
            <w:top w:w="0" w:type="dxa"/>
            <w:bottom w:w="0" w:type="dxa"/>
          </w:tblCellMar>
        </w:tblPrEx>
        <w:trPr>
          <w:jc w:val="center"/>
        </w:trPr>
        <w:tc>
          <w:tcPr>
            <w:tcW w:w="2178" w:type="dxa"/>
            <w:tcBorders>
              <w:top w:val="nil"/>
            </w:tcBorders>
          </w:tcPr>
          <w:p w:rsidR="00000000" w:rsidRDefault="00000000">
            <w:pPr>
              <w:spacing w:before="120"/>
              <w:rPr>
                <w:szCs w:val="18"/>
                <w:lang w:val="es-ES_tradnl"/>
              </w:rPr>
            </w:pPr>
          </w:p>
        </w:tc>
        <w:tc>
          <w:tcPr>
            <w:tcW w:w="4374" w:type="dxa"/>
          </w:tcPr>
          <w:p w:rsidR="00000000" w:rsidRDefault="00000000">
            <w:pPr>
              <w:spacing w:before="80"/>
              <w:jc w:val="center"/>
              <w:rPr>
                <w:szCs w:val="18"/>
                <w:lang w:val="es-ES_tradnl"/>
              </w:rPr>
            </w:pPr>
            <w:r>
              <w:rPr>
                <w:szCs w:val="18"/>
                <w:lang w:val="es-ES_tradnl"/>
              </w:rPr>
              <w:t>Número de horas trabajadas</w:t>
            </w:r>
          </w:p>
        </w:tc>
      </w:tr>
    </w:tbl>
    <w:p w:rsidR="00000000" w:rsidRDefault="00000000">
      <w:pPr>
        <w:spacing w:after="240"/>
        <w:jc w:val="center"/>
        <w:rPr>
          <w:b/>
          <w:bCs/>
          <w:szCs w:val="18"/>
          <w:lang w:val="es-ES_tradnl"/>
        </w:rPr>
      </w:pPr>
    </w:p>
    <w:p w:rsidR="00000000" w:rsidRDefault="00000000">
      <w:pPr>
        <w:keepNext/>
        <w:keepLines/>
        <w:spacing w:after="240"/>
        <w:jc w:val="center"/>
        <w:rPr>
          <w:b/>
          <w:bCs/>
        </w:rPr>
      </w:pPr>
      <w:r>
        <w:rPr>
          <w:b/>
          <w:bCs/>
          <w:szCs w:val="18"/>
          <w:lang w:val="es-ES_tradnl"/>
        </w:rPr>
        <w:t>Índices de incidencia (Ecuador-afiliados al IESS)</w:t>
      </w:r>
    </w:p>
    <w:tbl>
      <w:tblPr>
        <w:tblW w:w="0" w:type="auto"/>
        <w:jc w:val="center"/>
        <w:tblLayout w:type="fixed"/>
        <w:tblCellMar>
          <w:left w:w="40" w:type="dxa"/>
          <w:right w:w="40" w:type="dxa"/>
        </w:tblCellMar>
        <w:tblLook w:val="0000" w:firstRow="0" w:lastRow="0" w:firstColumn="0" w:lastColumn="0" w:noHBand="0" w:noVBand="0"/>
      </w:tblPr>
      <w:tblGrid>
        <w:gridCol w:w="2191"/>
        <w:gridCol w:w="851"/>
        <w:gridCol w:w="851"/>
        <w:gridCol w:w="851"/>
        <w:gridCol w:w="851"/>
        <w:gridCol w:w="851"/>
      </w:tblGrid>
      <w:tr w:rsidR="00000000">
        <w:tblPrEx>
          <w:tblCellMar>
            <w:top w:w="0" w:type="dxa"/>
            <w:bottom w:w="0" w:type="dxa"/>
          </w:tblCellMar>
        </w:tblPrEx>
        <w:trPr>
          <w:cantSplit/>
          <w:jc w:val="center"/>
        </w:trPr>
        <w:tc>
          <w:tcPr>
            <w:tcW w:w="219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Años</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7"/>
                <w:lang w:val="es-ES_tradnl"/>
              </w:rPr>
              <w:t>1988</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1989</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1990</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1991</w:t>
            </w:r>
          </w:p>
        </w:tc>
        <w:tc>
          <w:tcPr>
            <w:tcW w:w="851"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1992</w:t>
            </w:r>
          </w:p>
        </w:tc>
      </w:tr>
      <w:tr w:rsidR="00000000">
        <w:tblPrEx>
          <w:tblCellMar>
            <w:top w:w="0" w:type="dxa"/>
            <w:bottom w:w="0" w:type="dxa"/>
          </w:tblCellMar>
        </w:tblPrEx>
        <w:trPr>
          <w:cantSplit/>
          <w:jc w:val="center"/>
        </w:trPr>
        <w:tc>
          <w:tcPr>
            <w:tcW w:w="2191" w:type="dxa"/>
            <w:tcBorders>
              <w:top w:val="nil"/>
              <w:left w:val="single" w:sz="6" w:space="0" w:color="auto"/>
              <w:bottom w:val="single" w:sz="6" w:space="0" w:color="auto"/>
              <w:right w:val="single" w:sz="6" w:space="0" w:color="auto"/>
            </w:tcBorders>
            <w:vAlign w:val="center"/>
          </w:tcPr>
          <w:p w:rsidR="00000000" w:rsidRDefault="00000000">
            <w:pPr>
              <w:keepNext/>
              <w:keepLines/>
            </w:pPr>
            <w:r>
              <w:t>Índices de incidencia</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0,58</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0,69</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0,57</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0,54</w:t>
            </w:r>
          </w:p>
        </w:tc>
        <w:tc>
          <w:tcPr>
            <w:tcW w:w="851" w:type="dxa"/>
            <w:tcBorders>
              <w:top w:val="nil"/>
              <w:left w:val="single" w:sz="6" w:space="0" w:color="auto"/>
              <w:bottom w:val="single" w:sz="6" w:space="0" w:color="auto"/>
              <w:right w:val="single" w:sz="6" w:space="0" w:color="auto"/>
            </w:tcBorders>
            <w:vAlign w:val="center"/>
          </w:tcPr>
          <w:p w:rsidR="00000000" w:rsidRDefault="00000000">
            <w:pPr>
              <w:keepNext/>
              <w:keepLines/>
              <w:jc w:val="center"/>
            </w:pPr>
            <w:r>
              <w:rPr>
                <w:szCs w:val="18"/>
                <w:lang w:val="es-ES_tradnl"/>
              </w:rPr>
              <w:t>0,38</w:t>
            </w:r>
          </w:p>
        </w:tc>
      </w:tr>
    </w:tbl>
    <w:p w:rsidR="00000000" w:rsidRDefault="00000000">
      <w:pPr>
        <w:keepNext/>
        <w:keepLines/>
        <w:ind w:left="816"/>
        <w:rPr>
          <w:szCs w:val="18"/>
          <w:lang w:val="es-ES_tradnl"/>
        </w:rPr>
      </w:pPr>
    </w:p>
    <w:tbl>
      <w:tblPr>
        <w:tblW w:w="6741" w:type="dxa"/>
        <w:jc w:val="center"/>
        <w:tblInd w:w="2218" w:type="dxa"/>
        <w:tblBorders>
          <w:insideH w:val="single" w:sz="4" w:space="0" w:color="auto"/>
        </w:tblBorders>
        <w:tblLayout w:type="fixed"/>
        <w:tblCellMar>
          <w:left w:w="70" w:type="dxa"/>
          <w:right w:w="70" w:type="dxa"/>
        </w:tblCellMar>
        <w:tblLook w:val="0000" w:firstRow="0" w:lastRow="0" w:firstColumn="0" w:lastColumn="0" w:noHBand="0" w:noVBand="0"/>
      </w:tblPr>
      <w:tblGrid>
        <w:gridCol w:w="2064"/>
        <w:gridCol w:w="4677"/>
      </w:tblGrid>
      <w:tr w:rsidR="00000000">
        <w:tblPrEx>
          <w:tblCellMar>
            <w:top w:w="0" w:type="dxa"/>
            <w:bottom w:w="0" w:type="dxa"/>
          </w:tblCellMar>
        </w:tblPrEx>
        <w:trPr>
          <w:jc w:val="center"/>
        </w:trPr>
        <w:tc>
          <w:tcPr>
            <w:tcW w:w="2064" w:type="dxa"/>
            <w:tcBorders>
              <w:top w:val="nil"/>
              <w:bottom w:val="nil"/>
            </w:tcBorders>
          </w:tcPr>
          <w:p w:rsidR="00000000" w:rsidRDefault="00000000">
            <w:pPr>
              <w:keepNext/>
              <w:keepLines/>
              <w:spacing w:before="120" w:after="120"/>
              <w:rPr>
                <w:szCs w:val="18"/>
                <w:lang w:val="es-ES_tradnl"/>
              </w:rPr>
            </w:pPr>
            <w:r>
              <w:rPr>
                <w:szCs w:val="18"/>
                <w:lang w:val="es-ES_tradnl"/>
              </w:rPr>
              <w:t>Índice de gravedad:</w:t>
            </w:r>
          </w:p>
        </w:tc>
        <w:tc>
          <w:tcPr>
            <w:tcW w:w="4677" w:type="dxa"/>
          </w:tcPr>
          <w:p w:rsidR="00000000" w:rsidRDefault="00000000">
            <w:pPr>
              <w:keepNext/>
              <w:keepLines/>
              <w:spacing w:before="120" w:after="120"/>
              <w:jc w:val="center"/>
              <w:rPr>
                <w:vertAlign w:val="subscript"/>
              </w:rPr>
            </w:pPr>
            <w:proofErr w:type="spellStart"/>
            <w:r>
              <w:rPr>
                <w:szCs w:val="18"/>
                <w:lang w:val="es-ES_tradnl"/>
              </w:rPr>
              <w:t>IG</w:t>
            </w:r>
            <w:proofErr w:type="spellEnd"/>
            <w:r>
              <w:rPr>
                <w:szCs w:val="18"/>
                <w:lang w:val="es-ES_tradnl"/>
              </w:rPr>
              <w:t xml:space="preserve"> = Tiempo perdido por los </w:t>
            </w:r>
            <w:proofErr w:type="spellStart"/>
            <w:r>
              <w:rPr>
                <w:szCs w:val="18"/>
                <w:lang w:val="es-ES_tradnl"/>
              </w:rPr>
              <w:t>accidentados*10</w:t>
            </w:r>
            <w:r>
              <w:rPr>
                <w:szCs w:val="18"/>
                <w:vertAlign w:val="subscript"/>
                <w:lang w:val="es-ES_tradnl"/>
              </w:rPr>
              <w:t>6</w:t>
            </w:r>
            <w:proofErr w:type="spellEnd"/>
          </w:p>
        </w:tc>
      </w:tr>
      <w:tr w:rsidR="00000000">
        <w:tblPrEx>
          <w:tblCellMar>
            <w:top w:w="0" w:type="dxa"/>
            <w:bottom w:w="0" w:type="dxa"/>
          </w:tblCellMar>
        </w:tblPrEx>
        <w:trPr>
          <w:jc w:val="center"/>
        </w:trPr>
        <w:tc>
          <w:tcPr>
            <w:tcW w:w="2064" w:type="dxa"/>
            <w:tcBorders>
              <w:top w:val="nil"/>
            </w:tcBorders>
          </w:tcPr>
          <w:p w:rsidR="00000000" w:rsidRDefault="00000000">
            <w:pPr>
              <w:keepNext/>
              <w:keepLines/>
              <w:spacing w:before="120"/>
              <w:rPr>
                <w:szCs w:val="18"/>
                <w:lang w:val="es-ES_tradnl"/>
              </w:rPr>
            </w:pPr>
          </w:p>
        </w:tc>
        <w:tc>
          <w:tcPr>
            <w:tcW w:w="4677" w:type="dxa"/>
          </w:tcPr>
          <w:p w:rsidR="00000000" w:rsidRDefault="00000000">
            <w:pPr>
              <w:keepNext/>
              <w:keepLines/>
              <w:spacing w:before="80"/>
              <w:jc w:val="center"/>
              <w:rPr>
                <w:szCs w:val="18"/>
                <w:lang w:val="es-ES_tradnl"/>
              </w:rPr>
            </w:pPr>
            <w:r>
              <w:rPr>
                <w:szCs w:val="18"/>
                <w:lang w:val="es-ES_tradnl"/>
              </w:rPr>
              <w:t>Número de horas trabajadas</w:t>
            </w:r>
          </w:p>
        </w:tc>
      </w:tr>
    </w:tbl>
    <w:p w:rsidR="00000000" w:rsidRDefault="00000000">
      <w:pPr>
        <w:spacing w:after="240"/>
      </w:pPr>
    </w:p>
    <w:p w:rsidR="00000000" w:rsidRDefault="00000000">
      <w:pPr>
        <w:spacing w:after="240"/>
        <w:jc w:val="center"/>
        <w:rPr>
          <w:b/>
          <w:bCs/>
        </w:rPr>
      </w:pPr>
      <w:r>
        <w:rPr>
          <w:b/>
          <w:bCs/>
          <w:szCs w:val="18"/>
          <w:lang w:val="es-ES_tradnl"/>
        </w:rPr>
        <w:t>Tasa de lesiones mortales (Ecuador-IESS)</w:t>
      </w:r>
    </w:p>
    <w:tbl>
      <w:tblPr>
        <w:tblW w:w="0" w:type="auto"/>
        <w:jc w:val="center"/>
        <w:tblInd w:w="-452" w:type="dxa"/>
        <w:tblLayout w:type="fixed"/>
        <w:tblCellMar>
          <w:left w:w="40" w:type="dxa"/>
          <w:right w:w="40" w:type="dxa"/>
        </w:tblCellMar>
        <w:tblLook w:val="0000" w:firstRow="0" w:lastRow="0" w:firstColumn="0" w:lastColumn="0" w:noHBand="0" w:noVBand="0"/>
      </w:tblPr>
      <w:tblGrid>
        <w:gridCol w:w="2699"/>
        <w:gridCol w:w="1009"/>
        <w:gridCol w:w="1010"/>
        <w:gridCol w:w="1009"/>
        <w:gridCol w:w="1010"/>
        <w:gridCol w:w="1010"/>
      </w:tblGrid>
      <w:tr w:rsidR="00000000">
        <w:tblPrEx>
          <w:tblCellMar>
            <w:top w:w="0" w:type="dxa"/>
            <w:bottom w:w="0" w:type="dxa"/>
          </w:tblCellMar>
        </w:tblPrEx>
        <w:trPr>
          <w:cantSplit/>
          <w:jc w:val="center"/>
        </w:trPr>
        <w:tc>
          <w:tcPr>
            <w:tcW w:w="269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Años</w:t>
            </w:r>
          </w:p>
        </w:tc>
        <w:tc>
          <w:tcPr>
            <w:tcW w:w="10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1988</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1989</w:t>
            </w:r>
          </w:p>
        </w:tc>
        <w:tc>
          <w:tcPr>
            <w:tcW w:w="1009"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1990</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1991</w:t>
            </w:r>
          </w:p>
        </w:tc>
        <w:tc>
          <w:tcPr>
            <w:tcW w:w="1010" w:type="dxa"/>
            <w:tcBorders>
              <w:top w:val="single" w:sz="6" w:space="0" w:color="auto"/>
              <w:left w:val="single" w:sz="6" w:space="0" w:color="auto"/>
              <w:bottom w:val="single" w:sz="6" w:space="0" w:color="auto"/>
              <w:right w:val="single" w:sz="6" w:space="0" w:color="auto"/>
            </w:tcBorders>
            <w:vAlign w:val="center"/>
          </w:tcPr>
          <w:p w:rsidR="00000000" w:rsidRDefault="00000000">
            <w:pPr>
              <w:jc w:val="center"/>
            </w:pPr>
            <w:r>
              <w:rPr>
                <w:szCs w:val="18"/>
                <w:lang w:val="es-ES_tradnl"/>
              </w:rPr>
              <w:t>1992</w:t>
            </w:r>
          </w:p>
        </w:tc>
      </w:tr>
      <w:tr w:rsidR="00000000">
        <w:tblPrEx>
          <w:tblCellMar>
            <w:top w:w="0" w:type="dxa"/>
            <w:bottom w:w="0" w:type="dxa"/>
          </w:tblCellMar>
        </w:tblPrEx>
        <w:trPr>
          <w:cantSplit/>
          <w:jc w:val="center"/>
        </w:trPr>
        <w:tc>
          <w:tcPr>
            <w:tcW w:w="2699" w:type="dxa"/>
            <w:tcBorders>
              <w:left w:val="single" w:sz="6" w:space="0" w:color="auto"/>
              <w:bottom w:val="single" w:sz="6" w:space="0" w:color="auto"/>
              <w:right w:val="single" w:sz="6" w:space="0" w:color="auto"/>
            </w:tcBorders>
            <w:vAlign w:val="center"/>
          </w:tcPr>
          <w:p w:rsidR="00000000" w:rsidRDefault="00000000">
            <w:r>
              <w:t>Tasa de lesiones mortales</w:t>
            </w:r>
          </w:p>
        </w:tc>
        <w:tc>
          <w:tcPr>
            <w:tcW w:w="1009"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0,081</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0,098</w:t>
            </w:r>
          </w:p>
        </w:tc>
        <w:tc>
          <w:tcPr>
            <w:tcW w:w="1009"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0,119</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0,093</w:t>
            </w:r>
          </w:p>
        </w:tc>
        <w:tc>
          <w:tcPr>
            <w:tcW w:w="1010" w:type="dxa"/>
            <w:tcBorders>
              <w:top w:val="nil"/>
              <w:left w:val="single" w:sz="6" w:space="0" w:color="auto"/>
              <w:bottom w:val="single" w:sz="6" w:space="0" w:color="auto"/>
              <w:right w:val="single" w:sz="6" w:space="0" w:color="auto"/>
            </w:tcBorders>
            <w:vAlign w:val="center"/>
          </w:tcPr>
          <w:p w:rsidR="00000000" w:rsidRDefault="00000000">
            <w:pPr>
              <w:jc w:val="center"/>
            </w:pPr>
            <w:r>
              <w:rPr>
                <w:szCs w:val="18"/>
                <w:lang w:val="es-ES_tradnl"/>
              </w:rPr>
              <w:t>0,079</w:t>
            </w:r>
          </w:p>
        </w:tc>
      </w:tr>
    </w:tbl>
    <w:p w:rsidR="00000000" w:rsidRDefault="00000000">
      <w:pPr>
        <w:ind w:left="1128"/>
        <w:rPr>
          <w:szCs w:val="18"/>
          <w:lang w:val="es-ES_tradnl"/>
        </w:rPr>
      </w:pPr>
    </w:p>
    <w:tbl>
      <w:tblPr>
        <w:tblW w:w="5208" w:type="dxa"/>
        <w:jc w:val="center"/>
        <w:tblInd w:w="3851" w:type="dxa"/>
        <w:tblBorders>
          <w:insideH w:val="single" w:sz="4" w:space="0" w:color="auto"/>
        </w:tblBorders>
        <w:tblLayout w:type="fixed"/>
        <w:tblCellMar>
          <w:left w:w="70" w:type="dxa"/>
          <w:right w:w="70" w:type="dxa"/>
        </w:tblCellMar>
        <w:tblLook w:val="0000" w:firstRow="0" w:lastRow="0" w:firstColumn="0" w:lastColumn="0" w:noHBand="0" w:noVBand="0"/>
      </w:tblPr>
      <w:tblGrid>
        <w:gridCol w:w="1608"/>
        <w:gridCol w:w="3600"/>
      </w:tblGrid>
      <w:tr w:rsidR="00000000">
        <w:tblPrEx>
          <w:tblCellMar>
            <w:top w:w="0" w:type="dxa"/>
            <w:bottom w:w="0" w:type="dxa"/>
          </w:tblCellMar>
        </w:tblPrEx>
        <w:trPr>
          <w:jc w:val="center"/>
        </w:trPr>
        <w:tc>
          <w:tcPr>
            <w:tcW w:w="1608" w:type="dxa"/>
            <w:tcBorders>
              <w:top w:val="nil"/>
              <w:bottom w:val="nil"/>
            </w:tcBorders>
          </w:tcPr>
          <w:p w:rsidR="00000000" w:rsidRDefault="00000000">
            <w:pPr>
              <w:spacing w:before="120" w:after="120"/>
              <w:rPr>
                <w:szCs w:val="18"/>
                <w:lang w:val="es-ES_tradnl"/>
              </w:rPr>
            </w:pPr>
            <w:r>
              <w:rPr>
                <w:szCs w:val="18"/>
                <w:lang w:val="es-ES_tradnl"/>
              </w:rPr>
              <w:t>Tasa de riesgo:</w:t>
            </w:r>
          </w:p>
        </w:tc>
        <w:tc>
          <w:tcPr>
            <w:tcW w:w="3600" w:type="dxa"/>
          </w:tcPr>
          <w:p w:rsidR="00000000" w:rsidRDefault="00000000">
            <w:pPr>
              <w:spacing w:before="120" w:after="120"/>
              <w:jc w:val="center"/>
              <w:rPr>
                <w:vertAlign w:val="subscript"/>
              </w:rPr>
            </w:pPr>
            <w:proofErr w:type="spellStart"/>
            <w:r>
              <w:rPr>
                <w:szCs w:val="18"/>
                <w:lang w:val="es-ES_tradnl"/>
              </w:rPr>
              <w:t>TR</w:t>
            </w:r>
            <w:proofErr w:type="spellEnd"/>
            <w:r>
              <w:rPr>
                <w:szCs w:val="18"/>
                <w:lang w:val="es-ES_tradnl"/>
              </w:rPr>
              <w:t xml:space="preserve"> = Número de días </w:t>
            </w:r>
            <w:proofErr w:type="spellStart"/>
            <w:r>
              <w:rPr>
                <w:szCs w:val="18"/>
                <w:lang w:val="es-ES_tradnl"/>
              </w:rPr>
              <w:t>perdidos*10</w:t>
            </w:r>
            <w:r>
              <w:rPr>
                <w:szCs w:val="18"/>
                <w:vertAlign w:val="subscript"/>
                <w:lang w:val="es-ES_tradnl"/>
              </w:rPr>
              <w:t>6</w:t>
            </w:r>
            <w:proofErr w:type="spellEnd"/>
          </w:p>
        </w:tc>
      </w:tr>
      <w:tr w:rsidR="00000000">
        <w:tblPrEx>
          <w:tblCellMar>
            <w:top w:w="0" w:type="dxa"/>
            <w:bottom w:w="0" w:type="dxa"/>
          </w:tblCellMar>
        </w:tblPrEx>
        <w:trPr>
          <w:jc w:val="center"/>
        </w:trPr>
        <w:tc>
          <w:tcPr>
            <w:tcW w:w="1608" w:type="dxa"/>
            <w:tcBorders>
              <w:top w:val="nil"/>
            </w:tcBorders>
          </w:tcPr>
          <w:p w:rsidR="00000000" w:rsidRDefault="00000000">
            <w:pPr>
              <w:spacing w:before="120"/>
              <w:rPr>
                <w:szCs w:val="18"/>
                <w:lang w:val="es-ES_tradnl"/>
              </w:rPr>
            </w:pPr>
          </w:p>
        </w:tc>
        <w:tc>
          <w:tcPr>
            <w:tcW w:w="3600" w:type="dxa"/>
          </w:tcPr>
          <w:p w:rsidR="00000000" w:rsidRDefault="00000000">
            <w:pPr>
              <w:spacing w:before="80"/>
              <w:jc w:val="center"/>
              <w:rPr>
                <w:szCs w:val="18"/>
                <w:lang w:val="es-ES_tradnl"/>
              </w:rPr>
            </w:pPr>
            <w:r>
              <w:rPr>
                <w:szCs w:val="18"/>
                <w:lang w:val="es-ES_tradnl"/>
              </w:rPr>
              <w:t>Número de accidentes</w:t>
            </w:r>
          </w:p>
        </w:tc>
      </w:tr>
    </w:tbl>
    <w:p w:rsidR="00000000" w:rsidRDefault="00000000">
      <w:pPr>
        <w:spacing w:before="120" w:after="480"/>
        <w:ind w:left="816"/>
      </w:pPr>
      <w:r>
        <w:rPr>
          <w:i/>
          <w:iCs/>
          <w:szCs w:val="18"/>
          <w:lang w:val="es-ES_tradnl"/>
        </w:rPr>
        <w:t>Fuente</w:t>
      </w:r>
      <w:r>
        <w:rPr>
          <w:szCs w:val="18"/>
          <w:lang w:val="es-ES_tradnl"/>
        </w:rPr>
        <w:t xml:space="preserve">:  </w:t>
      </w:r>
      <w:r>
        <w:rPr>
          <w:i/>
          <w:iCs/>
          <w:szCs w:val="18"/>
          <w:lang w:val="es-ES_tradnl"/>
        </w:rPr>
        <w:t>Boletín Estadístico de Accidentes de Trabajo.</w:t>
      </w:r>
    </w:p>
    <w:p w:rsidR="00000000" w:rsidRDefault="00000000">
      <w:pPr>
        <w:spacing w:after="240"/>
      </w:pPr>
      <w:r>
        <w:rPr>
          <w:i/>
          <w:iCs/>
          <w:lang w:val="es-ES_tradnl"/>
        </w:rPr>
        <w:t>Igualdad de oportunidades</w:t>
      </w:r>
    </w:p>
    <w:p w:rsidR="00000000" w:rsidRDefault="00000000">
      <w:pPr>
        <w:spacing w:after="240"/>
      </w:pPr>
      <w:r>
        <w:rPr>
          <w:lang w:val="es-ES_tradnl"/>
        </w:rPr>
        <w:t>133.</w:t>
      </w:r>
      <w:r>
        <w:rPr>
          <w:lang w:val="es-ES_tradnl"/>
        </w:rPr>
        <w:tab/>
        <w:t>El artículo 124 de la Constitución establece que tanto el ingreso como el ascenso dentro del Servicio Civil y la Carrera Administrativa se harán por concurso de méritos y oposición.  Sólo como excepción, los servidores públicos estarán sujetos a un régimen de libre nombramiento y remoción.  Esta disposición involucra a servidores y servidoras del sector.  En tal sentido, la Oficina de Servicio Civil y Desarrollo Institucional (</w:t>
      </w:r>
      <w:proofErr w:type="spellStart"/>
      <w:r>
        <w:rPr>
          <w:lang w:val="es-ES_tradnl"/>
        </w:rPr>
        <w:t>OSCIDI</w:t>
      </w:r>
      <w:proofErr w:type="spellEnd"/>
      <w:r>
        <w:rPr>
          <w:lang w:val="es-ES_tradnl"/>
        </w:rPr>
        <w:t xml:space="preserve">) ha emitido las normas y políticas para la implementación de esa disposición.  Con la expedición de la Ley para la reforma de las finanzas públicas, en el artículo 57, el Ministerio de Trabajo y Recursos Humanos, realizará la clasificación de los funcionarios y trabajadores del sector público para determinar quienes deberán sujetarse a la Ley de servicio civil y carrera administrativa y los que se regirán al Código del Trabajo.  Existen medidas de acción positiva desarrolladas por el </w:t>
      </w:r>
      <w:proofErr w:type="spellStart"/>
      <w:r>
        <w:rPr>
          <w:lang w:val="es-ES_tradnl"/>
        </w:rPr>
        <w:t>CONAMU</w:t>
      </w:r>
      <w:proofErr w:type="spellEnd"/>
      <w:r>
        <w:rPr>
          <w:lang w:val="es-ES_tradnl"/>
        </w:rPr>
        <w:t>, a fin de orientar las políticas con enfoque de género en el país; la modernización integral del Estado ecuatoriano exige crear condiciones para el desarrollo de las personas en igualdad de oportunidades en la educación, la capacitación y la eliminación de tratos discriminatorios; el logro de la igualdad de oportunidades entre la mujer y el hombre es una cuestión de derechos humanos y un requisito básico de la justicia social y de desarrollo.</w:t>
      </w:r>
    </w:p>
    <w:p w:rsidR="00000000" w:rsidRDefault="00000000">
      <w:pPr>
        <w:spacing w:after="240"/>
      </w:pPr>
      <w:r>
        <w:rPr>
          <w:lang w:val="es-ES_tradnl"/>
        </w:rPr>
        <w:t>134.</w:t>
      </w:r>
      <w:r>
        <w:rPr>
          <w:lang w:val="es-ES_tradnl"/>
        </w:rPr>
        <w:tab/>
        <w:t xml:space="preserve">La educación y capacitación son requisitos para mejorar la calidad de los empleos.  En el Ecuador uno de los principales organismos responsables de capacitación y formación profesional es el SECAP cuyos programas aún no contienen perspectiva de género.  El sistema educativo desempeña un efectivo papel como canal de acceso social, conduciendo a la satisfacción de expectativas de obtención de ingresos </w:t>
      </w:r>
      <w:proofErr w:type="spellStart"/>
      <w:r>
        <w:rPr>
          <w:lang w:val="es-ES_tradnl"/>
        </w:rPr>
        <w:t>y/o</w:t>
      </w:r>
      <w:proofErr w:type="spellEnd"/>
      <w:r>
        <w:rPr>
          <w:lang w:val="es-ES_tradnl"/>
        </w:rPr>
        <w:t xml:space="preserve"> prestigio y apuntando al logro de cambios en la estructura económica y social de nuestro país.</w:t>
      </w:r>
    </w:p>
    <w:p w:rsidR="00000000" w:rsidRDefault="00000000">
      <w:pPr>
        <w:spacing w:after="240"/>
      </w:pPr>
      <w:r>
        <w:rPr>
          <w:lang w:val="es-ES_tradnl"/>
        </w:rPr>
        <w:t>135.</w:t>
      </w:r>
      <w:r>
        <w:rPr>
          <w:lang w:val="es-ES_tradnl"/>
        </w:rPr>
        <w:tab/>
        <w:t>El SECAP es una entidad pública con autonomía administrativa y financiera, con patrimonio y fondos propios, especializada y técnica, adscrita al Ministerio de Trabajo y Recursos Humanos, que tiene como objetivo principal la capacitación intensiva y acelerada de la mano de obra de los mandos medios para las actividades industriales comerciales y de servicios.  Para la ejecución de sus acciones de capacitación y formación profesional, la entidad cuenta con personal técnico administrativo de vasta experiencia.  La planta de instructores, tanto nacionales como extranjeros, es altamente calificada, ya que los nacionales se han especializado en el exterior a través de becas y pasantías otorgadas por varios países.  En cuanto al personal extranjero que labora en los distintos centros operativos, lo hacen en cumplimiento a los convenios de cooperación técnica internacional que tiene el SECAP.  Los cursos que dicta la institución son de corta y larga duración para facilitar a la población su calificación de mano de obra.  El tiempo de duración de un curso está de acuerdo al modo de formación y a la especialidad.  La capacitación por ejemplo, está dirigida a trabajadores en servicio e incluye todas las especialidades de los sectores industriales y de comercio y servicios.  Su tiempo de duración oscila entre 20 a 240 horas, toda vez que busca mejorar los conocimientos, habilidades y destrezas del trabajador.</w:t>
      </w:r>
    </w:p>
    <w:p w:rsidR="00000000" w:rsidRDefault="00000000">
      <w:pPr>
        <w:spacing w:after="240"/>
        <w:rPr>
          <w:i/>
          <w:iCs/>
        </w:rPr>
      </w:pPr>
      <w:r>
        <w:rPr>
          <w:i/>
          <w:iCs/>
          <w:lang w:val="es-ES_tradnl"/>
        </w:rPr>
        <w:t>Descanso obligatorio</w:t>
      </w:r>
    </w:p>
    <w:p w:rsidR="00000000" w:rsidRDefault="00000000">
      <w:pPr>
        <w:spacing w:after="240"/>
      </w:pPr>
      <w:r>
        <w:rPr>
          <w:lang w:val="es-ES_tradnl"/>
        </w:rPr>
        <w:t>136.</w:t>
      </w:r>
      <w:r>
        <w:rPr>
          <w:lang w:val="es-ES_tradnl"/>
        </w:rPr>
        <w:tab/>
        <w:t xml:space="preserve">"El trabajador amparado por el Código del Trabajo tiene derecho a gozar de un descanso obligatorio de 15 días al año, más un día adicional a partir del quinto año.  La liquidación se hará computando la </w:t>
      </w:r>
      <w:proofErr w:type="spellStart"/>
      <w:r>
        <w:rPr>
          <w:lang w:val="es-ES_tradnl"/>
        </w:rPr>
        <w:t>veinticuatroava</w:t>
      </w:r>
      <w:proofErr w:type="spellEnd"/>
      <w:r>
        <w:rPr>
          <w:lang w:val="es-ES_tradnl"/>
        </w:rPr>
        <w:t xml:space="preserve"> parte de lo recibido en el año calendario, considerando sueldos básicos, horas suplementarias y extraordinarias, comisiones, etc. (artículos 69, 78 y 95 del Código del Trabajo).  Los trabajadores amparados bajo la Ley de servicio civil y carrera administrativa tienen derecho a 30 días de vacaciones, después de haber trabajado ininterrumpidamente por 11 meses en la institución.  La jornada máxima de trabajo es de 8 horas diarias, de manera que no exceda de 40 horas semanales.  Los sábados y domingos serán de descanso forzoso y, si en razón de las circunstancias no pudiere interrumpirse el trabajo en tales días, se designará otro tiempo igual de la semana para el descanso, mediante acuerdo entre empleador y trabajadores"</w:t>
      </w:r>
      <w:r>
        <w:rPr>
          <w:rStyle w:val="FootnoteReference"/>
          <w:lang w:val="es-ES_tradnl"/>
        </w:rPr>
        <w:footnoteReference w:id="23"/>
      </w:r>
      <w:r>
        <w:rPr>
          <w:lang w:val="es-ES_tradnl"/>
        </w:rPr>
        <w:t>.  [...] "El descanso semanal forzoso será pagado con la cantidad equivalente a una remuneración integra, o sea de dos días de acuerdo con la naturaleza de la labor."</w:t>
      </w:r>
      <w:r>
        <w:rPr>
          <w:rStyle w:val="FootnoteReference"/>
        </w:rPr>
        <w:footnoteReference w:id="24"/>
      </w:r>
    </w:p>
    <w:p w:rsidR="00000000" w:rsidRDefault="00000000">
      <w:pPr>
        <w:spacing w:after="240"/>
      </w:pPr>
      <w:r>
        <w:rPr>
          <w:lang w:val="es-ES_tradnl"/>
        </w:rPr>
        <w:t>137.</w:t>
      </w:r>
      <w:r>
        <w:rPr>
          <w:lang w:val="es-ES_tradnl"/>
        </w:rPr>
        <w:tab/>
        <w:t xml:space="preserve">Además de los sábados y domingos, son días de descanso obligatorio los que señala la ley.  El trabajo con remuneración justa es un derecho que no admite discriminación alguna.  Las disposiciones </w:t>
      </w:r>
      <w:proofErr w:type="spellStart"/>
      <w:r>
        <w:rPr>
          <w:lang w:val="es-ES_tradnl"/>
        </w:rPr>
        <w:t>salariales</w:t>
      </w:r>
      <w:proofErr w:type="spellEnd"/>
      <w:r>
        <w:rPr>
          <w:lang w:val="es-ES_tradnl"/>
        </w:rPr>
        <w:t xml:space="preserve"> emitidas para los trabajadores que laboran protegidos por el Código del Trabajo en el ámbito nacional son generales para ambos sexos.  Mediante las comisiones sectoriales se procura remunerar el factor trabajo de acuerdo a las funciones que realizan, para lo cual se determinan las diferentes estructuras ocupacionales en cada rama de actividad.</w:t>
      </w:r>
    </w:p>
    <w:p w:rsidR="00000000" w:rsidRDefault="00000000">
      <w:pPr>
        <w:spacing w:after="240"/>
      </w:pPr>
      <w:r>
        <w:rPr>
          <w:lang w:val="es-ES_tradnl"/>
        </w:rPr>
        <w:t>138.</w:t>
      </w:r>
      <w:r>
        <w:rPr>
          <w:lang w:val="es-ES_tradnl"/>
        </w:rPr>
        <w:tab/>
        <w:t>El Gobierno nacional se ha fijado como una de sus metas el mejoramiento del nivel de vida de todos los estratos de la población, propendiendo hacia un incremento del ingreso del trabajador, pero simultáneamente intenta contrarrestar el fenómeno inflacionario, en miras a lograr una recuperación real de su poder adquisitivo.</w:t>
      </w:r>
    </w:p>
    <w:p w:rsidR="00000000" w:rsidRDefault="00000000">
      <w:pPr>
        <w:shd w:val="clear" w:color="auto" w:fill="FFFFFF"/>
        <w:spacing w:after="240"/>
      </w:pPr>
      <w:r>
        <w:rPr>
          <w:b/>
          <w:bCs/>
          <w:color w:val="000000"/>
          <w:szCs w:val="29"/>
          <w:lang w:val="es-ES_tradnl"/>
        </w:rPr>
        <w:t>Artículo 8</w:t>
      </w:r>
    </w:p>
    <w:p w:rsidR="00000000" w:rsidRDefault="00000000">
      <w:pPr>
        <w:shd w:val="clear" w:color="auto" w:fill="FFFFFF"/>
        <w:spacing w:after="240"/>
      </w:pPr>
      <w:r>
        <w:rPr>
          <w:b/>
          <w:bCs/>
          <w:color w:val="000000"/>
          <w:szCs w:val="25"/>
          <w:lang w:val="es-ES_tradnl"/>
        </w:rPr>
        <w:t>Derecho de libre asociación</w:t>
      </w:r>
    </w:p>
    <w:p w:rsidR="00000000" w:rsidRDefault="00000000">
      <w:pPr>
        <w:shd w:val="clear" w:color="auto" w:fill="FFFFFF"/>
        <w:spacing w:after="240"/>
      </w:pPr>
      <w:r>
        <w:rPr>
          <w:color w:val="000000"/>
          <w:sz w:val="25"/>
          <w:szCs w:val="25"/>
          <w:lang w:val="es-ES_tradnl"/>
        </w:rPr>
        <w:t>139.</w:t>
      </w:r>
      <w:r>
        <w:rPr>
          <w:color w:val="000000"/>
          <w:sz w:val="25"/>
          <w:szCs w:val="25"/>
          <w:lang w:val="es-ES_tradnl"/>
        </w:rPr>
        <w:tab/>
        <w:t>La Constitución Política del Ecuador en el título III, capítulo 2, de los derechos civiles, artículo 23, reconoce y garantiza "la libertad de asociación y de reunión, con fines pacíficos".</w:t>
      </w:r>
    </w:p>
    <w:p w:rsidR="00000000" w:rsidRDefault="00000000">
      <w:pPr>
        <w:shd w:val="clear" w:color="auto" w:fill="FFFFFF"/>
        <w:spacing w:after="240"/>
      </w:pPr>
      <w:r>
        <w:rPr>
          <w:color w:val="000000"/>
          <w:sz w:val="25"/>
          <w:szCs w:val="25"/>
          <w:lang w:val="es-ES_tradnl"/>
        </w:rPr>
        <w:t>140.</w:t>
      </w:r>
      <w:r>
        <w:rPr>
          <w:color w:val="000000"/>
          <w:sz w:val="25"/>
          <w:szCs w:val="25"/>
          <w:lang w:val="es-ES_tradnl"/>
        </w:rPr>
        <w:tab/>
        <w:t xml:space="preserve">En términos generales, y de manera específica para los trabajadores y empleadores, el artículo 35 consagra el derecho de la organización sin autorización previa, pero respetando en todo caso las regulaciones legales.  Como aplicación de la libertad y derecho constitucional, el Código del Trabajo norma la libertad de asociación sindical o también denominado derecho de la sindicalización, específicamente orientado para aquellos trabajadores y empleadores que mantienen relación laboral (todas las normas del Código del Trabajo, según lo prevé su propio texto, son aplicables exclusivamente a las partes de una relación laboral de dependencia).  El resto de trabajadores (en el sentido general del término y no en estricto apego a la definición legal), al igual que el resto de personas incluidos los servidores públicos, pueden asociarse civil </w:t>
      </w:r>
      <w:proofErr w:type="spellStart"/>
      <w:r>
        <w:rPr>
          <w:color w:val="000000"/>
          <w:sz w:val="25"/>
          <w:szCs w:val="25"/>
          <w:lang w:val="es-ES_tradnl"/>
        </w:rPr>
        <w:t>y/o</w:t>
      </w:r>
      <w:proofErr w:type="spellEnd"/>
      <w:r>
        <w:rPr>
          <w:color w:val="000000"/>
          <w:sz w:val="25"/>
          <w:szCs w:val="25"/>
          <w:lang w:val="es-ES_tradnl"/>
        </w:rPr>
        <w:t xml:space="preserve"> comercialmente y de acuerdo con la legislación ecuatoriana (por ejemplo, Código Civil, Ley de compañías y Ley de defensa del artesano).</w:t>
      </w:r>
    </w:p>
    <w:p w:rsidR="00000000" w:rsidRDefault="00000000">
      <w:pPr>
        <w:shd w:val="clear" w:color="auto" w:fill="FFFFFF"/>
        <w:spacing w:after="240"/>
      </w:pPr>
      <w:r>
        <w:rPr>
          <w:color w:val="000000"/>
          <w:sz w:val="25"/>
          <w:szCs w:val="25"/>
          <w:lang w:val="es-ES_tradnl"/>
        </w:rPr>
        <w:t>141.</w:t>
      </w:r>
      <w:r>
        <w:rPr>
          <w:color w:val="000000"/>
          <w:sz w:val="25"/>
          <w:szCs w:val="25"/>
          <w:lang w:val="es-ES_tradnl"/>
        </w:rPr>
        <w:tab/>
        <w:t>El Código del Trabajo en el artículo 447 expresa en relación con la libertad de asociación:  "Los trabajadores y los empleadores, sin ninguna distinción y sin necesidad de autorización previa, tienen derecho a constituir las asociaciones profesionales o sindicatos que estimen conveniente, de afiliarse a ellos o de retirarse de los mismos, con observancia de la ley y de los estatutos de las respectivas asociaciones [...]  Las asociaciones profesionales o sindicatos tienen derecho de constituirse en federaciones, confederaciones o cualesquiera otras agrupaciones sindicales, así como afiliarse o retirarse de las mismas o de las organizaciones internacionales de trabajadores o de empleadores.  Todo trabajador mayor de 14 años puede pertenecer a una asociación profesional o a un sindicato [...]  Las organizaciones de trabajadores no podrán ser suspendidas o disueltas, sino mediante procedimiento judicial, ante el Juez del Trabajo.  Cuando un empleador o empresa tuviere varias agencias o sucursales en diferentes provincias, los trabajadores en cada una de ellas pueden constituir sindicato, asociación profesional o comité de empresa.  Los requisitos de número y los demás que exija la ley se establecerán en relación con cada una de tales agencias o sucursales".</w:t>
      </w:r>
    </w:p>
    <w:p w:rsidR="00000000" w:rsidRDefault="00000000">
      <w:pPr>
        <w:shd w:val="clear" w:color="auto" w:fill="FFFFFF"/>
        <w:spacing w:after="240"/>
      </w:pPr>
      <w:r>
        <w:rPr>
          <w:color w:val="000000"/>
          <w:sz w:val="25"/>
          <w:szCs w:val="25"/>
          <w:lang w:val="es-ES_tradnl"/>
        </w:rPr>
        <w:t>142.</w:t>
      </w:r>
      <w:r>
        <w:rPr>
          <w:color w:val="000000"/>
          <w:sz w:val="25"/>
          <w:szCs w:val="25"/>
          <w:lang w:val="es-ES_tradnl"/>
        </w:rPr>
        <w:tab/>
        <w:t>Según el artículo 448 del Código del Trabajo:  "Las asociaciones de trabajadores de toda clase tienen la protección del Estado, siempre que persigan cualquiera de los siguientes fines:</w:t>
      </w:r>
    </w:p>
    <w:p w:rsidR="00000000" w:rsidRDefault="00000000">
      <w:pPr>
        <w:keepNext/>
        <w:keepLines/>
        <w:shd w:val="clear" w:color="auto" w:fill="FFFFFF"/>
        <w:spacing w:after="240"/>
        <w:ind w:left="1134" w:hanging="567"/>
      </w:pPr>
      <w:r>
        <w:rPr>
          <w:color w:val="000000"/>
          <w:sz w:val="25"/>
          <w:szCs w:val="25"/>
          <w:lang w:val="es-ES_tradnl"/>
        </w:rPr>
        <w:t>a)</w:t>
      </w:r>
      <w:r>
        <w:rPr>
          <w:color w:val="000000"/>
          <w:sz w:val="25"/>
          <w:szCs w:val="25"/>
          <w:lang w:val="es-ES_tradnl"/>
        </w:rPr>
        <w:tab/>
        <w:t>La capacitación profesional;</w:t>
      </w:r>
    </w:p>
    <w:p w:rsidR="00000000" w:rsidRDefault="00000000">
      <w:pPr>
        <w:keepNext/>
        <w:keepLines/>
        <w:shd w:val="clear" w:color="auto" w:fill="FFFFFF"/>
        <w:spacing w:after="240"/>
        <w:ind w:left="1134" w:hanging="567"/>
      </w:pPr>
      <w:r>
        <w:rPr>
          <w:color w:val="000000"/>
          <w:sz w:val="25"/>
          <w:szCs w:val="25"/>
          <w:lang w:val="es-ES_tradnl"/>
        </w:rPr>
        <w:t>b)</w:t>
      </w:r>
      <w:r>
        <w:rPr>
          <w:color w:val="000000"/>
          <w:sz w:val="25"/>
          <w:szCs w:val="25"/>
          <w:lang w:val="es-ES_tradnl"/>
        </w:rPr>
        <w:tab/>
        <w:t>La cultura y educación de carácter general o aplicada a la correspondiente rama del trabajo;</w:t>
      </w:r>
    </w:p>
    <w:p w:rsidR="00000000" w:rsidRDefault="00000000">
      <w:pPr>
        <w:shd w:val="clear" w:color="auto" w:fill="FFFFFF"/>
        <w:spacing w:after="240"/>
        <w:ind w:left="1134" w:hanging="567"/>
      </w:pPr>
      <w:r>
        <w:rPr>
          <w:color w:val="000000"/>
          <w:sz w:val="25"/>
          <w:szCs w:val="25"/>
          <w:lang w:val="es-ES_tradnl"/>
        </w:rPr>
        <w:t>c)</w:t>
      </w:r>
      <w:r>
        <w:rPr>
          <w:color w:val="000000"/>
          <w:sz w:val="25"/>
          <w:szCs w:val="25"/>
          <w:lang w:val="es-ES_tradnl"/>
        </w:rPr>
        <w:tab/>
        <w:t>El apoyo mutuo mediante la formación de cooperativas o cajas de ahorro; y</w:t>
      </w:r>
    </w:p>
    <w:p w:rsidR="00000000" w:rsidRDefault="00000000">
      <w:pPr>
        <w:shd w:val="clear" w:color="auto" w:fill="FFFFFF"/>
        <w:spacing w:after="240"/>
        <w:ind w:left="1134" w:hanging="567"/>
      </w:pPr>
      <w:r>
        <w:rPr>
          <w:color w:val="000000"/>
          <w:sz w:val="25"/>
          <w:szCs w:val="25"/>
          <w:lang w:val="es-ES_tradnl"/>
        </w:rPr>
        <w:t>d)</w:t>
      </w:r>
      <w:r>
        <w:rPr>
          <w:color w:val="000000"/>
          <w:sz w:val="25"/>
          <w:szCs w:val="25"/>
          <w:lang w:val="es-ES_tradnl"/>
        </w:rPr>
        <w:tab/>
        <w:t>Los demás que entrañen el mejoramiento económico o social de los trabajadores y la defensa de los intereses de su clase".</w:t>
      </w:r>
    </w:p>
    <w:p w:rsidR="00000000" w:rsidRDefault="00000000">
      <w:pPr>
        <w:shd w:val="clear" w:color="auto" w:fill="FFFFFF"/>
        <w:spacing w:after="240"/>
      </w:pPr>
      <w:r>
        <w:rPr>
          <w:color w:val="000000"/>
          <w:sz w:val="25"/>
          <w:szCs w:val="25"/>
          <w:lang w:val="es-ES_tradnl"/>
        </w:rPr>
        <w:t>143.</w:t>
      </w:r>
      <w:r>
        <w:rPr>
          <w:color w:val="000000"/>
          <w:sz w:val="25"/>
          <w:szCs w:val="25"/>
          <w:lang w:val="es-ES_tradnl"/>
        </w:rPr>
        <w:tab/>
        <w:t xml:space="preserve">La legislación laboral reconoce personería jurídica a las organizaciones legalmente constituidas y que consten registradas en la Dirección General del Trabajo del Ministerio de Trabajo y Recursos Humanos.  La estructura del Código del Trabajo contempla únicamente dos párrafos dentro del capítulo primero de su título quinto:  el primero contiene reglas generales aplicables por igual a las que denomina "asociaciones profesionales", sindicatos, federaciones, confederaciones, etc.; las asociaciones profesionales no se definen legalmente, pero en doctrina se </w:t>
      </w:r>
      <w:proofErr w:type="spellStart"/>
      <w:r>
        <w:rPr>
          <w:color w:val="000000"/>
          <w:sz w:val="25"/>
          <w:szCs w:val="25"/>
          <w:lang w:val="es-ES_tradnl"/>
        </w:rPr>
        <w:t>conceptualizan</w:t>
      </w:r>
      <w:proofErr w:type="spellEnd"/>
      <w:r>
        <w:rPr>
          <w:color w:val="000000"/>
          <w:sz w:val="25"/>
          <w:szCs w:val="25"/>
          <w:lang w:val="es-ES_tradnl"/>
        </w:rPr>
        <w:t xml:space="preserve"> como asociaciones de trabajadores que tienen una misma profesión, oficio o actividad.</w:t>
      </w:r>
    </w:p>
    <w:p w:rsidR="00000000" w:rsidRDefault="00000000">
      <w:pPr>
        <w:shd w:val="clear" w:color="auto" w:fill="FFFFFF"/>
        <w:spacing w:after="240"/>
      </w:pPr>
      <w:r>
        <w:rPr>
          <w:color w:val="000000"/>
          <w:sz w:val="25"/>
          <w:szCs w:val="25"/>
          <w:lang w:val="es-ES_tradnl"/>
        </w:rPr>
        <w:t>144.</w:t>
      </w:r>
      <w:r>
        <w:rPr>
          <w:color w:val="000000"/>
          <w:sz w:val="25"/>
          <w:szCs w:val="25"/>
          <w:lang w:val="es-ES_tradnl"/>
        </w:rPr>
        <w:tab/>
        <w:t>Sindicato es la denominación genérica de las organizaciones laborales tanto de trabajadores como de empleadores independientemente de la profesión que tengan o si el empleador de los trabajadores socios es uno solo o diferente.  Sin embargo, nuestro Código casi no utiliza la denominación "sindicato" (sin embargo, es la denominación más utilizada en la práctica).</w:t>
      </w:r>
    </w:p>
    <w:p w:rsidR="00000000" w:rsidRDefault="00000000">
      <w:pPr>
        <w:shd w:val="clear" w:color="auto" w:fill="FFFFFF"/>
        <w:spacing w:after="240"/>
      </w:pPr>
      <w:r>
        <w:rPr>
          <w:color w:val="000000"/>
          <w:sz w:val="25"/>
          <w:szCs w:val="25"/>
          <w:lang w:val="es-ES_tradnl"/>
        </w:rPr>
        <w:t>145.</w:t>
      </w:r>
      <w:r>
        <w:rPr>
          <w:color w:val="000000"/>
          <w:sz w:val="25"/>
          <w:szCs w:val="25"/>
          <w:lang w:val="es-ES_tradnl"/>
        </w:rPr>
        <w:tab/>
        <w:t>Federaciones son organizaciones de segundo grado conformadas por las de primer nivel, y las confederaciones, reuniones de federaciones, es decir, de tercer grado, las organizaciones de trabajadores y empleadores constituidas tienen pleno derecho de constituir organizaciones de segundo y tercer grado, esto es federaciones y confederaciones y de afiliarse a ellas.  El segundo párrafo contiene las normas del sindicato de empresa por antonomasia, denominado Comité de Empresa y que goza de la presunción legal de representatividad.  Obviamente este Comité es exclusivo de trabajadores y, entre éstos, de aquellos que presten servicios para un mismo empleador independientemente de su profesión, oficio o rama de actividad.</w:t>
      </w:r>
    </w:p>
    <w:p w:rsidR="00000000" w:rsidRDefault="00000000">
      <w:pPr>
        <w:shd w:val="clear" w:color="auto" w:fill="FFFFFF"/>
        <w:spacing w:after="240"/>
      </w:pPr>
      <w:r>
        <w:rPr>
          <w:color w:val="000000"/>
          <w:sz w:val="25"/>
          <w:szCs w:val="25"/>
          <w:lang w:val="es-ES_tradnl"/>
        </w:rPr>
        <w:t>146.</w:t>
      </w:r>
      <w:r>
        <w:rPr>
          <w:color w:val="000000"/>
          <w:sz w:val="25"/>
          <w:szCs w:val="25"/>
          <w:lang w:val="es-ES_tradnl"/>
        </w:rPr>
        <w:tab/>
        <w:t>La legislación ecuatoriana no contiene normas relativas al establecimiento de sindicatos por categorías de trabajadores.  No obstante, si los trabajadores desean organizarse por categorías, son libres de hacerlo observando las normas referidas.  En la práctica existen diversas categorías, organizaciones de empresa y asociaciones profesionales, asociaciones de empleados, organizaciones sólo de obreros y organizaciones de empleadores, organizaciones por rama de actividad, etc.</w:t>
      </w:r>
    </w:p>
    <w:p w:rsidR="00000000" w:rsidRDefault="00000000">
      <w:pPr>
        <w:shd w:val="clear" w:color="auto" w:fill="FFFFFF"/>
        <w:spacing w:after="240"/>
      </w:pPr>
      <w:r>
        <w:rPr>
          <w:i/>
          <w:iCs/>
          <w:color w:val="000000"/>
          <w:sz w:val="25"/>
          <w:szCs w:val="25"/>
          <w:lang w:val="es-ES_tradnl"/>
        </w:rPr>
        <w:t>Organizaciones laborales</w:t>
      </w:r>
    </w:p>
    <w:p w:rsidR="00000000" w:rsidRDefault="00000000">
      <w:pPr>
        <w:shd w:val="clear" w:color="auto" w:fill="FFFFFF"/>
        <w:spacing w:after="240"/>
      </w:pPr>
      <w:r>
        <w:rPr>
          <w:color w:val="000000"/>
          <w:sz w:val="25"/>
          <w:szCs w:val="25"/>
          <w:lang w:val="es-ES_tradnl"/>
        </w:rPr>
        <w:t>147.</w:t>
      </w:r>
      <w:r>
        <w:rPr>
          <w:color w:val="000000"/>
          <w:sz w:val="25"/>
          <w:szCs w:val="25"/>
          <w:lang w:val="es-ES_tradnl"/>
        </w:rPr>
        <w:tab/>
        <w:t>No existe injerencia estatal en la existencia de las organizaciones laborales, las autoridades se abstienen de interferir o entorpecer los derechos que tienen los trabajadores (a excepción del registro y la aprobación del estatuto, legalmente previstos).  Los empleadores y trabajadores tienen el derecho de redactar los estatutos y reglamentos de las organizaciones que constituyen, elegir sus representantes con toda libertad, organizar su administración y sus actividades y formular su programa de acción.  El Departamento de Organizaciones Laborales del Ministerio de Trabajo y Recursos Humanos señala que no existe un mecanismo práctico para determinar el número de trabajadores que actualmente se encuentran sindicalizados, si bien al momento de conformarse una organización se revisa que ésta cuente con al menos 30 fundadores.  Ese número puede variar de un día para otro, por lo que aun si mencionamos el número de trabajadores con el que se constituyó cada una, el dato sería absolutamente irreal.  A esto hay que añadir que un mismo trabajador puede pertenecer a varias organizaciones.</w:t>
      </w:r>
    </w:p>
    <w:p w:rsidR="00000000" w:rsidRDefault="00000000">
      <w:pPr>
        <w:shd w:val="clear" w:color="auto" w:fill="FFFFFF"/>
        <w:spacing w:after="240"/>
        <w:rPr>
          <w:color w:val="000000"/>
          <w:sz w:val="25"/>
          <w:szCs w:val="25"/>
          <w:lang w:val="es-ES_tradnl"/>
        </w:rPr>
      </w:pPr>
      <w:r>
        <w:rPr>
          <w:color w:val="000000"/>
          <w:sz w:val="25"/>
          <w:szCs w:val="25"/>
          <w:lang w:val="es-ES_tradnl"/>
        </w:rPr>
        <w:t>148.</w:t>
      </w:r>
      <w:r>
        <w:rPr>
          <w:color w:val="000000"/>
          <w:sz w:val="25"/>
          <w:szCs w:val="25"/>
          <w:lang w:val="es-ES_tradnl"/>
        </w:rPr>
        <w:tab/>
        <w:t>Las relaciones laborales de los trabajadores se encuentran reguladas por el Código del Trabajo y por la Ley de servicio civil y carrera administrativa.  Una parte de los trabajadores del sector público se encuentran amparados bajo la Ley de servicio civil y carrera administrativa y el resto de este sector conjuntamente con el sector privado se encuentran sujetos a las disposiciones del Código del Trabajo.  Con la promulgación de la Ley de las reformas de las finanzas públicas, el Ministerio de Trabajo y Recursos Humanos se encuentra clasificando a los funcionarios y trabajadores del sector público para determinar quiénes deberán sujetarse a la Ley de servicio civil y carrera administrativa y los que se regirán por el Código del Trabajo.</w:t>
      </w:r>
    </w:p>
    <w:p w:rsidR="00000000" w:rsidRDefault="00000000">
      <w:pPr>
        <w:shd w:val="clear" w:color="auto" w:fill="FFFFFF"/>
        <w:spacing w:after="240"/>
      </w:pPr>
      <w:r>
        <w:rPr>
          <w:color w:val="000000"/>
          <w:sz w:val="25"/>
          <w:szCs w:val="25"/>
          <w:lang w:val="es-ES_tradnl"/>
        </w:rPr>
        <w:t>149.</w:t>
      </w:r>
      <w:r>
        <w:rPr>
          <w:color w:val="000000"/>
          <w:sz w:val="25"/>
          <w:szCs w:val="25"/>
          <w:lang w:val="es-ES_tradnl"/>
        </w:rPr>
        <w:tab/>
        <w:t>Los trabajadores y empleadores amparados en el Código del Trabajo pueden formar organizaciones laborales, es decir que los trabajadores presten servicio al sector público o al sector privado, los servidores públicos amparados en la Ley de servicio civil y carrera administrativa se encuentran expresamente impedidos de formar sindicatos, por así disponerlo el apartado g) del artículo 60 de dicha ley, pero esto no impide que los servidores públicos conformen asociaciones civiles.  Los trabajadores pueden asociarse en un número no menor de 30 personas.</w:t>
      </w:r>
    </w:p>
    <w:p w:rsidR="00000000" w:rsidRDefault="00000000">
      <w:pPr>
        <w:shd w:val="clear" w:color="auto" w:fill="FFFFFF"/>
        <w:spacing w:after="240"/>
        <w:rPr>
          <w:i/>
          <w:iCs/>
        </w:rPr>
      </w:pPr>
      <w:r>
        <w:rPr>
          <w:i/>
          <w:iCs/>
          <w:color w:val="000000"/>
          <w:sz w:val="25"/>
          <w:szCs w:val="25"/>
          <w:lang w:val="es-ES_tradnl"/>
        </w:rPr>
        <w:t>Derecho a la huelga</w:t>
      </w:r>
    </w:p>
    <w:p w:rsidR="00000000" w:rsidRDefault="00000000">
      <w:pPr>
        <w:shd w:val="clear" w:color="auto" w:fill="FFFFFF"/>
        <w:spacing w:after="240"/>
      </w:pPr>
      <w:r>
        <w:rPr>
          <w:color w:val="000000"/>
          <w:sz w:val="25"/>
          <w:szCs w:val="25"/>
          <w:lang w:val="es-ES_tradnl"/>
        </w:rPr>
        <w:t>150.</w:t>
      </w:r>
      <w:r>
        <w:rPr>
          <w:color w:val="000000"/>
          <w:sz w:val="25"/>
          <w:szCs w:val="25"/>
          <w:lang w:val="es-ES_tradnl"/>
        </w:rPr>
        <w:tab/>
        <w:t>La Constitución Política del Estado en el artículo 35 "reconoce y garantiza el derecho de los trabajadores a la huelga y el de los empleadores al paro, de conformidad con la ley.  Se prohíbe la paralización, a cualquier título, de los servicios públicos, en especial los de salud, educación, justicia y seguridad social; energía eléctrica, agua potable y alcantarillado, procesamiento, transporte y distribución de combustibles, transportación pública, telecomunicaciones.  La ley establecerá las sanciones pertinentes".</w:t>
      </w:r>
    </w:p>
    <w:p w:rsidR="00000000" w:rsidRDefault="00000000">
      <w:pPr>
        <w:shd w:val="clear" w:color="auto" w:fill="FFFFFF"/>
        <w:spacing w:after="240"/>
      </w:pPr>
      <w:r>
        <w:rPr>
          <w:color w:val="000000"/>
          <w:sz w:val="25"/>
          <w:szCs w:val="25"/>
          <w:lang w:val="es-ES_tradnl"/>
        </w:rPr>
        <w:t>151.</w:t>
      </w:r>
      <w:r>
        <w:rPr>
          <w:color w:val="000000"/>
          <w:sz w:val="25"/>
          <w:szCs w:val="25"/>
          <w:lang w:val="es-ES_tradnl"/>
        </w:rPr>
        <w:tab/>
        <w:t>El Código del Trabajo en el artículo 474 señala que "la ley reconoce a los trabajadores el derecho de huelga, con sujeción a las prescripciones de este parágrafo.  Huelga es la suspensión colectiva del trabajo por los trabajadores coligados".</w:t>
      </w:r>
    </w:p>
    <w:p w:rsidR="00000000" w:rsidRDefault="00000000">
      <w:pPr>
        <w:shd w:val="clear" w:color="auto" w:fill="FFFFFF"/>
        <w:spacing w:after="240"/>
        <w:rPr>
          <w:color w:val="000000"/>
          <w:sz w:val="25"/>
          <w:szCs w:val="25"/>
          <w:lang w:val="es-ES_tradnl"/>
        </w:rPr>
      </w:pPr>
      <w:r>
        <w:rPr>
          <w:color w:val="000000"/>
          <w:sz w:val="25"/>
          <w:szCs w:val="25"/>
          <w:lang w:val="es-ES_tradnl"/>
        </w:rPr>
        <w:t>152.</w:t>
      </w:r>
      <w:r>
        <w:rPr>
          <w:color w:val="000000"/>
          <w:sz w:val="25"/>
          <w:szCs w:val="25"/>
          <w:lang w:val="es-ES_tradnl"/>
        </w:rPr>
        <w:tab/>
        <w:t>La declaración de huelga ilícita se regula en el artículo 502 del Código del Trabajo:  "Si la huelga fuere declarada ilícita, el empleador tendrá derecho para despedir a los huelguistas.  La huelga se considerará ilícita sólo cuando los huelguistas ejecutaron actos violentos contra las personas o causaron perjuicios de consideración a las propiedades".</w:t>
      </w:r>
    </w:p>
    <w:p w:rsidR="00000000" w:rsidRDefault="00000000">
      <w:pPr>
        <w:shd w:val="clear" w:color="auto" w:fill="FFFFFF"/>
        <w:spacing w:before="269" w:after="240"/>
        <w:jc w:val="center"/>
        <w:rPr>
          <w:b/>
          <w:bCs/>
        </w:rPr>
      </w:pPr>
      <w:r>
        <w:rPr>
          <w:b/>
          <w:bCs/>
          <w:color w:val="000000"/>
          <w:szCs w:val="22"/>
          <w:lang w:val="es-ES_tradnl"/>
        </w:rPr>
        <w:t>Conflictos colectivos presentados</w:t>
      </w:r>
      <w:r>
        <w:rPr>
          <w:b/>
          <w:bCs/>
          <w:color w:val="000000"/>
          <w:szCs w:val="22"/>
          <w:lang w:val="es-ES_tradnl"/>
        </w:rPr>
        <w:br/>
        <w:t>(1988-2001)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40"/>
        <w:gridCol w:w="1153"/>
        <w:gridCol w:w="1134"/>
        <w:gridCol w:w="1153"/>
      </w:tblGrid>
      <w:tr w:rsidR="00000000">
        <w:tblPrEx>
          <w:tblCellMar>
            <w:top w:w="0" w:type="dxa"/>
            <w:bottom w:w="0" w:type="dxa"/>
          </w:tblCellMar>
        </w:tblPrEx>
        <w:trPr>
          <w:tblHeader/>
          <w:jc w:val="center"/>
        </w:trPr>
        <w:tc>
          <w:tcPr>
            <w:tcW w:w="1134" w:type="dxa"/>
            <w:shd w:val="clear" w:color="auto" w:fill="FFFFFF"/>
            <w:vAlign w:val="center"/>
          </w:tcPr>
          <w:p w:rsidR="00000000" w:rsidRDefault="00000000">
            <w:pPr>
              <w:jc w:val="center"/>
              <w:rPr>
                <w:color w:val="000000"/>
                <w:szCs w:val="23"/>
                <w:lang w:val="es-ES_tradnl"/>
              </w:rPr>
            </w:pPr>
            <w:r>
              <w:rPr>
                <w:color w:val="000000"/>
                <w:szCs w:val="23"/>
                <w:lang w:val="es-ES_tradnl"/>
              </w:rPr>
              <w:t>Años</w:t>
            </w:r>
          </w:p>
        </w:tc>
        <w:tc>
          <w:tcPr>
            <w:tcW w:w="1134" w:type="dxa"/>
            <w:shd w:val="clear" w:color="auto" w:fill="FFFFFF"/>
            <w:vAlign w:val="center"/>
          </w:tcPr>
          <w:p w:rsidR="00000000" w:rsidRDefault="00000000">
            <w:pPr>
              <w:jc w:val="right"/>
              <w:rPr>
                <w:color w:val="000000"/>
                <w:szCs w:val="23"/>
                <w:lang w:val="es-ES_tradnl"/>
              </w:rPr>
            </w:pPr>
            <w:r>
              <w:rPr>
                <w:color w:val="000000"/>
                <w:szCs w:val="23"/>
                <w:lang w:val="es-ES_tradnl"/>
              </w:rPr>
              <w:t>Conflictos</w:t>
            </w:r>
          </w:p>
        </w:tc>
        <w:tc>
          <w:tcPr>
            <w:tcW w:w="1134" w:type="dxa"/>
            <w:shd w:val="clear" w:color="auto" w:fill="FFFFFF"/>
            <w:vAlign w:val="center"/>
          </w:tcPr>
          <w:p w:rsidR="00000000" w:rsidRDefault="00000000">
            <w:pPr>
              <w:jc w:val="center"/>
              <w:rPr>
                <w:color w:val="000000"/>
                <w:szCs w:val="23"/>
                <w:lang w:val="es-ES_tradnl"/>
              </w:rPr>
            </w:pPr>
            <w:r>
              <w:rPr>
                <w:color w:val="000000"/>
                <w:szCs w:val="23"/>
                <w:lang w:val="es-ES_tradnl"/>
              </w:rPr>
              <w:t>Porcentaje</w:t>
            </w:r>
          </w:p>
        </w:tc>
        <w:tc>
          <w:tcPr>
            <w:tcW w:w="1134" w:type="dxa"/>
            <w:shd w:val="clear" w:color="auto" w:fill="FFFFFF"/>
            <w:vAlign w:val="center"/>
          </w:tcPr>
          <w:p w:rsidR="00000000" w:rsidRDefault="00000000">
            <w:pPr>
              <w:jc w:val="center"/>
            </w:pPr>
            <w:r>
              <w:rPr>
                <w:color w:val="000000"/>
                <w:szCs w:val="23"/>
                <w:lang w:val="es-ES_tradnl"/>
              </w:rPr>
              <w:t>Variación anual</w:t>
            </w:r>
          </w:p>
        </w:tc>
        <w:tc>
          <w:tcPr>
            <w:tcW w:w="1134" w:type="dxa"/>
            <w:shd w:val="clear" w:color="auto" w:fill="FFFFFF"/>
            <w:vAlign w:val="center"/>
          </w:tcPr>
          <w:p w:rsidR="00000000" w:rsidRDefault="00000000">
            <w:pPr>
              <w:jc w:val="center"/>
            </w:pPr>
            <w:r>
              <w:t>Porcentaje</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1988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397</w:t>
            </w:r>
          </w:p>
        </w:tc>
        <w:tc>
          <w:tcPr>
            <w:tcW w:w="1134" w:type="dxa"/>
            <w:shd w:val="clear" w:color="auto" w:fill="FFFFFF"/>
          </w:tcPr>
          <w:p w:rsidR="00000000" w:rsidRDefault="00000000">
            <w:pPr>
              <w:jc w:val="right"/>
            </w:pPr>
            <w:r>
              <w:rPr>
                <w:color w:val="000000"/>
                <w:szCs w:val="22"/>
                <w:lang w:val="es-ES_tradnl"/>
              </w:rPr>
              <w:t>16,70</w:t>
            </w:r>
          </w:p>
        </w:tc>
        <w:tc>
          <w:tcPr>
            <w:tcW w:w="1134" w:type="dxa"/>
            <w:shd w:val="clear" w:color="auto" w:fill="FFFFFF"/>
          </w:tcPr>
          <w:p w:rsidR="00000000" w:rsidRDefault="00000000">
            <w:pPr>
              <w:jc w:val="right"/>
            </w:pPr>
            <w:r>
              <w:t>-</w:t>
            </w:r>
          </w:p>
        </w:tc>
        <w:tc>
          <w:tcPr>
            <w:tcW w:w="1134" w:type="dxa"/>
            <w:shd w:val="clear" w:color="auto" w:fill="FFFFFF"/>
          </w:tcPr>
          <w:p w:rsidR="00000000" w:rsidRDefault="00000000">
            <w:pPr>
              <w:jc w:val="right"/>
            </w:pPr>
            <w:r>
              <w:t>-</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1989</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362</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15,23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-35</w:t>
            </w:r>
          </w:p>
        </w:tc>
        <w:tc>
          <w:tcPr>
            <w:tcW w:w="1134" w:type="dxa"/>
            <w:shd w:val="clear" w:color="auto" w:fill="FFFFFF"/>
          </w:tcPr>
          <w:p w:rsidR="00000000" w:rsidRDefault="00000000">
            <w:pPr>
              <w:jc w:val="right"/>
            </w:pPr>
            <w:r>
              <w:rPr>
                <w:color w:val="000000"/>
                <w:szCs w:val="22"/>
                <w:lang w:val="es-ES_tradnl"/>
              </w:rPr>
              <w:t>-8,82</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339</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14,26</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-23</w:t>
            </w:r>
          </w:p>
        </w:tc>
        <w:tc>
          <w:tcPr>
            <w:tcW w:w="1134" w:type="dxa"/>
            <w:shd w:val="clear" w:color="auto" w:fill="FFFFFF"/>
          </w:tcPr>
          <w:p w:rsidR="00000000" w:rsidRDefault="00000000">
            <w:pPr>
              <w:jc w:val="right"/>
            </w:pPr>
            <w:r>
              <w:rPr>
                <w:color w:val="000000"/>
                <w:szCs w:val="22"/>
                <w:lang w:val="es-ES_tradnl"/>
              </w:rPr>
              <w:t>-6,35</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290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12,20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-49</w:t>
            </w:r>
          </w:p>
        </w:tc>
        <w:tc>
          <w:tcPr>
            <w:tcW w:w="1134" w:type="dxa"/>
            <w:shd w:val="clear" w:color="auto" w:fill="FFFFFF"/>
          </w:tcPr>
          <w:p w:rsidR="00000000" w:rsidRDefault="00000000">
            <w:pPr>
              <w:jc w:val="right"/>
            </w:pPr>
            <w:r>
              <w:rPr>
                <w:color w:val="000000"/>
                <w:szCs w:val="22"/>
                <w:lang w:val="es-ES_tradnl"/>
              </w:rPr>
              <w:t>-14,45</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1992</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186</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7,82</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-104</w:t>
            </w:r>
          </w:p>
        </w:tc>
        <w:tc>
          <w:tcPr>
            <w:tcW w:w="1134" w:type="dxa"/>
            <w:shd w:val="clear" w:color="auto" w:fill="FFFFFF"/>
          </w:tcPr>
          <w:p w:rsidR="00000000" w:rsidRDefault="00000000">
            <w:pPr>
              <w:jc w:val="right"/>
            </w:pPr>
            <w:r>
              <w:rPr>
                <w:color w:val="000000"/>
                <w:szCs w:val="22"/>
                <w:lang w:val="es-ES_tradnl"/>
              </w:rPr>
              <w:t>-35,86</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134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5,64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-52</w:t>
            </w:r>
          </w:p>
        </w:tc>
        <w:tc>
          <w:tcPr>
            <w:tcW w:w="1134" w:type="dxa"/>
            <w:shd w:val="clear" w:color="auto" w:fill="FFFFFF"/>
          </w:tcPr>
          <w:p w:rsidR="00000000" w:rsidRDefault="00000000">
            <w:pPr>
              <w:jc w:val="right"/>
            </w:pPr>
            <w:r>
              <w:rPr>
                <w:color w:val="000000"/>
                <w:szCs w:val="22"/>
                <w:lang w:val="es-ES_tradnl"/>
              </w:rPr>
              <w:t>-27,96</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104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4,38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-30</w:t>
            </w:r>
          </w:p>
        </w:tc>
        <w:tc>
          <w:tcPr>
            <w:tcW w:w="1134" w:type="dxa"/>
            <w:shd w:val="clear" w:color="auto" w:fill="FFFFFF"/>
          </w:tcPr>
          <w:p w:rsidR="00000000" w:rsidRDefault="00000000">
            <w:pPr>
              <w:jc w:val="right"/>
            </w:pPr>
            <w:r>
              <w:rPr>
                <w:color w:val="000000"/>
                <w:szCs w:val="22"/>
                <w:lang w:val="es-ES_tradnl"/>
              </w:rPr>
              <w:t>-22,39</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1995</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93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3,91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-11</w:t>
            </w:r>
          </w:p>
        </w:tc>
        <w:tc>
          <w:tcPr>
            <w:tcW w:w="1134" w:type="dxa"/>
            <w:shd w:val="clear" w:color="auto" w:fill="FFFFFF"/>
          </w:tcPr>
          <w:p w:rsidR="00000000" w:rsidRDefault="00000000">
            <w:pPr>
              <w:jc w:val="right"/>
            </w:pPr>
            <w:r>
              <w:rPr>
                <w:color w:val="000000"/>
                <w:szCs w:val="22"/>
                <w:lang w:val="es-ES_tradnl"/>
              </w:rPr>
              <w:t>-10,58</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1996</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108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4,54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15</w:t>
            </w:r>
          </w:p>
        </w:tc>
        <w:tc>
          <w:tcPr>
            <w:tcW w:w="1134" w:type="dxa"/>
            <w:shd w:val="clear" w:color="auto" w:fill="FFFFFF"/>
          </w:tcPr>
          <w:p w:rsidR="00000000" w:rsidRDefault="00000000">
            <w:pPr>
              <w:jc w:val="right"/>
            </w:pPr>
            <w:r>
              <w:rPr>
                <w:color w:val="000000"/>
                <w:szCs w:val="22"/>
                <w:lang w:val="es-ES_tradnl"/>
              </w:rPr>
              <w:t>16,13</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1997</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85</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3,58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-23</w:t>
            </w:r>
          </w:p>
        </w:tc>
        <w:tc>
          <w:tcPr>
            <w:tcW w:w="1134" w:type="dxa"/>
            <w:shd w:val="clear" w:color="auto" w:fill="FFFFFF"/>
          </w:tcPr>
          <w:p w:rsidR="00000000" w:rsidRDefault="00000000">
            <w:pPr>
              <w:jc w:val="right"/>
            </w:pPr>
            <w:r>
              <w:rPr>
                <w:color w:val="000000"/>
                <w:szCs w:val="22"/>
                <w:lang w:val="es-ES_tradnl"/>
              </w:rPr>
              <w:t>-21,30</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103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4,33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18</w:t>
            </w:r>
          </w:p>
        </w:tc>
        <w:tc>
          <w:tcPr>
            <w:tcW w:w="1134" w:type="dxa"/>
            <w:shd w:val="clear" w:color="auto" w:fill="FFFFFF"/>
          </w:tcPr>
          <w:p w:rsidR="00000000" w:rsidRDefault="00000000">
            <w:pPr>
              <w:jc w:val="right"/>
            </w:pPr>
            <w:r>
              <w:rPr>
                <w:color w:val="000000"/>
                <w:szCs w:val="22"/>
                <w:lang w:val="es-ES_tradnl"/>
              </w:rPr>
              <w:t>21,18</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1999</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72</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3,03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-31</w:t>
            </w:r>
          </w:p>
        </w:tc>
        <w:tc>
          <w:tcPr>
            <w:tcW w:w="1134" w:type="dxa"/>
            <w:shd w:val="clear" w:color="auto" w:fill="FFFFFF"/>
          </w:tcPr>
          <w:p w:rsidR="00000000" w:rsidRDefault="00000000">
            <w:pPr>
              <w:jc w:val="right"/>
            </w:pPr>
            <w:r>
              <w:rPr>
                <w:color w:val="000000"/>
                <w:szCs w:val="22"/>
                <w:lang w:val="es-ES_tradnl"/>
              </w:rPr>
              <w:t>-30,10</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2000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51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2,15</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-21</w:t>
            </w:r>
          </w:p>
        </w:tc>
        <w:tc>
          <w:tcPr>
            <w:tcW w:w="1134" w:type="dxa"/>
            <w:shd w:val="clear" w:color="auto" w:fill="FFFFFF"/>
          </w:tcPr>
          <w:p w:rsidR="00000000" w:rsidRDefault="00000000">
            <w:pPr>
              <w:jc w:val="right"/>
            </w:pPr>
            <w:r>
              <w:rPr>
                <w:color w:val="000000"/>
                <w:szCs w:val="22"/>
                <w:lang w:val="es-ES_tradnl"/>
              </w:rPr>
              <w:t>-29,17</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2001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53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2,23</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w:t>
            </w:r>
          </w:p>
        </w:tc>
        <w:tc>
          <w:tcPr>
            <w:tcW w:w="1134" w:type="dxa"/>
            <w:shd w:val="clear" w:color="auto" w:fill="FFFFFF"/>
          </w:tcPr>
          <w:p w:rsidR="00000000" w:rsidRDefault="00000000">
            <w:pPr>
              <w:jc w:val="right"/>
            </w:pPr>
            <w:r>
              <w:rPr>
                <w:color w:val="000000"/>
                <w:szCs w:val="22"/>
                <w:lang w:val="es-ES_tradnl"/>
              </w:rPr>
              <w:t>3,92</w:t>
            </w:r>
          </w:p>
        </w:tc>
      </w:tr>
      <w:tr w:rsidR="00000000">
        <w:tblPrEx>
          <w:tblCellMar>
            <w:top w:w="0" w:type="dxa"/>
            <w:bottom w:w="0" w:type="dxa"/>
          </w:tblCellMar>
        </w:tblPrEx>
        <w:trPr>
          <w:jc w:val="center"/>
        </w:trPr>
        <w:tc>
          <w:tcPr>
            <w:tcW w:w="1134" w:type="dxa"/>
            <w:shd w:val="clear" w:color="auto" w:fill="FFFFFF"/>
          </w:tcPr>
          <w:p w:rsidR="00000000" w:rsidRDefault="00000000">
            <w:pPr>
              <w:jc w:val="center"/>
              <w:rPr>
                <w:color w:val="000000"/>
                <w:szCs w:val="22"/>
                <w:lang w:val="es-ES_tradnl"/>
              </w:rPr>
            </w:pPr>
            <w:r>
              <w:rPr>
                <w:color w:val="000000"/>
                <w:szCs w:val="22"/>
                <w:lang w:val="es-ES_tradnl"/>
              </w:rPr>
              <w:t>Total</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2.377</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100,00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2.324</w:t>
            </w:r>
          </w:p>
        </w:tc>
        <w:tc>
          <w:tcPr>
            <w:tcW w:w="1134" w:type="dxa"/>
            <w:shd w:val="clear" w:color="auto" w:fill="FFFFFF"/>
          </w:tcPr>
          <w:p w:rsidR="00000000" w:rsidRDefault="00000000">
            <w:pPr>
              <w:jc w:val="right"/>
            </w:pPr>
            <w:r>
              <w:rPr>
                <w:color w:val="000000"/>
                <w:szCs w:val="22"/>
                <w:lang w:val="es-ES_tradnl"/>
              </w:rPr>
              <w:t>4.384,91</w:t>
            </w:r>
          </w:p>
        </w:tc>
      </w:tr>
    </w:tbl>
    <w:p w:rsidR="00000000" w:rsidRDefault="00000000">
      <w:pPr>
        <w:shd w:val="clear" w:color="auto" w:fill="FFFFFF"/>
        <w:tabs>
          <w:tab w:val="left" w:pos="1755"/>
        </w:tabs>
        <w:spacing w:before="200" w:after="400"/>
        <w:rPr>
          <w:color w:val="000000"/>
          <w:szCs w:val="22"/>
          <w:lang w:val="es-ES_tradnl"/>
        </w:rPr>
      </w:pPr>
      <w:r>
        <w:rPr>
          <w:color w:val="000000"/>
          <w:sz w:val="22"/>
          <w:szCs w:val="22"/>
          <w:lang w:val="es-ES_tradnl"/>
        </w:rPr>
        <w:tab/>
      </w:r>
      <w:r>
        <w:rPr>
          <w:i/>
          <w:iCs/>
          <w:color w:val="000000"/>
          <w:szCs w:val="22"/>
          <w:lang w:val="es-ES_tradnl"/>
        </w:rPr>
        <w:t>Fuente</w:t>
      </w:r>
      <w:r>
        <w:rPr>
          <w:color w:val="000000"/>
          <w:szCs w:val="22"/>
          <w:lang w:val="es-ES_tradnl"/>
        </w:rPr>
        <w:t xml:space="preserve">:  </w:t>
      </w:r>
      <w:r>
        <w:rPr>
          <w:i/>
          <w:iCs/>
          <w:color w:val="000000"/>
          <w:szCs w:val="22"/>
          <w:lang w:val="es-ES_tradnl"/>
        </w:rPr>
        <w:t>Boletín Estadístico</w:t>
      </w:r>
      <w:r>
        <w:rPr>
          <w:color w:val="000000"/>
          <w:szCs w:val="22"/>
          <w:lang w:val="es-ES_tradnl"/>
        </w:rPr>
        <w:t>, Ministerio de Trabajo</w:t>
      </w:r>
      <w:r>
        <w:rPr>
          <w:color w:val="000000"/>
          <w:szCs w:val="22"/>
          <w:lang w:val="es-ES_tradnl"/>
        </w:rPr>
        <w:br/>
      </w:r>
      <w:r>
        <w:rPr>
          <w:color w:val="000000"/>
          <w:szCs w:val="22"/>
          <w:lang w:val="es-ES_tradnl"/>
        </w:rPr>
        <w:tab/>
        <w:t>y Recursos Humanos.</w:t>
      </w:r>
    </w:p>
    <w:p w:rsidR="00000000" w:rsidRDefault="00000000">
      <w:pPr>
        <w:shd w:val="clear" w:color="auto" w:fill="FFFFFF"/>
        <w:spacing w:after="200"/>
        <w:jc w:val="center"/>
        <w:rPr>
          <w:b/>
          <w:bCs/>
          <w:color w:val="000000"/>
          <w:szCs w:val="22"/>
          <w:lang w:val="es-ES_tradnl"/>
        </w:rPr>
      </w:pPr>
      <w:r>
        <w:rPr>
          <w:b/>
          <w:bCs/>
          <w:color w:val="000000"/>
          <w:szCs w:val="22"/>
          <w:lang w:val="es-ES_tradnl"/>
        </w:rPr>
        <w:t>Huelgas de trabajo</w:t>
      </w:r>
      <w:r>
        <w:rPr>
          <w:b/>
          <w:bCs/>
          <w:color w:val="000000"/>
          <w:szCs w:val="22"/>
          <w:lang w:val="es-ES_tradnl"/>
        </w:rPr>
        <w:br/>
        <w:t>(1988-2001)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53"/>
        <w:gridCol w:w="1134"/>
        <w:gridCol w:w="1240"/>
      </w:tblGrid>
      <w:tr w:rsidR="00000000">
        <w:tblPrEx>
          <w:tblCellMar>
            <w:top w:w="0" w:type="dxa"/>
            <w:bottom w:w="0" w:type="dxa"/>
          </w:tblCellMar>
        </w:tblPrEx>
        <w:trPr>
          <w:jc w:val="center"/>
        </w:trPr>
        <w:tc>
          <w:tcPr>
            <w:tcW w:w="1134" w:type="dxa"/>
            <w:shd w:val="clear" w:color="auto" w:fill="FFFFFF"/>
            <w:vAlign w:val="center"/>
          </w:tcPr>
          <w:p w:rsidR="00000000" w:rsidRDefault="00000000">
            <w:pPr>
              <w:jc w:val="center"/>
              <w:rPr>
                <w:color w:val="000000"/>
                <w:szCs w:val="22"/>
                <w:lang w:val="es-ES_tradnl"/>
              </w:rPr>
            </w:pPr>
            <w:r>
              <w:rPr>
                <w:color w:val="000000"/>
                <w:szCs w:val="22"/>
                <w:lang w:val="es-ES_tradnl"/>
              </w:rPr>
              <w:t>Años</w:t>
            </w:r>
          </w:p>
        </w:tc>
        <w:tc>
          <w:tcPr>
            <w:tcW w:w="1134" w:type="dxa"/>
            <w:shd w:val="clear" w:color="auto" w:fill="FFFFFF"/>
            <w:vAlign w:val="center"/>
          </w:tcPr>
          <w:p w:rsidR="00000000" w:rsidRDefault="00000000">
            <w:pPr>
              <w:jc w:val="center"/>
              <w:rPr>
                <w:color w:val="000000"/>
                <w:szCs w:val="22"/>
                <w:lang w:val="es-ES_tradnl"/>
              </w:rPr>
            </w:pPr>
            <w:r>
              <w:rPr>
                <w:color w:val="000000"/>
                <w:szCs w:val="22"/>
                <w:lang w:val="es-ES_tradnl"/>
              </w:rPr>
              <w:t>Huelgas</w:t>
            </w:r>
          </w:p>
        </w:tc>
        <w:tc>
          <w:tcPr>
            <w:tcW w:w="1153" w:type="dxa"/>
            <w:shd w:val="clear" w:color="auto" w:fill="FFFFFF"/>
            <w:vAlign w:val="center"/>
          </w:tcPr>
          <w:p w:rsidR="00000000" w:rsidRDefault="00000000">
            <w:pPr>
              <w:jc w:val="center"/>
              <w:rPr>
                <w:color w:val="000000"/>
                <w:szCs w:val="22"/>
                <w:lang w:val="es-ES_tradnl"/>
              </w:rPr>
            </w:pPr>
            <w:r>
              <w:rPr>
                <w:color w:val="000000"/>
                <w:szCs w:val="22"/>
                <w:lang w:val="es-ES_tradnl"/>
              </w:rPr>
              <w:t>Porcentaje</w:t>
            </w:r>
          </w:p>
        </w:tc>
        <w:tc>
          <w:tcPr>
            <w:tcW w:w="1134" w:type="dxa"/>
            <w:shd w:val="clear" w:color="auto" w:fill="FFFFFF"/>
            <w:vAlign w:val="center"/>
          </w:tcPr>
          <w:p w:rsidR="00000000" w:rsidRDefault="00000000">
            <w:pPr>
              <w:jc w:val="center"/>
              <w:rPr>
                <w:color w:val="000000"/>
                <w:szCs w:val="22"/>
                <w:lang w:val="es-ES_tradnl"/>
              </w:rPr>
            </w:pPr>
            <w:r>
              <w:rPr>
                <w:color w:val="000000"/>
                <w:szCs w:val="22"/>
                <w:lang w:val="es-ES_tradnl"/>
              </w:rPr>
              <w:t>Variación anual</w:t>
            </w:r>
          </w:p>
        </w:tc>
        <w:tc>
          <w:tcPr>
            <w:tcW w:w="1240" w:type="dxa"/>
            <w:shd w:val="clear" w:color="auto" w:fill="FFFFFF"/>
            <w:vAlign w:val="center"/>
          </w:tcPr>
          <w:p w:rsidR="00000000" w:rsidRDefault="00000000">
            <w:pPr>
              <w:jc w:val="center"/>
              <w:rPr>
                <w:color w:val="000000"/>
                <w:szCs w:val="22"/>
                <w:lang w:val="es-ES_tradnl"/>
              </w:rPr>
            </w:pPr>
            <w:r>
              <w:rPr>
                <w:color w:val="000000"/>
                <w:szCs w:val="22"/>
                <w:lang w:val="es-ES_tradnl"/>
              </w:rPr>
              <w:t>Porcentaje</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1988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126</w:t>
            </w:r>
          </w:p>
        </w:tc>
        <w:tc>
          <w:tcPr>
            <w:tcW w:w="1153" w:type="dxa"/>
            <w:shd w:val="clear" w:color="auto" w:fill="FFFFFF"/>
          </w:tcPr>
          <w:p w:rsidR="00000000" w:rsidRDefault="00000000">
            <w:pPr>
              <w:jc w:val="right"/>
            </w:pPr>
            <w:r>
              <w:rPr>
                <w:color w:val="000000"/>
                <w:szCs w:val="22"/>
                <w:lang w:val="es-ES_tradnl"/>
              </w:rPr>
              <w:t>18,45</w:t>
            </w:r>
          </w:p>
        </w:tc>
        <w:tc>
          <w:tcPr>
            <w:tcW w:w="1134" w:type="dxa"/>
            <w:shd w:val="clear" w:color="auto" w:fill="FFFFFF"/>
          </w:tcPr>
          <w:p w:rsidR="00000000" w:rsidRDefault="00000000">
            <w:pPr>
              <w:jc w:val="center"/>
            </w:pPr>
            <w:r>
              <w:t>-</w:t>
            </w:r>
          </w:p>
        </w:tc>
        <w:tc>
          <w:tcPr>
            <w:tcW w:w="1240" w:type="dxa"/>
            <w:shd w:val="clear" w:color="auto" w:fill="FFFFFF"/>
          </w:tcPr>
          <w:p w:rsidR="00000000" w:rsidRDefault="00000000">
            <w:pPr>
              <w:jc w:val="right"/>
            </w:pPr>
            <w:r>
              <w:t>-</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1989</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167</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24,45</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41</w:t>
            </w:r>
          </w:p>
        </w:tc>
        <w:tc>
          <w:tcPr>
            <w:tcW w:w="1240" w:type="dxa"/>
            <w:shd w:val="clear" w:color="auto" w:fill="FFFFFF"/>
          </w:tcPr>
          <w:p w:rsidR="00000000" w:rsidRDefault="00000000">
            <w:pPr>
              <w:jc w:val="right"/>
            </w:pPr>
            <w:r>
              <w:rPr>
                <w:color w:val="000000"/>
                <w:szCs w:val="22"/>
                <w:lang w:val="es-ES_tradnl"/>
              </w:rPr>
              <w:t>32,54</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140</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20,50</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-27</w:t>
            </w:r>
          </w:p>
        </w:tc>
        <w:tc>
          <w:tcPr>
            <w:tcW w:w="1240" w:type="dxa"/>
            <w:shd w:val="clear" w:color="auto" w:fill="FFFFFF"/>
          </w:tcPr>
          <w:p w:rsidR="00000000" w:rsidRDefault="00000000">
            <w:pPr>
              <w:jc w:val="right"/>
            </w:pPr>
            <w:r>
              <w:rPr>
                <w:color w:val="000000"/>
                <w:szCs w:val="22"/>
                <w:lang w:val="es-ES_tradnl"/>
              </w:rPr>
              <w:t>-16,17</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87</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12,74</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-53</w:t>
            </w:r>
          </w:p>
        </w:tc>
        <w:tc>
          <w:tcPr>
            <w:tcW w:w="1240" w:type="dxa"/>
            <w:shd w:val="clear" w:color="auto" w:fill="FFFFFF"/>
          </w:tcPr>
          <w:p w:rsidR="00000000" w:rsidRDefault="00000000">
            <w:pPr>
              <w:jc w:val="right"/>
            </w:pPr>
            <w:r>
              <w:rPr>
                <w:color w:val="000000"/>
                <w:szCs w:val="22"/>
                <w:lang w:val="es-ES_tradnl"/>
              </w:rPr>
              <w:t>-37,86</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3"/>
                <w:lang w:val="es-ES_tradnl"/>
              </w:rPr>
            </w:pPr>
            <w:r>
              <w:rPr>
                <w:color w:val="000000"/>
                <w:szCs w:val="23"/>
                <w:lang w:val="es-ES_tradnl"/>
              </w:rPr>
              <w:t>1992</w:t>
            </w:r>
          </w:p>
        </w:tc>
        <w:tc>
          <w:tcPr>
            <w:tcW w:w="1134" w:type="dxa"/>
            <w:shd w:val="clear" w:color="auto" w:fill="FFFFFF"/>
          </w:tcPr>
          <w:p w:rsidR="00000000" w:rsidRDefault="00000000">
            <w:pPr>
              <w:jc w:val="right"/>
              <w:rPr>
                <w:color w:val="000000"/>
                <w:szCs w:val="23"/>
                <w:lang w:val="es-ES_tradnl"/>
              </w:rPr>
            </w:pPr>
            <w:r>
              <w:rPr>
                <w:color w:val="000000"/>
                <w:szCs w:val="23"/>
                <w:lang w:val="es-ES_tradnl"/>
              </w:rPr>
              <w:t>47</w:t>
            </w:r>
          </w:p>
        </w:tc>
        <w:tc>
          <w:tcPr>
            <w:tcW w:w="1153" w:type="dxa"/>
            <w:shd w:val="clear" w:color="auto" w:fill="FFFFFF"/>
          </w:tcPr>
          <w:p w:rsidR="00000000" w:rsidRDefault="00000000">
            <w:pPr>
              <w:jc w:val="right"/>
              <w:rPr>
                <w:color w:val="000000"/>
                <w:szCs w:val="23"/>
                <w:lang w:val="es-ES_tradnl"/>
              </w:rPr>
            </w:pPr>
            <w:r>
              <w:rPr>
                <w:color w:val="000000"/>
                <w:szCs w:val="23"/>
                <w:lang w:val="es-ES_tradnl"/>
              </w:rPr>
              <w:t>6,88</w:t>
            </w:r>
          </w:p>
        </w:tc>
        <w:tc>
          <w:tcPr>
            <w:tcW w:w="1134" w:type="dxa"/>
            <w:shd w:val="clear" w:color="auto" w:fill="FFFFFF"/>
          </w:tcPr>
          <w:p w:rsidR="00000000" w:rsidRDefault="00000000">
            <w:pPr>
              <w:jc w:val="center"/>
              <w:rPr>
                <w:color w:val="000000"/>
                <w:szCs w:val="23"/>
                <w:lang w:val="es-ES_tradnl"/>
              </w:rPr>
            </w:pPr>
            <w:r>
              <w:rPr>
                <w:color w:val="000000"/>
                <w:szCs w:val="23"/>
                <w:lang w:val="es-ES_tradnl"/>
              </w:rPr>
              <w:t>-40</w:t>
            </w:r>
          </w:p>
        </w:tc>
        <w:tc>
          <w:tcPr>
            <w:tcW w:w="1240" w:type="dxa"/>
            <w:shd w:val="clear" w:color="auto" w:fill="FFFFFF"/>
          </w:tcPr>
          <w:p w:rsidR="00000000" w:rsidRDefault="00000000">
            <w:pPr>
              <w:jc w:val="right"/>
            </w:pPr>
            <w:r>
              <w:rPr>
                <w:color w:val="000000"/>
                <w:szCs w:val="23"/>
                <w:lang w:val="es-ES_tradnl"/>
              </w:rPr>
              <w:t>-45,98</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3"/>
                <w:lang w:val="es-ES_tradnl"/>
              </w:rPr>
            </w:pPr>
            <w:r>
              <w:rPr>
                <w:color w:val="000000"/>
                <w:szCs w:val="23"/>
                <w:lang w:val="es-ES_tradnl"/>
              </w:rPr>
              <w:t>1993</w:t>
            </w:r>
          </w:p>
        </w:tc>
        <w:tc>
          <w:tcPr>
            <w:tcW w:w="1134" w:type="dxa"/>
            <w:shd w:val="clear" w:color="auto" w:fill="FFFFFF"/>
          </w:tcPr>
          <w:p w:rsidR="00000000" w:rsidRDefault="00000000">
            <w:pPr>
              <w:jc w:val="right"/>
              <w:rPr>
                <w:color w:val="000000"/>
                <w:szCs w:val="23"/>
                <w:lang w:val="es-ES_tradnl"/>
              </w:rPr>
            </w:pPr>
            <w:r>
              <w:rPr>
                <w:color w:val="000000"/>
                <w:szCs w:val="23"/>
                <w:lang w:val="es-ES_tradnl"/>
              </w:rPr>
              <w:t>28</w:t>
            </w:r>
          </w:p>
        </w:tc>
        <w:tc>
          <w:tcPr>
            <w:tcW w:w="1153" w:type="dxa"/>
            <w:shd w:val="clear" w:color="auto" w:fill="FFFFFF"/>
          </w:tcPr>
          <w:p w:rsidR="00000000" w:rsidRDefault="00000000">
            <w:pPr>
              <w:jc w:val="right"/>
              <w:rPr>
                <w:color w:val="000000"/>
                <w:szCs w:val="23"/>
                <w:lang w:val="es-ES_tradnl"/>
              </w:rPr>
            </w:pPr>
            <w:r>
              <w:rPr>
                <w:color w:val="000000"/>
                <w:szCs w:val="23"/>
                <w:lang w:val="es-ES_tradnl"/>
              </w:rPr>
              <w:t>4,10</w:t>
            </w:r>
          </w:p>
        </w:tc>
        <w:tc>
          <w:tcPr>
            <w:tcW w:w="1134" w:type="dxa"/>
            <w:shd w:val="clear" w:color="auto" w:fill="FFFFFF"/>
          </w:tcPr>
          <w:p w:rsidR="00000000" w:rsidRDefault="00000000">
            <w:pPr>
              <w:jc w:val="center"/>
              <w:rPr>
                <w:color w:val="000000"/>
                <w:szCs w:val="23"/>
                <w:lang w:val="es-ES_tradnl"/>
              </w:rPr>
            </w:pPr>
            <w:r>
              <w:rPr>
                <w:color w:val="000000"/>
                <w:szCs w:val="23"/>
                <w:lang w:val="es-ES_tradnl"/>
              </w:rPr>
              <w:t>-19</w:t>
            </w:r>
          </w:p>
        </w:tc>
        <w:tc>
          <w:tcPr>
            <w:tcW w:w="1240" w:type="dxa"/>
            <w:shd w:val="clear" w:color="auto" w:fill="FFFFFF"/>
          </w:tcPr>
          <w:p w:rsidR="00000000" w:rsidRDefault="00000000">
            <w:pPr>
              <w:jc w:val="right"/>
            </w:pPr>
            <w:r>
              <w:rPr>
                <w:color w:val="000000"/>
                <w:szCs w:val="23"/>
                <w:lang w:val="es-ES_tradnl"/>
              </w:rPr>
              <w:t>-40,43</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1994</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12</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1,76</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-16</w:t>
            </w:r>
          </w:p>
        </w:tc>
        <w:tc>
          <w:tcPr>
            <w:tcW w:w="1240" w:type="dxa"/>
            <w:shd w:val="clear" w:color="auto" w:fill="FFFFFF"/>
          </w:tcPr>
          <w:p w:rsidR="00000000" w:rsidRDefault="00000000">
            <w:pPr>
              <w:jc w:val="right"/>
            </w:pPr>
            <w:r>
              <w:rPr>
                <w:color w:val="000000"/>
                <w:szCs w:val="22"/>
                <w:lang w:val="es-ES_tradnl"/>
              </w:rPr>
              <w:t>-57,14</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1995</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7</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1,02</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-5</w:t>
            </w:r>
          </w:p>
        </w:tc>
        <w:tc>
          <w:tcPr>
            <w:tcW w:w="1240" w:type="dxa"/>
            <w:shd w:val="clear" w:color="auto" w:fill="FFFFFF"/>
          </w:tcPr>
          <w:p w:rsidR="00000000" w:rsidRDefault="00000000">
            <w:pPr>
              <w:jc w:val="right"/>
            </w:pPr>
            <w:r>
              <w:rPr>
                <w:color w:val="000000"/>
                <w:szCs w:val="22"/>
                <w:lang w:val="es-ES_tradnl"/>
              </w:rPr>
              <w:t>-41,67</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1996</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11</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1,61</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4</w:t>
            </w:r>
          </w:p>
        </w:tc>
        <w:tc>
          <w:tcPr>
            <w:tcW w:w="1240" w:type="dxa"/>
            <w:shd w:val="clear" w:color="auto" w:fill="FFFFFF"/>
          </w:tcPr>
          <w:p w:rsidR="00000000" w:rsidRDefault="00000000">
            <w:pPr>
              <w:jc w:val="right"/>
            </w:pPr>
            <w:r>
              <w:rPr>
                <w:color w:val="000000"/>
                <w:szCs w:val="22"/>
                <w:lang w:val="es-ES_tradnl"/>
              </w:rPr>
              <w:t>57,14</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1997</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18</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2,64</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7</w:t>
            </w:r>
          </w:p>
        </w:tc>
        <w:tc>
          <w:tcPr>
            <w:tcW w:w="1240" w:type="dxa"/>
            <w:shd w:val="clear" w:color="auto" w:fill="FFFFFF"/>
          </w:tcPr>
          <w:p w:rsidR="00000000" w:rsidRDefault="00000000">
            <w:pPr>
              <w:jc w:val="right"/>
            </w:pPr>
            <w:r>
              <w:rPr>
                <w:color w:val="000000"/>
                <w:szCs w:val="22"/>
                <w:lang w:val="es-ES_tradnl"/>
              </w:rPr>
              <w:t>63,64</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1998</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17</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2,49</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-1</w:t>
            </w:r>
          </w:p>
        </w:tc>
        <w:tc>
          <w:tcPr>
            <w:tcW w:w="1240" w:type="dxa"/>
            <w:shd w:val="clear" w:color="auto" w:fill="FFFFFF"/>
          </w:tcPr>
          <w:p w:rsidR="00000000" w:rsidRDefault="00000000">
            <w:pPr>
              <w:jc w:val="right"/>
            </w:pPr>
            <w:r>
              <w:rPr>
                <w:color w:val="000000"/>
                <w:szCs w:val="22"/>
                <w:lang w:val="es-ES_tradnl"/>
              </w:rPr>
              <w:t>-5,56</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1999</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8</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1,17</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-9</w:t>
            </w:r>
          </w:p>
        </w:tc>
        <w:tc>
          <w:tcPr>
            <w:tcW w:w="1240" w:type="dxa"/>
            <w:shd w:val="clear" w:color="auto" w:fill="FFFFFF"/>
          </w:tcPr>
          <w:p w:rsidR="00000000" w:rsidRDefault="00000000">
            <w:pPr>
              <w:jc w:val="right"/>
            </w:pPr>
            <w:r>
              <w:rPr>
                <w:color w:val="000000"/>
                <w:szCs w:val="22"/>
                <w:lang w:val="es-ES_tradnl"/>
              </w:rPr>
              <w:t>-52,94</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2000</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11</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1,61</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3</w:t>
            </w:r>
          </w:p>
        </w:tc>
        <w:tc>
          <w:tcPr>
            <w:tcW w:w="1240" w:type="dxa"/>
            <w:shd w:val="clear" w:color="auto" w:fill="FFFFFF"/>
          </w:tcPr>
          <w:p w:rsidR="00000000" w:rsidRDefault="00000000">
            <w:pPr>
              <w:jc w:val="right"/>
            </w:pPr>
            <w:r>
              <w:rPr>
                <w:color w:val="000000"/>
                <w:szCs w:val="22"/>
                <w:lang w:val="es-ES_tradnl"/>
              </w:rPr>
              <w:t>37,50</w:t>
            </w:r>
          </w:p>
        </w:tc>
      </w:tr>
      <w:tr w:rsidR="00000000">
        <w:tblPrEx>
          <w:tblCellMar>
            <w:top w:w="0" w:type="dxa"/>
            <w:bottom w:w="0" w:type="dxa"/>
          </w:tblCellMar>
        </w:tblPrEx>
        <w:trPr>
          <w:jc w:val="center"/>
        </w:trPr>
        <w:tc>
          <w:tcPr>
            <w:tcW w:w="1134" w:type="dxa"/>
            <w:shd w:val="clear" w:color="auto" w:fill="FFFFFF"/>
          </w:tcPr>
          <w:p w:rsidR="00000000" w:rsidRDefault="00000000">
            <w:pPr>
              <w:rPr>
                <w:color w:val="000000"/>
                <w:szCs w:val="22"/>
                <w:lang w:val="es-ES_tradnl"/>
              </w:rPr>
            </w:pPr>
            <w:r>
              <w:rPr>
                <w:color w:val="000000"/>
                <w:szCs w:val="22"/>
                <w:lang w:val="es-ES_tradnl"/>
              </w:rPr>
              <w:t>2001</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4</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0,59</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-7</w:t>
            </w:r>
          </w:p>
        </w:tc>
        <w:tc>
          <w:tcPr>
            <w:tcW w:w="1240" w:type="dxa"/>
            <w:shd w:val="clear" w:color="auto" w:fill="FFFFFF"/>
          </w:tcPr>
          <w:p w:rsidR="00000000" w:rsidRDefault="00000000">
            <w:pPr>
              <w:jc w:val="right"/>
            </w:pPr>
            <w:r>
              <w:rPr>
                <w:color w:val="000000"/>
                <w:szCs w:val="22"/>
                <w:lang w:val="es-ES_tradnl"/>
              </w:rPr>
              <w:t>-63,64</w:t>
            </w:r>
          </w:p>
        </w:tc>
      </w:tr>
      <w:tr w:rsidR="00000000">
        <w:tblPrEx>
          <w:tblCellMar>
            <w:top w:w="0" w:type="dxa"/>
            <w:bottom w:w="0" w:type="dxa"/>
          </w:tblCellMar>
        </w:tblPrEx>
        <w:trPr>
          <w:jc w:val="center"/>
        </w:trPr>
        <w:tc>
          <w:tcPr>
            <w:tcW w:w="1134" w:type="dxa"/>
            <w:shd w:val="clear" w:color="auto" w:fill="FFFFFF"/>
          </w:tcPr>
          <w:p w:rsidR="00000000" w:rsidRDefault="00000000">
            <w:pPr>
              <w:jc w:val="center"/>
              <w:rPr>
                <w:color w:val="000000"/>
                <w:szCs w:val="22"/>
                <w:lang w:val="es-ES_tradnl"/>
              </w:rPr>
            </w:pPr>
            <w:r>
              <w:rPr>
                <w:color w:val="000000"/>
                <w:szCs w:val="22"/>
                <w:lang w:val="es-ES_tradnl"/>
              </w:rPr>
              <w:t>Total</w:t>
            </w:r>
          </w:p>
        </w:tc>
        <w:tc>
          <w:tcPr>
            <w:tcW w:w="1134" w:type="dxa"/>
            <w:shd w:val="clear" w:color="auto" w:fill="FFFFFF"/>
          </w:tcPr>
          <w:p w:rsidR="00000000" w:rsidRDefault="00000000">
            <w:pPr>
              <w:jc w:val="right"/>
              <w:rPr>
                <w:color w:val="000000"/>
                <w:szCs w:val="22"/>
                <w:lang w:val="es-ES_tradnl"/>
              </w:rPr>
            </w:pPr>
            <w:r>
              <w:rPr>
                <w:color w:val="000000"/>
                <w:szCs w:val="22"/>
                <w:lang w:val="es-ES_tradnl"/>
              </w:rPr>
              <w:t>683</w:t>
            </w:r>
          </w:p>
        </w:tc>
        <w:tc>
          <w:tcPr>
            <w:tcW w:w="1153" w:type="dxa"/>
            <w:shd w:val="clear" w:color="auto" w:fill="FFFFFF"/>
          </w:tcPr>
          <w:p w:rsidR="00000000" w:rsidRDefault="00000000">
            <w:pPr>
              <w:jc w:val="right"/>
              <w:rPr>
                <w:color w:val="000000"/>
                <w:szCs w:val="22"/>
                <w:lang w:val="es-ES_tradnl"/>
              </w:rPr>
            </w:pPr>
            <w:r>
              <w:rPr>
                <w:color w:val="000000"/>
                <w:szCs w:val="22"/>
                <w:lang w:val="es-ES_tradnl"/>
              </w:rPr>
              <w:t>100,00</w:t>
            </w:r>
          </w:p>
        </w:tc>
        <w:tc>
          <w:tcPr>
            <w:tcW w:w="1134" w:type="dxa"/>
            <w:shd w:val="clear" w:color="auto" w:fill="FFFFFF"/>
          </w:tcPr>
          <w:p w:rsidR="00000000" w:rsidRDefault="00000000">
            <w:pPr>
              <w:jc w:val="center"/>
              <w:rPr>
                <w:color w:val="000000"/>
                <w:szCs w:val="22"/>
                <w:lang w:val="es-ES_tradnl"/>
              </w:rPr>
            </w:pPr>
            <w:r>
              <w:rPr>
                <w:color w:val="000000"/>
                <w:szCs w:val="22"/>
                <w:lang w:val="es-ES_tradnl"/>
              </w:rPr>
              <w:t>679</w:t>
            </w:r>
          </w:p>
        </w:tc>
        <w:tc>
          <w:tcPr>
            <w:tcW w:w="1240" w:type="dxa"/>
            <w:shd w:val="clear" w:color="auto" w:fill="FFFFFF"/>
          </w:tcPr>
          <w:p w:rsidR="00000000" w:rsidRDefault="00000000">
            <w:pPr>
              <w:jc w:val="right"/>
            </w:pPr>
            <w:r>
              <w:rPr>
                <w:color w:val="000000"/>
                <w:szCs w:val="22"/>
                <w:lang w:val="es-ES_tradnl"/>
              </w:rPr>
              <w:t>16.975,00</w:t>
            </w:r>
          </w:p>
        </w:tc>
      </w:tr>
    </w:tbl>
    <w:p w:rsidR="00000000" w:rsidRDefault="00000000">
      <w:pPr>
        <w:shd w:val="clear" w:color="auto" w:fill="FFFFFF"/>
        <w:tabs>
          <w:tab w:val="left" w:pos="1716"/>
        </w:tabs>
        <w:spacing w:before="120"/>
      </w:pPr>
      <w:r>
        <w:rPr>
          <w:color w:val="000000"/>
          <w:szCs w:val="18"/>
          <w:lang w:val="es-ES_tradnl"/>
        </w:rPr>
        <w:tab/>
      </w:r>
      <w:r>
        <w:rPr>
          <w:i/>
          <w:iCs/>
          <w:color w:val="000000"/>
          <w:szCs w:val="18"/>
          <w:lang w:val="es-ES_tradnl"/>
        </w:rPr>
        <w:t>Fuente</w:t>
      </w:r>
      <w:r>
        <w:rPr>
          <w:color w:val="000000"/>
          <w:szCs w:val="18"/>
          <w:lang w:val="es-ES_tradnl"/>
        </w:rPr>
        <w:t xml:space="preserve">:  </w:t>
      </w:r>
      <w:r>
        <w:rPr>
          <w:i/>
          <w:iCs/>
          <w:color w:val="000000"/>
          <w:szCs w:val="18"/>
          <w:lang w:val="es-ES_tradnl"/>
        </w:rPr>
        <w:t>Boletín Estadístico,</w:t>
      </w:r>
      <w:r>
        <w:rPr>
          <w:color w:val="000000"/>
          <w:szCs w:val="18"/>
          <w:lang w:val="es-ES_tradnl"/>
        </w:rPr>
        <w:t xml:space="preserve"> Ministerio de Trabajo</w:t>
      </w:r>
      <w:r>
        <w:rPr>
          <w:color w:val="000000"/>
          <w:szCs w:val="18"/>
          <w:lang w:val="es-ES_tradnl"/>
        </w:rPr>
        <w:br/>
      </w:r>
      <w:r>
        <w:rPr>
          <w:color w:val="000000"/>
          <w:szCs w:val="18"/>
          <w:lang w:val="es-ES_tradnl"/>
        </w:rPr>
        <w:tab/>
        <w:t>y Recursos Humanos.</w:t>
      </w:r>
    </w:p>
    <w:p w:rsidR="00000000" w:rsidRDefault="00000000">
      <w:pPr>
        <w:shd w:val="clear" w:color="auto" w:fill="FFFFFF"/>
        <w:spacing w:after="240"/>
        <w:rPr>
          <w:i/>
          <w:iCs/>
        </w:rPr>
      </w:pPr>
      <w:r>
        <w:rPr>
          <w:i/>
          <w:iCs/>
          <w:color w:val="000000"/>
          <w:szCs w:val="25"/>
          <w:lang w:val="es-ES_tradnl"/>
        </w:rPr>
        <w:t>Derechos sindicales</w:t>
      </w:r>
    </w:p>
    <w:p w:rsidR="00000000" w:rsidRDefault="00000000">
      <w:pPr>
        <w:shd w:val="clear" w:color="auto" w:fill="FFFFFF"/>
        <w:spacing w:after="240"/>
      </w:pPr>
      <w:r>
        <w:rPr>
          <w:color w:val="000000"/>
          <w:szCs w:val="25"/>
          <w:lang w:val="es-ES_tradnl"/>
        </w:rPr>
        <w:t>153.</w:t>
      </w:r>
      <w:r>
        <w:rPr>
          <w:color w:val="000000"/>
          <w:szCs w:val="25"/>
          <w:lang w:val="es-ES_tradnl"/>
        </w:rPr>
        <w:tab/>
        <w:t>La Confederación Ecuatoriana de Organizaciones Sindicales Libres (</w:t>
      </w:r>
      <w:proofErr w:type="spellStart"/>
      <w:r>
        <w:rPr>
          <w:color w:val="000000"/>
          <w:szCs w:val="25"/>
          <w:lang w:val="es-ES_tradnl"/>
        </w:rPr>
        <w:t>CEOSL</w:t>
      </w:r>
      <w:proofErr w:type="spellEnd"/>
      <w:r>
        <w:rPr>
          <w:color w:val="000000"/>
          <w:szCs w:val="25"/>
          <w:lang w:val="es-ES_tradnl"/>
        </w:rPr>
        <w:t>), manifiesta que con la expedición de la Ley para la reforma de las finanzas públicas, vigente desde el 30 de abril de 1999, las autoridades de trabajo han iniciado un proceso de clasificación de los trabajadores sujetos a la Ley de servicio civil y carrera administrativa y de los trabajadores amparados por el Código del Trabajo, que permitiría eliminar el amparo del derecho laboral a numerosos trabajadores en franca violación al precepto consagrado en el inciso cuarto del ordinal noveno del artículo 35 de la Constitución:  "Se garantizará el derecho de organización de trabajadores y empleadores y su libre desenvolvimiento, sin autorización previa y conforme a la ley.  Para todos los efectos de las relaciones laborales en las instituciones del Estado, el sector laboral estará representado por una sola organización".  Con el régimen jurídico de la Ley de servicio civil y carrera administrativa, los trabajadores sujetos a la misma se encuentran impedidos del derecho a pertenecer a sindicatos.</w:t>
      </w:r>
    </w:p>
    <w:p w:rsidR="00000000" w:rsidRDefault="00000000">
      <w:pPr>
        <w:shd w:val="clear" w:color="auto" w:fill="FFFFFF"/>
        <w:spacing w:after="240"/>
      </w:pPr>
      <w:r>
        <w:rPr>
          <w:color w:val="000000"/>
          <w:szCs w:val="25"/>
          <w:lang w:val="es-ES_tradnl"/>
        </w:rPr>
        <w:t>154.</w:t>
      </w:r>
      <w:r>
        <w:rPr>
          <w:color w:val="000000"/>
          <w:szCs w:val="25"/>
          <w:lang w:val="es-ES_tradnl"/>
        </w:rPr>
        <w:tab/>
        <w:t xml:space="preserve">La </w:t>
      </w:r>
      <w:proofErr w:type="spellStart"/>
      <w:r>
        <w:rPr>
          <w:color w:val="000000"/>
          <w:szCs w:val="25"/>
          <w:lang w:val="es-ES_tradnl"/>
        </w:rPr>
        <w:t>CEOSL</w:t>
      </w:r>
      <w:proofErr w:type="spellEnd"/>
      <w:r>
        <w:rPr>
          <w:color w:val="000000"/>
          <w:szCs w:val="25"/>
          <w:lang w:val="es-ES_tradnl"/>
        </w:rPr>
        <w:t xml:space="preserve"> señala que, por mandato constitucional, el sector laboral sujeto al Código del Trabajo en las instituciones públicas debe obligatoriamente estar representado por una sola organización y se pretende, a partir de esta norma constitucional, eliminar las garantías sindicales de otras organizaciones de este carácter en el sector público.</w:t>
      </w:r>
    </w:p>
    <w:p w:rsidR="00000000" w:rsidRDefault="00000000">
      <w:pPr>
        <w:shd w:val="clear" w:color="auto" w:fill="FFFFFF"/>
        <w:spacing w:after="240"/>
      </w:pPr>
      <w:r>
        <w:rPr>
          <w:color w:val="000000"/>
          <w:szCs w:val="25"/>
          <w:lang w:val="es-ES_tradnl"/>
        </w:rPr>
        <w:t>155.</w:t>
      </w:r>
      <w:r>
        <w:rPr>
          <w:color w:val="000000"/>
          <w:szCs w:val="25"/>
          <w:lang w:val="es-ES_tradnl"/>
        </w:rPr>
        <w:tab/>
        <w:t xml:space="preserve">Con relación a la constitución de organizaciones sindicales en el sector privado, la </w:t>
      </w:r>
      <w:proofErr w:type="spellStart"/>
      <w:r>
        <w:rPr>
          <w:color w:val="000000"/>
          <w:szCs w:val="25"/>
          <w:lang w:val="es-ES_tradnl"/>
        </w:rPr>
        <w:t>CEOSL</w:t>
      </w:r>
      <w:proofErr w:type="spellEnd"/>
      <w:r>
        <w:rPr>
          <w:color w:val="000000"/>
          <w:szCs w:val="25"/>
          <w:lang w:val="es-ES_tradnl"/>
        </w:rPr>
        <w:t xml:space="preserve"> indica que viene extendiéndose una modalidad que progresivamente la limita e impide, que consiste en la contratación de trabajadores en tareas habituales de una empresa a través de empresas intermediarias con las cuales el trabajador mantiene la relación laboral aunque sus servicios los presta a un tercero, en tanto que la empresa intermediaria no ofrece condición alguna para el ejercicio de sindicación de los trabajadores por ella contratados.</w:t>
      </w:r>
    </w:p>
    <w:p w:rsidR="00000000" w:rsidRDefault="00000000">
      <w:pPr>
        <w:shd w:val="clear" w:color="auto" w:fill="FFFFFF"/>
        <w:spacing w:after="240"/>
      </w:pPr>
      <w:r>
        <w:rPr>
          <w:color w:val="000000"/>
          <w:szCs w:val="25"/>
          <w:lang w:val="es-ES_tradnl"/>
        </w:rPr>
        <w:t>156.</w:t>
      </w:r>
      <w:r>
        <w:rPr>
          <w:color w:val="000000"/>
          <w:szCs w:val="25"/>
          <w:lang w:val="es-ES_tradnl"/>
        </w:rPr>
        <w:tab/>
        <w:t xml:space="preserve">El número de organizaciones afiliadas a la </w:t>
      </w:r>
      <w:proofErr w:type="spellStart"/>
      <w:r>
        <w:rPr>
          <w:color w:val="000000"/>
          <w:szCs w:val="25"/>
          <w:lang w:val="es-ES_tradnl"/>
        </w:rPr>
        <w:t>CEOSL</w:t>
      </w:r>
      <w:proofErr w:type="spellEnd"/>
      <w:r>
        <w:rPr>
          <w:color w:val="000000"/>
          <w:szCs w:val="25"/>
          <w:lang w:val="es-ES_tradnl"/>
        </w:rPr>
        <w:t xml:space="preserve"> es de 800, y a dichas organizaciones se encuentran afiliados aproximadamente 150.000 trabajadores.</w:t>
      </w:r>
    </w:p>
    <w:p w:rsidR="00000000" w:rsidRDefault="00000000">
      <w:pPr>
        <w:shd w:val="clear" w:color="auto" w:fill="FFFFFF"/>
        <w:spacing w:after="240"/>
      </w:pPr>
      <w:r>
        <w:rPr>
          <w:color w:val="000000"/>
          <w:szCs w:val="25"/>
          <w:lang w:val="es-ES_tradnl"/>
        </w:rPr>
        <w:t>157.</w:t>
      </w:r>
      <w:r>
        <w:rPr>
          <w:color w:val="000000"/>
          <w:szCs w:val="25"/>
          <w:lang w:val="es-ES_tradnl"/>
        </w:rPr>
        <w:tab/>
        <w:t xml:space="preserve">La </w:t>
      </w:r>
      <w:proofErr w:type="spellStart"/>
      <w:r>
        <w:rPr>
          <w:color w:val="000000"/>
          <w:szCs w:val="25"/>
          <w:lang w:val="es-ES_tradnl"/>
        </w:rPr>
        <w:t>CEOSL</w:t>
      </w:r>
      <w:proofErr w:type="spellEnd"/>
      <w:r>
        <w:rPr>
          <w:color w:val="000000"/>
          <w:szCs w:val="25"/>
          <w:lang w:val="es-ES_tradnl"/>
        </w:rPr>
        <w:t>, en cuanto a las restricciones al derecho de crear sindicatos, resume en las limitaciones provenientes de las normas constitucionales que afectan el libre derecho de sindicación la expedición de disposiciones legales que directa o indirectamente limitan este derecho y la posición de las autoridades que, mediante procedimientos administrativos u omisiones al cumplimiento de sus deberes de protección al derecho de sindicación, han generado restricciones para su ejercicio.</w:t>
      </w:r>
    </w:p>
    <w:p w:rsidR="00000000" w:rsidRDefault="00000000">
      <w:pPr>
        <w:spacing w:after="240"/>
      </w:pPr>
      <w:r>
        <w:rPr>
          <w:color w:val="000000"/>
          <w:szCs w:val="25"/>
          <w:lang w:val="es-ES_tradnl"/>
        </w:rPr>
        <w:t>158.</w:t>
      </w:r>
      <w:r>
        <w:rPr>
          <w:color w:val="000000"/>
          <w:szCs w:val="25"/>
          <w:lang w:val="es-ES_tradnl"/>
        </w:rPr>
        <w:tab/>
        <w:t>No existen antecedentes que nos permitan aseverar que tanto las fuerzas armadas como la policía nacional hayan intervenido en forma expresa para evitar el ejercicio de los derechos establecidos en los párrafos 2 y 3.</w:t>
      </w:r>
    </w:p>
    <w:p w:rsidR="00000000" w:rsidRDefault="00000000">
      <w:pPr>
        <w:spacing w:after="240"/>
        <w:rPr>
          <w:b/>
          <w:bCs/>
        </w:rPr>
      </w:pPr>
      <w:r>
        <w:rPr>
          <w:b/>
          <w:bCs/>
          <w:lang w:val="es-ES_tradnl"/>
        </w:rPr>
        <w:t>Artículo 9</w:t>
      </w:r>
    </w:p>
    <w:p w:rsidR="00000000" w:rsidRDefault="00000000">
      <w:pPr>
        <w:spacing w:after="240"/>
        <w:rPr>
          <w:b/>
          <w:bCs/>
        </w:rPr>
      </w:pPr>
      <w:r>
        <w:rPr>
          <w:b/>
          <w:bCs/>
          <w:szCs w:val="25"/>
          <w:lang w:val="es-ES_tradnl"/>
        </w:rPr>
        <w:t>Derecho a la Seguridad Social</w:t>
      </w:r>
    </w:p>
    <w:p w:rsidR="00000000" w:rsidRDefault="00000000">
      <w:pPr>
        <w:spacing w:after="240"/>
      </w:pPr>
      <w:r>
        <w:rPr>
          <w:szCs w:val="25"/>
          <w:lang w:val="es-ES_tradnl"/>
        </w:rPr>
        <w:t>159.</w:t>
      </w:r>
      <w:r>
        <w:rPr>
          <w:szCs w:val="25"/>
          <w:lang w:val="es-ES_tradnl"/>
        </w:rPr>
        <w:tab/>
        <w:t>La Constitución Política en el capítulo IV, sección sexta del artículo 55, determina que "la Seguridad Social será deber del Estado y derecho irrenunciable de todos sus habitantes.  Se prestará con la participación de los sectores público y privado, de conformidad con la ley".</w:t>
      </w:r>
    </w:p>
    <w:p w:rsidR="00000000" w:rsidRDefault="00000000">
      <w:pPr>
        <w:spacing w:after="240"/>
      </w:pPr>
      <w:r>
        <w:rPr>
          <w:szCs w:val="25"/>
          <w:lang w:val="es-ES_tradnl"/>
        </w:rPr>
        <w:t>160.</w:t>
      </w:r>
      <w:r>
        <w:rPr>
          <w:szCs w:val="25"/>
          <w:lang w:val="es-ES_tradnl"/>
        </w:rPr>
        <w:tab/>
        <w:t>La prestación de servicios de Seguridad Social es privativa del IESS, que surgió en 1928 al proclamarse la Ley del seguro social obligatorio.  Ésta fue ratificada en 1935 y actualizada en 1942.  En la actualidad se rige por la ley dictada en 1988.</w:t>
      </w:r>
    </w:p>
    <w:p w:rsidR="00000000" w:rsidRDefault="00000000">
      <w:pPr>
        <w:spacing w:after="240"/>
      </w:pPr>
      <w:r>
        <w:rPr>
          <w:szCs w:val="25"/>
          <w:lang w:val="es-ES_tradnl"/>
        </w:rPr>
        <w:t>161.</w:t>
      </w:r>
      <w:r>
        <w:rPr>
          <w:szCs w:val="25"/>
          <w:lang w:val="es-ES_tradnl"/>
        </w:rPr>
        <w:tab/>
        <w:t xml:space="preserve">La población protegida por el IESS comprende la afiliada y la pensionista.  La afiliada es la población asegurada, que está compuesta por población </w:t>
      </w:r>
      <w:proofErr w:type="spellStart"/>
      <w:r>
        <w:rPr>
          <w:szCs w:val="25"/>
          <w:lang w:val="es-ES_tradnl"/>
        </w:rPr>
        <w:t>cotizante</w:t>
      </w:r>
      <w:proofErr w:type="spellEnd"/>
      <w:r>
        <w:rPr>
          <w:szCs w:val="25"/>
          <w:lang w:val="es-ES_tradnl"/>
        </w:rPr>
        <w:t xml:space="preserve"> y no </w:t>
      </w:r>
      <w:proofErr w:type="spellStart"/>
      <w:r>
        <w:rPr>
          <w:szCs w:val="25"/>
          <w:lang w:val="es-ES_tradnl"/>
        </w:rPr>
        <w:t>cotizante</w:t>
      </w:r>
      <w:proofErr w:type="spellEnd"/>
      <w:r>
        <w:rPr>
          <w:szCs w:val="25"/>
          <w:lang w:val="es-ES_tradnl"/>
        </w:rPr>
        <w:t xml:space="preserve"> (miembros de la familia campesina).  La pensionista está conformada por los jubilados por vejez, invalidez, riesgos de trabajo, beneficiarios de pensiones de montepío (viudas y huérfanos).</w:t>
      </w:r>
    </w:p>
    <w:p w:rsidR="00000000" w:rsidRDefault="00000000">
      <w:pPr>
        <w:spacing w:after="240"/>
      </w:pPr>
      <w:r>
        <w:rPr>
          <w:szCs w:val="25"/>
          <w:lang w:val="es-ES_tradnl"/>
        </w:rPr>
        <w:t>162.</w:t>
      </w:r>
      <w:r>
        <w:rPr>
          <w:szCs w:val="25"/>
          <w:lang w:val="es-ES_tradnl"/>
        </w:rPr>
        <w:tab/>
        <w:t>En 1998 la población protegida por el IESS alcanzaba los 2.075.910 afiliados, de los cuales 1.097.716 corresponden al seguro general y 978.194 beneficiarios del seguro social campesino.  Representan el 17% de la población ecuatoriana y si sumamos los pensionistas la cobertura apenas alcanza al 19%.  En consecuencia, apenas un 19% de la población ecuatoriana está en la posibilidad de optar por los servicios de la institución, y lo que es más grave, la cobertura de las prestaciones del IESS es sólo para la persona que está afiliada y no es extensiva para sus hijos ni su cónyuge.  Así, solamente dos de cada diez ecuatorianos están protegidos por el seguro de enfermedad y maternidad.</w:t>
      </w:r>
    </w:p>
    <w:p w:rsidR="00000000" w:rsidRDefault="00000000">
      <w:pPr>
        <w:spacing w:after="240"/>
      </w:pPr>
      <w:r>
        <w:rPr>
          <w:szCs w:val="25"/>
          <w:lang w:val="es-ES_tradnl"/>
        </w:rPr>
        <w:t>163.</w:t>
      </w:r>
      <w:r>
        <w:rPr>
          <w:szCs w:val="25"/>
          <w:lang w:val="es-ES_tradnl"/>
        </w:rPr>
        <w:tab/>
        <w:t>Datos estadísticos del IESS revelan que en 1998 la mayoría de afiliados al Instituto, el 88,4%, está comprendida entre las edades de 44 a 54 años, mientras que los afiliados jóvenes de hasta 34 años de edad representan un 48,4% de la población afiliada.  El número de pensionistas crece a mayor ritmo que el número de trabajadores nuevos que se afilian al IESS, de modo que los recursos que se recaudarán por las contribuciones, en el corto plazo, no serán suficientes para financiar el pago de los beneficios que entrega el IESS.</w:t>
      </w:r>
    </w:p>
    <w:p w:rsidR="00000000" w:rsidRDefault="00000000">
      <w:pPr>
        <w:spacing w:after="240"/>
      </w:pPr>
      <w:r>
        <w:rPr>
          <w:szCs w:val="25"/>
          <w:lang w:val="es-ES_tradnl"/>
        </w:rPr>
        <w:t>164.</w:t>
      </w:r>
      <w:r>
        <w:rPr>
          <w:szCs w:val="25"/>
          <w:lang w:val="es-ES_tradnl"/>
        </w:rPr>
        <w:tab/>
        <w:t>El seguro social comprende el Régimen del Seguro Social Obligatorio y el Régimen Voluntario del Seguro.  Son sujetos de aseguramiento del Régimen del Seguro Social Obligatorio las siguientes personas:  las que prestan servicios o ejecutan una obra en virtud de un contrato de trabajo o por nombramiento, esto es, empleados privados, obreros y servidores públicos; los profesionales con título universitario o politécnico, en libre ejercicio profesional, que no trabajen en relación de dependencia; los notarios, registradores de la propiedad y registradores mercantiles; los miembros del clero secular; los artesanos, maestros de taller y artesanos autónomos, los operarios y aprendices de</w:t>
      </w:r>
      <w:r>
        <w:t xml:space="preserve"> </w:t>
      </w:r>
      <w:r>
        <w:rPr>
          <w:szCs w:val="25"/>
          <w:lang w:val="es-ES_tradnl"/>
        </w:rPr>
        <w:t>artesanía; los aprendices sujetos a contratos de aprendizaje, los trabajadores a prueba, los trabajadores ocasionales y temporales, los trabajadores a domicilio, los trabajadores de la construcción y demás personas señaladas en las leyes y decretos especiales; los artistas profesionales; los chóferes profesionales sin relación de dependencia miembros de alguna organización; los trabajadores autónomos independientes, miembros activos de asociaciones, sindicatos y, en general, de organizaciones gremiales afines a la actividad económica que realizan las personas que viven principalmente de su trabajo, sin relación de dependencia; los trabajadores agrícolas y voluntarios y los demás señalados en leyes y decretos especiales; los futbolistas profesionales.</w:t>
      </w:r>
    </w:p>
    <w:p w:rsidR="00000000" w:rsidRDefault="00000000">
      <w:pPr>
        <w:spacing w:after="240"/>
      </w:pPr>
      <w:r>
        <w:rPr>
          <w:szCs w:val="25"/>
          <w:lang w:val="es-ES_tradnl"/>
        </w:rPr>
        <w:t>165.</w:t>
      </w:r>
      <w:r>
        <w:rPr>
          <w:szCs w:val="25"/>
          <w:lang w:val="es-ES_tradnl"/>
        </w:rPr>
        <w:tab/>
        <w:t>El Código del Trabajo en el artículo 42, numeral 31, estipula las obligaciones que tienen los empleadores de "inscribir a sus trabajadores en el IESS desde el primer día de labores, dando aviso de entrada dentro de los primeros 15 días, y dar avisos de salida, de las modificaciones de sueldos y salarios, de los accidentes de trabajo y de las enfermedades profesionales, y cumplir con las demás obligaciones previstas en las leyes sobre seguridad social".</w:t>
      </w:r>
    </w:p>
    <w:p w:rsidR="00000000" w:rsidRDefault="00000000">
      <w:pPr>
        <w:spacing w:after="240"/>
      </w:pPr>
      <w:r>
        <w:rPr>
          <w:szCs w:val="25"/>
          <w:lang w:val="es-ES_tradnl"/>
        </w:rPr>
        <w:t>166.</w:t>
      </w:r>
      <w:r>
        <w:rPr>
          <w:szCs w:val="25"/>
          <w:lang w:val="es-ES_tradnl"/>
        </w:rPr>
        <w:tab/>
        <w:t>La afiliación al seguro es obligatoria solamente para los trabajadores en relación de dependencia y es poco atractiva para los trabajadores independientes.  Por tanto, sólo una pequeña parte de los trabajadores autónomos se encuentran afiliados al sistema de Seguridad Social.</w:t>
      </w:r>
    </w:p>
    <w:p w:rsidR="00000000" w:rsidRDefault="00000000">
      <w:pPr>
        <w:spacing w:after="240"/>
      </w:pPr>
      <w:r>
        <w:rPr>
          <w:szCs w:val="25"/>
          <w:lang w:val="es-ES_tradnl"/>
        </w:rPr>
        <w:t>167.</w:t>
      </w:r>
      <w:r>
        <w:rPr>
          <w:szCs w:val="25"/>
          <w:lang w:val="es-ES_tradnl"/>
        </w:rPr>
        <w:tab/>
        <w:t>El IESS está en la obligación de aceptar la afiliación voluntaria de toda persona mayor de edad que, no estando afiliada a régimen alguno del Seguro Social, manifieste su voluntad de acogerse al Régimen Voluntario del Seguro.  La aportación del afiliado voluntario es de 18,8% del ingreso establecido para su afiliación y tiene derecho a las prestaciones de los seguros de enfermedad, maternidad, invalidez, riesgos de trabajo y muerte, a los beneficiarios de fondo mortuorio, a las jubilaciones por invalidez, por vejez y la especial reducida si cumple con los requisitos exigidos por el IESS.</w:t>
      </w:r>
    </w:p>
    <w:p w:rsidR="00000000" w:rsidRDefault="00000000">
      <w:pPr>
        <w:spacing w:after="240"/>
      </w:pPr>
      <w:r>
        <w:rPr>
          <w:szCs w:val="25"/>
          <w:lang w:val="es-ES_tradnl"/>
        </w:rPr>
        <w:t>168.</w:t>
      </w:r>
      <w:r>
        <w:rPr>
          <w:szCs w:val="25"/>
          <w:lang w:val="es-ES_tradnl"/>
        </w:rPr>
        <w:tab/>
        <w:t>La nueva Constitución en el artículo 56 prevé el establecimiento del Sistema Nacional de Seguridad Social, que "se regirá por los principios de solidaridad, obligatoriedad, universalidad, equidad, eficiencia, subsidiaridad y suficiencia, para la atención de las necesidades individuales y colectivas, en procura del bien común".</w:t>
      </w:r>
    </w:p>
    <w:p w:rsidR="00000000" w:rsidRDefault="00000000">
      <w:pPr>
        <w:spacing w:after="240"/>
      </w:pPr>
      <w:r>
        <w:rPr>
          <w:szCs w:val="25"/>
          <w:lang w:val="es-ES_tradnl"/>
        </w:rPr>
        <w:t>169.</w:t>
      </w:r>
      <w:r>
        <w:rPr>
          <w:szCs w:val="25"/>
          <w:lang w:val="es-ES_tradnl"/>
        </w:rPr>
        <w:tab/>
        <w:t>El actual sistema de Seguridad Social mediante la prestación del seguro general obligatorio cubre las contingencias de enfermedad, maternidad, riesgos del trabajo, cesantía, vejez, invalidez, discapacidad y muerte.</w:t>
      </w:r>
    </w:p>
    <w:p w:rsidR="00000000" w:rsidRDefault="00000000">
      <w:pPr>
        <w:spacing w:after="240"/>
        <w:rPr>
          <w:i/>
          <w:iCs/>
          <w:szCs w:val="25"/>
          <w:lang w:val="es-ES_tradnl"/>
        </w:rPr>
      </w:pPr>
      <w:r>
        <w:rPr>
          <w:i/>
          <w:iCs/>
          <w:szCs w:val="25"/>
          <w:lang w:val="es-ES_tradnl"/>
        </w:rPr>
        <w:t>Prestación por enfermedad</w:t>
      </w:r>
    </w:p>
    <w:p w:rsidR="00000000" w:rsidRDefault="00000000">
      <w:pPr>
        <w:spacing w:after="240"/>
      </w:pPr>
      <w:r>
        <w:rPr>
          <w:szCs w:val="25"/>
          <w:lang w:val="es-ES_tradnl"/>
        </w:rPr>
        <w:t>170.</w:t>
      </w:r>
      <w:r>
        <w:rPr>
          <w:szCs w:val="25"/>
          <w:lang w:val="es-ES_tradnl"/>
        </w:rPr>
        <w:tab/>
        <w:t>Los afiliados al IESS pueden acceder al seguro de enfermedad común, que cubre las siguientes prestaciones:</w:t>
      </w:r>
    </w:p>
    <w:p w:rsidR="00000000" w:rsidRDefault="00000000">
      <w:pPr>
        <w:spacing w:after="240"/>
        <w:ind w:left="1134" w:hanging="567"/>
      </w:pPr>
      <w:r>
        <w:rPr>
          <w:szCs w:val="25"/>
          <w:lang w:val="es-ES_tradnl"/>
        </w:rPr>
        <w:t>a)</w:t>
      </w:r>
      <w:r>
        <w:rPr>
          <w:szCs w:val="25"/>
          <w:lang w:val="es-ES_tradnl"/>
        </w:rPr>
        <w:tab/>
        <w:t>Asistencia médica, quirúrgica, dental y farmacéutica; y</w:t>
      </w:r>
    </w:p>
    <w:p w:rsidR="00000000" w:rsidRDefault="00000000">
      <w:pPr>
        <w:spacing w:after="240"/>
        <w:ind w:left="1134" w:hanging="567"/>
      </w:pPr>
      <w:r>
        <w:rPr>
          <w:szCs w:val="25"/>
          <w:lang w:val="es-ES_tradnl"/>
        </w:rPr>
        <w:t>b)</w:t>
      </w:r>
      <w:r>
        <w:rPr>
          <w:szCs w:val="25"/>
          <w:lang w:val="es-ES_tradnl"/>
        </w:rPr>
        <w:tab/>
        <w:t>Subsidio en dinero cuando la enfermedad produce incapacidad para el trabajo.</w:t>
      </w:r>
    </w:p>
    <w:p w:rsidR="00000000" w:rsidRDefault="00000000">
      <w:pPr>
        <w:spacing w:after="240"/>
      </w:pPr>
      <w:r>
        <w:rPr>
          <w:szCs w:val="25"/>
          <w:lang w:val="es-ES_tradnl"/>
        </w:rPr>
        <w:t>171.</w:t>
      </w:r>
      <w:r>
        <w:rPr>
          <w:szCs w:val="25"/>
          <w:lang w:val="es-ES_tradnl"/>
        </w:rPr>
        <w:tab/>
        <w:t>Para adquirir este derecho el afiliado al IESS debe contar con seis meses de aportación y por lo menos dos de ellos en los seis meses anteriores al comienzo de la enfermedad.  Los jubilados por vejez o invalidez tienen derecho desde la iniciación del trámite de jubilación.  A los beneficiarios de pensiones de viudez originadas en el seguro de muerte y de riesgos de trabajo se les concederá las prestaciones del seguro de enfermedad, con excepción del de maternidad.</w:t>
      </w:r>
    </w:p>
    <w:p w:rsidR="00000000" w:rsidRDefault="00000000">
      <w:pPr>
        <w:spacing w:after="240"/>
      </w:pPr>
      <w:r>
        <w:rPr>
          <w:szCs w:val="25"/>
          <w:lang w:val="es-ES_tradnl"/>
        </w:rPr>
        <w:t>172.</w:t>
      </w:r>
      <w:r>
        <w:rPr>
          <w:szCs w:val="25"/>
          <w:lang w:val="es-ES_tradnl"/>
        </w:rPr>
        <w:tab/>
        <w:t>Cuando la enfermedad produce incapacidad para el trabajo, el afiliado debe cobrar el subsidio en dinero por enfermedad que se calcula de la siguiente forma:  los tres primeros días paga el empleador el 50% del sueldo o salario diario y el 100% de los aportes, a partir del cuarto día y por un tiempo de 26 semanas (6 meses) el afiliado cobrará en el IESS los siguientes montos:  los primeros 70 días de la incapacidad se paga el 75% de promedio del sueldo o salario diario de los últimos 90 días anteriores al mes en que se produce la incapacidad; por el resto del tiempo se paga el 66% de este promedio, hasta completar 6 meses.</w:t>
      </w:r>
    </w:p>
    <w:p w:rsidR="00000000" w:rsidRDefault="00000000">
      <w:pPr>
        <w:spacing w:after="240"/>
      </w:pPr>
      <w:r>
        <w:rPr>
          <w:szCs w:val="25"/>
          <w:lang w:val="es-ES_tradnl"/>
        </w:rPr>
        <w:t>173.</w:t>
      </w:r>
      <w:r>
        <w:rPr>
          <w:szCs w:val="25"/>
          <w:lang w:val="es-ES_tradnl"/>
        </w:rPr>
        <w:tab/>
        <w:t>A los servidores públicos se les concede el subsidio después de terminado el período de licencia con sueldo establecido en la Ley de servicio civil y carrera administrativa y hasta por seis meses, en cuyo tiempo se incluyen los días de licencia con sueldo por enfermedad.  Durante este período subsidiado el 100% de los aportes corre por cuenta del IESS.</w:t>
      </w:r>
    </w:p>
    <w:p w:rsidR="00000000" w:rsidRDefault="00000000">
      <w:pPr>
        <w:spacing w:after="240"/>
      </w:pPr>
      <w:r>
        <w:rPr>
          <w:szCs w:val="25"/>
          <w:lang w:val="es-ES_tradnl"/>
        </w:rPr>
        <w:t>174.</w:t>
      </w:r>
      <w:r>
        <w:rPr>
          <w:szCs w:val="25"/>
          <w:lang w:val="es-ES_tradnl"/>
        </w:rPr>
        <w:tab/>
        <w:t>Para financiar el pago del subsidio en dinero por enfermedad común desde el cuarto día de incapacidad, las instituciones estatales y las empresas privadas pagan al IESS mensualmente el 1% del aporte adicional sobre los sueldos o salarios de sus trabajadores.</w:t>
      </w:r>
    </w:p>
    <w:p w:rsidR="00000000" w:rsidRDefault="00000000">
      <w:pPr>
        <w:spacing w:after="240"/>
      </w:pPr>
      <w:r>
        <w:rPr>
          <w:szCs w:val="25"/>
          <w:lang w:val="es-ES_tradnl"/>
        </w:rPr>
        <w:t>175.</w:t>
      </w:r>
      <w:r>
        <w:rPr>
          <w:szCs w:val="25"/>
          <w:lang w:val="es-ES_tradnl"/>
        </w:rPr>
        <w:tab/>
        <w:t>Son beneficiarios de este subsidio los afiliados al seguro general, incluidos los trabajadores de la construcción, los trabajadores agrícolas, los miembros del clero secular, los trabajadores de la industria azucarera y los trabajadores de iglesias, los asegurados de los regímenes de afiliación voluntaria, de continuación voluntaria, de profesionales con título universitario o politécnico, artistas profesionales y trabajadores autónomos e independientes con la aportación adicional del 1%; y de trabajadores del servicio doméstico y agrícolas asalariados con la aportación patronal del 1%.</w:t>
      </w:r>
    </w:p>
    <w:p w:rsidR="00000000" w:rsidRDefault="00000000">
      <w:pPr>
        <w:spacing w:after="240"/>
      </w:pPr>
      <w:r>
        <w:rPr>
          <w:szCs w:val="25"/>
          <w:lang w:val="es-ES_tradnl"/>
        </w:rPr>
        <w:t>176.</w:t>
      </w:r>
      <w:r>
        <w:rPr>
          <w:szCs w:val="25"/>
          <w:lang w:val="es-ES_tradnl"/>
        </w:rPr>
        <w:tab/>
        <w:t>El seguro de maternidad concede a sus afiliadas durante el embarazo, parto y puerperio, las prestaciones obstétricas que se señalan a continuación:</w:t>
      </w:r>
    </w:p>
    <w:p w:rsidR="00000000" w:rsidRDefault="00000000">
      <w:pPr>
        <w:spacing w:after="240"/>
        <w:ind w:left="1134" w:hanging="567"/>
      </w:pPr>
      <w:r>
        <w:rPr>
          <w:szCs w:val="25"/>
          <w:lang w:val="es-ES_tradnl"/>
        </w:rPr>
        <w:t>a)</w:t>
      </w:r>
      <w:r>
        <w:rPr>
          <w:szCs w:val="25"/>
          <w:lang w:val="es-ES_tradnl"/>
        </w:rPr>
        <w:tab/>
        <w:t>Asistencia obstétrica que comprende atención prenatal, del parto y del puerperio;</w:t>
      </w:r>
    </w:p>
    <w:p w:rsidR="00000000" w:rsidRDefault="00000000">
      <w:pPr>
        <w:spacing w:after="240"/>
        <w:ind w:left="1134" w:hanging="567"/>
      </w:pPr>
      <w:r>
        <w:rPr>
          <w:szCs w:val="25"/>
          <w:lang w:val="es-ES_tradnl"/>
        </w:rPr>
        <w:t>b)</w:t>
      </w:r>
      <w:r>
        <w:rPr>
          <w:szCs w:val="25"/>
          <w:lang w:val="es-ES_tradnl"/>
        </w:rPr>
        <w:tab/>
        <w:t>Subsidio en dinero durante 12 semanas; 2 antes y 10 después del parto;</w:t>
      </w:r>
    </w:p>
    <w:p w:rsidR="00000000" w:rsidRDefault="00000000">
      <w:pPr>
        <w:spacing w:after="240"/>
        <w:ind w:left="1134" w:hanging="567"/>
      </w:pPr>
      <w:r>
        <w:rPr>
          <w:szCs w:val="25"/>
          <w:lang w:val="es-ES_tradnl"/>
        </w:rPr>
        <w:t>c)</w:t>
      </w:r>
      <w:r>
        <w:rPr>
          <w:szCs w:val="25"/>
          <w:lang w:val="es-ES_tradnl"/>
        </w:rPr>
        <w:tab/>
        <w:t>Atención pediátrica integral al hijo de la afiliada, durante el primer año de vida, con inclusión de la prestación farmacológica y hospitalización.</w:t>
      </w:r>
    </w:p>
    <w:p w:rsidR="00000000" w:rsidRDefault="00000000">
      <w:pPr>
        <w:spacing w:after="240"/>
      </w:pPr>
      <w:r>
        <w:rPr>
          <w:szCs w:val="25"/>
          <w:lang w:val="es-ES_tradnl"/>
        </w:rPr>
        <w:t>177.</w:t>
      </w:r>
      <w:r>
        <w:rPr>
          <w:szCs w:val="25"/>
          <w:lang w:val="es-ES_tradnl"/>
        </w:rPr>
        <w:tab/>
        <w:t>La atención obstétrica se otorgará a las afiliadas que acrediten seis imposiciones mensuales obligatorias en el año anterior al parto, a excepción de las afiliadas voluntarias, que deberán aportar un año antes para tener derecho a las prestaciones del seguro de enfermedad y maternidad.</w:t>
      </w:r>
    </w:p>
    <w:p w:rsidR="00000000" w:rsidRDefault="00000000">
      <w:pPr>
        <w:spacing w:after="240"/>
      </w:pPr>
      <w:r>
        <w:rPr>
          <w:szCs w:val="25"/>
          <w:lang w:val="es-ES_tradnl"/>
        </w:rPr>
        <w:t>178.</w:t>
      </w:r>
      <w:r>
        <w:rPr>
          <w:szCs w:val="25"/>
          <w:lang w:val="es-ES_tradnl"/>
        </w:rPr>
        <w:tab/>
        <w:t xml:space="preserve">El IESS entrega un subsidio en dinero por maternidad que corresponde a un período de dos semanas antes y diez después del parto, debiéndose comprobar con los certificados otorgados por un médico particular o por un facultativo del instituto el reposo prenatal y </w:t>
      </w:r>
      <w:proofErr w:type="spellStart"/>
      <w:r>
        <w:rPr>
          <w:szCs w:val="25"/>
          <w:lang w:val="es-ES_tradnl"/>
        </w:rPr>
        <w:t>posnatal</w:t>
      </w:r>
      <w:proofErr w:type="spellEnd"/>
      <w:r>
        <w:rPr>
          <w:szCs w:val="25"/>
          <w:lang w:val="es-ES_tradnl"/>
        </w:rPr>
        <w:t xml:space="preserve"> a que tienen derecho.  Este subsidio equivale al 75% de la última remuneración de la afiliada.</w:t>
      </w:r>
    </w:p>
    <w:p w:rsidR="00000000" w:rsidRDefault="00000000">
      <w:pPr>
        <w:spacing w:after="240"/>
      </w:pPr>
      <w:r>
        <w:rPr>
          <w:szCs w:val="25"/>
          <w:lang w:val="es-ES_tradnl"/>
        </w:rPr>
        <w:t>179.</w:t>
      </w:r>
      <w:r>
        <w:rPr>
          <w:szCs w:val="25"/>
          <w:lang w:val="es-ES_tradnl"/>
        </w:rPr>
        <w:tab/>
        <w:t>Respecto al Seguro de Riesgos del Trabajo, el IESS considera como accidente de trabajo un suceso imprevisto y repentino que ocasiona al trabajador lesiones corporales o perturbaciones funcionales, o la muerte inmediata o posterior con ocasión o como consecuencia del trabajo que ejecuta o por cuenta ajena.  Este seguro se financia con el 1,5% de los sueldos y salarios de los trabajadores pagados por el patrono público y privado o por el afiliado voluntario.</w:t>
      </w:r>
    </w:p>
    <w:p w:rsidR="00000000" w:rsidRDefault="00000000">
      <w:pPr>
        <w:spacing w:after="240"/>
      </w:pPr>
      <w:r>
        <w:rPr>
          <w:szCs w:val="25"/>
          <w:lang w:val="es-ES_tradnl"/>
        </w:rPr>
        <w:t>180.</w:t>
      </w:r>
      <w:r>
        <w:rPr>
          <w:szCs w:val="25"/>
          <w:lang w:val="es-ES_tradnl"/>
        </w:rPr>
        <w:tab/>
        <w:t>También se considera accidente de trabajo el que sufriere el asegurado al trasladarse directamente desde su domicilio o lugar de trabajo y viceversa.  En el caso del trabajador autónomo se considera accidente de trabajo el siniestro producido en las circunstancias del inciso anterior a excepción del requisito de la dependencia patronal.  Para los trabajadores sin relación de dependencia, las actividades protegidas por el Seguro de Riesgos de Trabajo serán calificadas por el IESS con anterioridad a la aceptación de la afiliación.  Este seguro cubre:</w:t>
      </w:r>
    </w:p>
    <w:p w:rsidR="00000000" w:rsidRDefault="00000000">
      <w:pPr>
        <w:keepNext/>
        <w:keepLines/>
        <w:spacing w:after="240"/>
        <w:ind w:left="1134" w:hanging="567"/>
      </w:pPr>
      <w:r>
        <w:rPr>
          <w:szCs w:val="25"/>
          <w:lang w:val="es-ES_tradnl"/>
        </w:rPr>
        <w:t>a)</w:t>
      </w:r>
      <w:r>
        <w:rPr>
          <w:szCs w:val="25"/>
          <w:lang w:val="es-ES_tradnl"/>
        </w:rPr>
        <w:tab/>
        <w:t>Los accidentes de trabajo;</w:t>
      </w:r>
    </w:p>
    <w:p w:rsidR="00000000" w:rsidRDefault="00000000">
      <w:pPr>
        <w:keepNext/>
        <w:keepLines/>
        <w:spacing w:after="240"/>
        <w:ind w:left="1134" w:hanging="567"/>
      </w:pPr>
      <w:r>
        <w:rPr>
          <w:szCs w:val="25"/>
          <w:lang w:val="es-ES_tradnl"/>
        </w:rPr>
        <w:t>b)</w:t>
      </w:r>
      <w:r>
        <w:rPr>
          <w:szCs w:val="25"/>
          <w:lang w:val="es-ES_tradnl"/>
        </w:rPr>
        <w:tab/>
        <w:t>Las enfermedades profesionales.</w:t>
      </w:r>
    </w:p>
    <w:p w:rsidR="00000000" w:rsidRDefault="00000000">
      <w:pPr>
        <w:keepNext/>
        <w:keepLines/>
        <w:spacing w:after="240"/>
      </w:pPr>
      <w:r>
        <w:rPr>
          <w:szCs w:val="25"/>
          <w:lang w:val="es-ES_tradnl"/>
        </w:rPr>
        <w:t>181.</w:t>
      </w:r>
      <w:r>
        <w:rPr>
          <w:szCs w:val="25"/>
          <w:lang w:val="es-ES_tradnl"/>
        </w:rPr>
        <w:tab/>
        <w:t>Las consecuencias del accidente del trabajo son:  incapacidad temporal; incapacidad parcial permanente; incapacidad permanente total para el trabajo habitual; incapacidad permanente y absoluta; y muerte.</w:t>
      </w:r>
    </w:p>
    <w:p w:rsidR="00000000" w:rsidRDefault="00000000">
      <w:pPr>
        <w:spacing w:after="240"/>
      </w:pPr>
      <w:r>
        <w:rPr>
          <w:szCs w:val="25"/>
          <w:lang w:val="es-ES_tradnl"/>
        </w:rPr>
        <w:t>182.</w:t>
      </w:r>
      <w:r>
        <w:rPr>
          <w:szCs w:val="25"/>
          <w:lang w:val="es-ES_tradnl"/>
        </w:rPr>
        <w:tab/>
        <w:t>Se consideran enfermedades profesionales las afecciones agudas o crónicas, causadas de una manera directa por el ejercicio de la profesión o trabajo que realiza el asegurado y que producen incapacidad.</w:t>
      </w:r>
    </w:p>
    <w:p w:rsidR="00000000" w:rsidRDefault="00000000">
      <w:pPr>
        <w:spacing w:after="240"/>
      </w:pPr>
      <w:r>
        <w:rPr>
          <w:szCs w:val="25"/>
          <w:lang w:val="es-ES_tradnl"/>
        </w:rPr>
        <w:t>183.</w:t>
      </w:r>
      <w:r>
        <w:rPr>
          <w:szCs w:val="25"/>
          <w:lang w:val="es-ES_tradnl"/>
        </w:rPr>
        <w:tab/>
        <w:t xml:space="preserve">El IESS está en la obligación de proteger la salud de los asegurados otorgando servicios médicos asistenciales necesarios y oportunos.  En los casos en que las unidades del Seguro Social no pueden brindar atención a sus pacientes, existe la compensación de gastos médicos que otorga a asegurados activos o pasivos y beneficiarios de montepío (viudas) que por una situación de emergencia </w:t>
      </w:r>
      <w:proofErr w:type="spellStart"/>
      <w:r>
        <w:rPr>
          <w:szCs w:val="25"/>
          <w:lang w:val="es-ES_tradnl"/>
        </w:rPr>
        <w:t>y/o</w:t>
      </w:r>
      <w:proofErr w:type="spellEnd"/>
      <w:r>
        <w:rPr>
          <w:szCs w:val="25"/>
          <w:lang w:val="es-ES_tradnl"/>
        </w:rPr>
        <w:t xml:space="preserve"> urgencia se vieron obligados a recurrir a la atención médica en unidades asistenciales ajenas al IESS.  Se consideran casos de emergencia </w:t>
      </w:r>
      <w:proofErr w:type="spellStart"/>
      <w:r>
        <w:rPr>
          <w:szCs w:val="25"/>
          <w:lang w:val="es-ES_tradnl"/>
        </w:rPr>
        <w:t>y/o</w:t>
      </w:r>
      <w:proofErr w:type="spellEnd"/>
      <w:r>
        <w:rPr>
          <w:szCs w:val="25"/>
          <w:lang w:val="es-ES_tradnl"/>
        </w:rPr>
        <w:t xml:space="preserve"> urgencia los estados patológicos de manifestación súbita </w:t>
      </w:r>
      <w:proofErr w:type="spellStart"/>
      <w:r>
        <w:rPr>
          <w:szCs w:val="25"/>
          <w:lang w:val="es-ES_tradnl"/>
        </w:rPr>
        <w:t>y/o</w:t>
      </w:r>
      <w:proofErr w:type="spellEnd"/>
      <w:r>
        <w:rPr>
          <w:szCs w:val="25"/>
          <w:lang w:val="es-ES_tradnl"/>
        </w:rPr>
        <w:t xml:space="preserve"> grave y los accidentes que requieran de atención médica inmediata, que al no ser otorgada puede poner en peligro la vida o dejar secuelas que afecten la integridad funcional u orgánica del asegurado.</w:t>
      </w:r>
    </w:p>
    <w:p w:rsidR="00000000" w:rsidRDefault="00000000">
      <w:pPr>
        <w:spacing w:after="240"/>
      </w:pPr>
      <w:r>
        <w:rPr>
          <w:szCs w:val="25"/>
          <w:lang w:val="es-ES_tradnl"/>
        </w:rPr>
        <w:t>184.</w:t>
      </w:r>
      <w:r>
        <w:rPr>
          <w:szCs w:val="25"/>
          <w:lang w:val="es-ES_tradnl"/>
        </w:rPr>
        <w:tab/>
        <w:t>La jubilación es un retiro voluntario del trabajo, luego de cumplir con el tiempo de aportación al Seguro Social y la edad para percibir una renta mensual en dinero.  Actualmente existe la jubilación por vejez, invalidez y especial reducida; cada una difiere estatutariamente de otra, ya sea en el monto, tiempo de aportes, edad y requisitos.</w:t>
      </w:r>
    </w:p>
    <w:p w:rsidR="00000000" w:rsidRDefault="00000000">
      <w:pPr>
        <w:spacing w:after="240"/>
      </w:pPr>
      <w:r>
        <w:rPr>
          <w:szCs w:val="25"/>
          <w:lang w:val="es-ES_tradnl"/>
        </w:rPr>
        <w:t>185.</w:t>
      </w:r>
      <w:r>
        <w:rPr>
          <w:szCs w:val="25"/>
          <w:lang w:val="es-ES_tradnl"/>
        </w:rPr>
        <w:tab/>
        <w:t>El seguro de cesantía es una modalidad de Cooperativa Obligada de Reparto, por haber cesado de su trabajo.  Esta prestación consiste en la entrega de una cantidad de dinero que está en relación directa con los tiempos de servicio y remuneraciones aportadas por el afiliado.</w:t>
      </w:r>
    </w:p>
    <w:p w:rsidR="00000000" w:rsidRDefault="00000000">
      <w:pPr>
        <w:spacing w:after="240"/>
      </w:pPr>
      <w:r>
        <w:rPr>
          <w:szCs w:val="25"/>
          <w:lang w:val="es-ES_tradnl"/>
        </w:rPr>
        <w:t>186.</w:t>
      </w:r>
      <w:r>
        <w:rPr>
          <w:szCs w:val="25"/>
          <w:lang w:val="es-ES_tradnl"/>
        </w:rPr>
        <w:tab/>
        <w:t>El Seguro de Sobrevivientes o de Viudez y Orfandad consiste en la concesión de pensiones mensuales (llamadas también montepío) a los deudos del afiliado o jubilado.  Las pensiones se pagan a partir de la fecha de muerte del asegurado (causante).</w:t>
      </w:r>
    </w:p>
    <w:p w:rsidR="00000000" w:rsidRDefault="00000000">
      <w:pPr>
        <w:spacing w:after="240"/>
      </w:pPr>
      <w:r>
        <w:rPr>
          <w:szCs w:val="25"/>
          <w:lang w:val="es-ES_tradnl"/>
        </w:rPr>
        <w:t>187.</w:t>
      </w:r>
      <w:r>
        <w:rPr>
          <w:szCs w:val="25"/>
          <w:lang w:val="es-ES_tradnl"/>
        </w:rPr>
        <w:tab/>
        <w:t>En el caso del Fondo Mortuorio, el IESS entrega una cantidad de dinero a los deudos de un jubilado o de un afiliado fallecido, constituyendo este un beneficio complementario del seguro de viudez y orfandad, con las características del seguro de vida.</w:t>
      </w:r>
    </w:p>
    <w:p w:rsidR="00000000" w:rsidRDefault="00000000">
      <w:pPr>
        <w:spacing w:after="240"/>
      </w:pPr>
      <w:r>
        <w:rPr>
          <w:i/>
          <w:iCs/>
          <w:szCs w:val="25"/>
          <w:lang w:val="es-ES_tradnl"/>
        </w:rPr>
        <w:t>Gestión de la Seguridad Social</w:t>
      </w:r>
    </w:p>
    <w:p w:rsidR="00000000" w:rsidRDefault="00000000">
      <w:pPr>
        <w:spacing w:after="240"/>
      </w:pPr>
      <w:r>
        <w:rPr>
          <w:szCs w:val="25"/>
          <w:lang w:val="es-ES_tradnl"/>
        </w:rPr>
        <w:t>188.</w:t>
      </w:r>
      <w:r>
        <w:rPr>
          <w:szCs w:val="25"/>
          <w:lang w:val="es-ES_tradnl"/>
        </w:rPr>
        <w:tab/>
        <w:t xml:space="preserve">La Constitución Política del Estado en su artículo 58 señala que "la prestación del seguro general obligatorio será responsabilidad del Instituto Ecuatoriano de Seguridad Social, entidad autónoma dirigida por un organismo técnico administrativo, integrado tripartita y </w:t>
      </w:r>
      <w:proofErr w:type="spellStart"/>
      <w:r>
        <w:rPr>
          <w:szCs w:val="25"/>
          <w:lang w:val="es-ES_tradnl"/>
        </w:rPr>
        <w:t>paritariamente</w:t>
      </w:r>
      <w:proofErr w:type="spellEnd"/>
      <w:r>
        <w:rPr>
          <w:szCs w:val="25"/>
          <w:lang w:val="es-ES_tradnl"/>
        </w:rPr>
        <w:t xml:space="preserve"> por representantes de asegurados, empleadores y Estado, quienes serán designados de acuerdo con la ley.  Su organización y gestión se regirán por los criterios de eficiencia, descentralización y desconcentración, y sus prestaciones serán oportunas, suficientes y de calidad.  Podrá crear y promover la formación de instituciones administradoras de recursos para fortalecer el sistema </w:t>
      </w:r>
      <w:proofErr w:type="spellStart"/>
      <w:r>
        <w:rPr>
          <w:szCs w:val="25"/>
          <w:lang w:val="es-ES_tradnl"/>
        </w:rPr>
        <w:t>previsional</w:t>
      </w:r>
      <w:proofErr w:type="spellEnd"/>
      <w:r>
        <w:rPr>
          <w:szCs w:val="25"/>
          <w:lang w:val="es-ES_tradnl"/>
        </w:rPr>
        <w:t xml:space="preserve"> y mejorar la atención de la salud de los afiliados y sus familias.  La fuerza pública podrá tener entidades de seguridad social".</w:t>
      </w:r>
    </w:p>
    <w:p w:rsidR="00000000" w:rsidRDefault="00000000">
      <w:pPr>
        <w:spacing w:after="240"/>
      </w:pPr>
      <w:r>
        <w:rPr>
          <w:szCs w:val="25"/>
          <w:lang w:val="es-ES_tradnl"/>
        </w:rPr>
        <w:t>189.</w:t>
      </w:r>
      <w:r>
        <w:rPr>
          <w:szCs w:val="25"/>
          <w:lang w:val="es-ES_tradnl"/>
        </w:rPr>
        <w:tab/>
        <w:t>Existen formas de jubilación y cesantía privadas a las que los trabajadores optan como forma adicional a la jubilación obligatoria.  Estos arreglos realizados en el plano estrictamente privado determinan la forma y condiciones de este tipo de seguros.</w:t>
      </w:r>
    </w:p>
    <w:p w:rsidR="00000000" w:rsidRDefault="00000000">
      <w:pPr>
        <w:spacing w:after="240"/>
      </w:pPr>
      <w:r>
        <w:rPr>
          <w:szCs w:val="25"/>
          <w:lang w:val="es-ES_tradnl"/>
        </w:rPr>
        <w:t>190.</w:t>
      </w:r>
      <w:r>
        <w:rPr>
          <w:szCs w:val="25"/>
          <w:lang w:val="es-ES_tradnl"/>
        </w:rPr>
        <w:tab/>
        <w:t>Por otra parte algunas instituciones, generalmente públicas, han logrado establecer mecanismos adicionales de jubilación mediante acuerdos realizados con sus trabajadores.  Este tipo de fondos se nutre con los aportes de las partes involucradas.</w:t>
      </w:r>
    </w:p>
    <w:p w:rsidR="00000000" w:rsidRDefault="00000000">
      <w:pPr>
        <w:spacing w:after="240"/>
        <w:rPr>
          <w:b/>
          <w:bCs/>
        </w:rPr>
      </w:pPr>
      <w:r>
        <w:rPr>
          <w:b/>
          <w:bCs/>
          <w:szCs w:val="25"/>
          <w:lang w:val="es-ES_tradnl"/>
        </w:rPr>
        <w:t>Reformas a la Seguridad Social</w:t>
      </w:r>
    </w:p>
    <w:p w:rsidR="00000000" w:rsidRDefault="00000000">
      <w:pPr>
        <w:spacing w:after="240"/>
      </w:pPr>
      <w:r>
        <w:rPr>
          <w:szCs w:val="25"/>
          <w:lang w:val="es-ES_tradnl"/>
        </w:rPr>
        <w:t>191.</w:t>
      </w:r>
      <w:r>
        <w:rPr>
          <w:szCs w:val="25"/>
          <w:lang w:val="es-ES_tradnl"/>
        </w:rPr>
        <w:tab/>
        <w:t>En diciembre de 1998, la Comisión Interventora encargada de iniciar el proceso de Reformas en el IESS envió al Congreso una propuesta del proyecto de Reformas a la Ley del seguro social obligatorio.  La propuesta de reforma se encuentra enmarcada en los principios establecidos en la Constitución de la República vigente a partir del 10 de agosto de 1998.</w:t>
      </w:r>
    </w:p>
    <w:p w:rsidR="00000000" w:rsidRDefault="00000000">
      <w:pPr>
        <w:spacing w:after="240"/>
      </w:pPr>
      <w:r>
        <w:rPr>
          <w:szCs w:val="25"/>
          <w:lang w:val="es-ES_tradnl"/>
        </w:rPr>
        <w:t>192.</w:t>
      </w:r>
      <w:r>
        <w:rPr>
          <w:szCs w:val="25"/>
          <w:lang w:val="es-ES_tradnl"/>
        </w:rPr>
        <w:tab/>
        <w:t>La propuesta de reforma está compuesta de dos pilares básicos:</w:t>
      </w:r>
    </w:p>
    <w:p w:rsidR="00000000" w:rsidRDefault="00000000">
      <w:pPr>
        <w:spacing w:after="240"/>
        <w:ind w:left="1134" w:hanging="567"/>
      </w:pPr>
      <w:r>
        <w:rPr>
          <w:szCs w:val="25"/>
          <w:lang w:val="es-ES_tradnl"/>
        </w:rPr>
        <w:t>a)</w:t>
      </w:r>
      <w:r>
        <w:rPr>
          <w:szCs w:val="25"/>
          <w:lang w:val="es-ES_tradnl"/>
        </w:rPr>
        <w:tab/>
        <w:t>Solidario:  funcionaría bajo los principios de un sistema de pagos con una pensión básica a todos los afiliados y lo administraría el actual IESS, pero reformado;</w:t>
      </w:r>
    </w:p>
    <w:p w:rsidR="00000000" w:rsidRDefault="00000000">
      <w:pPr>
        <w:spacing w:after="240"/>
        <w:ind w:left="1134" w:hanging="567"/>
      </w:pPr>
      <w:r>
        <w:rPr>
          <w:szCs w:val="25"/>
          <w:lang w:val="es-ES_tradnl"/>
        </w:rPr>
        <w:t>b)</w:t>
      </w:r>
      <w:r>
        <w:rPr>
          <w:szCs w:val="25"/>
          <w:lang w:val="es-ES_tradnl"/>
        </w:rPr>
        <w:tab/>
        <w:t xml:space="preserve">Capitalización de las cuentas individuales y su administración estaría a cargo de instituciones especializadas de este negocio, las Agencias de Ahorro </w:t>
      </w:r>
      <w:proofErr w:type="spellStart"/>
      <w:r>
        <w:rPr>
          <w:szCs w:val="25"/>
          <w:lang w:val="es-ES_tradnl"/>
        </w:rPr>
        <w:t>Previsional</w:t>
      </w:r>
      <w:proofErr w:type="spellEnd"/>
      <w:r>
        <w:rPr>
          <w:szCs w:val="25"/>
          <w:lang w:val="es-ES_tradnl"/>
        </w:rPr>
        <w:t xml:space="preserve"> (</w:t>
      </w:r>
      <w:proofErr w:type="spellStart"/>
      <w:r>
        <w:rPr>
          <w:szCs w:val="25"/>
          <w:lang w:val="es-ES_tradnl"/>
        </w:rPr>
        <w:t>ACAP</w:t>
      </w:r>
      <w:proofErr w:type="spellEnd"/>
      <w:r>
        <w:rPr>
          <w:szCs w:val="25"/>
          <w:lang w:val="es-ES_tradnl"/>
        </w:rPr>
        <w:t xml:space="preserve">), que serían de carácter privado, dejando abierta la posibilidad de que el actual IESS constituya también su propia </w:t>
      </w:r>
      <w:proofErr w:type="spellStart"/>
      <w:r>
        <w:rPr>
          <w:szCs w:val="25"/>
          <w:lang w:val="es-ES_tradnl"/>
        </w:rPr>
        <w:t>ACAP</w:t>
      </w:r>
      <w:proofErr w:type="spellEnd"/>
      <w:r>
        <w:rPr>
          <w:szCs w:val="25"/>
          <w:lang w:val="es-ES_tradnl"/>
        </w:rPr>
        <w:t>.</w:t>
      </w:r>
    </w:p>
    <w:p w:rsidR="00000000" w:rsidRDefault="00000000">
      <w:pPr>
        <w:spacing w:after="240"/>
      </w:pPr>
      <w:r>
        <w:rPr>
          <w:szCs w:val="25"/>
          <w:lang w:val="es-ES_tradnl"/>
        </w:rPr>
        <w:t>193.</w:t>
      </w:r>
      <w:r>
        <w:rPr>
          <w:szCs w:val="25"/>
          <w:lang w:val="es-ES_tradnl"/>
        </w:rPr>
        <w:tab/>
        <w:t>En la definición de los aportes se introduce el salario de cotización, que incluiría de forma inmediata tanto los sueldos adicionales (decimoquinto y decimosexto) y en forma progresiva la compensación por el costo de vida.</w:t>
      </w:r>
    </w:p>
    <w:p w:rsidR="00000000" w:rsidRDefault="00000000">
      <w:pPr>
        <w:spacing w:after="240"/>
      </w:pPr>
      <w:r>
        <w:rPr>
          <w:szCs w:val="25"/>
          <w:lang w:val="es-ES_tradnl"/>
        </w:rPr>
        <w:t>194.</w:t>
      </w:r>
      <w:r>
        <w:rPr>
          <w:szCs w:val="25"/>
          <w:lang w:val="es-ES_tradnl"/>
        </w:rPr>
        <w:tab/>
        <w:t>El proyecto de ley hace referencia a la transformación del régimen de pensiones en el que se opta por un esquema mixto en la administración, el financiamiento y los beneficios que éste presta al afiliado.</w:t>
      </w:r>
    </w:p>
    <w:p w:rsidR="00000000" w:rsidRDefault="00000000">
      <w:pPr>
        <w:spacing w:after="240"/>
      </w:pPr>
      <w:r>
        <w:rPr>
          <w:szCs w:val="25"/>
          <w:lang w:val="es-ES_tradnl"/>
        </w:rPr>
        <w:t>195.</w:t>
      </w:r>
      <w:r>
        <w:rPr>
          <w:szCs w:val="25"/>
          <w:lang w:val="es-ES_tradnl"/>
        </w:rPr>
        <w:tab/>
        <w:t>El proyecto combina dos modalidades de jubilación: "Solidaridad intergeneracional" y "Ahorro individual obligatorio":</w:t>
      </w:r>
    </w:p>
    <w:p w:rsidR="00000000" w:rsidRDefault="00000000">
      <w:pPr>
        <w:spacing w:after="240"/>
        <w:ind w:left="1134" w:hanging="567"/>
      </w:pPr>
      <w:r>
        <w:rPr>
          <w:szCs w:val="25"/>
          <w:lang w:val="es-ES_tradnl"/>
        </w:rPr>
        <w:t>a)</w:t>
      </w:r>
      <w:r>
        <w:rPr>
          <w:szCs w:val="25"/>
          <w:lang w:val="es-ES_tradnl"/>
        </w:rPr>
        <w:tab/>
        <w:t>Régimen de jubilación por solidaridad intergeneracional.  Prestaciones definidas financiadas por:  aportes de los trabajadores activos; aportes patronales; y asistencia financiera del Estado.</w:t>
      </w:r>
    </w:p>
    <w:p w:rsidR="00000000" w:rsidRDefault="00000000">
      <w:pPr>
        <w:spacing w:after="240"/>
        <w:ind w:left="1134" w:hanging="567"/>
      </w:pPr>
      <w:r>
        <w:rPr>
          <w:szCs w:val="25"/>
          <w:lang w:val="es-ES_tradnl"/>
        </w:rPr>
        <w:t>b)</w:t>
      </w:r>
      <w:r>
        <w:rPr>
          <w:szCs w:val="25"/>
          <w:lang w:val="es-ES_tradnl"/>
        </w:rPr>
        <w:tab/>
        <w:t>Régimen de jubilación por ahorro individual obligatorio.  Prestaciones financiadas por:  aportes del trabajador activo en una "Cuenta Personal" durante su vida laboral; y depósitos voluntarios del afiliado.</w:t>
      </w:r>
    </w:p>
    <w:p w:rsidR="00000000" w:rsidRDefault="00000000">
      <w:pPr>
        <w:keepNext/>
        <w:keepLines/>
        <w:spacing w:after="240"/>
      </w:pPr>
      <w:r>
        <w:rPr>
          <w:szCs w:val="25"/>
          <w:lang w:val="es-ES_tradnl"/>
        </w:rPr>
        <w:t>196.</w:t>
      </w:r>
      <w:r>
        <w:rPr>
          <w:szCs w:val="25"/>
          <w:lang w:val="es-ES_tradnl"/>
        </w:rPr>
        <w:tab/>
        <w:t>Las clases de jubilaciones son:</w:t>
      </w:r>
    </w:p>
    <w:p w:rsidR="00000000" w:rsidRDefault="00000000">
      <w:pPr>
        <w:keepNext/>
        <w:keepLines/>
        <w:spacing w:after="240"/>
        <w:ind w:left="1134" w:hanging="567"/>
      </w:pPr>
      <w:r>
        <w:rPr>
          <w:szCs w:val="25"/>
          <w:lang w:val="es-ES_tradnl"/>
        </w:rPr>
        <w:t>a)</w:t>
      </w:r>
      <w:r>
        <w:rPr>
          <w:szCs w:val="25"/>
          <w:lang w:val="es-ES_tradnl"/>
        </w:rPr>
        <w:tab/>
        <w:t>Jubilación ordinaria, que se aplicaría a partir del año 2000 cuando los afiliados hayan cumplido 60 años de edad y 30 de aportes o un mínimo de 40 años de aportes sin límite de edad.  A partir de la aprobación de la ley.</w:t>
      </w:r>
    </w:p>
    <w:p w:rsidR="00000000" w:rsidRDefault="00000000">
      <w:pPr>
        <w:spacing w:after="240"/>
        <w:ind w:left="1134" w:hanging="567"/>
      </w:pPr>
      <w:r>
        <w:rPr>
          <w:szCs w:val="25"/>
          <w:lang w:val="es-ES_tradnl"/>
        </w:rPr>
        <w:t>b)</w:t>
      </w:r>
      <w:r>
        <w:rPr>
          <w:szCs w:val="25"/>
          <w:lang w:val="es-ES_tradnl"/>
        </w:rPr>
        <w:tab/>
        <w:t>Jubilación por invalidez, que otorgaría las pensiones por invalidez en caso de incapacidad total o permanente.</w:t>
      </w:r>
    </w:p>
    <w:p w:rsidR="00000000" w:rsidRDefault="00000000">
      <w:pPr>
        <w:spacing w:after="240"/>
        <w:ind w:left="1134" w:hanging="567"/>
      </w:pPr>
      <w:r>
        <w:rPr>
          <w:szCs w:val="25"/>
          <w:lang w:val="es-ES_tradnl"/>
        </w:rPr>
        <w:t>c)</w:t>
      </w:r>
      <w:r>
        <w:rPr>
          <w:szCs w:val="25"/>
          <w:lang w:val="es-ES_tradnl"/>
        </w:rPr>
        <w:tab/>
        <w:t>Jubilación por edad avanzada, en la que el afiliado podría jubilarse cuando tenga 70 años de edad y registre 15 años de aportes por lo menos.  También podrá jubilarse el afiliado de 65 años de edad con 20 años de aportes y demuestre estar cesante 180 días consecutivos.</w:t>
      </w:r>
    </w:p>
    <w:p w:rsidR="00000000" w:rsidRDefault="00000000">
      <w:pPr>
        <w:spacing w:after="240"/>
      </w:pPr>
      <w:r>
        <w:rPr>
          <w:szCs w:val="25"/>
          <w:lang w:val="es-ES_tradnl"/>
        </w:rPr>
        <w:t>197.</w:t>
      </w:r>
      <w:r>
        <w:rPr>
          <w:szCs w:val="25"/>
          <w:lang w:val="es-ES_tradnl"/>
        </w:rPr>
        <w:tab/>
        <w:t>En el campo de la salud, "respetando los principios del sistema de seguridad social establecidos en la Constitución, la prestación de salud por un lado debe ser integral y, por otro, ser la misma tanto para los afiliados como los familiares u otros beneficiarios que se vayan incorporando.  En consecuencia, el objeto del Seguro General de Salud Individual y Familiar será proveer un bien social de forma solidaria y equitativa, cuidando que exista un equilibrio en su flujo de fondos económicos y no genere pérdidas como lo ha venido haciendo en el pasado"</w:t>
      </w:r>
      <w:r>
        <w:rPr>
          <w:rStyle w:val="FootnoteReference"/>
          <w:szCs w:val="25"/>
          <w:lang w:val="es-ES_tradnl"/>
        </w:rPr>
        <w:footnoteReference w:id="25"/>
      </w:r>
      <w:r>
        <w:rPr>
          <w:szCs w:val="25"/>
          <w:lang w:val="es-ES_tradnl"/>
        </w:rPr>
        <w:t>.</w:t>
      </w:r>
    </w:p>
    <w:p w:rsidR="00000000" w:rsidRDefault="00000000">
      <w:pPr>
        <w:spacing w:after="240"/>
      </w:pPr>
      <w:r>
        <w:rPr>
          <w:szCs w:val="25"/>
          <w:lang w:val="es-ES_tradnl"/>
        </w:rPr>
        <w:t>198.</w:t>
      </w:r>
      <w:r>
        <w:rPr>
          <w:szCs w:val="25"/>
          <w:lang w:val="es-ES_tradnl"/>
        </w:rPr>
        <w:tab/>
        <w:t xml:space="preserve">La propuesta propone que el paquete </w:t>
      </w:r>
      <w:proofErr w:type="spellStart"/>
      <w:r>
        <w:rPr>
          <w:szCs w:val="25"/>
          <w:lang w:val="es-ES_tradnl"/>
        </w:rPr>
        <w:t>prestacional</w:t>
      </w:r>
      <w:proofErr w:type="spellEnd"/>
      <w:r>
        <w:rPr>
          <w:szCs w:val="25"/>
          <w:lang w:val="es-ES_tradnl"/>
        </w:rPr>
        <w:t xml:space="preserve"> de salud será el que actualmente ofrece el IESS:  prevención, asistencia médica curativa y maternidad, tratamiento de enfermedades </w:t>
      </w:r>
      <w:proofErr w:type="spellStart"/>
      <w:r>
        <w:rPr>
          <w:szCs w:val="25"/>
          <w:lang w:val="es-ES_tradnl"/>
        </w:rPr>
        <w:t>cronicodegenerativas</w:t>
      </w:r>
      <w:proofErr w:type="spellEnd"/>
      <w:r>
        <w:rPr>
          <w:szCs w:val="25"/>
          <w:lang w:val="es-ES_tradnl"/>
        </w:rPr>
        <w:t>, atención odontológica preventiva y que la forma sea determinada en los protocolos que apruebe la administradora del seguro.</w:t>
      </w:r>
    </w:p>
    <w:p w:rsidR="00000000" w:rsidRDefault="00000000">
      <w:pPr>
        <w:spacing w:after="240"/>
      </w:pPr>
      <w:r>
        <w:rPr>
          <w:szCs w:val="25"/>
          <w:lang w:val="es-ES_tradnl"/>
        </w:rPr>
        <w:t>199.</w:t>
      </w:r>
      <w:r>
        <w:rPr>
          <w:szCs w:val="25"/>
          <w:lang w:val="es-ES_tradnl"/>
        </w:rPr>
        <w:tab/>
        <w:t>El principio de solidaridad se cumple en el hecho de que todos los afiliados expuestos al riesgo de enfermedad aportan para cubrir las prestaciones de los que efectivamente se enfermaron.  Son requisitos básicos para el funcionamiento de este nuevo modelo de gestión del seguro general de salud del IESS la separación de las funciones de aseguramiento y la compra y entrega de servicios.  La clara definición de funciones separadas permite la especialización de las distintas partes del negocio de salud y del propio IESS y hacer viable el logro de las metas o resultados que se propone un sistema de salud moderno.</w:t>
      </w:r>
    </w:p>
    <w:p w:rsidR="00000000" w:rsidRDefault="00000000">
      <w:pPr>
        <w:spacing w:after="240"/>
      </w:pPr>
      <w:r>
        <w:rPr>
          <w:szCs w:val="25"/>
          <w:lang w:val="es-ES_tradnl"/>
        </w:rPr>
        <w:t>200.</w:t>
      </w:r>
      <w:r>
        <w:rPr>
          <w:szCs w:val="25"/>
          <w:lang w:val="es-ES_tradnl"/>
        </w:rPr>
        <w:tab/>
        <w:t>El seguro social campesino al ser un régimen solidario y subsidiario seguirá funcionando bajo principios colectivos, con un sistema de financiamiento de reparto con apoyo fiscal, subsidios cruzados del resto de afiliados al seguro general obligatorio y contribuciones individuales de los propios afiliados.  Actualmente son beneficiarios de este seguro 996.896 afiliados.</w:t>
      </w:r>
    </w:p>
    <w:p w:rsidR="00000000" w:rsidRDefault="00000000">
      <w:pPr>
        <w:spacing w:after="240"/>
      </w:pPr>
      <w:r>
        <w:rPr>
          <w:szCs w:val="25"/>
          <w:lang w:val="es-ES_tradnl"/>
        </w:rPr>
        <w:t>201.</w:t>
      </w:r>
      <w:r>
        <w:rPr>
          <w:szCs w:val="25"/>
          <w:lang w:val="es-ES_tradnl"/>
        </w:rPr>
        <w:tab/>
        <w:t xml:space="preserve">De acuerdo con el artículo 6 de la Ley </w:t>
      </w:r>
      <w:proofErr w:type="spellStart"/>
      <w:r>
        <w:rPr>
          <w:szCs w:val="25"/>
          <w:lang w:val="es-ES_tradnl"/>
        </w:rPr>
        <w:t>Nº</w:t>
      </w:r>
      <w:proofErr w:type="spellEnd"/>
      <w:r>
        <w:rPr>
          <w:szCs w:val="25"/>
          <w:lang w:val="es-ES_tradnl"/>
        </w:rPr>
        <w:t xml:space="preserve"> 081, el seguro social campesino se financia con el 1% del salario mínimo vital vigente, prorrateado de la siguiente manera:  el 0,30% cubre el Estado; el 0,35% los empleadores y el 0,35% los trabajadores afiliados al IESS, además del aporte del 1% del salario mínimo vital por parte de los jefes de familia.</w:t>
      </w:r>
    </w:p>
    <w:p w:rsidR="00000000" w:rsidRDefault="00000000">
      <w:pPr>
        <w:spacing w:after="240"/>
      </w:pPr>
      <w:r>
        <w:rPr>
          <w:szCs w:val="25"/>
          <w:lang w:val="es-ES_tradnl"/>
        </w:rPr>
        <w:t>202.</w:t>
      </w:r>
      <w:r>
        <w:rPr>
          <w:szCs w:val="25"/>
          <w:lang w:val="es-ES_tradnl"/>
        </w:rPr>
        <w:tab/>
        <w:t>Este régimen especial protege a todos los miembros de las familias pertenecientes a comunas, cooperativas, asociaciones, comités o cualesquiera otras formas similares de organización popular campesina y a las familias que, sin pertenecer a ninguna forma de organización popular, manifiesten voluntad de afiliarse al seguro campesino.  También permite la afiliación voluntaria.</w:t>
      </w:r>
    </w:p>
    <w:p w:rsidR="00000000" w:rsidRDefault="00000000">
      <w:pPr>
        <w:spacing w:after="240"/>
      </w:pPr>
      <w:r>
        <w:rPr>
          <w:szCs w:val="25"/>
          <w:lang w:val="es-ES_tradnl"/>
        </w:rPr>
        <w:t>203.</w:t>
      </w:r>
      <w:r>
        <w:rPr>
          <w:szCs w:val="25"/>
          <w:lang w:val="es-ES_tradnl"/>
        </w:rPr>
        <w:tab/>
        <w:t>El seguro social campesino otorga a todos los miembros de la familia afiliada las siguientes prestaciones:</w:t>
      </w:r>
    </w:p>
    <w:p w:rsidR="00000000" w:rsidRDefault="00000000">
      <w:pPr>
        <w:spacing w:after="240"/>
        <w:ind w:left="1134" w:hanging="567"/>
      </w:pPr>
      <w:r>
        <w:rPr>
          <w:szCs w:val="25"/>
          <w:lang w:val="es-ES_tradnl"/>
        </w:rPr>
        <w:t>a)</w:t>
      </w:r>
      <w:r>
        <w:rPr>
          <w:szCs w:val="25"/>
          <w:lang w:val="es-ES_tradnl"/>
        </w:rPr>
        <w:tab/>
        <w:t>Enfermedad:</w:t>
      </w:r>
    </w:p>
    <w:p w:rsidR="00000000" w:rsidRDefault="00000000">
      <w:pPr>
        <w:spacing w:after="240"/>
        <w:ind w:left="1491" w:hanging="357"/>
      </w:pPr>
      <w:r>
        <w:rPr>
          <w:szCs w:val="25"/>
          <w:lang w:val="es-ES_tradnl"/>
        </w:rPr>
        <w:t>-</w:t>
      </w:r>
      <w:r>
        <w:rPr>
          <w:szCs w:val="25"/>
          <w:lang w:val="es-ES_tradnl"/>
        </w:rPr>
        <w:tab/>
        <w:t>asistencia médica y farmacéutica;</w:t>
      </w:r>
    </w:p>
    <w:p w:rsidR="00000000" w:rsidRDefault="00000000">
      <w:pPr>
        <w:spacing w:after="240"/>
        <w:ind w:left="1491" w:hanging="357"/>
      </w:pPr>
      <w:r>
        <w:rPr>
          <w:szCs w:val="25"/>
          <w:lang w:val="es-ES_tradnl"/>
        </w:rPr>
        <w:t>-</w:t>
      </w:r>
      <w:r>
        <w:rPr>
          <w:szCs w:val="25"/>
          <w:lang w:val="es-ES_tradnl"/>
        </w:rPr>
        <w:tab/>
        <w:t>asistencia quirúrgica;</w:t>
      </w:r>
    </w:p>
    <w:p w:rsidR="00000000" w:rsidRDefault="00000000">
      <w:pPr>
        <w:spacing w:after="240"/>
        <w:ind w:left="1491" w:hanging="357"/>
        <w:rPr>
          <w:szCs w:val="25"/>
          <w:lang w:val="es-ES_tradnl"/>
        </w:rPr>
      </w:pPr>
      <w:r>
        <w:rPr>
          <w:szCs w:val="25"/>
          <w:lang w:val="es-ES_tradnl"/>
        </w:rPr>
        <w:t>-</w:t>
      </w:r>
      <w:r>
        <w:rPr>
          <w:szCs w:val="25"/>
          <w:lang w:val="es-ES_tradnl"/>
        </w:rPr>
        <w:tab/>
        <w:t>hospitalización;</w:t>
      </w:r>
    </w:p>
    <w:p w:rsidR="00000000" w:rsidRDefault="00000000">
      <w:pPr>
        <w:spacing w:after="240"/>
        <w:ind w:left="1134" w:hanging="567"/>
      </w:pPr>
      <w:r>
        <w:rPr>
          <w:szCs w:val="25"/>
          <w:lang w:val="es-ES_tradnl"/>
        </w:rPr>
        <w:t>b)</w:t>
      </w:r>
      <w:r>
        <w:rPr>
          <w:szCs w:val="25"/>
          <w:lang w:val="es-ES_tradnl"/>
        </w:rPr>
        <w:tab/>
        <w:t>Maternidad:</w:t>
      </w:r>
    </w:p>
    <w:p w:rsidR="00000000" w:rsidRDefault="00000000">
      <w:pPr>
        <w:spacing w:after="240"/>
        <w:ind w:left="1491" w:hanging="357"/>
      </w:pPr>
      <w:r>
        <w:rPr>
          <w:szCs w:val="25"/>
          <w:lang w:val="es-ES_tradnl"/>
        </w:rPr>
        <w:t>-</w:t>
      </w:r>
      <w:r>
        <w:rPr>
          <w:szCs w:val="25"/>
          <w:lang w:val="es-ES_tradnl"/>
        </w:rPr>
        <w:tab/>
        <w:t>asistencia obstétrica, que comprende atención prenatal, parto y puerperio;</w:t>
      </w:r>
    </w:p>
    <w:p w:rsidR="00000000" w:rsidRDefault="00000000">
      <w:pPr>
        <w:spacing w:after="240"/>
        <w:ind w:left="1491" w:hanging="357"/>
        <w:rPr>
          <w:szCs w:val="25"/>
          <w:lang w:val="es-ES_tradnl"/>
        </w:rPr>
      </w:pPr>
      <w:r>
        <w:rPr>
          <w:szCs w:val="25"/>
          <w:lang w:val="es-ES_tradnl"/>
        </w:rPr>
        <w:t>-</w:t>
      </w:r>
      <w:r>
        <w:rPr>
          <w:szCs w:val="25"/>
          <w:lang w:val="es-ES_tradnl"/>
        </w:rPr>
        <w:tab/>
        <w:t>atención médica al niño de la afiliada durante el primer año de vida;</w:t>
      </w:r>
    </w:p>
    <w:p w:rsidR="00000000" w:rsidRDefault="00000000">
      <w:pPr>
        <w:spacing w:after="240"/>
        <w:ind w:left="1134" w:hanging="567"/>
      </w:pPr>
      <w:r>
        <w:rPr>
          <w:szCs w:val="25"/>
          <w:lang w:val="es-ES_tradnl"/>
        </w:rPr>
        <w:t>c)</w:t>
      </w:r>
      <w:r>
        <w:rPr>
          <w:szCs w:val="25"/>
          <w:lang w:val="es-ES_tradnl"/>
        </w:rPr>
        <w:tab/>
        <w:t>Asistencia odontológica:</w:t>
      </w:r>
    </w:p>
    <w:p w:rsidR="00000000" w:rsidRDefault="00000000">
      <w:pPr>
        <w:spacing w:after="240"/>
        <w:ind w:left="1491" w:hanging="357"/>
      </w:pPr>
      <w:r>
        <w:rPr>
          <w:szCs w:val="25"/>
          <w:lang w:val="es-ES_tradnl"/>
        </w:rPr>
        <w:t>-</w:t>
      </w:r>
      <w:r>
        <w:rPr>
          <w:szCs w:val="25"/>
          <w:lang w:val="es-ES_tradnl"/>
        </w:rPr>
        <w:tab/>
        <w:t>examen bucal;</w:t>
      </w:r>
    </w:p>
    <w:p w:rsidR="00000000" w:rsidRDefault="00000000">
      <w:pPr>
        <w:spacing w:after="240"/>
        <w:ind w:left="1491" w:hanging="357"/>
      </w:pPr>
      <w:r>
        <w:rPr>
          <w:szCs w:val="25"/>
          <w:lang w:val="es-ES_tradnl"/>
        </w:rPr>
        <w:t>-</w:t>
      </w:r>
      <w:r>
        <w:rPr>
          <w:szCs w:val="25"/>
          <w:lang w:val="es-ES_tradnl"/>
        </w:rPr>
        <w:tab/>
        <w:t>profilaxis;</w:t>
      </w:r>
    </w:p>
    <w:p w:rsidR="00000000" w:rsidRDefault="00000000">
      <w:pPr>
        <w:spacing w:after="240"/>
        <w:ind w:left="1491" w:hanging="357"/>
      </w:pPr>
      <w:r>
        <w:rPr>
          <w:szCs w:val="25"/>
          <w:lang w:val="es-ES_tradnl"/>
        </w:rPr>
        <w:t>-</w:t>
      </w:r>
      <w:r>
        <w:rPr>
          <w:szCs w:val="25"/>
          <w:lang w:val="es-ES_tradnl"/>
        </w:rPr>
        <w:tab/>
      </w:r>
      <w:proofErr w:type="spellStart"/>
      <w:r>
        <w:rPr>
          <w:szCs w:val="25"/>
          <w:lang w:val="es-ES_tradnl"/>
        </w:rPr>
        <w:t>exodoncia</w:t>
      </w:r>
      <w:proofErr w:type="spellEnd"/>
      <w:r>
        <w:rPr>
          <w:szCs w:val="25"/>
          <w:lang w:val="es-ES_tradnl"/>
        </w:rPr>
        <w:t>;</w:t>
      </w:r>
    </w:p>
    <w:p w:rsidR="00000000" w:rsidRDefault="00000000">
      <w:pPr>
        <w:spacing w:after="240"/>
        <w:ind w:left="1491" w:hanging="357"/>
      </w:pPr>
      <w:r>
        <w:rPr>
          <w:szCs w:val="25"/>
          <w:lang w:val="es-ES_tradnl"/>
        </w:rPr>
        <w:t>-</w:t>
      </w:r>
      <w:r>
        <w:rPr>
          <w:szCs w:val="25"/>
          <w:lang w:val="es-ES_tradnl"/>
        </w:rPr>
        <w:tab/>
        <w:t>operación dental.</w:t>
      </w:r>
    </w:p>
    <w:p w:rsidR="00000000" w:rsidRDefault="00000000">
      <w:pPr>
        <w:spacing w:after="240"/>
      </w:pPr>
      <w:r>
        <w:rPr>
          <w:szCs w:val="25"/>
          <w:lang w:val="es-ES_tradnl"/>
        </w:rPr>
        <w:t>204.</w:t>
      </w:r>
      <w:r>
        <w:rPr>
          <w:szCs w:val="25"/>
          <w:lang w:val="es-ES_tradnl"/>
        </w:rPr>
        <w:tab/>
        <w:t>Sujeto de afiliación:  son sujetos de afiliación al seguro social campesino las personas que viven y trabajan en el campo, y que habiendo manifestado su voluntad de afiliarse no se encuentren o estén en capacidad legal de pertenecer a otro seguro o se haya constituido en patrono en forma permanente.</w:t>
      </w:r>
    </w:p>
    <w:p w:rsidR="00000000" w:rsidRDefault="00000000">
      <w:pPr>
        <w:spacing w:after="240"/>
      </w:pPr>
      <w:r>
        <w:rPr>
          <w:szCs w:val="25"/>
          <w:lang w:val="es-ES_tradnl"/>
        </w:rPr>
        <w:t>205.</w:t>
      </w:r>
      <w:r>
        <w:rPr>
          <w:szCs w:val="25"/>
          <w:lang w:val="es-ES_tradnl"/>
        </w:rPr>
        <w:tab/>
        <w:t xml:space="preserve">Campo:  es el área rural, de acuerdo con lo establecido en la Ley de división política administrativa de la República del Ecuador vigente, ubicada fuera de las cabeceras cantonal y parroquial.  </w:t>
      </w:r>
      <w:proofErr w:type="spellStart"/>
      <w:r>
        <w:rPr>
          <w:szCs w:val="25"/>
          <w:lang w:val="es-ES_tradnl"/>
        </w:rPr>
        <w:t>Inclúyense</w:t>
      </w:r>
      <w:proofErr w:type="spellEnd"/>
      <w:r>
        <w:rPr>
          <w:szCs w:val="25"/>
          <w:lang w:val="es-ES_tradnl"/>
        </w:rPr>
        <w:t xml:space="preserve"> las cabeceras parroquiales cuando el mayor porcentaje de su población tenga como actividad principal del sector primario de producción.</w:t>
      </w:r>
    </w:p>
    <w:p w:rsidR="00000000" w:rsidRDefault="00000000">
      <w:pPr>
        <w:spacing w:after="240"/>
      </w:pPr>
      <w:r>
        <w:rPr>
          <w:szCs w:val="25"/>
          <w:lang w:val="es-ES_tradnl"/>
        </w:rPr>
        <w:t>206.</w:t>
      </w:r>
      <w:r>
        <w:rPr>
          <w:szCs w:val="25"/>
          <w:lang w:val="es-ES_tradnl"/>
        </w:rPr>
        <w:tab/>
        <w:t>Familia campesina:  es el grupo de personas unidas por lazos de consaguinidad o afinidad y las personas allegadas que, sin tener vínculo de parentesco, sean consideradas como tales y dependan de la misma autoridad y renta.</w:t>
      </w:r>
    </w:p>
    <w:p w:rsidR="00000000" w:rsidRDefault="00000000">
      <w:pPr>
        <w:keepNext/>
        <w:keepLines/>
        <w:spacing w:after="240"/>
      </w:pPr>
      <w:r>
        <w:rPr>
          <w:szCs w:val="25"/>
          <w:lang w:val="es-ES_tradnl"/>
        </w:rPr>
        <w:t>207.</w:t>
      </w:r>
      <w:r>
        <w:rPr>
          <w:szCs w:val="25"/>
          <w:lang w:val="es-ES_tradnl"/>
        </w:rPr>
        <w:tab/>
        <w:t>Jefe de familia afiliado:  es la persona que esté a cargo del sustento familiar y sea reconocida como autoridad por el resto del grupo, cuya actividad principal se encuentre dentro del sector primario de producción o de los sectores secundario o terciario de su comunidad campesina.</w:t>
      </w:r>
    </w:p>
    <w:p w:rsidR="00000000" w:rsidRDefault="00000000">
      <w:pPr>
        <w:spacing w:after="240"/>
      </w:pPr>
      <w:r>
        <w:rPr>
          <w:szCs w:val="25"/>
          <w:lang w:val="es-ES_tradnl"/>
        </w:rPr>
        <w:t>208.</w:t>
      </w:r>
      <w:r>
        <w:rPr>
          <w:szCs w:val="25"/>
          <w:lang w:val="es-ES_tradnl"/>
        </w:rPr>
        <w:tab/>
        <w:t>Reforma en el seguro de riesgos de trabajo:  el seguro general obligatorio cubre las contingencias que se producen en caso de accidente de trabajo o de enfermedad profesional y concede prestaciones como prevención, servicio médico, subsidio por incapacidad, indemnización, pensión de invalidez y pensión de montepío.  De esta definición se derivan tres tipos de productos que concede el seguro de riesgos de trabajo, a saber, la prevención, las prestaciones de salud incluido el subsidio y las prestaciones en dinero.</w:t>
      </w:r>
    </w:p>
    <w:p w:rsidR="00000000" w:rsidRDefault="00000000">
      <w:pPr>
        <w:spacing w:after="240"/>
      </w:pPr>
      <w:r>
        <w:rPr>
          <w:szCs w:val="25"/>
          <w:lang w:val="es-ES_tradnl"/>
        </w:rPr>
        <w:t>209.</w:t>
      </w:r>
      <w:r>
        <w:rPr>
          <w:szCs w:val="25"/>
          <w:lang w:val="es-ES_tradnl"/>
        </w:rPr>
        <w:tab/>
        <w:t>Cada uno de estos productos tiene distintos prestadores especializados.  Las prestaciones de salud se conceden en las unidades médicas del IESS, las prestaciones en dinero en las áreas de pensiones y la prevención se la realiza en la unidad de riesgos de trabajo.  Considerando que la administración de este seguro ha estado dedicada eminentemente a prevención, los estudios recomiendan que debería existir una unidad de negocio que con los mismos principios de los otros seguros se encargue del aseguramiento, la compra de servicios médicos y la entrega de las prestaciones monetarias a través de la compra de pólizas de seguro en el mercado, que proteja accidentes y enfermedades profesionales y que provea de beneficios como rentas por invalidez parcial y total y de montepío.</w:t>
      </w:r>
    </w:p>
    <w:p w:rsidR="00000000" w:rsidRDefault="00000000">
      <w:pPr>
        <w:spacing w:after="240"/>
        <w:rPr>
          <w:b/>
          <w:bCs/>
          <w:szCs w:val="2"/>
        </w:rPr>
      </w:pPr>
      <w:r>
        <w:rPr>
          <w:b/>
          <w:bCs/>
          <w:lang w:val="es-ES_tradnl"/>
        </w:rPr>
        <w:t>Artículo 10</w:t>
      </w:r>
    </w:p>
    <w:p w:rsidR="00000000" w:rsidRDefault="00000000">
      <w:pPr>
        <w:spacing w:after="240"/>
        <w:rPr>
          <w:b/>
          <w:bCs/>
        </w:rPr>
      </w:pPr>
      <w:r>
        <w:rPr>
          <w:b/>
          <w:bCs/>
          <w:szCs w:val="26"/>
          <w:lang w:val="es-ES_tradnl"/>
        </w:rPr>
        <w:t>Protección a la familia</w:t>
      </w:r>
    </w:p>
    <w:p w:rsidR="00000000" w:rsidRDefault="00000000">
      <w:pPr>
        <w:spacing w:after="240"/>
      </w:pPr>
      <w:r>
        <w:rPr>
          <w:szCs w:val="25"/>
          <w:lang w:val="es-ES_tradnl"/>
        </w:rPr>
        <w:t>210.</w:t>
      </w:r>
      <w:r>
        <w:rPr>
          <w:szCs w:val="25"/>
          <w:lang w:val="es-ES_tradnl"/>
        </w:rPr>
        <w:tab/>
        <w:t>Uno de los logros alcanzados por la Asamblea Constituyente en 1998 fue el de impulsar que el nuevo texto constitucional reconozca la ciudadanía de los niños, niñas y adolescentes fundamentados en el artículo 6:  "Todos los ecuatorianos son ciudadanos y, como tales, gozan de los derechos establecidos en esta Constitución, que se ejercerán en los casos y con los requisitos que determine la ley".</w:t>
      </w:r>
    </w:p>
    <w:p w:rsidR="00000000" w:rsidRDefault="00000000">
      <w:pPr>
        <w:spacing w:after="240"/>
      </w:pPr>
      <w:r>
        <w:rPr>
          <w:szCs w:val="25"/>
        </w:rPr>
        <w:t>211.</w:t>
      </w:r>
      <w:r>
        <w:rPr>
          <w:szCs w:val="25"/>
        </w:rPr>
        <w:tab/>
      </w:r>
      <w:r>
        <w:rPr>
          <w:szCs w:val="25"/>
          <w:lang w:val="es-ES_tradnl"/>
        </w:rPr>
        <w:t xml:space="preserve">De este modo se garantiza el principio de igualdad ante la ley.  Todas las personas serán consideradas iguales y gozarán de los mismos derechos, libertades y oportunidades, sin discriminación en razón de nacimiento, edad, sexo, etnia, color, y propone un marco jurídico e institucional que se sustenta en la Doctrina de la Protección Integral, </w:t>
      </w:r>
      <w:proofErr w:type="spellStart"/>
      <w:r>
        <w:rPr>
          <w:szCs w:val="25"/>
          <w:lang w:val="es-ES_tradnl"/>
        </w:rPr>
        <w:t>conceptualizando</w:t>
      </w:r>
      <w:proofErr w:type="spellEnd"/>
      <w:r>
        <w:rPr>
          <w:szCs w:val="25"/>
          <w:lang w:val="es-ES_tradnl"/>
        </w:rPr>
        <w:t xml:space="preserve"> a todos los niños, niñas y adolescentes como sujetos de derechos y tiende a superar las deficiencias del actual Código de Menores inspirado en la vieja doctrina </w:t>
      </w:r>
      <w:proofErr w:type="spellStart"/>
      <w:r>
        <w:rPr>
          <w:szCs w:val="25"/>
          <w:lang w:val="es-ES_tradnl"/>
        </w:rPr>
        <w:t>asistencialista</w:t>
      </w:r>
      <w:proofErr w:type="spellEnd"/>
      <w:r>
        <w:rPr>
          <w:szCs w:val="25"/>
          <w:lang w:val="es-ES_tradnl"/>
        </w:rPr>
        <w:t xml:space="preserve"> de la situación irregular, que mira a los niños como objetos de tutela por parte del Estado, dando prioridad en su acción a ciertos grupos de menores con problemas (menores abandonados, pobres, infractores, de conducta antisocial).</w:t>
      </w:r>
    </w:p>
    <w:p w:rsidR="00000000" w:rsidRDefault="00000000">
      <w:pPr>
        <w:spacing w:after="240"/>
      </w:pPr>
      <w:r>
        <w:rPr>
          <w:szCs w:val="25"/>
          <w:lang w:val="es-ES_tradnl"/>
        </w:rPr>
        <w:t>212.</w:t>
      </w:r>
      <w:r>
        <w:rPr>
          <w:szCs w:val="25"/>
          <w:lang w:val="es-ES_tradnl"/>
        </w:rPr>
        <w:tab/>
        <w:t>La Asamblea Constituyente reformó la Constitución Política del Estado, que consolida los derechos y la protección jurídica de la mujer, de los menores y de la familia.  Así, el nuevo cuerpo legal establece los derechos y garantías de la familia.  El artículo 37 señala:  "El Estado reconocerá y protegerá a la familia como célula fundamental de la sociedad y garantizará las condiciones que favorezcan integralmente la consecución de sus fines".</w:t>
      </w:r>
    </w:p>
    <w:p w:rsidR="00000000" w:rsidRDefault="00000000">
      <w:pPr>
        <w:spacing w:after="240"/>
        <w:rPr>
          <w:i/>
          <w:iCs/>
        </w:rPr>
      </w:pPr>
      <w:r>
        <w:rPr>
          <w:i/>
          <w:iCs/>
          <w:szCs w:val="25"/>
          <w:lang w:val="es-ES_tradnl"/>
        </w:rPr>
        <w:t>El concepto de "familia"</w:t>
      </w:r>
    </w:p>
    <w:p w:rsidR="00000000" w:rsidRDefault="00000000">
      <w:pPr>
        <w:spacing w:after="240"/>
      </w:pPr>
      <w:r>
        <w:rPr>
          <w:szCs w:val="25"/>
          <w:lang w:val="es-ES_tradnl"/>
        </w:rPr>
        <w:t>213.</w:t>
      </w:r>
      <w:r>
        <w:rPr>
          <w:szCs w:val="25"/>
          <w:lang w:val="es-ES_tradnl"/>
        </w:rPr>
        <w:tab/>
        <w:t>"El Estado reconocerá y protegerá a la familia como célula fundamental de la sociedad y garantizará las condiciones que favorezcan integralmente la consecución de sus fines.  Ésta se constituirá por vínculos jurídicos o de hecho y se basará en la igualdad de derechos y oportunidades de sus integrantes</w:t>
      </w:r>
      <w:r>
        <w:rPr>
          <w:rStyle w:val="FootnoteReference"/>
          <w:szCs w:val="25"/>
          <w:lang w:val="es-ES_tradnl"/>
        </w:rPr>
        <w:footnoteReference w:id="26"/>
      </w:r>
      <w:r>
        <w:rPr>
          <w:szCs w:val="25"/>
          <w:lang w:val="es-ES_tradnl"/>
        </w:rPr>
        <w:t>."</w:t>
      </w:r>
    </w:p>
    <w:p w:rsidR="00000000" w:rsidRDefault="00000000">
      <w:pPr>
        <w:spacing w:after="240"/>
      </w:pPr>
      <w:r>
        <w:rPr>
          <w:szCs w:val="25"/>
          <w:lang w:val="es-ES_tradnl"/>
        </w:rPr>
        <w:t>214.</w:t>
      </w:r>
      <w:r>
        <w:rPr>
          <w:szCs w:val="25"/>
          <w:lang w:val="es-ES_tradnl"/>
        </w:rPr>
        <w:tab/>
        <w:t>La familia es el núcleo social básico de la reproducción cotidiana y generacional unidas por lazos de parentesco.</w:t>
      </w:r>
    </w:p>
    <w:p w:rsidR="00000000" w:rsidRDefault="00000000">
      <w:pPr>
        <w:spacing w:after="240"/>
      </w:pPr>
      <w:r>
        <w:rPr>
          <w:szCs w:val="25"/>
          <w:lang w:val="es-ES_tradnl"/>
        </w:rPr>
        <w:t>215.</w:t>
      </w:r>
      <w:r>
        <w:rPr>
          <w:szCs w:val="25"/>
          <w:lang w:val="es-ES_tradnl"/>
        </w:rPr>
        <w:tab/>
        <w:t>La consanguinidad tiene que ver mucho con la legalidad de las relaciones de parentesco, trayendo consigo el cumplimiento de derechos y deberes.</w:t>
      </w:r>
    </w:p>
    <w:p w:rsidR="00000000" w:rsidRDefault="00000000">
      <w:pPr>
        <w:spacing w:after="240"/>
      </w:pPr>
      <w:r>
        <w:rPr>
          <w:szCs w:val="25"/>
          <w:lang w:val="es-ES_tradnl"/>
        </w:rPr>
        <w:t>216.</w:t>
      </w:r>
      <w:r>
        <w:rPr>
          <w:szCs w:val="25"/>
          <w:lang w:val="es-ES_tradnl"/>
        </w:rPr>
        <w:tab/>
        <w:t>Al hablar de la reproducción cotidiana se hace referencia a aquellas tareas como el cuidado diario de los hijos, la preparación de los alimentos y el consumo de los bienes y servicios, como alimentación, educación y vivienda.</w:t>
      </w:r>
    </w:p>
    <w:p w:rsidR="00000000" w:rsidRDefault="00000000">
      <w:pPr>
        <w:spacing w:after="240"/>
      </w:pPr>
      <w:r>
        <w:rPr>
          <w:szCs w:val="25"/>
          <w:lang w:val="es-ES_tradnl"/>
        </w:rPr>
        <w:t>217.</w:t>
      </w:r>
      <w:r>
        <w:rPr>
          <w:szCs w:val="25"/>
          <w:lang w:val="es-ES_tradnl"/>
        </w:rPr>
        <w:tab/>
        <w:t>La reproducción generacional se refiere a la reproducción biológica, es decir:  concepción, gestación, vida y muerte.</w:t>
      </w:r>
    </w:p>
    <w:p w:rsidR="00000000" w:rsidRDefault="00000000">
      <w:pPr>
        <w:spacing w:after="240"/>
      </w:pPr>
      <w:r>
        <w:rPr>
          <w:szCs w:val="25"/>
          <w:lang w:val="es-ES_tradnl"/>
        </w:rPr>
        <w:t>218.</w:t>
      </w:r>
      <w:r>
        <w:rPr>
          <w:szCs w:val="25"/>
          <w:lang w:val="es-ES_tradnl"/>
        </w:rPr>
        <w:tab/>
        <w:t>Se define también como familia a todo espacio natural de crianza y socialización que cumple funciones de apoyo al desarrollo integral del niño, especialmente de su identidad y su autoestima que no nace espontáneamente sino que es el resultado del ambiente familiar que reciben los menores durante su vida.</w:t>
      </w:r>
    </w:p>
    <w:p w:rsidR="00000000" w:rsidRDefault="00000000">
      <w:pPr>
        <w:spacing w:after="240"/>
        <w:rPr>
          <w:i/>
          <w:iCs/>
        </w:rPr>
      </w:pPr>
      <w:r>
        <w:rPr>
          <w:i/>
          <w:iCs/>
          <w:szCs w:val="25"/>
          <w:lang w:val="es-ES_tradnl"/>
        </w:rPr>
        <w:t>Mayoría de edad</w:t>
      </w:r>
    </w:p>
    <w:p w:rsidR="00000000" w:rsidRDefault="00000000">
      <w:pPr>
        <w:spacing w:after="240"/>
      </w:pPr>
      <w:r>
        <w:rPr>
          <w:szCs w:val="25"/>
          <w:lang w:val="es-ES_tradnl"/>
        </w:rPr>
        <w:t>219.</w:t>
      </w:r>
      <w:r>
        <w:rPr>
          <w:szCs w:val="25"/>
          <w:lang w:val="es-ES_tradnl"/>
        </w:rPr>
        <w:tab/>
        <w:t>Los niños, niñas y adolescentes de 0 a 18 años tienen derecho a que se respeten sus garantías constitucionales a través de la legislación de menores, el Código de Menores y su Reglamento.  Se considera adolescentes adultos de los 14 a 17 años para los diversos efectos legales y sociales.  El Código Civil en el artículo 21 establece lo siguiente:  "</w:t>
      </w:r>
      <w:proofErr w:type="spellStart"/>
      <w:r>
        <w:rPr>
          <w:szCs w:val="25"/>
          <w:lang w:val="es-ES_tradnl"/>
        </w:rPr>
        <w:t>Llámase</w:t>
      </w:r>
      <w:proofErr w:type="spellEnd"/>
      <w:r>
        <w:rPr>
          <w:szCs w:val="25"/>
          <w:lang w:val="es-ES_tradnl"/>
        </w:rPr>
        <w:t xml:space="preserve"> infante o niño al que no ha cumplido 7 años; impúber, el varón que no ha cumplido 14 años y la mujer que no ha cumplido 12; adulto, el que ha dejado de ser impúber; mayor de edad o simplemente mayor, el que ha cumplido 18 años; y menor de edad o simplemente menor, el que no ha llegado a cumplirlos".</w:t>
      </w:r>
    </w:p>
    <w:p w:rsidR="00000000" w:rsidRDefault="00000000">
      <w:pPr>
        <w:spacing w:after="240"/>
      </w:pPr>
      <w:r>
        <w:rPr>
          <w:szCs w:val="25"/>
          <w:lang w:val="es-ES_tradnl"/>
        </w:rPr>
        <w:t>220.</w:t>
      </w:r>
      <w:r>
        <w:rPr>
          <w:szCs w:val="25"/>
          <w:lang w:val="es-ES_tradnl"/>
        </w:rPr>
        <w:tab/>
        <w:t>Las mujeres y los hombres en el Ecuador tienen libertad para contraer matrimonio.  La edad mínima para poder hacerlo es de 18 años.  En caso de ser menor de edad se necesita la autorización de los padres de los menores.  La reglamentación referente al matrimonio, sus obligaciones, derechos y edad mínima se encuentra en el Código Civil y el Código de Procedimiento Civil.</w:t>
      </w:r>
    </w:p>
    <w:p w:rsidR="00000000" w:rsidRDefault="00000000">
      <w:pPr>
        <w:spacing w:after="240"/>
      </w:pPr>
      <w:r>
        <w:rPr>
          <w:szCs w:val="25"/>
          <w:lang w:val="es-ES_tradnl"/>
        </w:rPr>
        <w:t>221.</w:t>
      </w:r>
      <w:r>
        <w:rPr>
          <w:szCs w:val="25"/>
          <w:lang w:val="es-ES_tradnl"/>
        </w:rPr>
        <w:tab/>
        <w:t>La Constitución Política del Estado reconoce y protege a la familia constituida jurídicamente o mediante la unión de hecho que se fundamenta en el libre consentimiento de los contrayentes y en la igualdad de derechos, obligaciones y capacidad legal de los cónyuges.  Con respecto a la unión de hecho, el texto constitucional señala en el artículo 38:  "La unión estable y monogámica de un hombre y una mujer, libres de vínculo matrimonial con otra persona, que formen un hogar de hecho, por el lapso y bajo las condiciones y circunstancias que señale la ley, generará los mismos derechos y obligaciones que tienen las familias constituidas mediante matrimonio, inclusive en lo relativo a la presunción legal de paternidad, y a la sociedad conyugal".</w:t>
      </w:r>
    </w:p>
    <w:p w:rsidR="00000000" w:rsidRDefault="00000000">
      <w:pPr>
        <w:spacing w:after="240"/>
        <w:rPr>
          <w:i/>
          <w:iCs/>
        </w:rPr>
      </w:pPr>
      <w:r>
        <w:rPr>
          <w:i/>
          <w:iCs/>
          <w:szCs w:val="25"/>
          <w:lang w:val="es-ES_tradnl"/>
        </w:rPr>
        <w:t>La protección a la familia</w:t>
      </w:r>
    </w:p>
    <w:p w:rsidR="00000000" w:rsidRDefault="00000000">
      <w:pPr>
        <w:spacing w:after="240"/>
      </w:pPr>
      <w:r>
        <w:rPr>
          <w:szCs w:val="25"/>
          <w:lang w:val="es-ES_tradnl"/>
        </w:rPr>
        <w:t>222.</w:t>
      </w:r>
      <w:r>
        <w:rPr>
          <w:szCs w:val="25"/>
          <w:lang w:val="es-ES_tradnl"/>
        </w:rPr>
        <w:tab/>
        <w:t>La Constitución establece que el Estado dará protección a la familia:  "Se propugnarán la maternidad y paternidad responsables.  El Estado garantizará el derecho de las personas a decidir sobre el número de hijos que puede procrear, adoptar, mantener y educar"</w:t>
      </w:r>
      <w:r>
        <w:rPr>
          <w:rStyle w:val="FootnoteReference"/>
          <w:szCs w:val="25"/>
          <w:lang w:val="es-ES_tradnl"/>
        </w:rPr>
        <w:footnoteReference w:id="27"/>
      </w:r>
      <w:r>
        <w:rPr>
          <w:szCs w:val="25"/>
          <w:lang w:val="es-ES_tradnl"/>
        </w:rPr>
        <w:t>.</w:t>
      </w:r>
    </w:p>
    <w:p w:rsidR="00000000" w:rsidRDefault="00000000">
      <w:pPr>
        <w:spacing w:after="240"/>
      </w:pPr>
      <w:r>
        <w:rPr>
          <w:szCs w:val="25"/>
          <w:lang w:val="es-ES_tradnl"/>
        </w:rPr>
        <w:t>223.</w:t>
      </w:r>
      <w:r>
        <w:rPr>
          <w:szCs w:val="25"/>
          <w:lang w:val="es-ES_tradnl"/>
        </w:rPr>
        <w:tab/>
        <w:t>En cumplimiento del artículo 40 de la Constitución Política, "el Estado protegerá a las madres, a los padres y a quienes sean jefes de familia, en el ejercicio de sus obligaciones.  Promoverá la corresponsabilidad paterna y materna y vigilará el cumplimiento de los deberes y derechos recíprocos entre padres e hijos.  Los hijos, sin considerar antecedentes de filiación o adopción, tendrán los mismos derechos.  Al inscribir el nacimiento no se exigirá declaración sobre la calidad de la filiación, y en el documento de identidad no se hará referencia a ella".</w:t>
      </w:r>
    </w:p>
    <w:p w:rsidR="00000000" w:rsidRDefault="00000000">
      <w:pPr>
        <w:spacing w:after="240"/>
      </w:pPr>
      <w:r>
        <w:rPr>
          <w:szCs w:val="25"/>
          <w:lang w:val="es-ES_tradnl"/>
        </w:rPr>
        <w:t>224.</w:t>
      </w:r>
      <w:r>
        <w:rPr>
          <w:szCs w:val="25"/>
          <w:lang w:val="es-ES_tradnl"/>
        </w:rPr>
        <w:tab/>
        <w:t xml:space="preserve">El Ministerio de Bienestar Social desarrolla una serie de Programas de protección y fortalecimiento de la familia a través de la Dirección Nacional de Protección de Menores basados en las directrices en concordancia con el Código de Menores y su Reglamento para la protección integral para la niñez y adolescencia, con el concurso y participación de la familia biológica, </w:t>
      </w:r>
      <w:proofErr w:type="spellStart"/>
      <w:r>
        <w:rPr>
          <w:szCs w:val="25"/>
          <w:lang w:val="es-ES_tradnl"/>
        </w:rPr>
        <w:t>acogiente</w:t>
      </w:r>
      <w:proofErr w:type="spellEnd"/>
      <w:r>
        <w:rPr>
          <w:szCs w:val="25"/>
          <w:lang w:val="es-ES_tradnl"/>
        </w:rPr>
        <w:t xml:space="preserve"> y de la sociedad civil.</w:t>
      </w:r>
    </w:p>
    <w:p w:rsidR="00000000" w:rsidRDefault="00000000">
      <w:pPr>
        <w:spacing w:after="240"/>
      </w:pPr>
      <w:r>
        <w:rPr>
          <w:szCs w:val="25"/>
          <w:lang w:val="es-ES_tradnl"/>
        </w:rPr>
        <w:t>225.</w:t>
      </w:r>
      <w:r>
        <w:rPr>
          <w:szCs w:val="25"/>
          <w:lang w:val="es-ES_tradnl"/>
        </w:rPr>
        <w:tab/>
        <w:t>El Programa de educación familiar está dirigido a los centros infantiles con el objetivo de mejorar los papeles y funciones de la familia de los niños menores de 5 años, así como también de las personas que atienden los centros infantiles, a fin de prevenir dificultades en su crecimiento y desarrollo.  Con este programa se pretende además fortalecer la función educadora de la familia en que participen todos los miembros y de convertirse en estimulador del desarrollo del niño, conformar la comunidad educativa "Centro Infantil, Familia y Niño".</w:t>
      </w:r>
    </w:p>
    <w:p w:rsidR="00000000" w:rsidRDefault="00000000">
      <w:pPr>
        <w:spacing w:after="240"/>
      </w:pPr>
      <w:r>
        <w:rPr>
          <w:szCs w:val="25"/>
        </w:rPr>
        <w:t>226.</w:t>
      </w:r>
      <w:r>
        <w:rPr>
          <w:szCs w:val="25"/>
        </w:rPr>
        <w:tab/>
      </w:r>
      <w:r>
        <w:rPr>
          <w:szCs w:val="25"/>
          <w:lang w:val="es-ES_tradnl"/>
        </w:rPr>
        <w:t>El Programa de educación familiar tiene efecto multiplicador ya que el personal de los centros infantiles recibe la capacitación para luego replicar la experiencia con los padres de la familia de los respectivos centros infantiles.</w:t>
      </w:r>
    </w:p>
    <w:p w:rsidR="00000000" w:rsidRDefault="00000000">
      <w:pPr>
        <w:spacing w:after="240"/>
      </w:pPr>
      <w:r>
        <w:rPr>
          <w:szCs w:val="25"/>
        </w:rPr>
        <w:t>227.</w:t>
      </w:r>
      <w:r>
        <w:rPr>
          <w:szCs w:val="25"/>
        </w:rPr>
        <w:tab/>
      </w:r>
      <w:r>
        <w:rPr>
          <w:szCs w:val="25"/>
          <w:lang w:val="es-ES_tradnl"/>
        </w:rPr>
        <w:t xml:space="preserve">Los </w:t>
      </w:r>
      <w:proofErr w:type="spellStart"/>
      <w:r>
        <w:rPr>
          <w:szCs w:val="25"/>
          <w:lang w:val="es-ES_tradnl"/>
        </w:rPr>
        <w:t>facilitadores</w:t>
      </w:r>
      <w:proofErr w:type="spellEnd"/>
      <w:r>
        <w:rPr>
          <w:szCs w:val="25"/>
          <w:lang w:val="es-ES_tradnl"/>
        </w:rPr>
        <w:t xml:space="preserve"> y el personal capacitado cuentan con manuales de apoyo, cuyo contenido o temática están íntimamente relacionados con la realidad institucional y el trabajo que los centros desarrollan en beneficio de los niños y niñas menores de 5 años.</w:t>
      </w:r>
    </w:p>
    <w:p w:rsidR="00000000" w:rsidRDefault="00000000">
      <w:pPr>
        <w:spacing w:after="240"/>
      </w:pPr>
      <w:r>
        <w:rPr>
          <w:szCs w:val="25"/>
          <w:lang w:val="es-ES_tradnl"/>
        </w:rPr>
        <w:t>228.</w:t>
      </w:r>
      <w:r>
        <w:rPr>
          <w:szCs w:val="25"/>
          <w:lang w:val="es-ES_tradnl"/>
        </w:rPr>
        <w:tab/>
        <w:t>Por otro lado, los hogares de protección dependientes del Departamento de Protección y Defensa, de la Dirección Nacional de Menores, cuentan con líneas de acción, que fortalecen y apoyan a la integración del grupo familiar.</w:t>
      </w:r>
    </w:p>
    <w:p w:rsidR="00000000" w:rsidRDefault="00000000">
      <w:pPr>
        <w:keepNext/>
        <w:keepLines/>
        <w:spacing w:after="240"/>
        <w:rPr>
          <w:szCs w:val="25"/>
          <w:lang w:val="es-ES_tradnl"/>
        </w:rPr>
      </w:pPr>
      <w:r>
        <w:rPr>
          <w:szCs w:val="25"/>
          <w:lang w:val="es-ES_tradnl"/>
        </w:rPr>
        <w:t>229.</w:t>
      </w:r>
      <w:r>
        <w:rPr>
          <w:szCs w:val="25"/>
          <w:lang w:val="es-ES_tradnl"/>
        </w:rPr>
        <w:tab/>
        <w:t>Las principales líneas de acción son:</w:t>
      </w:r>
    </w:p>
    <w:p w:rsidR="00000000" w:rsidRDefault="00000000">
      <w:pPr>
        <w:keepNext/>
        <w:keepLines/>
        <w:spacing w:after="240"/>
        <w:ind w:left="1134" w:hanging="567"/>
      </w:pPr>
      <w:r>
        <w:rPr>
          <w:szCs w:val="25"/>
          <w:lang w:val="es-ES_tradnl"/>
        </w:rPr>
        <w:t>a)</w:t>
      </w:r>
      <w:r>
        <w:rPr>
          <w:szCs w:val="25"/>
          <w:lang w:val="es-ES_tradnl"/>
        </w:rPr>
        <w:tab/>
        <w:t>Programas de identidad, con la finalidad de definir situaciones de orden social y legal de los niños, niñas y adolescentes;</w:t>
      </w:r>
    </w:p>
    <w:p w:rsidR="00000000" w:rsidRDefault="00000000">
      <w:pPr>
        <w:keepNext/>
        <w:keepLines/>
        <w:spacing w:after="240"/>
        <w:ind w:left="1134" w:hanging="567"/>
      </w:pPr>
      <w:r>
        <w:rPr>
          <w:szCs w:val="25"/>
        </w:rPr>
        <w:t>b)</w:t>
      </w:r>
      <w:r>
        <w:rPr>
          <w:szCs w:val="25"/>
        </w:rPr>
        <w:tab/>
      </w:r>
      <w:r>
        <w:rPr>
          <w:szCs w:val="25"/>
          <w:lang w:val="es-ES_tradnl"/>
        </w:rPr>
        <w:t>Programas de becas orientados al apoyo económico de los niños institucionalizados y de la comunidad, con la finalidad de precautelar el derecho conculcado de la educación;</w:t>
      </w:r>
    </w:p>
    <w:p w:rsidR="00000000" w:rsidRDefault="00000000">
      <w:pPr>
        <w:spacing w:after="240"/>
        <w:ind w:left="1134" w:hanging="567"/>
      </w:pPr>
      <w:r>
        <w:rPr>
          <w:szCs w:val="25"/>
        </w:rPr>
        <w:t>c)</w:t>
      </w:r>
      <w:r>
        <w:rPr>
          <w:szCs w:val="25"/>
        </w:rPr>
        <w:tab/>
      </w:r>
      <w:r>
        <w:rPr>
          <w:szCs w:val="25"/>
          <w:lang w:val="es-ES_tradnl"/>
        </w:rPr>
        <w:t>Apoyo social, legal y psicológico que entrega el equipo técnico de las unidades operativas (Centros Infantiles de Cuidado Diario, Casas Hogar, Hogares Infantiles, Hogares Juveniles y las Unidades de Rehabilitación) de la Dirección Nacional de Protección de Menores, tanto a los niños como a sus familias, mediante un proceso de trabajo permanente, con el fin de:</w:t>
      </w:r>
    </w:p>
    <w:p w:rsidR="00000000" w:rsidRDefault="00000000">
      <w:pPr>
        <w:tabs>
          <w:tab w:val="right" w:pos="1304"/>
        </w:tabs>
        <w:spacing w:after="240"/>
        <w:ind w:left="1701" w:hanging="1701"/>
        <w:rPr>
          <w:szCs w:val="25"/>
          <w:lang w:val="es-ES_tradnl"/>
        </w:rPr>
      </w:pPr>
      <w:r>
        <w:rPr>
          <w:szCs w:val="25"/>
          <w:lang w:val="es-ES_tradnl"/>
        </w:rPr>
        <w:tab/>
      </w:r>
      <w:proofErr w:type="spellStart"/>
      <w:r>
        <w:rPr>
          <w:szCs w:val="25"/>
          <w:lang w:val="es-ES_tradnl"/>
        </w:rPr>
        <w:t>i</w:t>
      </w:r>
      <w:proofErr w:type="spellEnd"/>
      <w:r>
        <w:rPr>
          <w:szCs w:val="25"/>
          <w:lang w:val="es-ES_tradnl"/>
        </w:rPr>
        <w:t>)</w:t>
      </w:r>
      <w:r>
        <w:rPr>
          <w:szCs w:val="25"/>
          <w:lang w:val="es-ES_tradnl"/>
        </w:rPr>
        <w:tab/>
        <w:t>ayudar a la familia en la residencia;</w:t>
      </w:r>
    </w:p>
    <w:p w:rsidR="00000000" w:rsidRDefault="00000000">
      <w:pPr>
        <w:tabs>
          <w:tab w:val="right" w:pos="1304"/>
        </w:tabs>
        <w:spacing w:after="240"/>
        <w:ind w:left="1701" w:hanging="1701"/>
      </w:pPr>
      <w:r>
        <w:rPr>
          <w:szCs w:val="25"/>
          <w:lang w:val="es-ES_tradnl"/>
        </w:rPr>
        <w:tab/>
        <w:t>ii)</w:t>
      </w:r>
      <w:r>
        <w:rPr>
          <w:szCs w:val="25"/>
          <w:lang w:val="es-ES_tradnl"/>
        </w:rPr>
        <w:tab/>
        <w:t>desarrollar con la familia un proceso mediante el cual recupere su autoestima y confianza;</w:t>
      </w:r>
    </w:p>
    <w:p w:rsidR="00000000" w:rsidRDefault="00000000">
      <w:pPr>
        <w:tabs>
          <w:tab w:val="right" w:pos="1304"/>
        </w:tabs>
        <w:spacing w:after="240"/>
        <w:ind w:left="1701" w:hanging="1701"/>
      </w:pPr>
      <w:r>
        <w:rPr>
          <w:szCs w:val="25"/>
          <w:lang w:val="es-ES_tradnl"/>
        </w:rPr>
        <w:tab/>
        <w:t>iii)</w:t>
      </w:r>
      <w:r>
        <w:rPr>
          <w:szCs w:val="25"/>
          <w:lang w:val="es-ES_tradnl"/>
        </w:rPr>
        <w:tab/>
        <w:t>crear espacios para el intercambio de experiencias y el apoyo mutuo entre familias con problemas similares (escuela para padres);</w:t>
      </w:r>
    </w:p>
    <w:p w:rsidR="00000000" w:rsidRDefault="00000000">
      <w:pPr>
        <w:tabs>
          <w:tab w:val="right" w:pos="1304"/>
        </w:tabs>
        <w:spacing w:after="240"/>
        <w:ind w:left="1701" w:hanging="1701"/>
      </w:pPr>
      <w:r>
        <w:rPr>
          <w:szCs w:val="25"/>
          <w:lang w:val="es-ES_tradnl"/>
        </w:rPr>
        <w:tab/>
        <w:t>iv)</w:t>
      </w:r>
      <w:r>
        <w:rPr>
          <w:szCs w:val="25"/>
          <w:lang w:val="es-ES_tradnl"/>
        </w:rPr>
        <w:tab/>
        <w:t>promover la información necesaria y relevante sobre derechos, deberes, apoyo comunitario público y privado;</w:t>
      </w:r>
    </w:p>
    <w:p w:rsidR="00000000" w:rsidRDefault="00000000">
      <w:pPr>
        <w:tabs>
          <w:tab w:val="right" w:pos="1304"/>
        </w:tabs>
        <w:spacing w:after="240"/>
        <w:ind w:left="1701" w:hanging="1701"/>
      </w:pPr>
      <w:r>
        <w:rPr>
          <w:szCs w:val="25"/>
          <w:lang w:val="es-ES_tradnl"/>
        </w:rPr>
        <w:tab/>
        <w:t>v)</w:t>
      </w:r>
      <w:r>
        <w:rPr>
          <w:szCs w:val="25"/>
          <w:lang w:val="es-ES_tradnl"/>
        </w:rPr>
        <w:tab/>
        <w:t>crear espacios de recreación y socialización;</w:t>
      </w:r>
    </w:p>
    <w:p w:rsidR="00000000" w:rsidRDefault="00000000">
      <w:pPr>
        <w:tabs>
          <w:tab w:val="right" w:pos="1304"/>
        </w:tabs>
        <w:spacing w:after="240"/>
        <w:ind w:left="1701" w:hanging="1701"/>
      </w:pPr>
      <w:r>
        <w:rPr>
          <w:szCs w:val="25"/>
          <w:lang w:val="es-ES_tradnl"/>
        </w:rPr>
        <w:tab/>
        <w:t>vi)</w:t>
      </w:r>
      <w:r>
        <w:rPr>
          <w:szCs w:val="25"/>
          <w:lang w:val="es-ES_tradnl"/>
        </w:rPr>
        <w:tab/>
        <w:t xml:space="preserve">facilitar a los adolescentes infractores y a sus familias alternativas de </w:t>
      </w:r>
      <w:proofErr w:type="spellStart"/>
      <w:r>
        <w:rPr>
          <w:szCs w:val="25"/>
          <w:lang w:val="es-ES_tradnl"/>
        </w:rPr>
        <w:t>resocialización</w:t>
      </w:r>
      <w:proofErr w:type="spellEnd"/>
      <w:r>
        <w:rPr>
          <w:szCs w:val="25"/>
          <w:lang w:val="es-ES_tradnl"/>
        </w:rPr>
        <w:t xml:space="preserve"> y desarrollo integral, promoviendo actitudes de cambio y hábitos educativos tanto en el ámbito personal y familiar como social;</w:t>
      </w:r>
    </w:p>
    <w:p w:rsidR="00000000" w:rsidRDefault="00000000">
      <w:pPr>
        <w:tabs>
          <w:tab w:val="right" w:pos="1304"/>
        </w:tabs>
        <w:spacing w:after="240"/>
        <w:ind w:left="1701" w:hanging="1701"/>
      </w:pPr>
      <w:r>
        <w:rPr>
          <w:szCs w:val="25"/>
          <w:lang w:val="es-ES_tradnl"/>
        </w:rPr>
        <w:tab/>
        <w:t>vii)</w:t>
      </w:r>
      <w:r>
        <w:rPr>
          <w:szCs w:val="25"/>
          <w:lang w:val="es-ES_tradnl"/>
        </w:rPr>
        <w:tab/>
        <w:t>brindar a la familia orientación, asesoramiento y tratamiento a fin de superar las dificultades de orden personal social y legal.</w:t>
      </w:r>
    </w:p>
    <w:p w:rsidR="00000000" w:rsidRDefault="00000000">
      <w:pPr>
        <w:spacing w:after="240"/>
      </w:pPr>
      <w:r>
        <w:rPr>
          <w:szCs w:val="25"/>
          <w:lang w:val="es-ES_tradnl"/>
        </w:rPr>
        <w:t>230.</w:t>
      </w:r>
      <w:r>
        <w:rPr>
          <w:szCs w:val="25"/>
          <w:lang w:val="es-ES_tradnl"/>
        </w:rPr>
        <w:tab/>
        <w:t>El Estado ecuatoriano mediante la Constitución Política en el artículo 43 establece que "los programas y acciones de salud pública serán gratuitos para todos.  Los servicios públicos de atención médica lo serán para las personas que los necesiten.  Por ningún motivo se negará la atención de emergencia en los establecimientos públicos o privados".</w:t>
      </w:r>
    </w:p>
    <w:p w:rsidR="00000000" w:rsidRDefault="00000000">
      <w:pPr>
        <w:spacing w:after="240"/>
        <w:rPr>
          <w:i/>
          <w:iCs/>
        </w:rPr>
      </w:pPr>
      <w:r>
        <w:rPr>
          <w:i/>
          <w:iCs/>
          <w:szCs w:val="25"/>
          <w:lang w:val="es-ES_tradnl"/>
        </w:rPr>
        <w:t>Sistema de protección de la maternidad</w:t>
      </w:r>
    </w:p>
    <w:p w:rsidR="00000000" w:rsidRDefault="00000000">
      <w:pPr>
        <w:spacing w:after="240"/>
      </w:pPr>
      <w:r>
        <w:rPr>
          <w:szCs w:val="25"/>
          <w:lang w:val="es-ES_tradnl"/>
        </w:rPr>
        <w:t>231.</w:t>
      </w:r>
      <w:r>
        <w:rPr>
          <w:szCs w:val="25"/>
          <w:lang w:val="es-ES_tradnl"/>
        </w:rPr>
        <w:tab/>
        <w:t>En el mismo orden la Ley de maternidad gratuita y atención a la infancia, en el artículo 1 garantiza a la mujer ecuatoriana la gratuidad de los servicios de salud durante su embarazo:  "Toda mujer ecuatoriana tiene derecho a la atención de salud gratuita y de calidad durante su embarazo, parto y posparto, así como al acceso a programas de salud sexual y reproductiva.  De igual manera se otorgará sin costo la atención de salud a los recién nacidos</w:t>
      </w:r>
      <w:r>
        <w:rPr>
          <w:szCs w:val="25"/>
          <w:lang w:val="es-ES_tradnl"/>
        </w:rPr>
        <w:noBreakHyphen/>
        <w:t>nacidas y niños</w:t>
      </w:r>
      <w:r>
        <w:rPr>
          <w:szCs w:val="25"/>
          <w:lang w:val="es-ES_tradnl"/>
        </w:rPr>
        <w:noBreakHyphen/>
        <w:t>niñas menores de 5 años, como una acción de salud pública, responsabilidad del Estado".</w:t>
      </w:r>
    </w:p>
    <w:p w:rsidR="00000000" w:rsidRDefault="00000000">
      <w:pPr>
        <w:spacing w:after="240"/>
      </w:pPr>
      <w:r>
        <w:rPr>
          <w:szCs w:val="25"/>
          <w:lang w:val="es-ES_tradnl"/>
        </w:rPr>
        <w:t>232.</w:t>
      </w:r>
      <w:r>
        <w:rPr>
          <w:szCs w:val="25"/>
          <w:lang w:val="es-ES_tradnl"/>
        </w:rPr>
        <w:tab/>
        <w:t>La legislación laboral establece que la mujer ecuatoriana tiene derecho a una licencia de maternidad obligatoria de dos semanas anteriores y diez semanas posteriores al parto basado en el artículo 153 del Código del Trabajo.</w:t>
      </w:r>
    </w:p>
    <w:p w:rsidR="00000000" w:rsidRDefault="00000000">
      <w:pPr>
        <w:spacing w:after="240"/>
      </w:pPr>
      <w:r>
        <w:rPr>
          <w:szCs w:val="25"/>
          <w:lang w:val="es-ES_tradnl"/>
        </w:rPr>
        <w:t>233.</w:t>
      </w:r>
      <w:r>
        <w:rPr>
          <w:szCs w:val="25"/>
          <w:lang w:val="es-ES_tradnl"/>
        </w:rPr>
        <w:tab/>
        <w:t>Las prestaciones de Seguridad Social están a cargo del IESS que concede a sus afiliadas la prestación de seguro de maternidad, durante el embarazo, parto y puerperio con las prestaciones obstétricas que se señalan a continuación:</w:t>
      </w:r>
    </w:p>
    <w:p w:rsidR="00000000" w:rsidRDefault="00000000">
      <w:pPr>
        <w:spacing w:after="240"/>
        <w:ind w:left="1134" w:hanging="567"/>
      </w:pPr>
      <w:r>
        <w:rPr>
          <w:szCs w:val="25"/>
          <w:lang w:val="es-ES_tradnl"/>
        </w:rPr>
        <w:t>d)</w:t>
      </w:r>
      <w:r>
        <w:rPr>
          <w:szCs w:val="25"/>
          <w:lang w:val="es-ES_tradnl"/>
        </w:rPr>
        <w:tab/>
        <w:t>Asistencia obstétrica que comprende atención prenatal, del parto y del puerperio;</w:t>
      </w:r>
    </w:p>
    <w:p w:rsidR="00000000" w:rsidRDefault="00000000">
      <w:pPr>
        <w:spacing w:after="240"/>
        <w:ind w:left="1134" w:hanging="567"/>
      </w:pPr>
      <w:r>
        <w:rPr>
          <w:szCs w:val="25"/>
          <w:lang w:val="es-ES_tradnl"/>
        </w:rPr>
        <w:t>e)</w:t>
      </w:r>
      <w:r>
        <w:rPr>
          <w:szCs w:val="25"/>
          <w:lang w:val="es-ES_tradnl"/>
        </w:rPr>
        <w:tab/>
        <w:t>Subsidio en dinero durante 12 semanas:  dos antes y diez después del parto;</w:t>
      </w:r>
    </w:p>
    <w:p w:rsidR="00000000" w:rsidRDefault="00000000">
      <w:pPr>
        <w:spacing w:after="240"/>
        <w:ind w:left="1134" w:hanging="567"/>
      </w:pPr>
      <w:r>
        <w:rPr>
          <w:szCs w:val="25"/>
          <w:lang w:val="es-ES_tradnl"/>
        </w:rPr>
        <w:t>f)</w:t>
      </w:r>
      <w:r>
        <w:rPr>
          <w:szCs w:val="25"/>
          <w:lang w:val="es-ES_tradnl"/>
        </w:rPr>
        <w:tab/>
        <w:t>Atención pediátrica integral al niño hijo de la afiliada, durante el primer año de vida, con inclusión de la prestación farmacológica y hospitalización.</w:t>
      </w:r>
    </w:p>
    <w:p w:rsidR="00000000" w:rsidRDefault="00000000">
      <w:pPr>
        <w:spacing w:after="240"/>
      </w:pPr>
      <w:r>
        <w:rPr>
          <w:szCs w:val="25"/>
          <w:lang w:val="es-ES_tradnl"/>
        </w:rPr>
        <w:t>234.</w:t>
      </w:r>
      <w:r>
        <w:rPr>
          <w:szCs w:val="25"/>
          <w:lang w:val="es-ES_tradnl"/>
        </w:rPr>
        <w:tab/>
        <w:t>La atención obstétrica se otorgará a las afiliadas que acrediten seis imposiciones mensuales obligatorias en el año anterior al parto, a excepción de las afiliadas voluntarias, que deberán aportar un año antes para tener derecho a las prestaciones del Seguro de Enfermedad y Maternidad.</w:t>
      </w:r>
    </w:p>
    <w:p w:rsidR="00000000" w:rsidRDefault="00000000">
      <w:pPr>
        <w:spacing w:after="240"/>
      </w:pPr>
      <w:r>
        <w:rPr>
          <w:szCs w:val="25"/>
          <w:lang w:val="es-ES_tradnl"/>
        </w:rPr>
        <w:t>235.</w:t>
      </w:r>
      <w:r>
        <w:rPr>
          <w:szCs w:val="25"/>
          <w:lang w:val="es-ES_tradnl"/>
        </w:rPr>
        <w:tab/>
        <w:t xml:space="preserve">El IESS entrega un subsidio en dinero por maternidad que corresponde a un período de dos semanas antes y diez después del parto, debiéndose comprobar con los certificados otorgados por un médico particular o por un facultativo del Instituto el reposo prenatal y </w:t>
      </w:r>
      <w:proofErr w:type="spellStart"/>
      <w:r>
        <w:rPr>
          <w:szCs w:val="25"/>
          <w:lang w:val="es-ES_tradnl"/>
        </w:rPr>
        <w:t>posnatal</w:t>
      </w:r>
      <w:proofErr w:type="spellEnd"/>
      <w:r>
        <w:rPr>
          <w:szCs w:val="25"/>
          <w:lang w:val="es-ES_tradnl"/>
        </w:rPr>
        <w:t>.  Este subsidio equivale al 75% de la última remuneración de la afiliada.</w:t>
      </w:r>
    </w:p>
    <w:p w:rsidR="00000000" w:rsidRDefault="00000000">
      <w:pPr>
        <w:spacing w:after="240"/>
      </w:pPr>
      <w:r>
        <w:rPr>
          <w:szCs w:val="25"/>
          <w:lang w:val="es-ES_tradnl"/>
        </w:rPr>
        <w:t>236.</w:t>
      </w:r>
      <w:r>
        <w:rPr>
          <w:szCs w:val="25"/>
          <w:lang w:val="es-ES_tradnl"/>
        </w:rPr>
        <w:tab/>
        <w:t>Uno de los logros del país ha sido la ampliación del acceso de las mujeres embarazadas a los servicios médicos que requieren.  Por ejemplo, en 1990, cuatro de cada diez partos (38%) eran asistidos en instituciones de salud; para 1998, la proporción asistida se duplicó (77%).  No obstante, se mantienen las diferencias en el tipo de asistencia que reciben las mujeres del campo y de las ciudades durante el parto.  En 1998, mientras que en el área urbana prácticamente todos los partos (98%) contaron con la asistencia de personal profesional o capacitado, en el área rural ocho de cada diez (82%) la tuvieron</w:t>
      </w:r>
      <w:r>
        <w:rPr>
          <w:rStyle w:val="FootnoteReference"/>
          <w:szCs w:val="25"/>
          <w:lang w:val="es-ES_tradnl"/>
        </w:rPr>
        <w:footnoteReference w:id="28"/>
      </w:r>
      <w:r>
        <w:rPr>
          <w:szCs w:val="25"/>
          <w:lang w:val="es-ES_tradnl"/>
        </w:rPr>
        <w:t>.</w:t>
      </w:r>
    </w:p>
    <w:p w:rsidR="00000000" w:rsidRDefault="00000000">
      <w:pPr>
        <w:spacing w:after="240"/>
      </w:pPr>
      <w:r>
        <w:rPr>
          <w:szCs w:val="25"/>
          <w:lang w:val="es-ES_tradnl"/>
        </w:rPr>
        <w:t>237.</w:t>
      </w:r>
      <w:r>
        <w:rPr>
          <w:szCs w:val="25"/>
          <w:lang w:val="es-ES_tradnl"/>
        </w:rPr>
        <w:tab/>
        <w:t>Es preocupante sin embargo que la atención a las mujeres embarazadas no haya mejorado en el transcurso de la década.  El seguimiento médico de los embarazos de las ecuatorianas, de por sí insuficiente, se ha mantenido sin cambios entre 1995 y 1998, años en los cuales las mujeres tuvieron en promedio cinco controles durante su embarazo.  En las ciudades, las mujeres tuvieron un promedio de seis controles de salud mientras que en el campo este número apenas llegaba a cuatro.</w:t>
      </w:r>
    </w:p>
    <w:p w:rsidR="00000000" w:rsidRDefault="00000000">
      <w:pPr>
        <w:spacing w:after="240"/>
      </w:pPr>
      <w:r>
        <w:rPr>
          <w:szCs w:val="25"/>
          <w:lang w:val="es-ES_tradnl"/>
        </w:rPr>
        <w:t>238.</w:t>
      </w:r>
      <w:r>
        <w:rPr>
          <w:szCs w:val="25"/>
          <w:lang w:val="es-ES_tradnl"/>
        </w:rPr>
        <w:tab/>
        <w:t>La desatención es mayor entre las mujeres indígenas, quienes tienen en promedio dos controles prenatales.  El 42% de las mujeres indígenas no tuvo en 1995 control prenatal alguno</w:t>
      </w:r>
      <w:r>
        <w:rPr>
          <w:rStyle w:val="FootnoteReference"/>
          <w:szCs w:val="25"/>
          <w:lang w:val="es-ES_tradnl"/>
        </w:rPr>
        <w:footnoteReference w:id="29"/>
      </w:r>
      <w:r>
        <w:rPr>
          <w:szCs w:val="25"/>
          <w:lang w:val="es-ES_tradnl"/>
        </w:rPr>
        <w:t>.</w:t>
      </w:r>
    </w:p>
    <w:p w:rsidR="00000000" w:rsidRDefault="00000000">
      <w:pPr>
        <w:spacing w:after="240"/>
      </w:pPr>
      <w:r>
        <w:rPr>
          <w:szCs w:val="25"/>
          <w:lang w:val="es-ES_tradnl"/>
        </w:rPr>
        <w:t>239.</w:t>
      </w:r>
      <w:r>
        <w:rPr>
          <w:szCs w:val="25"/>
          <w:lang w:val="es-ES_tradnl"/>
        </w:rPr>
        <w:tab/>
        <w:t>Finalmente otra meta fue mejorar el acceso a la información, la educación y los servicios de planificación familiar en 1994.  La gran mayoría de las mujeres ecuatorianas (92%) conocía algún método anticonceptivo moderno.  Sin embargo este conocimiento era menor entre las mujeres del campo (85%).  Asimismo, el uso de anticonceptivos ha aumentado sostenidamente tanto en el campo como en las ciudades.  En 1994, más de la mitad de las mujeres emparejadas usaban anticonceptivos (66% en las ciudades y 44% en el campo).  Y en 1998, cuatro de cada diez mujeres en edad fértil, con o sin pareja, los usaba</w:t>
      </w:r>
      <w:r>
        <w:rPr>
          <w:rStyle w:val="FootnoteReference"/>
          <w:szCs w:val="25"/>
          <w:lang w:val="es-ES_tradnl"/>
        </w:rPr>
        <w:footnoteReference w:id="30"/>
      </w:r>
      <w:r>
        <w:rPr>
          <w:szCs w:val="25"/>
          <w:lang w:val="es-ES_tradnl"/>
        </w:rPr>
        <w:t>.</w:t>
      </w:r>
    </w:p>
    <w:p w:rsidR="00000000" w:rsidRDefault="00000000">
      <w:pPr>
        <w:spacing w:after="240"/>
        <w:rPr>
          <w:b/>
          <w:bCs/>
        </w:rPr>
      </w:pPr>
      <w:r>
        <w:rPr>
          <w:b/>
          <w:bCs/>
          <w:szCs w:val="25"/>
          <w:lang w:val="es-ES_tradnl"/>
        </w:rPr>
        <w:t>Protección del menor</w:t>
      </w:r>
    </w:p>
    <w:p w:rsidR="00000000" w:rsidRDefault="00000000">
      <w:pPr>
        <w:spacing w:after="240"/>
      </w:pPr>
      <w:r>
        <w:rPr>
          <w:szCs w:val="25"/>
          <w:lang w:val="es-ES_tradnl"/>
        </w:rPr>
        <w:t>240.</w:t>
      </w:r>
      <w:r>
        <w:rPr>
          <w:szCs w:val="25"/>
          <w:lang w:val="es-ES_tradnl"/>
        </w:rPr>
        <w:tab/>
        <w:t>El Estado ecuatoriano protege al menor contra todo abuso económico a través del Código del Trabajo y el Código de Menores.  Establece los lineamientos de protección al trabajo de los menores en relación de dependencia, sobre todo regulando los trabajos que pueden ocupar y que no sean peligrosos para su vida, desarrollo físico, mental, espiritual y moral; y que no entorpezcan su educación.</w:t>
      </w:r>
    </w:p>
    <w:p w:rsidR="00000000" w:rsidRDefault="00000000">
      <w:pPr>
        <w:spacing w:after="240"/>
      </w:pPr>
      <w:r>
        <w:rPr>
          <w:szCs w:val="25"/>
          <w:lang w:val="es-ES_tradnl"/>
        </w:rPr>
        <w:t>241.</w:t>
      </w:r>
      <w:r>
        <w:rPr>
          <w:szCs w:val="25"/>
          <w:lang w:val="es-ES_tradnl"/>
        </w:rPr>
        <w:tab/>
        <w:t xml:space="preserve">Se prohíbe el trabajo de menores de edad en minas, basurales, en trabajos que impliquen la manipulación de objetos o sustancias </w:t>
      </w:r>
      <w:proofErr w:type="spellStart"/>
      <w:r>
        <w:rPr>
          <w:szCs w:val="25"/>
          <w:lang w:val="es-ES_tradnl"/>
        </w:rPr>
        <w:t>psicotrópicas</w:t>
      </w:r>
      <w:proofErr w:type="spellEnd"/>
      <w:r>
        <w:rPr>
          <w:szCs w:val="25"/>
          <w:lang w:val="es-ES_tradnl"/>
        </w:rPr>
        <w:t xml:space="preserve"> o tóxicas y en jornada nocturna.</w:t>
      </w:r>
    </w:p>
    <w:p w:rsidR="00000000" w:rsidRDefault="00000000">
      <w:pPr>
        <w:spacing w:after="240"/>
      </w:pPr>
      <w:r>
        <w:rPr>
          <w:szCs w:val="25"/>
          <w:lang w:val="es-ES_tradnl"/>
        </w:rPr>
        <w:t>242.</w:t>
      </w:r>
      <w:r>
        <w:rPr>
          <w:szCs w:val="25"/>
          <w:lang w:val="es-ES_tradnl"/>
        </w:rPr>
        <w:tab/>
        <w:t>El Código del Trabajo en el artículo 34 prohíbe la contratación de menores de 14 años:  "Los mayores de 14 y menores de 18 años necesitarán para contratar la autorización expresa de su representante legal, y, en su falta, la de sus ascendientes o personas que corran con su manutención o cuidado.  A falta de ellos, otorgará la autorización el Tribunal de Menores".</w:t>
      </w:r>
    </w:p>
    <w:p w:rsidR="00000000" w:rsidRDefault="00000000">
      <w:pPr>
        <w:spacing w:after="240"/>
      </w:pPr>
      <w:r>
        <w:rPr>
          <w:szCs w:val="25"/>
          <w:lang w:val="es-ES_tradnl"/>
        </w:rPr>
        <w:t>243.</w:t>
      </w:r>
      <w:r>
        <w:rPr>
          <w:szCs w:val="25"/>
          <w:lang w:val="es-ES_tradnl"/>
        </w:rPr>
        <w:tab/>
        <w:t>El Código de Menores en el artículo 157 establece que "el Tribunal de Menores autorizará el trabajo de un menor en relación de dependencia siempre que sea en actividades compatibles con su condición, no le impida continuar con su instrucción y no sea nocivo para su salud.  El Tribunal concederá la autorización previo el informe del Equipo de Trabajo Social o de la autoridad del trabajo correspondiente".</w:t>
      </w:r>
    </w:p>
    <w:p w:rsidR="00000000" w:rsidRDefault="00000000">
      <w:pPr>
        <w:spacing w:after="240"/>
      </w:pPr>
      <w:r>
        <w:rPr>
          <w:szCs w:val="25"/>
          <w:lang w:val="es-ES_tradnl"/>
        </w:rPr>
        <w:t>244.</w:t>
      </w:r>
      <w:r>
        <w:rPr>
          <w:szCs w:val="25"/>
          <w:lang w:val="es-ES_tradnl"/>
        </w:rPr>
        <w:tab/>
        <w:t>En el artículo 158 del Código de Menores se establece que el Tribunal de Menores llevará un registro de tales autorizaciones y, bajo pena de destitución, remitirá a la Dirección de Empleo y Recursos Humanos y a la Dirección de Protección de Menores copia del acta correspondiente.  Dicha acta contendrá los siguientes datos:  edad, tipo de trabajo, lugar de labores, establecimiento educativo, de ser el caso, jornada de trabajo y remuneración.</w:t>
      </w:r>
    </w:p>
    <w:p w:rsidR="00000000" w:rsidRDefault="00000000">
      <w:pPr>
        <w:spacing w:after="240"/>
      </w:pPr>
      <w:r>
        <w:rPr>
          <w:szCs w:val="25"/>
          <w:lang w:val="es-ES_tradnl"/>
        </w:rPr>
        <w:t>245.</w:t>
      </w:r>
      <w:r>
        <w:rPr>
          <w:szCs w:val="25"/>
          <w:lang w:val="es-ES_tradnl"/>
        </w:rPr>
        <w:tab/>
        <w:t xml:space="preserve">El Gobierno Nacional, a través del Ministerio de Bienestar Social y juntamente con otras instituciones de carácter público y privado y ONG, emprende programas tendientes a precautelar que los menores de edad no sean objeto de explotación económica y realiza subvenciones económicas a fin de garantizar la utilización de los servicios por parte de la población más vulnerable, en rubros como rancho, administración, suministros y materiales, talleres ocupacionales, materia prima, </w:t>
      </w:r>
      <w:proofErr w:type="spellStart"/>
      <w:r>
        <w:rPr>
          <w:szCs w:val="25"/>
          <w:lang w:val="es-ES_tradnl"/>
        </w:rPr>
        <w:t>ludoteca</w:t>
      </w:r>
      <w:proofErr w:type="spellEnd"/>
      <w:r>
        <w:rPr>
          <w:szCs w:val="25"/>
          <w:lang w:val="es-ES_tradnl"/>
        </w:rPr>
        <w:t>, equipamiento, salud, hospitalización, día del niño, Navidad y becas de servicios, entre otros.</w:t>
      </w:r>
    </w:p>
    <w:p w:rsidR="00000000" w:rsidRDefault="00000000">
      <w:pPr>
        <w:keepNext/>
        <w:keepLines/>
        <w:spacing w:after="240"/>
      </w:pPr>
      <w:r>
        <w:rPr>
          <w:szCs w:val="25"/>
          <w:lang w:val="es-ES_tradnl"/>
        </w:rPr>
        <w:t>246.</w:t>
      </w:r>
      <w:r>
        <w:rPr>
          <w:szCs w:val="25"/>
          <w:lang w:val="es-ES_tradnl"/>
        </w:rPr>
        <w:tab/>
        <w:t>Las medidas de protección se desarrollan a través de modalidades como:</w:t>
      </w:r>
    </w:p>
    <w:p w:rsidR="00000000" w:rsidRDefault="00000000">
      <w:pPr>
        <w:keepNext/>
        <w:keepLines/>
        <w:spacing w:after="240"/>
        <w:ind w:left="1134" w:hanging="567"/>
      </w:pPr>
      <w:r>
        <w:rPr>
          <w:szCs w:val="25"/>
          <w:lang w:val="es-ES_tradnl"/>
        </w:rPr>
        <w:t>a)</w:t>
      </w:r>
      <w:r>
        <w:rPr>
          <w:szCs w:val="25"/>
          <w:lang w:val="es-ES_tradnl"/>
        </w:rPr>
        <w:tab/>
        <w:t>El internado:  es un recurso transitorio o emergente, mientras se busca una ubicación definida partiendo del concepto de que todo niño tiene el derecho a crecer en el seno de una familia, bajo la protección de sus padres y, a falta de éstos, de quienes estén en posibilidades de brindar afecto y protección.  La familia del niño tiene prioridad, por lo mismo la institución despliega todos los esfuerzos de apoyo a la familia, para prevenir crisis que lleven al abandono o para que se recuperen, fortalezcan y rescaten los vínculos con sus hijos.</w:t>
      </w:r>
    </w:p>
    <w:p w:rsidR="00000000" w:rsidRDefault="00000000">
      <w:pPr>
        <w:spacing w:after="240"/>
        <w:ind w:left="1134" w:hanging="567"/>
      </w:pPr>
      <w:r>
        <w:rPr>
          <w:szCs w:val="25"/>
          <w:lang w:val="es-ES_tradnl"/>
        </w:rPr>
        <w:t>b)</w:t>
      </w:r>
      <w:r>
        <w:rPr>
          <w:szCs w:val="25"/>
          <w:lang w:val="es-ES_tradnl"/>
        </w:rPr>
        <w:tab/>
        <w:t xml:space="preserve">El </w:t>
      </w:r>
      <w:proofErr w:type="spellStart"/>
      <w:r>
        <w:rPr>
          <w:szCs w:val="25"/>
          <w:lang w:val="es-ES_tradnl"/>
        </w:rPr>
        <w:t>semiinternado</w:t>
      </w:r>
      <w:proofErr w:type="spellEnd"/>
      <w:r>
        <w:rPr>
          <w:szCs w:val="25"/>
          <w:lang w:val="es-ES_tradnl"/>
        </w:rPr>
        <w:t>:  en esta modalidad de atención los niños y niñas y adolescentes, permanecen de lunes a viernes dentro de la institución, donde reciben los servicios tanto técnicos (trabajo social, psicológico y médico), como asistenciales (alimentación, salud, albergue, educación entre otros), saliendo de viernes a domingo con su familia.</w:t>
      </w:r>
    </w:p>
    <w:p w:rsidR="00000000" w:rsidRDefault="00000000">
      <w:pPr>
        <w:spacing w:after="240"/>
        <w:ind w:left="1134" w:hanging="567"/>
      </w:pPr>
      <w:r>
        <w:rPr>
          <w:szCs w:val="25"/>
          <w:lang w:val="es-ES_tradnl"/>
        </w:rPr>
        <w:t>c)</w:t>
      </w:r>
      <w:r>
        <w:rPr>
          <w:szCs w:val="25"/>
          <w:lang w:val="es-ES_tradnl"/>
        </w:rPr>
        <w:tab/>
        <w:t>El comedor con apoyo escolar:  la atención de servicio a la niñez y adolescencia que asisten a un horario determinado de lunes a viernes, proporcionándoles servicio de alimentación, refuerzo pedagógico, servicio médico y psicológico.  En los comedores infantiles la atención está destinada a proporcionar asistencia nutricional a niños y niñas y adolescentes que se encuentran en situación de riesgo, para garantizar al niño un desarrollo psicológico y físico adecuado.</w:t>
      </w:r>
    </w:p>
    <w:p w:rsidR="00000000" w:rsidRDefault="00000000">
      <w:pPr>
        <w:spacing w:after="240"/>
        <w:ind w:left="1134" w:hanging="567"/>
      </w:pPr>
      <w:r>
        <w:rPr>
          <w:szCs w:val="25"/>
          <w:lang w:val="es-ES_tradnl"/>
        </w:rPr>
        <w:t>d)</w:t>
      </w:r>
      <w:r>
        <w:rPr>
          <w:szCs w:val="25"/>
          <w:lang w:val="es-ES_tradnl"/>
        </w:rPr>
        <w:tab/>
        <w:t>El cuidado diario:  es un servicio que se presta a los niños comprendidos entre los 4 meses y 5 años de edad quienes asisten al centro infantil durante el día, cuyo objetivo es contribuir al desarrollo integral de los niños (estimulación temprana, salud y nutrición).</w:t>
      </w:r>
    </w:p>
    <w:p w:rsidR="00000000" w:rsidRDefault="00000000">
      <w:pPr>
        <w:spacing w:after="240"/>
        <w:rPr>
          <w:i/>
          <w:iCs/>
        </w:rPr>
      </w:pPr>
      <w:r>
        <w:rPr>
          <w:i/>
          <w:iCs/>
          <w:szCs w:val="25"/>
          <w:lang w:val="es-ES_tradnl"/>
        </w:rPr>
        <w:t>El menor trabajador</w:t>
      </w:r>
    </w:p>
    <w:p w:rsidR="00000000" w:rsidRDefault="00000000">
      <w:pPr>
        <w:spacing w:after="240"/>
      </w:pPr>
      <w:r>
        <w:rPr>
          <w:szCs w:val="25"/>
          <w:lang w:val="es-ES_tradnl"/>
        </w:rPr>
        <w:t>247.</w:t>
      </w:r>
      <w:r>
        <w:rPr>
          <w:szCs w:val="25"/>
          <w:lang w:val="es-ES_tradnl"/>
        </w:rPr>
        <w:tab/>
        <w:t>Este indicador apunta a identificar a los niños y niñas que no tienen acceso a la educación o lo hacen con dificultades debido a que tienen que trabajar.  Permite, por ejemplo, alertar sobre cuántos niños están trabajando antes de la edad legal para hacerlo, y si ello permite o</w:t>
      </w:r>
      <w:r>
        <w:rPr>
          <w:i/>
          <w:iCs/>
          <w:szCs w:val="25"/>
          <w:lang w:val="es-ES_tradnl"/>
        </w:rPr>
        <w:t xml:space="preserve"> </w:t>
      </w:r>
      <w:r>
        <w:rPr>
          <w:szCs w:val="25"/>
          <w:lang w:val="es-ES_tradnl"/>
        </w:rPr>
        <w:t>no que estudien, así como acerca del numero de niños que no están escolarizados</w:t>
      </w:r>
      <w:r>
        <w:rPr>
          <w:rStyle w:val="FootnoteReference"/>
          <w:szCs w:val="25"/>
          <w:lang w:val="es-ES_tradnl"/>
        </w:rPr>
        <w:footnoteReference w:id="31"/>
      </w:r>
      <w:r>
        <w:rPr>
          <w:szCs w:val="25"/>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84"/>
        <w:gridCol w:w="2255"/>
        <w:gridCol w:w="2256"/>
      </w:tblGrid>
      <w:tr w:rsidR="00000000">
        <w:tblPrEx>
          <w:tblCellMar>
            <w:top w:w="0" w:type="dxa"/>
            <w:bottom w:w="0" w:type="dxa"/>
          </w:tblCellMar>
        </w:tblPrEx>
        <w:tc>
          <w:tcPr>
            <w:tcW w:w="4984" w:type="dxa"/>
          </w:tcPr>
          <w:p w:rsidR="00000000" w:rsidRDefault="00000000">
            <w:pPr>
              <w:jc w:val="center"/>
              <w:rPr>
                <w:szCs w:val="23"/>
                <w:lang w:val="es-ES_tradnl"/>
              </w:rPr>
            </w:pPr>
            <w:r>
              <w:rPr>
                <w:szCs w:val="23"/>
                <w:lang w:val="es-ES_tradnl"/>
              </w:rPr>
              <w:t>Desagregación nacional</w:t>
            </w:r>
          </w:p>
        </w:tc>
        <w:tc>
          <w:tcPr>
            <w:tcW w:w="2255" w:type="dxa"/>
          </w:tcPr>
          <w:p w:rsidR="00000000" w:rsidRDefault="00000000">
            <w:pPr>
              <w:jc w:val="center"/>
              <w:rPr>
                <w:szCs w:val="23"/>
                <w:lang w:val="es-ES_tradnl"/>
              </w:rPr>
            </w:pPr>
            <w:r>
              <w:rPr>
                <w:szCs w:val="23"/>
                <w:lang w:val="es-ES_tradnl"/>
              </w:rPr>
              <w:t>Niños de 8 a 17 años</w:t>
            </w:r>
          </w:p>
        </w:tc>
        <w:tc>
          <w:tcPr>
            <w:tcW w:w="2256" w:type="dxa"/>
          </w:tcPr>
          <w:p w:rsidR="00000000" w:rsidRDefault="00000000">
            <w:pPr>
              <w:jc w:val="center"/>
            </w:pPr>
            <w:r>
              <w:rPr>
                <w:szCs w:val="23"/>
                <w:lang w:val="es-ES_tradnl"/>
              </w:rPr>
              <w:t>Porcentaje</w:t>
            </w:r>
          </w:p>
        </w:tc>
      </w:tr>
      <w:tr w:rsidR="00000000">
        <w:tblPrEx>
          <w:tblCellMar>
            <w:top w:w="0" w:type="dxa"/>
            <w:bottom w:w="0" w:type="dxa"/>
          </w:tblCellMar>
        </w:tblPrEx>
        <w:tc>
          <w:tcPr>
            <w:tcW w:w="4984" w:type="dxa"/>
          </w:tcPr>
          <w:p w:rsidR="00000000" w:rsidRDefault="00000000">
            <w:pPr>
              <w:rPr>
                <w:szCs w:val="23"/>
                <w:lang w:val="es-ES_tradnl"/>
              </w:rPr>
            </w:pPr>
            <w:r>
              <w:rPr>
                <w:szCs w:val="23"/>
                <w:lang w:val="es-ES_tradnl"/>
              </w:rPr>
              <w:t>Niños y niñas que trabajan y no estudian</w:t>
            </w:r>
          </w:p>
        </w:tc>
        <w:tc>
          <w:tcPr>
            <w:tcW w:w="2255" w:type="dxa"/>
          </w:tcPr>
          <w:p w:rsidR="00000000" w:rsidRDefault="00000000">
            <w:pPr>
              <w:jc w:val="right"/>
              <w:rPr>
                <w:szCs w:val="23"/>
                <w:lang w:val="es-ES_tradnl"/>
              </w:rPr>
            </w:pPr>
            <w:r>
              <w:rPr>
                <w:szCs w:val="23"/>
                <w:lang w:val="es-ES_tradnl"/>
              </w:rPr>
              <w:t>281.296</w:t>
            </w:r>
          </w:p>
        </w:tc>
        <w:tc>
          <w:tcPr>
            <w:tcW w:w="2256" w:type="dxa"/>
          </w:tcPr>
          <w:p w:rsidR="00000000" w:rsidRDefault="00000000">
            <w:pPr>
              <w:jc w:val="right"/>
            </w:pPr>
            <w:r>
              <w:rPr>
                <w:szCs w:val="23"/>
                <w:lang w:val="es-ES_tradnl"/>
              </w:rPr>
              <w:t>11,80</w:t>
            </w:r>
          </w:p>
        </w:tc>
      </w:tr>
      <w:tr w:rsidR="00000000">
        <w:tblPrEx>
          <w:tblCellMar>
            <w:top w:w="0" w:type="dxa"/>
            <w:bottom w:w="0" w:type="dxa"/>
          </w:tblCellMar>
        </w:tblPrEx>
        <w:tc>
          <w:tcPr>
            <w:tcW w:w="4984" w:type="dxa"/>
          </w:tcPr>
          <w:p w:rsidR="00000000" w:rsidRDefault="00000000">
            <w:pPr>
              <w:rPr>
                <w:szCs w:val="23"/>
                <w:lang w:val="es-ES_tradnl"/>
              </w:rPr>
            </w:pPr>
            <w:r>
              <w:rPr>
                <w:szCs w:val="23"/>
                <w:lang w:val="es-ES_tradnl"/>
              </w:rPr>
              <w:t>Niños y niñas que no trabajan ni estudian</w:t>
            </w:r>
          </w:p>
        </w:tc>
        <w:tc>
          <w:tcPr>
            <w:tcW w:w="2255" w:type="dxa"/>
          </w:tcPr>
          <w:p w:rsidR="00000000" w:rsidRDefault="00000000">
            <w:pPr>
              <w:jc w:val="right"/>
              <w:rPr>
                <w:szCs w:val="23"/>
                <w:lang w:val="es-ES_tradnl"/>
              </w:rPr>
            </w:pPr>
            <w:r>
              <w:rPr>
                <w:szCs w:val="23"/>
                <w:lang w:val="es-ES_tradnl"/>
              </w:rPr>
              <w:t>224.991</w:t>
            </w:r>
          </w:p>
        </w:tc>
        <w:tc>
          <w:tcPr>
            <w:tcW w:w="2256" w:type="dxa"/>
          </w:tcPr>
          <w:p w:rsidR="00000000" w:rsidRDefault="00000000">
            <w:pPr>
              <w:jc w:val="right"/>
            </w:pPr>
            <w:r>
              <w:rPr>
                <w:szCs w:val="23"/>
                <w:lang w:val="es-ES_tradnl"/>
              </w:rPr>
              <w:t>9,50</w:t>
            </w:r>
          </w:p>
        </w:tc>
      </w:tr>
      <w:tr w:rsidR="00000000">
        <w:tblPrEx>
          <w:tblCellMar>
            <w:top w:w="0" w:type="dxa"/>
            <w:bottom w:w="0" w:type="dxa"/>
          </w:tblCellMar>
        </w:tblPrEx>
        <w:tc>
          <w:tcPr>
            <w:tcW w:w="4984" w:type="dxa"/>
          </w:tcPr>
          <w:p w:rsidR="00000000" w:rsidRDefault="00000000">
            <w:pPr>
              <w:rPr>
                <w:szCs w:val="23"/>
                <w:lang w:val="es-ES_tradnl"/>
              </w:rPr>
            </w:pPr>
            <w:r>
              <w:rPr>
                <w:szCs w:val="23"/>
                <w:lang w:val="es-ES_tradnl"/>
              </w:rPr>
              <w:t>Niños y niñas que no trabajan y sí estudian</w:t>
            </w:r>
          </w:p>
        </w:tc>
        <w:tc>
          <w:tcPr>
            <w:tcW w:w="2255" w:type="dxa"/>
          </w:tcPr>
          <w:p w:rsidR="00000000" w:rsidRDefault="00000000">
            <w:pPr>
              <w:jc w:val="right"/>
              <w:rPr>
                <w:szCs w:val="23"/>
                <w:lang w:val="es-ES_tradnl"/>
              </w:rPr>
            </w:pPr>
            <w:r>
              <w:rPr>
                <w:szCs w:val="23"/>
                <w:lang w:val="es-ES_tradnl"/>
              </w:rPr>
              <w:t>1.742.496</w:t>
            </w:r>
          </w:p>
        </w:tc>
        <w:tc>
          <w:tcPr>
            <w:tcW w:w="2256" w:type="dxa"/>
          </w:tcPr>
          <w:p w:rsidR="00000000" w:rsidRDefault="00000000">
            <w:pPr>
              <w:jc w:val="right"/>
            </w:pPr>
            <w:r>
              <w:rPr>
                <w:szCs w:val="23"/>
                <w:lang w:val="es-ES_tradnl"/>
              </w:rPr>
              <w:t>73,40</w:t>
            </w:r>
          </w:p>
        </w:tc>
      </w:tr>
      <w:tr w:rsidR="00000000">
        <w:tblPrEx>
          <w:tblCellMar>
            <w:top w:w="0" w:type="dxa"/>
            <w:bottom w:w="0" w:type="dxa"/>
          </w:tblCellMar>
        </w:tblPrEx>
        <w:tc>
          <w:tcPr>
            <w:tcW w:w="4984" w:type="dxa"/>
          </w:tcPr>
          <w:p w:rsidR="00000000" w:rsidRDefault="00000000">
            <w:pPr>
              <w:rPr>
                <w:szCs w:val="23"/>
                <w:lang w:val="es-ES_tradnl"/>
              </w:rPr>
            </w:pPr>
            <w:r>
              <w:rPr>
                <w:szCs w:val="23"/>
                <w:lang w:val="es-ES_tradnl"/>
              </w:rPr>
              <w:t>Niños y niñas que trabajan y estudian</w:t>
            </w:r>
          </w:p>
        </w:tc>
        <w:tc>
          <w:tcPr>
            <w:tcW w:w="2255" w:type="dxa"/>
          </w:tcPr>
          <w:p w:rsidR="00000000" w:rsidRDefault="00000000">
            <w:pPr>
              <w:jc w:val="right"/>
              <w:rPr>
                <w:szCs w:val="23"/>
                <w:lang w:val="es-ES_tradnl"/>
              </w:rPr>
            </w:pPr>
            <w:r>
              <w:rPr>
                <w:szCs w:val="23"/>
                <w:lang w:val="es-ES_tradnl"/>
              </w:rPr>
              <w:t>125.394</w:t>
            </w:r>
          </w:p>
        </w:tc>
        <w:tc>
          <w:tcPr>
            <w:tcW w:w="2256" w:type="dxa"/>
          </w:tcPr>
          <w:p w:rsidR="00000000" w:rsidRDefault="00000000">
            <w:pPr>
              <w:jc w:val="right"/>
            </w:pPr>
            <w:r>
              <w:rPr>
                <w:szCs w:val="23"/>
                <w:lang w:val="es-ES_tradnl"/>
              </w:rPr>
              <w:t>5,30</w:t>
            </w:r>
          </w:p>
        </w:tc>
      </w:tr>
      <w:tr w:rsidR="00000000">
        <w:tblPrEx>
          <w:tblCellMar>
            <w:top w:w="0" w:type="dxa"/>
            <w:bottom w:w="0" w:type="dxa"/>
          </w:tblCellMar>
        </w:tblPrEx>
        <w:tc>
          <w:tcPr>
            <w:tcW w:w="4984" w:type="dxa"/>
          </w:tcPr>
          <w:p w:rsidR="00000000" w:rsidRDefault="00000000">
            <w:pPr>
              <w:tabs>
                <w:tab w:val="left" w:pos="270"/>
              </w:tabs>
              <w:rPr>
                <w:szCs w:val="22"/>
                <w:lang w:val="es-ES_tradnl"/>
              </w:rPr>
            </w:pPr>
            <w:r>
              <w:rPr>
                <w:szCs w:val="22"/>
                <w:lang w:val="es-ES_tradnl"/>
              </w:rPr>
              <w:tab/>
              <w:t>Total</w:t>
            </w:r>
          </w:p>
        </w:tc>
        <w:tc>
          <w:tcPr>
            <w:tcW w:w="2255" w:type="dxa"/>
          </w:tcPr>
          <w:p w:rsidR="00000000" w:rsidRDefault="00000000">
            <w:pPr>
              <w:jc w:val="right"/>
              <w:rPr>
                <w:szCs w:val="22"/>
                <w:lang w:val="es-ES_tradnl"/>
              </w:rPr>
            </w:pPr>
            <w:r>
              <w:rPr>
                <w:szCs w:val="22"/>
                <w:lang w:val="es-ES_tradnl"/>
              </w:rPr>
              <w:t>2.374.177</w:t>
            </w:r>
          </w:p>
        </w:tc>
        <w:tc>
          <w:tcPr>
            <w:tcW w:w="2256" w:type="dxa"/>
          </w:tcPr>
          <w:p w:rsidR="00000000" w:rsidRDefault="00000000">
            <w:pPr>
              <w:jc w:val="right"/>
            </w:pPr>
            <w:r>
              <w:rPr>
                <w:szCs w:val="22"/>
                <w:lang w:val="es-ES_tradnl"/>
              </w:rPr>
              <w:t>100</w:t>
            </w:r>
          </w:p>
        </w:tc>
      </w:tr>
    </w:tbl>
    <w:p w:rsidR="00000000" w:rsidRDefault="00000000">
      <w:pPr>
        <w:spacing w:before="240" w:after="480"/>
      </w:pPr>
      <w:r>
        <w:rPr>
          <w:i/>
          <w:iCs/>
          <w:szCs w:val="22"/>
          <w:lang w:val="es-ES_tradnl"/>
        </w:rPr>
        <w:t>Fuente</w:t>
      </w:r>
      <w:r>
        <w:rPr>
          <w:szCs w:val="22"/>
          <w:lang w:val="es-ES_tradnl"/>
        </w:rPr>
        <w:t xml:space="preserve">:  </w:t>
      </w:r>
      <w:proofErr w:type="spellStart"/>
      <w:r>
        <w:rPr>
          <w:szCs w:val="22"/>
          <w:lang w:val="es-ES_tradnl"/>
        </w:rPr>
        <w:t>SIICE</w:t>
      </w:r>
      <w:proofErr w:type="spellEnd"/>
      <w:r>
        <w:rPr>
          <w:szCs w:val="22"/>
          <w:lang w:val="es-ES_tradnl"/>
        </w:rPr>
        <w:t xml:space="preserve"> Censos Nacionales, 1990 (DPA 98).</w:t>
      </w:r>
    </w:p>
    <w:p w:rsidR="00000000" w:rsidRDefault="00000000">
      <w:pPr>
        <w:spacing w:after="240"/>
      </w:pPr>
      <w:r>
        <w:rPr>
          <w:szCs w:val="25"/>
          <w:lang w:val="es-ES_tradnl"/>
        </w:rPr>
        <w:t>248.</w:t>
      </w:r>
      <w:r>
        <w:rPr>
          <w:szCs w:val="25"/>
          <w:lang w:val="es-ES_tradnl"/>
        </w:rPr>
        <w:tab/>
        <w:t>La crisis económica ha obligado a que cada vez más se vaya incorporando la mano de obra de los menores de edad.  Los limitados ingresos económicos de sus hogares para satisfacer sus necesidades básicas han devenido en detrimento de la calidad de vida, en muchos de los casos los menores se ven obligados a dejar sus estudios a fin de contribuir a los ingresos familiares.  El problema del trabajo de los menores es que les resta posibilidades en la educación y de rendir adecuadamente en la escuela.  Todo esto redunda en limitaciones para insertarse en el mercado de trabajo de adultos, perpetuándose así su situación de pobreza.</w:t>
      </w:r>
    </w:p>
    <w:p w:rsidR="00000000" w:rsidRDefault="00000000">
      <w:pPr>
        <w:spacing w:after="240"/>
      </w:pPr>
      <w:r>
        <w:rPr>
          <w:szCs w:val="25"/>
          <w:lang w:val="es-ES_tradnl"/>
        </w:rPr>
        <w:t>249.</w:t>
      </w:r>
      <w:r>
        <w:rPr>
          <w:szCs w:val="25"/>
          <w:lang w:val="es-ES_tradnl"/>
        </w:rPr>
        <w:tab/>
        <w:t>No se podría afirmar que este tipo de relación de trabajo no existe.  Sin embargo, los niños pertenecientes a familias de bajos recursos y los niños trabajadores contribuyen a los ingresos familiares como mano de obra productiva.</w:t>
      </w:r>
    </w:p>
    <w:p w:rsidR="00000000" w:rsidRDefault="00000000">
      <w:pPr>
        <w:spacing w:after="240"/>
      </w:pPr>
      <w:r>
        <w:rPr>
          <w:szCs w:val="25"/>
          <w:lang w:val="es-ES_tradnl"/>
        </w:rPr>
        <w:t>250.</w:t>
      </w:r>
      <w:r>
        <w:rPr>
          <w:szCs w:val="25"/>
          <w:lang w:val="es-ES_tradnl"/>
        </w:rPr>
        <w:tab/>
        <w:t>En el área rural también se puede afirmar que existe una contribución al trabajo por parte de la niñez; sin embargo no existen estudios particularizados sobre el tema que permitan cuantificar el número de niños que realizan dicha tarea.</w:t>
      </w:r>
    </w:p>
    <w:p w:rsidR="00000000" w:rsidRDefault="00000000">
      <w:pPr>
        <w:spacing w:after="240"/>
      </w:pPr>
      <w:r>
        <w:rPr>
          <w:szCs w:val="25"/>
          <w:lang w:val="es-ES_tradnl"/>
        </w:rPr>
        <w:t>251.</w:t>
      </w:r>
      <w:r>
        <w:rPr>
          <w:szCs w:val="25"/>
          <w:lang w:val="es-ES_tradnl"/>
        </w:rPr>
        <w:tab/>
        <w:t>Además de las modalidades tradicionales, anotadas anteriormente, se han introducido otras alternativas a la institucionalización de los niños, niñas y adolescentes que se encuentran en situación de riesgo y abandono total o parcial.</w:t>
      </w:r>
    </w:p>
    <w:p w:rsidR="00000000" w:rsidRDefault="00000000">
      <w:pPr>
        <w:spacing w:after="240"/>
      </w:pPr>
      <w:r>
        <w:rPr>
          <w:szCs w:val="25"/>
          <w:lang w:val="es-ES_tradnl"/>
        </w:rPr>
        <w:t>252.</w:t>
      </w:r>
      <w:r>
        <w:rPr>
          <w:szCs w:val="25"/>
          <w:lang w:val="es-ES_tradnl"/>
        </w:rPr>
        <w:tab/>
        <w:t>La casa familia es un modelo alternativo a la institucionalización de los niños, niñas y adolescentes que se encuentran en situación de riesgo y abandono, debido a la crisis familiar de gravedad y duración, que se han puesto en riesgo de abandono total o parcial, donde se aplicará esta medida como temporal, profesional y terapéutica en tanto se estudia la situación familiar y legal de cada caso para su reinserción a su familia biológica o, de no tenerla, establecer la comunicación definitiva en una familia que cumpla las condiciones de un verdadero hogar.  La casa familia consiste en una casa de tipo familiar común y corriente, insertada en la geografía de un barrio con relaciones de vecindad en la que vive un núcleo máximo de cinco personas que manejan sus relaciones interpersonales en el contexto de una familia.</w:t>
      </w:r>
    </w:p>
    <w:p w:rsidR="00000000" w:rsidRDefault="00000000">
      <w:pPr>
        <w:spacing w:after="240"/>
      </w:pPr>
      <w:r>
        <w:rPr>
          <w:lang w:val="es-ES_tradnl"/>
        </w:rPr>
        <w:t>253.</w:t>
      </w:r>
      <w:r>
        <w:rPr>
          <w:lang w:val="es-ES_tradnl"/>
        </w:rPr>
        <w:tab/>
        <w:t xml:space="preserve">Las familias </w:t>
      </w:r>
      <w:proofErr w:type="spellStart"/>
      <w:r>
        <w:rPr>
          <w:lang w:val="es-ES_tradnl"/>
        </w:rPr>
        <w:t>acogientes</w:t>
      </w:r>
      <w:proofErr w:type="spellEnd"/>
      <w:r>
        <w:rPr>
          <w:lang w:val="es-ES_tradnl"/>
        </w:rPr>
        <w:t xml:space="preserve"> son familias que, siendo auspiciadas por un programa específico, reciben a niños, niñas y adolescentes para brindarles apoyo en el proceso de reinserción familiar.  Son familias tradicionales entendiéndose como tal familias funcionales.</w:t>
      </w:r>
    </w:p>
    <w:p w:rsidR="00000000" w:rsidRDefault="00000000">
      <w:pPr>
        <w:spacing w:after="240"/>
      </w:pPr>
      <w:r>
        <w:rPr>
          <w:lang w:val="es-ES_tradnl"/>
        </w:rPr>
        <w:t>254.</w:t>
      </w:r>
      <w:r>
        <w:rPr>
          <w:lang w:val="es-ES_tradnl"/>
        </w:rPr>
        <w:tab/>
        <w:t>En cuanto a la situación de los niños huérfanos y abandonados, se desarrollan programas alternativos de reinserción familiar, acogimiento familiar, casas familias y adopción.</w:t>
      </w:r>
    </w:p>
    <w:p w:rsidR="00000000" w:rsidRDefault="00000000">
      <w:pPr>
        <w:spacing w:after="240"/>
      </w:pPr>
      <w:r>
        <w:rPr>
          <w:lang w:val="es-ES_tradnl"/>
        </w:rPr>
        <w:t>255.</w:t>
      </w:r>
      <w:r>
        <w:rPr>
          <w:lang w:val="es-ES_tradnl"/>
        </w:rPr>
        <w:tab/>
        <w:t>La reinserción familiar es un proceso mediante el cual se pretende restablecer las relaciones familiares que han sido lesionadas creando un ambiente favorable para el retorno del niño a su hogar.  Este proceso es acompañado por profesionales que facilitan y racionalizan el acercamiento del niño a sus padres o a quienes cumplan con este papel.  La reinserción familiar debe intentarse siempre que sea posible y cuando la familia ofrezca garantías para el bienestar de sus hijos.  Es importante tomar en cuenta para la reinserción familiar el análisis del núcleo familiar y trabajar con su problemática porque de lo contrario el niño nuevamente será abandonado.</w:t>
      </w:r>
    </w:p>
    <w:p w:rsidR="00000000" w:rsidRDefault="00000000">
      <w:pPr>
        <w:spacing w:after="240"/>
      </w:pPr>
      <w:r>
        <w:rPr>
          <w:lang w:val="es-ES_tradnl"/>
        </w:rPr>
        <w:t>256.</w:t>
      </w:r>
      <w:r>
        <w:rPr>
          <w:lang w:val="es-ES_tradnl"/>
        </w:rPr>
        <w:tab/>
        <w:t>La libertad asistida consiste en la alternativa para la rehabilitación de los adolescentes que busca que la familia se integre al proceso, asistiendo a la institución de manera periódica a fin de brindarles tratamiento integral en las áreas educativa, social, psicológica y legal.</w:t>
      </w:r>
    </w:p>
    <w:p w:rsidR="00000000" w:rsidRDefault="00000000">
      <w:pPr>
        <w:spacing w:after="240"/>
      </w:pPr>
      <w:r>
        <w:rPr>
          <w:lang w:val="es-ES_tradnl"/>
        </w:rPr>
        <w:t>257.</w:t>
      </w:r>
      <w:r>
        <w:rPr>
          <w:lang w:val="es-ES_tradnl"/>
        </w:rPr>
        <w:tab/>
        <w:t>La adopción es una institución jurídica a través de la cual el niño que ha sido abandonado tiene la oportunidad de formar parte de una familia estable y permanente, asegurándole el cumplimiento de su derecho a vivir en familia y de conseguir el desarrollo armónico e integral, dentro de un ambiente de afectividad, legalidad y comprensión.</w:t>
      </w:r>
    </w:p>
    <w:p w:rsidR="00000000" w:rsidRDefault="00000000">
      <w:pPr>
        <w:spacing w:after="240"/>
      </w:pPr>
      <w:r>
        <w:rPr>
          <w:lang w:val="es-ES_tradnl"/>
        </w:rPr>
        <w:t>258.</w:t>
      </w:r>
      <w:r>
        <w:rPr>
          <w:lang w:val="es-ES_tradnl"/>
        </w:rPr>
        <w:tab/>
        <w:t>La inscripción de programas son regulados por la Dirección de Protección de Menores:  "Los programas y proyectos:  que las organizaciones públicas y privadas realicen para la prevención, protección, rehabilitación, participación y defensa de los menores de edad deberán ser autorizados e inscritos en la Dirección de Protección de Menores"</w:t>
      </w:r>
      <w:r>
        <w:rPr>
          <w:rStyle w:val="FootnoteReference"/>
          <w:lang w:val="es-ES_tradnl"/>
        </w:rPr>
        <w:footnoteReference w:id="32"/>
      </w:r>
      <w:r>
        <w:rPr>
          <w:lang w:val="es-ES_tradnl"/>
        </w:rPr>
        <w:t>.</w:t>
      </w:r>
    </w:p>
    <w:p w:rsidR="00000000" w:rsidRDefault="00000000">
      <w:pPr>
        <w:spacing w:after="240"/>
      </w:pPr>
      <w:r>
        <w:rPr>
          <w:lang w:val="es-ES_tradnl"/>
        </w:rPr>
        <w:t>259.</w:t>
      </w:r>
      <w:r>
        <w:rPr>
          <w:lang w:val="es-ES_tradnl"/>
        </w:rPr>
        <w:tab/>
        <w:t>El Instituto Nacional del Niño y la Familia (</w:t>
      </w:r>
      <w:proofErr w:type="spellStart"/>
      <w:r>
        <w:rPr>
          <w:lang w:val="es-ES_tradnl"/>
        </w:rPr>
        <w:t>INNFA</w:t>
      </w:r>
      <w:proofErr w:type="spellEnd"/>
      <w:r>
        <w:rPr>
          <w:lang w:val="es-ES_tradnl"/>
        </w:rPr>
        <w:t>) ejecuta actualmente seis programas en favor de la población más necesitada; uno de ellos es el Programa Acción Médica Solidaria (</w:t>
      </w:r>
      <w:proofErr w:type="spellStart"/>
      <w:r>
        <w:rPr>
          <w:lang w:val="es-ES_tradnl"/>
        </w:rPr>
        <w:t>PAMS</w:t>
      </w:r>
      <w:proofErr w:type="spellEnd"/>
      <w:r>
        <w:rPr>
          <w:lang w:val="es-ES_tradnl"/>
        </w:rPr>
        <w:t>), que dirige su accionar hacia las personas con discapacidad a escala nacional y que atiende a personas con discapacidades físicas, sensoriales o mentales, dando prioridad a los menores de 18 años de escasos recursos económicos.</w:t>
      </w:r>
    </w:p>
    <w:p w:rsidR="00000000" w:rsidRDefault="00000000">
      <w:pPr>
        <w:spacing w:after="240"/>
      </w:pPr>
      <w:r>
        <w:rPr>
          <w:lang w:val="es-ES_tradnl"/>
        </w:rPr>
        <w:t>260.</w:t>
      </w:r>
      <w:r>
        <w:rPr>
          <w:lang w:val="es-ES_tradnl"/>
        </w:rPr>
        <w:tab/>
        <w:t xml:space="preserve">Su misión es brindar atención especializada de calidad </w:t>
      </w:r>
      <w:proofErr w:type="spellStart"/>
      <w:r>
        <w:rPr>
          <w:lang w:val="es-ES_tradnl"/>
        </w:rPr>
        <w:t>y/o</w:t>
      </w:r>
      <w:proofErr w:type="spellEnd"/>
      <w:r>
        <w:rPr>
          <w:lang w:val="es-ES_tradnl"/>
        </w:rPr>
        <w:t xml:space="preserve"> subsidios médicos a personas con deficiencias, discapacidades o minusvalías, buscando su integración social y dando prioridad a aquellas de bajos recursos económicos.</w:t>
      </w:r>
    </w:p>
    <w:p w:rsidR="00000000" w:rsidRDefault="00000000">
      <w:pPr>
        <w:spacing w:after="240"/>
      </w:pPr>
      <w:r>
        <w:rPr>
          <w:lang w:val="es-ES_tradnl"/>
        </w:rPr>
        <w:t>261.</w:t>
      </w:r>
      <w:r>
        <w:rPr>
          <w:lang w:val="es-ES_tradnl"/>
        </w:rPr>
        <w:tab/>
        <w:t xml:space="preserve">De conformidad con las políticas institucionales, los servicios del </w:t>
      </w:r>
      <w:proofErr w:type="spellStart"/>
      <w:r>
        <w:rPr>
          <w:lang w:val="es-ES_tradnl"/>
        </w:rPr>
        <w:t>PAMS</w:t>
      </w:r>
      <w:proofErr w:type="spellEnd"/>
      <w:r>
        <w:rPr>
          <w:lang w:val="es-ES_tradnl"/>
        </w:rPr>
        <w:t xml:space="preserve"> trabajan en función de la demanda y no de la oferta; sin embargo, dada la calidad de los servicios y tarifas simbólicas de atención, la cobertura de estas unidades ha ido incrementándose cada año en un 10%.  Hasta el mes de noviembre de 1999 se han brindado 275.000 atenciones; al finalizar el año con seguridad superará las 300.000 atenciones; es decir, aproximadamente 60.000 pacientes que habrán recibido un promedio de cinco atenciones para su rehabilitación</w:t>
      </w:r>
      <w:r>
        <w:rPr>
          <w:rStyle w:val="FootnoteReference"/>
          <w:lang w:val="es-ES_tradnl"/>
        </w:rPr>
        <w:footnoteReference w:id="33"/>
      </w:r>
      <w:r>
        <w:rPr>
          <w:lang w:val="es-ES_tradnl"/>
        </w:rPr>
        <w:t>.</w:t>
      </w:r>
    </w:p>
    <w:p w:rsidR="00000000" w:rsidRDefault="00000000">
      <w:pPr>
        <w:spacing w:after="240"/>
        <w:rPr>
          <w:i/>
          <w:iCs/>
        </w:rPr>
      </w:pPr>
      <w:r>
        <w:rPr>
          <w:i/>
          <w:iCs/>
          <w:lang w:val="es-ES_tradnl"/>
        </w:rPr>
        <w:t>Programas nacionales</w:t>
      </w:r>
    </w:p>
    <w:p w:rsidR="00000000" w:rsidRDefault="00000000">
      <w:pPr>
        <w:spacing w:after="240"/>
      </w:pPr>
      <w:r>
        <w:rPr>
          <w:lang w:val="es-ES_tradnl"/>
        </w:rPr>
        <w:t>262.</w:t>
      </w:r>
      <w:r>
        <w:rPr>
          <w:lang w:val="es-ES_tradnl"/>
        </w:rPr>
        <w:tab/>
        <w:t>Dentro de los programas y proyectos que desarrolla la Dirección Nacional de Protección de Menores se realiza la capacitación a los centros infantiles y evaluaciones institucionales a los centros públicos y privados.  En el área de estimulación se ha producido material técnico de apoyo para el personal que labora en los centros, tales como la elaboración y publicación de guías para el desarrollo integral para niños menores de 5 años de edad en la que abordan contenidos de estimulación, salud nutrición y seguridad.  En la actualidad el Departamento de Cuidado Diario cuenta con:</w:t>
      </w:r>
    </w:p>
    <w:p w:rsidR="00000000" w:rsidRDefault="00000000">
      <w:pPr>
        <w:keepNext/>
        <w:keepLines/>
        <w:spacing w:after="240"/>
        <w:ind w:left="1134" w:hanging="567"/>
      </w:pPr>
      <w:r>
        <w:rPr>
          <w:lang w:val="es-ES_tradnl"/>
        </w:rPr>
        <w:t>a)</w:t>
      </w:r>
      <w:r>
        <w:rPr>
          <w:lang w:val="es-ES_tradnl"/>
        </w:rPr>
        <w:tab/>
        <w:t xml:space="preserve">Manuales de organización de centros infantiles, nutrición y salud, además de un manual de </w:t>
      </w:r>
      <w:proofErr w:type="spellStart"/>
      <w:r>
        <w:rPr>
          <w:lang w:val="es-ES_tradnl"/>
        </w:rPr>
        <w:t>autocapacitación</w:t>
      </w:r>
      <w:proofErr w:type="spellEnd"/>
      <w:r>
        <w:rPr>
          <w:lang w:val="es-ES_tradnl"/>
        </w:rPr>
        <w:t xml:space="preserve"> que tiene que ver con el desarrollo </w:t>
      </w:r>
      <w:proofErr w:type="spellStart"/>
      <w:r>
        <w:rPr>
          <w:lang w:val="es-ES_tradnl"/>
        </w:rPr>
        <w:t>psicosocioafectivo</w:t>
      </w:r>
      <w:proofErr w:type="spellEnd"/>
      <w:r>
        <w:rPr>
          <w:lang w:val="es-ES_tradnl"/>
        </w:rPr>
        <w:t xml:space="preserve"> del niño, el cual se ha tratado de enmarcarlo dentro de los lineamientos de la reforma curricular consensuada en razón de mantener coherencia y vinculación con la propuesta educativa del país.</w:t>
      </w:r>
    </w:p>
    <w:p w:rsidR="00000000" w:rsidRDefault="00000000">
      <w:pPr>
        <w:spacing w:after="240"/>
        <w:ind w:left="1134" w:hanging="567"/>
      </w:pPr>
      <w:r>
        <w:rPr>
          <w:lang w:val="es-ES_tradnl"/>
        </w:rPr>
        <w:t>b)</w:t>
      </w:r>
      <w:r>
        <w:rPr>
          <w:lang w:val="es-ES_tradnl"/>
        </w:rPr>
        <w:tab/>
        <w:t>Capacitación al personal que labora en los centros infantiles con el fin de dar directrices sobre el funcionamiento de estos centros, así como la importancia de la educación inicial, garantizando así el cumplimiento de los derechos de los niños y niñas.</w:t>
      </w:r>
    </w:p>
    <w:p w:rsidR="00000000" w:rsidRDefault="00000000">
      <w:pPr>
        <w:spacing w:after="240"/>
        <w:ind w:left="1134" w:hanging="567"/>
      </w:pPr>
      <w:r>
        <w:rPr>
          <w:lang w:val="es-ES_tradnl"/>
        </w:rPr>
        <w:t>c)</w:t>
      </w:r>
      <w:r>
        <w:rPr>
          <w:lang w:val="es-ES_tradnl"/>
        </w:rPr>
        <w:tab/>
        <w:t>Becas en los centros infantiles privados para los niños y niñas de escasos recursos económicos con el objeto de garantizarles la protección y atención adecuadas.  Para ello se aplica el artículo pertinente a la concesión de becas estipulado en el reglamento para el establecimiento y funcionamiento de los centros infantiles privados, por el cual se dispone el 10 % del cupo total otorgado.</w:t>
      </w:r>
    </w:p>
    <w:p w:rsidR="00000000" w:rsidRDefault="00000000">
      <w:pPr>
        <w:spacing w:after="240"/>
      </w:pPr>
      <w:r>
        <w:rPr>
          <w:lang w:val="es-ES_tradnl"/>
        </w:rPr>
        <w:t>263.</w:t>
      </w:r>
      <w:r>
        <w:rPr>
          <w:lang w:val="es-ES_tradnl"/>
        </w:rPr>
        <w:tab/>
        <w:t>En lo que respecta a los centros infantiles públicos se ha mantenido un número de la cobertura ínfima en relación con la demanda de servicios, agravados por la crisis económica y social del país.</w:t>
      </w:r>
    </w:p>
    <w:p w:rsidR="00000000" w:rsidRDefault="00000000">
      <w:pPr>
        <w:spacing w:after="240"/>
        <w:rPr>
          <w:i/>
          <w:iCs/>
        </w:rPr>
      </w:pPr>
      <w:r>
        <w:rPr>
          <w:i/>
          <w:iCs/>
          <w:lang w:val="es-ES_tradnl"/>
        </w:rPr>
        <w:t>Principales problemas</w:t>
      </w:r>
    </w:p>
    <w:p w:rsidR="00000000" w:rsidRDefault="00000000">
      <w:pPr>
        <w:spacing w:after="240"/>
      </w:pPr>
      <w:r>
        <w:rPr>
          <w:lang w:val="es-ES_tradnl"/>
        </w:rPr>
        <w:t>264.</w:t>
      </w:r>
      <w:r>
        <w:rPr>
          <w:lang w:val="es-ES_tradnl"/>
        </w:rPr>
        <w:tab/>
        <w:t xml:space="preserve">En el documento elaborado por el </w:t>
      </w:r>
      <w:proofErr w:type="spellStart"/>
      <w:r>
        <w:rPr>
          <w:lang w:val="es-ES_tradnl"/>
        </w:rPr>
        <w:t>INNFA</w:t>
      </w:r>
      <w:proofErr w:type="spellEnd"/>
      <w:r>
        <w:rPr>
          <w:lang w:val="es-ES_tradnl"/>
        </w:rPr>
        <w:t xml:space="preserve"> en agosto de 1999 "Medidas de protección y asistencia que el programa de protección y educación desarrolla en beneficio de los niños, niñas y adolescentes trabajadores", se señala que en el Ecuador "existe una gran cantidad de niños y adolescentes que trabajan; la mayor parte lo hace en jornadas intensivas".</w:t>
      </w:r>
    </w:p>
    <w:p w:rsidR="00000000" w:rsidRDefault="00000000">
      <w:pPr>
        <w:spacing w:after="240"/>
      </w:pPr>
      <w:r>
        <w:rPr>
          <w:lang w:val="es-ES_tradnl"/>
        </w:rPr>
        <w:t>265.</w:t>
      </w:r>
      <w:r>
        <w:rPr>
          <w:lang w:val="es-ES_tradnl"/>
        </w:rPr>
        <w:tab/>
        <w:t xml:space="preserve">Existen niños y niñas trabajando en la </w:t>
      </w:r>
      <w:proofErr w:type="spellStart"/>
      <w:r>
        <w:rPr>
          <w:lang w:val="es-ES_tradnl"/>
        </w:rPr>
        <w:t>prostitución</w:t>
      </w:r>
      <w:proofErr w:type="spellEnd"/>
      <w:r>
        <w:rPr>
          <w:lang w:val="es-ES_tradnl"/>
        </w:rPr>
        <w:t>, basureros, ladrilleras y tejerías, servicio doméstico, la calle, la construcción, plantaciones agrícolas, talleres de fabricación de alfombras, puertos, pesca y minas en jornadas nocturnas.  Señala además que estos menores desarrollan su trabajo en ambientes deteriorados, sin el equipo de protección adecuado, por lo cual las actividades que realizan suponen peligro para su salud y desarrollo.</w:t>
      </w:r>
    </w:p>
    <w:p w:rsidR="00000000" w:rsidRDefault="00000000">
      <w:pPr>
        <w:spacing w:after="240"/>
      </w:pPr>
      <w:r>
        <w:rPr>
          <w:lang w:val="es-ES_tradnl"/>
        </w:rPr>
        <w:t>266.</w:t>
      </w:r>
      <w:r>
        <w:rPr>
          <w:lang w:val="es-ES_tradnl"/>
        </w:rPr>
        <w:tab/>
        <w:t xml:space="preserve">Ante esta problemática, el Estado ecuatoriano, a través del </w:t>
      </w:r>
      <w:proofErr w:type="spellStart"/>
      <w:r>
        <w:rPr>
          <w:lang w:val="es-ES_tradnl"/>
        </w:rPr>
        <w:t>INNFA</w:t>
      </w:r>
      <w:proofErr w:type="spellEnd"/>
      <w:r>
        <w:rPr>
          <w:lang w:val="es-ES_tradnl"/>
        </w:rPr>
        <w:t xml:space="preserve"> y otros organismos de carácter público y privado como las ONG, despliega acciones para disminuir los niveles de pobreza de la población.</w:t>
      </w:r>
    </w:p>
    <w:p w:rsidR="00000000" w:rsidRDefault="00000000">
      <w:pPr>
        <w:spacing w:after="240"/>
      </w:pPr>
      <w:r>
        <w:rPr>
          <w:lang w:val="es-ES_tradnl"/>
        </w:rPr>
        <w:t>267.</w:t>
      </w:r>
      <w:r>
        <w:rPr>
          <w:lang w:val="es-ES_tradnl"/>
        </w:rPr>
        <w:tab/>
        <w:t xml:space="preserve">Los programas que se encuentra desarrollando el </w:t>
      </w:r>
      <w:proofErr w:type="spellStart"/>
      <w:r>
        <w:rPr>
          <w:lang w:val="es-ES_tradnl"/>
        </w:rPr>
        <w:t>INNFA</w:t>
      </w:r>
      <w:proofErr w:type="spellEnd"/>
      <w:r>
        <w:rPr>
          <w:lang w:val="es-ES_tradnl"/>
        </w:rPr>
        <w:t xml:space="preserve"> actualmente son los siguientes:</w:t>
      </w:r>
    </w:p>
    <w:p w:rsidR="00000000" w:rsidRDefault="00000000">
      <w:pPr>
        <w:spacing w:after="240"/>
        <w:ind w:left="1134" w:hanging="567"/>
      </w:pPr>
      <w:r>
        <w:rPr>
          <w:lang w:val="es-ES_tradnl"/>
        </w:rPr>
        <w:t>a)</w:t>
      </w:r>
      <w:r>
        <w:rPr>
          <w:lang w:val="es-ES_tradnl"/>
        </w:rPr>
        <w:tab/>
        <w:t>Programa de Desarrollo Infantil (</w:t>
      </w:r>
      <w:proofErr w:type="spellStart"/>
      <w:r>
        <w:rPr>
          <w:lang w:val="es-ES_tradnl"/>
        </w:rPr>
        <w:t>PDI</w:t>
      </w:r>
      <w:proofErr w:type="spellEnd"/>
      <w:r>
        <w:rPr>
          <w:lang w:val="es-ES_tradnl"/>
        </w:rPr>
        <w:t xml:space="preserve">):  brinda atención en nutrición, salud y desarrollo </w:t>
      </w:r>
      <w:proofErr w:type="spellStart"/>
      <w:r>
        <w:rPr>
          <w:lang w:val="es-ES_tradnl"/>
        </w:rPr>
        <w:t>psicosocial</w:t>
      </w:r>
      <w:proofErr w:type="spellEnd"/>
      <w:r>
        <w:rPr>
          <w:lang w:val="es-ES_tradnl"/>
        </w:rPr>
        <w:t xml:space="preserve"> a niños y niñas de 0 a 6 años en los centros de desarrollo infantil, </w:t>
      </w:r>
      <w:proofErr w:type="spellStart"/>
      <w:r>
        <w:rPr>
          <w:lang w:val="es-ES_tradnl"/>
        </w:rPr>
        <w:t>corresponsabilizando</w:t>
      </w:r>
      <w:proofErr w:type="spellEnd"/>
      <w:r>
        <w:rPr>
          <w:lang w:val="es-ES_tradnl"/>
        </w:rPr>
        <w:t xml:space="preserve"> a los padres de familia, la comunidad y gobiernos locales en el cuidado de los niños.  Su cobertura será, en 1999, de 45.000 menores de 6 años a ser atendidos en 1.200 centros infantiles de cuidado diario.</w:t>
      </w:r>
    </w:p>
    <w:p w:rsidR="00000000" w:rsidRDefault="00000000">
      <w:pPr>
        <w:spacing w:after="240"/>
        <w:ind w:left="1134" w:hanging="567"/>
      </w:pPr>
      <w:r>
        <w:rPr>
          <w:lang w:val="es-ES_tradnl"/>
        </w:rPr>
        <w:t>b)</w:t>
      </w:r>
      <w:r>
        <w:rPr>
          <w:lang w:val="es-ES_tradnl"/>
        </w:rPr>
        <w:tab/>
        <w:t>Programa para Niños Trabajadores (</w:t>
      </w:r>
      <w:proofErr w:type="spellStart"/>
      <w:r>
        <w:rPr>
          <w:lang w:val="es-ES_tradnl"/>
        </w:rPr>
        <w:t>PNT</w:t>
      </w:r>
      <w:proofErr w:type="spellEnd"/>
      <w:r>
        <w:rPr>
          <w:lang w:val="es-ES_tradnl"/>
        </w:rPr>
        <w:t>):  destinado a promover la escolarización de niños y niñas trabajadores de 7 a 15 años de edad y la erradicación progresiva del trabajo infantil peligroso que atente contra la integridad de los niños.  Se prevé la entrega de becas escolares a 12.150 niños entre 7 y 15 años que trabajan y no estudian, en 23 ciudades del país, y la entrega de beca escolar y apoyo económico a las familias de 1.050 niños entre 7 y 15 años que realizan trabajos peligrosos en 18 ciudades del país.</w:t>
      </w:r>
    </w:p>
    <w:p w:rsidR="00000000" w:rsidRDefault="00000000">
      <w:pPr>
        <w:spacing w:after="240"/>
        <w:ind w:left="1134" w:hanging="567"/>
      </w:pPr>
      <w:r>
        <w:rPr>
          <w:lang w:val="es-ES_tradnl"/>
        </w:rPr>
        <w:t>c)</w:t>
      </w:r>
      <w:r>
        <w:rPr>
          <w:lang w:val="es-ES_tradnl"/>
        </w:rPr>
        <w:tab/>
        <w:t>Programa Acción Ciudadana por la Ternura (</w:t>
      </w:r>
      <w:proofErr w:type="spellStart"/>
      <w:r>
        <w:rPr>
          <w:lang w:val="es-ES_tradnl"/>
        </w:rPr>
        <w:t>ACT</w:t>
      </w:r>
      <w:proofErr w:type="spellEnd"/>
      <w:r>
        <w:rPr>
          <w:lang w:val="es-ES_tradnl"/>
        </w:rPr>
        <w:t>):  destinado a promover el buen trato, entendiéndose como el mejoramiento de la calidad y la calidez entre niños, niñas y jóvenes con los adultos y entre sí, en los espacios cotidianos.  Trabajo directo con 10.500 niños y jóvenes en proyectos por el buen trato y participación local en 18 ciudades.</w:t>
      </w:r>
    </w:p>
    <w:p w:rsidR="00000000" w:rsidRDefault="00000000">
      <w:pPr>
        <w:spacing w:after="240"/>
        <w:ind w:left="1134" w:hanging="567"/>
      </w:pPr>
      <w:r>
        <w:rPr>
          <w:lang w:val="es-ES_tradnl"/>
        </w:rPr>
        <w:t>d)</w:t>
      </w:r>
      <w:r>
        <w:rPr>
          <w:lang w:val="es-ES_tradnl"/>
        </w:rPr>
        <w:tab/>
        <w:t xml:space="preserve">Programa Nacional del Voluntariado (PNV):  destinado a involucrar a grupos voluntarios en actividades de apoyo a la gestión del </w:t>
      </w:r>
      <w:proofErr w:type="spellStart"/>
      <w:r>
        <w:rPr>
          <w:lang w:val="es-ES_tradnl"/>
        </w:rPr>
        <w:t>INNFA</w:t>
      </w:r>
      <w:proofErr w:type="spellEnd"/>
      <w:r>
        <w:rPr>
          <w:lang w:val="es-ES_tradnl"/>
        </w:rPr>
        <w:t xml:space="preserve">, y capacitar a los grupos del voluntariado en temas de infancia, con 325.000 beneficiarios a través de la campaña de </w:t>
      </w:r>
      <w:proofErr w:type="spellStart"/>
      <w:r>
        <w:rPr>
          <w:lang w:val="es-ES_tradnl"/>
        </w:rPr>
        <w:t>desparasitación</w:t>
      </w:r>
      <w:proofErr w:type="spellEnd"/>
      <w:r>
        <w:rPr>
          <w:lang w:val="es-ES_tradnl"/>
        </w:rPr>
        <w:t xml:space="preserve"> para el período 1999-2002.</w:t>
      </w:r>
    </w:p>
    <w:p w:rsidR="00000000" w:rsidRDefault="00000000">
      <w:pPr>
        <w:spacing w:after="240"/>
        <w:ind w:left="1134" w:hanging="567"/>
      </w:pPr>
      <w:r>
        <w:rPr>
          <w:lang w:val="es-ES_tradnl"/>
        </w:rPr>
        <w:t>e)</w:t>
      </w:r>
      <w:r>
        <w:rPr>
          <w:lang w:val="es-ES_tradnl"/>
        </w:rPr>
        <w:tab/>
        <w:t>Programa Creciendo con Nuestros Hijos (</w:t>
      </w:r>
      <w:proofErr w:type="spellStart"/>
      <w:r>
        <w:rPr>
          <w:lang w:val="es-ES_tradnl"/>
        </w:rPr>
        <w:t>CNH</w:t>
      </w:r>
      <w:proofErr w:type="spellEnd"/>
      <w:r>
        <w:rPr>
          <w:lang w:val="es-ES_tradnl"/>
        </w:rPr>
        <w:t>):  a través de su acción logra el mayor desarrollo posible de cada niño preparando a la familia como el medio educativo y estimulador más propicio para el desarrollo social del niño; 15.000 niños de 0 a 6 años han sido atendidos mediante actividades educativas con niños y familias en 12 provincias.</w:t>
      </w:r>
    </w:p>
    <w:p w:rsidR="00000000" w:rsidRDefault="00000000">
      <w:pPr>
        <w:spacing w:after="240"/>
        <w:ind w:left="1134" w:hanging="567"/>
      </w:pPr>
      <w:r>
        <w:rPr>
          <w:lang w:val="es-ES_tradnl"/>
        </w:rPr>
        <w:t>f)</w:t>
      </w:r>
      <w:r>
        <w:rPr>
          <w:lang w:val="es-ES_tradnl"/>
        </w:rPr>
        <w:tab/>
        <w:t>Programa de Acción Médica (PAM):  destinado a apoyar económicamente a pacientes de escasos recursos económicos que sufran de enfermedades complejas.  Su cobertura se extenderá a 65.000 personas que sufren de alguna discapacidad física, mental o sensorial, que serán atendidas en los centros de rehabilitación médicos.  Existen alrededor de 6.700 personas que sufren de enfermedades complejas, que son atendidas mediante la entrega de ayudas médicas a través del servicio médico social.</w:t>
      </w:r>
    </w:p>
    <w:p w:rsidR="00000000" w:rsidRDefault="00000000">
      <w:pPr>
        <w:spacing w:after="240"/>
      </w:pPr>
      <w:r>
        <w:rPr>
          <w:lang w:val="es-ES_tradnl"/>
        </w:rPr>
        <w:t>268.</w:t>
      </w:r>
      <w:r>
        <w:rPr>
          <w:lang w:val="es-ES_tradnl"/>
        </w:rPr>
        <w:tab/>
        <w:t>El Ecuador fue el primer país latinoamericano y el tercero en el mundo en suscribir la Convención sobre los Derechos del Niño formalmente en 1990.</w:t>
      </w:r>
    </w:p>
    <w:p w:rsidR="00000000" w:rsidRDefault="00000000">
      <w:pPr>
        <w:spacing w:after="240"/>
      </w:pPr>
      <w:r>
        <w:rPr>
          <w:lang w:val="es-ES_tradnl"/>
        </w:rPr>
        <w:t>269.</w:t>
      </w:r>
      <w:r>
        <w:rPr>
          <w:lang w:val="es-ES_tradnl"/>
        </w:rPr>
        <w:tab/>
        <w:t>En 1992, el Congreso Nacional aprobó las reformas al Código de Menores, orientadas a modificar una legislación tradicional, atrasada y poco respetuosa de los derechos de la niñez y adolescencia.  Tres años después se expediría su reglamento.</w:t>
      </w:r>
    </w:p>
    <w:p w:rsidR="00000000" w:rsidRDefault="00000000">
      <w:pPr>
        <w:spacing w:after="240"/>
      </w:pPr>
      <w:r>
        <w:rPr>
          <w:lang w:val="es-ES_tradnl"/>
        </w:rPr>
        <w:t>270.</w:t>
      </w:r>
      <w:r>
        <w:rPr>
          <w:lang w:val="es-ES_tradnl"/>
        </w:rPr>
        <w:tab/>
        <w:t>La Asamblea Nacional Constituyente incorporó en 1998 en el texto constitucional la figura de que todos los niños, niñas y adolescentes son ciudadanos sujetos de todos los derechos comunes a la persona y estableció la corresponsabilidad del Estado de promover el desarrollo integral de la sociedad y la familia, y la obligatoriedad que tiene éste para establecer medidas de protección especial para situaciones de violación de los derechos de los niños, relacionadas con la explotación económica, sexual, violencia, negligencia, discapacidades, etc.</w:t>
      </w:r>
    </w:p>
    <w:p w:rsidR="00000000" w:rsidRDefault="00000000">
      <w:pPr>
        <w:spacing w:after="240"/>
      </w:pPr>
      <w:r>
        <w:rPr>
          <w:lang w:val="es-ES_tradnl"/>
        </w:rPr>
        <w:t>271.</w:t>
      </w:r>
      <w:r>
        <w:rPr>
          <w:lang w:val="es-ES_tradnl"/>
        </w:rPr>
        <w:tab/>
        <w:t>La Constitución garantiza los derechos de participación y asociación, el principio de igualdad ante la ley, la aplicación de todas las garantías constitucionales, el derecho al debido proceso y a una administración de justicia independiente e imparcial.  Dispone el traslado del sistema judicial de menores a la función judicial, la organización del sistema nacional descentralizado de protección integral de la niñez y adolescencia con un órgano rector nacional paritario cuya función es la definición de políticas nacionales, y establece el deber de los gobiernos seccionales de formular políticas locales para la niñez y adolescencia y destinar recursos preferentes para este sector (artículos 47 a 52 de la Constitución).</w:t>
      </w:r>
    </w:p>
    <w:p w:rsidR="00000000" w:rsidRDefault="00000000">
      <w:pPr>
        <w:spacing w:after="240"/>
      </w:pPr>
      <w:r>
        <w:rPr>
          <w:lang w:val="es-ES_tradnl"/>
        </w:rPr>
        <w:t>272.</w:t>
      </w:r>
      <w:r>
        <w:rPr>
          <w:lang w:val="es-ES_tradnl"/>
        </w:rPr>
        <w:tab/>
        <w:t xml:space="preserve">La nueva Constitución impulsa la necesidad de reformar el actual Código de Menores, para lo cual el Comité Consultivo, conformado por el Ministerio de Bienestar Social, la Comisión de la Mujer, el Niño y la Familia del Congreso Nacional, el </w:t>
      </w:r>
      <w:proofErr w:type="spellStart"/>
      <w:r>
        <w:rPr>
          <w:lang w:val="es-ES_tradnl"/>
        </w:rPr>
        <w:t>INNFA</w:t>
      </w:r>
      <w:proofErr w:type="spellEnd"/>
      <w:r>
        <w:rPr>
          <w:lang w:val="es-ES_tradnl"/>
        </w:rPr>
        <w:t xml:space="preserve">, </w:t>
      </w:r>
      <w:proofErr w:type="spellStart"/>
      <w:r>
        <w:rPr>
          <w:lang w:val="es-ES_tradnl"/>
        </w:rPr>
        <w:t>PROJUSTICIA</w:t>
      </w:r>
      <w:proofErr w:type="spellEnd"/>
      <w:r>
        <w:rPr>
          <w:lang w:val="es-ES_tradnl"/>
        </w:rPr>
        <w:t>, el Foro por la Niñez y la Adolescencia y el UNICEF, elaboró el proyecto.  La propuesta de un nuevo código de menores se encuentra en la segunda fase de consulta a los diversos sectores sociales y políticos a escala nacional, mediante la realización de encuestas para auscultar y recoger la opinión de los propios autores.</w:t>
      </w:r>
    </w:p>
    <w:p w:rsidR="00000000" w:rsidRDefault="00000000">
      <w:pPr>
        <w:spacing w:after="240"/>
      </w:pPr>
      <w:r>
        <w:rPr>
          <w:lang w:val="es-ES_tradnl"/>
        </w:rPr>
        <w:t>273.</w:t>
      </w:r>
      <w:r>
        <w:rPr>
          <w:lang w:val="es-ES_tradnl"/>
        </w:rPr>
        <w:tab/>
        <w:t xml:space="preserve">La Comisión de la Mujer, el Niño y la Familia del Congreso Nacional, conjuntamente con el Banco Interamericano de Desarrollo (BID), </w:t>
      </w:r>
      <w:proofErr w:type="spellStart"/>
      <w:r>
        <w:rPr>
          <w:lang w:val="es-ES_tradnl"/>
        </w:rPr>
        <w:t>PROJUSTICIA</w:t>
      </w:r>
      <w:proofErr w:type="spellEnd"/>
      <w:r>
        <w:rPr>
          <w:lang w:val="es-ES_tradnl"/>
        </w:rPr>
        <w:t xml:space="preserve"> y </w:t>
      </w:r>
      <w:proofErr w:type="spellStart"/>
      <w:r>
        <w:rPr>
          <w:lang w:val="es-ES_tradnl"/>
        </w:rPr>
        <w:t>CONAMU</w:t>
      </w:r>
      <w:proofErr w:type="spellEnd"/>
      <w:r>
        <w:rPr>
          <w:lang w:val="es-ES_tradnl"/>
        </w:rPr>
        <w:t>, se encuentra elaborando el proyecto de nuevo código de familia para el Ecuador, orientado a garantizar la igualdad de derechos y oportunidades en el acceso a los recursos y en la toma de decisiones económicas para la administración de la sociedad conyugal, y propone extender la aplicabilidad de las relaciones jurídicas familiares a otras formaciones sociales que cumplen funciones de familia fundadas en el apoyo y la solidaridad de sus integrantes.</w:t>
      </w:r>
    </w:p>
    <w:p w:rsidR="00000000" w:rsidRDefault="00000000">
      <w:pPr>
        <w:spacing w:after="240"/>
      </w:pPr>
      <w:r>
        <w:rPr>
          <w:lang w:val="es-ES_tradnl"/>
        </w:rPr>
        <w:t>274.</w:t>
      </w:r>
      <w:r>
        <w:rPr>
          <w:lang w:val="es-ES_tradnl"/>
        </w:rPr>
        <w:tab/>
        <w:t>El Ministerio de Bienestar Social, a través de la Dirección Nacional de Protección de Menores, cuenta con el proyecto "Nuestros niños", enfocado hacia el desarrollo infantil, con énfasis en los menores de 6 años.  El proyecto favorece la aplicación de políticas de mediano y largo plazo, es decir, está orientado por una visión de futuro del Ecuador respecto de</w:t>
      </w:r>
      <w:r>
        <w:rPr>
          <w:i/>
          <w:iCs/>
          <w:lang w:val="es-ES_tradnl"/>
        </w:rPr>
        <w:t xml:space="preserve"> </w:t>
      </w:r>
      <w:r>
        <w:rPr>
          <w:lang w:val="es-ES_tradnl"/>
        </w:rPr>
        <w:t>sus políticas y programas de atención y protección a la infancia.  Este proyecto está financiado por el BID.</w:t>
      </w:r>
    </w:p>
    <w:p w:rsidR="00000000" w:rsidRDefault="00000000">
      <w:pPr>
        <w:keepNext/>
        <w:keepLines/>
        <w:spacing w:after="240"/>
      </w:pPr>
      <w:r>
        <w:rPr>
          <w:b/>
          <w:bCs/>
          <w:szCs w:val="28"/>
          <w:lang w:val="es-ES_tradnl"/>
        </w:rPr>
        <w:t>Artículo 11</w:t>
      </w:r>
    </w:p>
    <w:p w:rsidR="00000000" w:rsidRDefault="00000000">
      <w:pPr>
        <w:keepNext/>
        <w:keepLines/>
        <w:spacing w:after="240"/>
      </w:pPr>
      <w:r>
        <w:rPr>
          <w:b/>
          <w:bCs/>
          <w:lang w:val="es-ES_tradnl"/>
        </w:rPr>
        <w:t>Desarrollo humano.  Nivel de vida</w:t>
      </w:r>
    </w:p>
    <w:p w:rsidR="00000000" w:rsidRDefault="00000000">
      <w:pPr>
        <w:spacing w:after="240"/>
      </w:pPr>
      <w:r>
        <w:rPr>
          <w:lang w:val="es-ES_tradnl"/>
        </w:rPr>
        <w:t>275.</w:t>
      </w:r>
      <w:r>
        <w:rPr>
          <w:lang w:val="es-ES_tradnl"/>
        </w:rPr>
        <w:tab/>
        <w:t>En 1999 la crisis económica en el Ecuador se ha visto agravada fundamentalmente por problemas del sector monetario de la economía, originados por el aumento constante del dólar frente al sucre, lo que obligó en el mes de febrero a las autoridades monetarias a eliminar el sistema de bandas cambiarias para adoptar un sistema de libre flotación.</w:t>
      </w:r>
    </w:p>
    <w:p w:rsidR="00000000" w:rsidRDefault="00000000">
      <w:pPr>
        <w:spacing w:after="240"/>
      </w:pPr>
      <w:r>
        <w:rPr>
          <w:lang w:val="es-ES_tradnl"/>
        </w:rPr>
        <w:t>276.</w:t>
      </w:r>
      <w:r>
        <w:rPr>
          <w:lang w:val="es-ES_tradnl"/>
        </w:rPr>
        <w:tab/>
        <w:t>La inestabilidad del sistema financiero nacional obligó al Gobierno en el mes de marzo a</w:t>
      </w:r>
      <w:r>
        <w:rPr>
          <w:lang w:val="es-ES_tradnl"/>
        </w:rPr>
        <w:br/>
        <w:t>decretar un feriado bancario que determinó el congelamiento de los depósitos del sistema financiero.  El Banco Central durante el año realizó la emisión primaria de dinero por más del 130% originada por la devolución de las garantías de depósito que realizó la Agencia de Garantía de Depósitos (</w:t>
      </w:r>
      <w:proofErr w:type="spellStart"/>
      <w:r>
        <w:rPr>
          <w:lang w:val="es-ES_tradnl"/>
        </w:rPr>
        <w:t>AGD</w:t>
      </w:r>
      <w:proofErr w:type="spellEnd"/>
      <w:r>
        <w:rPr>
          <w:lang w:val="es-ES_tradnl"/>
        </w:rPr>
        <w:t>).</w:t>
      </w:r>
    </w:p>
    <w:p w:rsidR="00000000" w:rsidRDefault="00000000">
      <w:pPr>
        <w:spacing w:after="240"/>
      </w:pPr>
      <w:r>
        <w:rPr>
          <w:lang w:val="es-ES_tradnl"/>
        </w:rPr>
        <w:t>277.</w:t>
      </w:r>
      <w:r>
        <w:rPr>
          <w:lang w:val="es-ES_tradnl"/>
        </w:rPr>
        <w:tab/>
        <w:t>El Gobierno emitió alrededor de 1.500 millones de dólares en bonos para dotar de liquidez a la banca, proceso que terminó con el cierre de algunas entidades y el remate de sus bienes físicos.  Varios banqueros están en prisión por ello.</w:t>
      </w:r>
    </w:p>
    <w:p w:rsidR="00000000" w:rsidRDefault="00000000">
      <w:pPr>
        <w:spacing w:after="240"/>
      </w:pPr>
      <w:r>
        <w:rPr>
          <w:lang w:val="es-ES_tradnl"/>
        </w:rPr>
        <w:t>278.</w:t>
      </w:r>
      <w:r>
        <w:rPr>
          <w:lang w:val="es-ES_tradnl"/>
        </w:rPr>
        <w:tab/>
        <w:t>La emisión de bonos (a corto plazo) directamente genera el aumento del medio circulante en la economía y el incremento de la deuda interna del país; el excesivo circulante en la economía provocó el descontrol del sucre cuya devaluación durante el año llegó a ser superior al 263%.</w:t>
      </w:r>
    </w:p>
    <w:p w:rsidR="00000000" w:rsidRDefault="00000000">
      <w:pPr>
        <w:spacing w:after="240"/>
      </w:pPr>
      <w:r>
        <w:rPr>
          <w:lang w:val="es-ES_tradnl"/>
        </w:rPr>
        <w:t>279.</w:t>
      </w:r>
      <w:r>
        <w:rPr>
          <w:lang w:val="es-ES_tradnl"/>
        </w:rPr>
        <w:tab/>
        <w:t xml:space="preserve">La demanda creció exponencialmente debido al exceso de liquidez que llevó a la elevación de los precios y al incremento de la tasa de inflación que en el mes de marzo llegó al 13,5% para terminar con una variación anual del 60,7%.  El poder adquisitivo de la gente se ha visto disminuido en un 50%; es así que los salarios totales percibidos por un trabajador medidos en dólares en el mes de enero fueron de 957.167 sucres, equivalentes a 134,18 dólares y, al mes de diciembre, de 1.109.167 sucres, equivalentes a 60,92 dólares.  Los gastos inmediatos realizados por las familias fueron </w:t>
      </w:r>
      <w:proofErr w:type="spellStart"/>
      <w:r>
        <w:rPr>
          <w:lang w:val="es-ES_tradnl"/>
        </w:rPr>
        <w:t>priorizados</w:t>
      </w:r>
      <w:proofErr w:type="spellEnd"/>
      <w:r>
        <w:rPr>
          <w:lang w:val="es-ES_tradnl"/>
        </w:rPr>
        <w:t xml:space="preserve"> en alimentación y vestido cuya contribución a la tasa anual del índice de precios subió al 17,8 y 8,6%, respectivamente.</w:t>
      </w:r>
    </w:p>
    <w:p w:rsidR="00000000" w:rsidRDefault="00000000">
      <w:pPr>
        <w:spacing w:after="240"/>
        <w:rPr>
          <w:lang w:val="es-ES_tradnl"/>
        </w:rPr>
      </w:pPr>
      <w:r>
        <w:rPr>
          <w:lang w:val="es-ES_tradnl"/>
        </w:rPr>
        <w:t>280.</w:t>
      </w:r>
      <w:r>
        <w:rPr>
          <w:lang w:val="es-ES_tradnl"/>
        </w:rPr>
        <w:tab/>
        <w:t>El Banco Central, pese a sus intervenciones, no ha logrado frenar la inestabilidad del dólar que a finales de 1999 bordeó los 20.000 sucres, ante lo cual el Gobierno ha planteado una reprogramación de pagos de los depósitos congelados con el fin de no agravar la situación económica del país.  A comienzos del año 2000, el Gobierno decretó el cambio de moneda nacional por el dólar como circulante; la cotización se fijó en 25.000 sucres/1.</w:t>
      </w:r>
    </w:p>
    <w:tbl>
      <w:tblPr>
        <w:tblW w:w="0" w:type="auto"/>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9"/>
        <w:gridCol w:w="1899"/>
        <w:gridCol w:w="1849"/>
        <w:gridCol w:w="1599"/>
        <w:gridCol w:w="1560"/>
      </w:tblGrid>
      <w:tr w:rsidR="00000000">
        <w:tblPrEx>
          <w:tblCellMar>
            <w:top w:w="0" w:type="dxa"/>
            <w:bottom w:w="0" w:type="dxa"/>
          </w:tblCellMar>
        </w:tblPrEx>
        <w:tc>
          <w:tcPr>
            <w:tcW w:w="1439" w:type="dxa"/>
            <w:vAlign w:val="center"/>
          </w:tcPr>
          <w:p w:rsidR="00000000" w:rsidRDefault="00000000">
            <w:pPr>
              <w:jc w:val="center"/>
              <w:rPr>
                <w:szCs w:val="22"/>
                <w:lang w:val="es-ES_tradnl"/>
              </w:rPr>
            </w:pPr>
            <w:r>
              <w:rPr>
                <w:szCs w:val="22"/>
                <w:lang w:val="es-ES_tradnl"/>
              </w:rPr>
              <w:t>Años</w:t>
            </w:r>
          </w:p>
        </w:tc>
        <w:tc>
          <w:tcPr>
            <w:tcW w:w="1899" w:type="dxa"/>
            <w:vAlign w:val="center"/>
          </w:tcPr>
          <w:p w:rsidR="00000000" w:rsidRDefault="00000000">
            <w:pPr>
              <w:jc w:val="center"/>
              <w:rPr>
                <w:szCs w:val="22"/>
                <w:lang w:val="es-ES_tradnl"/>
              </w:rPr>
            </w:pPr>
            <w:r>
              <w:rPr>
                <w:szCs w:val="22"/>
                <w:lang w:val="es-ES_tradnl"/>
              </w:rPr>
              <w:t>Índice de precios</w:t>
            </w:r>
          </w:p>
        </w:tc>
        <w:tc>
          <w:tcPr>
            <w:tcW w:w="1849" w:type="dxa"/>
            <w:vAlign w:val="center"/>
          </w:tcPr>
          <w:p w:rsidR="00000000" w:rsidRDefault="00000000">
            <w:pPr>
              <w:jc w:val="center"/>
              <w:rPr>
                <w:szCs w:val="22"/>
                <w:lang w:val="es-ES_tradnl"/>
              </w:rPr>
            </w:pPr>
            <w:r>
              <w:rPr>
                <w:szCs w:val="22"/>
                <w:lang w:val="es-ES_tradnl"/>
              </w:rPr>
              <w:t>Variación anual PIB</w:t>
            </w:r>
          </w:p>
        </w:tc>
        <w:tc>
          <w:tcPr>
            <w:tcW w:w="1599" w:type="dxa"/>
            <w:vAlign w:val="center"/>
          </w:tcPr>
          <w:p w:rsidR="00000000" w:rsidRDefault="00000000">
            <w:pPr>
              <w:jc w:val="center"/>
              <w:rPr>
                <w:szCs w:val="22"/>
                <w:lang w:val="es-ES_tradnl"/>
              </w:rPr>
            </w:pPr>
            <w:r>
              <w:rPr>
                <w:szCs w:val="22"/>
                <w:lang w:val="es-ES_tradnl"/>
              </w:rPr>
              <w:t>Cotización dólar*</w:t>
            </w:r>
          </w:p>
        </w:tc>
        <w:tc>
          <w:tcPr>
            <w:tcW w:w="1560" w:type="dxa"/>
            <w:vAlign w:val="center"/>
          </w:tcPr>
          <w:p w:rsidR="00000000" w:rsidRDefault="00000000">
            <w:pPr>
              <w:jc w:val="center"/>
              <w:rPr>
                <w:szCs w:val="22"/>
                <w:lang w:val="es-ES_tradnl"/>
              </w:rPr>
            </w:pPr>
            <w:r>
              <w:rPr>
                <w:szCs w:val="22"/>
                <w:lang w:val="es-ES_tradnl"/>
              </w:rPr>
              <w:t>Tasa de</w:t>
            </w:r>
            <w:r>
              <w:rPr>
                <w:szCs w:val="22"/>
                <w:lang w:val="es-ES_tradnl"/>
              </w:rPr>
              <w:br/>
              <w:t>desempleo**</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1990</w:t>
            </w:r>
          </w:p>
        </w:tc>
        <w:tc>
          <w:tcPr>
            <w:tcW w:w="1899" w:type="dxa"/>
          </w:tcPr>
          <w:p w:rsidR="00000000" w:rsidRDefault="00000000">
            <w:pPr>
              <w:jc w:val="right"/>
              <w:rPr>
                <w:szCs w:val="22"/>
                <w:lang w:val="es-ES_tradnl"/>
              </w:rPr>
            </w:pPr>
            <w:r>
              <w:rPr>
                <w:szCs w:val="22"/>
                <w:lang w:val="es-ES_tradnl"/>
              </w:rPr>
              <w:t>20,89</w:t>
            </w:r>
          </w:p>
        </w:tc>
        <w:tc>
          <w:tcPr>
            <w:tcW w:w="1849" w:type="dxa"/>
          </w:tcPr>
          <w:p w:rsidR="00000000" w:rsidRDefault="00000000">
            <w:pPr>
              <w:jc w:val="right"/>
              <w:rPr>
                <w:szCs w:val="22"/>
                <w:lang w:val="es-ES_tradnl"/>
              </w:rPr>
            </w:pPr>
            <w:r>
              <w:rPr>
                <w:szCs w:val="22"/>
                <w:lang w:val="es-ES_tradnl"/>
              </w:rPr>
              <w:t>3</w:t>
            </w:r>
          </w:p>
        </w:tc>
        <w:tc>
          <w:tcPr>
            <w:tcW w:w="1599" w:type="dxa"/>
          </w:tcPr>
          <w:p w:rsidR="00000000" w:rsidRDefault="00000000">
            <w:pPr>
              <w:jc w:val="right"/>
              <w:rPr>
                <w:szCs w:val="22"/>
                <w:lang w:val="es-ES_tradnl"/>
              </w:rPr>
            </w:pPr>
            <w:r>
              <w:rPr>
                <w:szCs w:val="22"/>
                <w:lang w:val="es-ES_tradnl"/>
              </w:rPr>
              <w:t>898</w:t>
            </w:r>
          </w:p>
        </w:tc>
        <w:tc>
          <w:tcPr>
            <w:tcW w:w="1560" w:type="dxa"/>
          </w:tcPr>
          <w:p w:rsidR="00000000" w:rsidRDefault="00000000">
            <w:pPr>
              <w:jc w:val="right"/>
              <w:rPr>
                <w:szCs w:val="22"/>
                <w:lang w:val="es-ES_tradnl"/>
              </w:rPr>
            </w:pPr>
            <w:r>
              <w:rPr>
                <w:szCs w:val="22"/>
                <w:lang w:val="es-ES_tradnl"/>
              </w:rPr>
              <w:t>6,1</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1995</w:t>
            </w:r>
          </w:p>
        </w:tc>
        <w:tc>
          <w:tcPr>
            <w:tcW w:w="1899" w:type="dxa"/>
          </w:tcPr>
          <w:p w:rsidR="00000000" w:rsidRDefault="00000000">
            <w:pPr>
              <w:jc w:val="right"/>
              <w:rPr>
                <w:szCs w:val="22"/>
                <w:lang w:val="es-ES_tradnl"/>
              </w:rPr>
            </w:pPr>
            <w:r>
              <w:rPr>
                <w:szCs w:val="22"/>
                <w:lang w:val="es-ES_tradnl"/>
              </w:rPr>
              <w:t>108,99</w:t>
            </w:r>
          </w:p>
        </w:tc>
        <w:tc>
          <w:tcPr>
            <w:tcW w:w="1849" w:type="dxa"/>
          </w:tcPr>
          <w:p w:rsidR="00000000" w:rsidRDefault="00000000">
            <w:pPr>
              <w:jc w:val="right"/>
              <w:rPr>
                <w:szCs w:val="22"/>
                <w:lang w:val="es-ES_tradnl"/>
              </w:rPr>
            </w:pPr>
            <w:r>
              <w:rPr>
                <w:szCs w:val="22"/>
                <w:lang w:val="es-ES_tradnl"/>
              </w:rPr>
              <w:t>2,3</w:t>
            </w:r>
          </w:p>
        </w:tc>
        <w:tc>
          <w:tcPr>
            <w:tcW w:w="1599" w:type="dxa"/>
          </w:tcPr>
          <w:p w:rsidR="00000000" w:rsidRDefault="00000000">
            <w:pPr>
              <w:jc w:val="right"/>
              <w:rPr>
                <w:szCs w:val="22"/>
                <w:lang w:val="es-ES_tradnl"/>
              </w:rPr>
            </w:pPr>
            <w:r>
              <w:rPr>
                <w:szCs w:val="22"/>
                <w:lang w:val="es-ES_tradnl"/>
              </w:rPr>
              <w:t>2.925</w:t>
            </w:r>
          </w:p>
        </w:tc>
        <w:tc>
          <w:tcPr>
            <w:tcW w:w="1560" w:type="dxa"/>
          </w:tcPr>
          <w:p w:rsidR="00000000" w:rsidRDefault="00000000">
            <w:pPr>
              <w:jc w:val="right"/>
              <w:rPr>
                <w:szCs w:val="22"/>
                <w:lang w:val="es-ES_tradnl"/>
              </w:rPr>
            </w:pPr>
            <w:r>
              <w:rPr>
                <w:szCs w:val="22"/>
                <w:lang w:val="es-ES_tradnl"/>
              </w:rPr>
              <w:t>6,9</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1998</w:t>
            </w:r>
          </w:p>
        </w:tc>
        <w:tc>
          <w:tcPr>
            <w:tcW w:w="1899" w:type="dxa"/>
          </w:tcPr>
          <w:p w:rsidR="00000000" w:rsidRDefault="00000000">
            <w:pPr>
              <w:jc w:val="right"/>
              <w:rPr>
                <w:szCs w:val="22"/>
                <w:lang w:val="es-ES_tradnl"/>
              </w:rPr>
            </w:pPr>
            <w:r>
              <w:rPr>
                <w:szCs w:val="22"/>
                <w:lang w:val="es-ES_tradnl"/>
              </w:rPr>
              <w:t>241,04</w:t>
            </w:r>
          </w:p>
        </w:tc>
        <w:tc>
          <w:tcPr>
            <w:tcW w:w="1849" w:type="dxa"/>
          </w:tcPr>
          <w:p w:rsidR="00000000" w:rsidRDefault="00000000">
            <w:pPr>
              <w:jc w:val="right"/>
              <w:rPr>
                <w:szCs w:val="22"/>
                <w:lang w:val="es-ES_tradnl"/>
              </w:rPr>
            </w:pPr>
            <w:r>
              <w:rPr>
                <w:szCs w:val="22"/>
                <w:lang w:val="es-ES_tradnl"/>
              </w:rPr>
              <w:t>0,4</w:t>
            </w:r>
          </w:p>
        </w:tc>
        <w:tc>
          <w:tcPr>
            <w:tcW w:w="1599" w:type="dxa"/>
          </w:tcPr>
          <w:p w:rsidR="00000000" w:rsidRDefault="00000000">
            <w:pPr>
              <w:jc w:val="right"/>
              <w:rPr>
                <w:szCs w:val="22"/>
                <w:lang w:val="es-ES_tradnl"/>
              </w:rPr>
            </w:pPr>
            <w:r>
              <w:rPr>
                <w:szCs w:val="22"/>
                <w:lang w:val="es-ES_tradnl"/>
              </w:rPr>
              <w:t>6.825</w:t>
            </w:r>
          </w:p>
        </w:tc>
        <w:tc>
          <w:tcPr>
            <w:tcW w:w="1560" w:type="dxa"/>
          </w:tcPr>
          <w:p w:rsidR="00000000" w:rsidRDefault="00000000">
            <w:pPr>
              <w:jc w:val="right"/>
              <w:rPr>
                <w:szCs w:val="22"/>
                <w:lang w:val="es-ES_tradnl"/>
              </w:rPr>
            </w:pPr>
            <w:r>
              <w:rPr>
                <w:szCs w:val="22"/>
                <w:lang w:val="es-ES_tradnl"/>
              </w:rPr>
              <w:t>11,5</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1999</w:t>
            </w:r>
          </w:p>
        </w:tc>
        <w:tc>
          <w:tcPr>
            <w:tcW w:w="1899" w:type="dxa"/>
          </w:tcPr>
          <w:p w:rsidR="00000000" w:rsidRDefault="00000000">
            <w:pPr>
              <w:jc w:val="right"/>
              <w:rPr>
                <w:szCs w:val="22"/>
                <w:lang w:val="es-ES_tradnl"/>
              </w:rPr>
            </w:pPr>
            <w:r>
              <w:rPr>
                <w:szCs w:val="22"/>
                <w:lang w:val="es-ES_tradnl"/>
              </w:rPr>
              <w:t>367</w:t>
            </w:r>
          </w:p>
        </w:tc>
        <w:tc>
          <w:tcPr>
            <w:tcW w:w="1849" w:type="dxa"/>
          </w:tcPr>
          <w:p w:rsidR="00000000" w:rsidRDefault="00000000">
            <w:pPr>
              <w:jc w:val="right"/>
              <w:rPr>
                <w:szCs w:val="22"/>
                <w:lang w:val="es-ES_tradnl"/>
              </w:rPr>
            </w:pPr>
            <w:r>
              <w:rPr>
                <w:szCs w:val="22"/>
                <w:lang w:val="es-ES_tradnl"/>
              </w:rPr>
              <w:t>-7,3</w:t>
            </w:r>
          </w:p>
        </w:tc>
        <w:tc>
          <w:tcPr>
            <w:tcW w:w="1599" w:type="dxa"/>
          </w:tcPr>
          <w:p w:rsidR="00000000" w:rsidRDefault="00000000">
            <w:pPr>
              <w:jc w:val="right"/>
              <w:rPr>
                <w:szCs w:val="22"/>
                <w:lang w:val="es-ES_tradnl"/>
              </w:rPr>
            </w:pPr>
            <w:r>
              <w:rPr>
                <w:szCs w:val="22"/>
                <w:lang w:val="es-ES_tradnl"/>
              </w:rPr>
              <w:t>20.243</w:t>
            </w:r>
          </w:p>
        </w:tc>
        <w:tc>
          <w:tcPr>
            <w:tcW w:w="1560" w:type="dxa"/>
          </w:tcPr>
          <w:p w:rsidR="00000000" w:rsidRDefault="00000000">
            <w:pPr>
              <w:jc w:val="right"/>
              <w:rPr>
                <w:szCs w:val="22"/>
                <w:lang w:val="es-ES_tradnl"/>
              </w:rPr>
            </w:pPr>
            <w:r>
              <w:rPr>
                <w:szCs w:val="22"/>
                <w:lang w:val="es-ES_tradnl"/>
              </w:rPr>
              <w:t>14,4</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2000</w:t>
            </w:r>
          </w:p>
        </w:tc>
        <w:tc>
          <w:tcPr>
            <w:tcW w:w="1899" w:type="dxa"/>
          </w:tcPr>
          <w:p w:rsidR="00000000" w:rsidRDefault="00000000">
            <w:pPr>
              <w:jc w:val="right"/>
              <w:rPr>
                <w:szCs w:val="22"/>
                <w:lang w:val="es-ES_tradnl"/>
              </w:rPr>
            </w:pPr>
          </w:p>
        </w:tc>
        <w:tc>
          <w:tcPr>
            <w:tcW w:w="1849" w:type="dxa"/>
          </w:tcPr>
          <w:p w:rsidR="00000000" w:rsidRDefault="00000000">
            <w:pPr>
              <w:jc w:val="right"/>
              <w:rPr>
                <w:szCs w:val="22"/>
                <w:lang w:val="es-ES_tradnl"/>
              </w:rPr>
            </w:pPr>
            <w:r>
              <w:rPr>
                <w:szCs w:val="22"/>
                <w:lang w:val="es-ES_tradnl"/>
              </w:rPr>
              <w:t>4,8</w:t>
            </w:r>
          </w:p>
        </w:tc>
        <w:tc>
          <w:tcPr>
            <w:tcW w:w="1599" w:type="dxa"/>
          </w:tcPr>
          <w:p w:rsidR="00000000" w:rsidRDefault="00000000">
            <w:pPr>
              <w:jc w:val="right"/>
              <w:rPr>
                <w:szCs w:val="22"/>
                <w:lang w:val="es-ES_tradnl"/>
              </w:rPr>
            </w:pPr>
            <w:r>
              <w:rPr>
                <w:szCs w:val="22"/>
                <w:lang w:val="es-ES_tradnl"/>
              </w:rPr>
              <w:t>25.000</w:t>
            </w:r>
          </w:p>
        </w:tc>
        <w:tc>
          <w:tcPr>
            <w:tcW w:w="1560" w:type="dxa"/>
          </w:tcPr>
          <w:p w:rsidR="00000000" w:rsidRDefault="00000000">
            <w:pPr>
              <w:jc w:val="right"/>
              <w:rPr>
                <w:szCs w:val="22"/>
                <w:lang w:val="es-ES_tradnl"/>
              </w:rPr>
            </w:pPr>
            <w:r>
              <w:rPr>
                <w:szCs w:val="22"/>
                <w:lang w:val="es-ES_tradnl"/>
              </w:rPr>
              <w:t>17,0</w:t>
            </w:r>
          </w:p>
        </w:tc>
      </w:tr>
      <w:tr w:rsidR="00000000">
        <w:tblPrEx>
          <w:tblCellMar>
            <w:top w:w="0" w:type="dxa"/>
            <w:bottom w:w="0" w:type="dxa"/>
          </w:tblCellMar>
        </w:tblPrEx>
        <w:tc>
          <w:tcPr>
            <w:tcW w:w="1439" w:type="dxa"/>
          </w:tcPr>
          <w:p w:rsidR="00000000" w:rsidRDefault="00000000">
            <w:pPr>
              <w:rPr>
                <w:szCs w:val="22"/>
                <w:lang w:val="es-ES_tradnl"/>
              </w:rPr>
            </w:pPr>
            <w:r>
              <w:rPr>
                <w:szCs w:val="22"/>
                <w:lang w:val="es-ES_tradnl"/>
              </w:rPr>
              <w:t>2002</w:t>
            </w:r>
          </w:p>
        </w:tc>
        <w:tc>
          <w:tcPr>
            <w:tcW w:w="1899" w:type="dxa"/>
          </w:tcPr>
          <w:p w:rsidR="00000000" w:rsidRDefault="00000000">
            <w:pPr>
              <w:jc w:val="right"/>
              <w:rPr>
                <w:szCs w:val="22"/>
                <w:lang w:val="es-ES_tradnl"/>
              </w:rPr>
            </w:pPr>
          </w:p>
        </w:tc>
        <w:tc>
          <w:tcPr>
            <w:tcW w:w="1849" w:type="dxa"/>
          </w:tcPr>
          <w:p w:rsidR="00000000" w:rsidRDefault="00000000">
            <w:pPr>
              <w:jc w:val="right"/>
              <w:rPr>
                <w:szCs w:val="22"/>
                <w:lang w:val="es-ES_tradnl"/>
              </w:rPr>
            </w:pPr>
            <w:r>
              <w:rPr>
                <w:szCs w:val="22"/>
                <w:lang w:val="es-ES_tradnl"/>
              </w:rPr>
              <w:t>3,5</w:t>
            </w:r>
          </w:p>
        </w:tc>
        <w:tc>
          <w:tcPr>
            <w:tcW w:w="1599" w:type="dxa"/>
          </w:tcPr>
          <w:p w:rsidR="00000000" w:rsidRDefault="00000000">
            <w:pPr>
              <w:jc w:val="right"/>
              <w:rPr>
                <w:szCs w:val="22"/>
                <w:lang w:val="es-ES_tradnl"/>
              </w:rPr>
            </w:pPr>
            <w:r>
              <w:rPr>
                <w:szCs w:val="22"/>
                <w:lang w:val="es-ES_tradnl"/>
              </w:rPr>
              <w:t>25.000</w:t>
            </w:r>
          </w:p>
        </w:tc>
        <w:tc>
          <w:tcPr>
            <w:tcW w:w="1560" w:type="dxa"/>
          </w:tcPr>
          <w:p w:rsidR="00000000" w:rsidRDefault="00000000">
            <w:pPr>
              <w:jc w:val="right"/>
              <w:rPr>
                <w:szCs w:val="22"/>
                <w:lang w:val="es-ES_tradnl"/>
              </w:rPr>
            </w:pPr>
            <w:r>
              <w:rPr>
                <w:szCs w:val="22"/>
                <w:lang w:val="es-ES_tradnl"/>
              </w:rPr>
              <w:t>8,4</w:t>
            </w:r>
          </w:p>
        </w:tc>
      </w:tr>
    </w:tbl>
    <w:p w:rsidR="00000000" w:rsidRDefault="00000000">
      <w:pPr>
        <w:spacing w:before="240" w:after="240"/>
        <w:ind w:left="390"/>
        <w:rPr>
          <w:i/>
          <w:iCs/>
        </w:rPr>
      </w:pPr>
      <w:r>
        <w:rPr>
          <w:i/>
          <w:iCs/>
          <w:szCs w:val="23"/>
          <w:lang w:val="es-ES_tradnl"/>
        </w:rPr>
        <w:t>Fuente:  Boletín estadístico del Banco Central.</w:t>
      </w:r>
    </w:p>
    <w:p w:rsidR="00000000" w:rsidRDefault="00000000">
      <w:pPr>
        <w:spacing w:before="240" w:after="240"/>
        <w:ind w:left="390"/>
      </w:pPr>
      <w:r>
        <w:rPr>
          <w:szCs w:val="23"/>
          <w:lang w:val="es-ES_tradnl"/>
        </w:rPr>
        <w:t>* Cotización de venta de fin de período.</w:t>
      </w:r>
    </w:p>
    <w:p w:rsidR="00000000" w:rsidRDefault="00000000">
      <w:pPr>
        <w:spacing w:before="240" w:after="480"/>
        <w:ind w:left="391"/>
      </w:pPr>
      <w:r>
        <w:rPr>
          <w:szCs w:val="23"/>
          <w:lang w:val="es-ES_tradnl"/>
        </w:rPr>
        <w:t>** INEC.</w:t>
      </w:r>
    </w:p>
    <w:p w:rsidR="00000000" w:rsidRDefault="00000000">
      <w:pPr>
        <w:spacing w:after="240"/>
      </w:pPr>
      <w:r>
        <w:rPr>
          <w:lang w:val="es-ES_tradnl"/>
        </w:rPr>
        <w:t>281.</w:t>
      </w:r>
      <w:r>
        <w:rPr>
          <w:lang w:val="es-ES_tradnl"/>
        </w:rPr>
        <w:tab/>
        <w:t>La pobreza se encuentra en niveles críticos para 1999 debido a la recesión que vive el país.  El número de pobres recientes ha crecido debido en lo principal al hecho de que, aquellas personas que tenían un ingreso suficiente como para tener acceso para satisfacer sus necesidades básicas, por efectos del deterioro reciente de sus ingresos no lo podrán seguir haciendo en un futuro cercano.  Las cifras oficiales del INEC señalan que el desempleo a escala nacional se elevó de una tasa del 11,5% en 1998 a 14,4% en 1999.  En términos absolutos existen 543.452 desocupados en el área urbana del Ecuador.  El desempleo se dispara en el año 2000 al 17% para caer a la mitad en el año siguiente, debido en lo principal al factor migratorio.</w:t>
      </w:r>
    </w:p>
    <w:p w:rsidR="00000000" w:rsidRDefault="00000000">
      <w:pPr>
        <w:keepNext/>
        <w:keepLines/>
        <w:spacing w:after="240"/>
        <w:rPr>
          <w:szCs w:val="17"/>
          <w:lang w:val="es-ES_tradnl"/>
        </w:rPr>
      </w:pPr>
      <w:r>
        <w:rPr>
          <w:lang w:val="es-ES_tradnl"/>
        </w:rPr>
        <w:t>282.</w:t>
      </w:r>
      <w:r>
        <w:rPr>
          <w:lang w:val="es-ES_tradnl"/>
        </w:rPr>
        <w:tab/>
        <w:t xml:space="preserve">La pobreza en el Ecuador en los últimos años presenta cambios dramáticos.  Para 1997 el 51,7% de los hogares más pobres apenas alcanza el 20% del ingreso total; en 1998 llega al 55,5%, manteniéndose este porcentaje para 1999, lo que quiere decir que los pobres cada vez son </w:t>
      </w:r>
      <w:r>
        <w:rPr>
          <w:szCs w:val="17"/>
          <w:lang w:val="es-ES_tradnl"/>
        </w:rPr>
        <w:t>más pobres</w:t>
      </w:r>
      <w:r>
        <w:rPr>
          <w:rStyle w:val="FootnoteReference"/>
          <w:szCs w:val="17"/>
          <w:lang w:val="es-ES_tradnl"/>
        </w:rPr>
        <w:footnoteReference w:id="34"/>
      </w:r>
      <w:r>
        <w:rPr>
          <w:szCs w:val="17"/>
          <w:lang w:val="es-ES_tradnl"/>
        </w:rPr>
        <w:t>.</w:t>
      </w:r>
    </w:p>
    <w:p w:rsidR="00000000" w:rsidRDefault="00000000">
      <w:pPr>
        <w:spacing w:after="240"/>
      </w:pPr>
      <w:r>
        <w:rPr>
          <w:lang w:val="es-ES_tradnl"/>
        </w:rPr>
        <w:t>283.</w:t>
      </w:r>
      <w:r>
        <w:rPr>
          <w:lang w:val="es-ES_tradnl"/>
        </w:rPr>
        <w:tab/>
        <w:t xml:space="preserve">De acuerdo con un estudio realizado por la empresa encuestadora </w:t>
      </w:r>
      <w:proofErr w:type="spellStart"/>
      <w:r>
        <w:rPr>
          <w:lang w:val="es-ES_tradnl"/>
        </w:rPr>
        <w:t>COPRES</w:t>
      </w:r>
      <w:proofErr w:type="spellEnd"/>
      <w:r>
        <w:rPr>
          <w:lang w:val="es-ES_tradnl"/>
        </w:rPr>
        <w:t xml:space="preserve"> de </w:t>
      </w:r>
      <w:proofErr w:type="spellStart"/>
      <w:r>
        <w:rPr>
          <w:lang w:val="es-ES_tradnl"/>
        </w:rPr>
        <w:t>CEDATOS</w:t>
      </w:r>
      <w:proofErr w:type="spellEnd"/>
      <w:r>
        <w:rPr>
          <w:lang w:val="es-ES_tradnl"/>
        </w:rPr>
        <w:t> se señala que "el mayor problema que afecta a la población es la pobreza.  La deficiente ocupación de los ecuatorianos es la principal razón que incide en la pobreza; en octubre de 1999 el desempleo total se situó en 18,3%, con un subempleo del 54,2%.  De esta forma, la población económicamente activa debidamente ocupada alcanzaría el 27,5%, equivalente a 997.264 personas.  El desempleo afecta más a las mujeres (21,1%) que a los hombres (16,5%)"</w:t>
      </w:r>
      <w:r>
        <w:rPr>
          <w:rStyle w:val="FootnoteReference"/>
          <w:lang w:val="es-ES_tradnl"/>
        </w:rPr>
        <w:footnoteReference w:id="35"/>
      </w:r>
      <w:r>
        <w:rPr>
          <w:lang w:val="es-ES_tradnl"/>
        </w:rPr>
        <w:t>.</w:t>
      </w:r>
    </w:p>
    <w:p w:rsidR="00000000" w:rsidRDefault="00000000">
      <w:pPr>
        <w:spacing w:after="240"/>
        <w:rPr>
          <w:lang w:val="es-ES_tradnl"/>
        </w:rPr>
      </w:pPr>
      <w:r>
        <w:rPr>
          <w:lang w:val="es-ES_tradnl"/>
        </w:rPr>
        <w:t>284.</w:t>
      </w:r>
      <w:r>
        <w:rPr>
          <w:lang w:val="es-ES_tradnl"/>
        </w:rPr>
        <w:tab/>
        <w:t>La percepción de la pobreza está basada en el "método indirecto", mediante el cual se establece una línea de pobreza, que está en función de los ingresos mínimos requeridos para comprar una canasta predefinida de bienes y servicios que satisfagan las necesidades básicas de su familia.  El costo de la canasta constituye el límite por debajo del cual existe pobreza</w:t>
      </w:r>
      <w:r>
        <w:rPr>
          <w:rStyle w:val="FootnoteReference"/>
          <w:lang w:val="es-ES_tradnl"/>
        </w:rPr>
        <w:footnoteReference w:id="36"/>
      </w:r>
      <w:r>
        <w:rPr>
          <w:lang w:val="es-ES_tradnl"/>
        </w:rPr>
        <w:t>.  El costo de la canasta básica establecida por el INEC es el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3"/>
        <w:gridCol w:w="1813"/>
        <w:gridCol w:w="1813"/>
        <w:gridCol w:w="1813"/>
      </w:tblGrid>
      <w:tr w:rsidR="00000000">
        <w:tblPrEx>
          <w:tblCellMar>
            <w:top w:w="0" w:type="dxa"/>
            <w:bottom w:w="0" w:type="dxa"/>
          </w:tblCellMar>
        </w:tblPrEx>
        <w:trPr>
          <w:cantSplit/>
          <w:jc w:val="center"/>
        </w:trPr>
        <w:tc>
          <w:tcPr>
            <w:tcW w:w="3626" w:type="dxa"/>
            <w:gridSpan w:val="2"/>
            <w:vAlign w:val="center"/>
          </w:tcPr>
          <w:p w:rsidR="00000000" w:rsidRDefault="00000000">
            <w:pPr>
              <w:jc w:val="center"/>
              <w:rPr>
                <w:lang w:val="es-ES_tradnl"/>
              </w:rPr>
            </w:pPr>
            <w:r>
              <w:rPr>
                <w:lang w:val="es-ES_tradnl"/>
              </w:rPr>
              <w:t>Costo de la canasta básica</w:t>
            </w:r>
          </w:p>
        </w:tc>
        <w:tc>
          <w:tcPr>
            <w:tcW w:w="3626" w:type="dxa"/>
            <w:gridSpan w:val="2"/>
            <w:vAlign w:val="center"/>
          </w:tcPr>
          <w:p w:rsidR="00000000" w:rsidRDefault="00000000">
            <w:pPr>
              <w:jc w:val="center"/>
              <w:rPr>
                <w:lang w:val="es-ES_tradnl"/>
              </w:rPr>
            </w:pPr>
            <w:r>
              <w:rPr>
                <w:lang w:val="es-ES_tradnl"/>
              </w:rPr>
              <w:t>Costo de la canasta de pobreza</w:t>
            </w:r>
          </w:p>
        </w:tc>
      </w:tr>
      <w:tr w:rsidR="00000000">
        <w:tblPrEx>
          <w:tblCellMar>
            <w:top w:w="0" w:type="dxa"/>
            <w:bottom w:w="0" w:type="dxa"/>
          </w:tblCellMar>
        </w:tblPrEx>
        <w:trPr>
          <w:jc w:val="center"/>
        </w:trPr>
        <w:tc>
          <w:tcPr>
            <w:tcW w:w="1813" w:type="dxa"/>
            <w:vAlign w:val="center"/>
          </w:tcPr>
          <w:p w:rsidR="00000000" w:rsidRDefault="00000000">
            <w:pPr>
              <w:jc w:val="center"/>
              <w:rPr>
                <w:lang w:val="es-ES_tradnl"/>
              </w:rPr>
            </w:pPr>
            <w:r>
              <w:rPr>
                <w:lang w:val="es-ES_tradnl"/>
              </w:rPr>
              <w:t>1999</w:t>
            </w:r>
          </w:p>
        </w:tc>
        <w:tc>
          <w:tcPr>
            <w:tcW w:w="1813" w:type="dxa"/>
            <w:vAlign w:val="center"/>
          </w:tcPr>
          <w:p w:rsidR="00000000" w:rsidRDefault="00000000">
            <w:pPr>
              <w:jc w:val="center"/>
              <w:rPr>
                <w:lang w:val="es-ES_tradnl"/>
              </w:rPr>
            </w:pPr>
            <w:r>
              <w:rPr>
                <w:lang w:val="es-ES_tradnl"/>
              </w:rPr>
              <w:t>Sucres</w:t>
            </w:r>
          </w:p>
        </w:tc>
        <w:tc>
          <w:tcPr>
            <w:tcW w:w="1813" w:type="dxa"/>
            <w:vAlign w:val="center"/>
          </w:tcPr>
          <w:p w:rsidR="00000000" w:rsidRDefault="00000000">
            <w:pPr>
              <w:jc w:val="center"/>
              <w:rPr>
                <w:lang w:val="es-ES_tradnl"/>
              </w:rPr>
            </w:pPr>
            <w:r>
              <w:rPr>
                <w:lang w:val="es-ES_tradnl"/>
              </w:rPr>
              <w:t>Sucres</w:t>
            </w:r>
          </w:p>
        </w:tc>
        <w:tc>
          <w:tcPr>
            <w:tcW w:w="1813" w:type="dxa"/>
            <w:vAlign w:val="center"/>
          </w:tcPr>
          <w:p w:rsidR="00000000" w:rsidRDefault="00000000">
            <w:pPr>
              <w:jc w:val="center"/>
              <w:rPr>
                <w:lang w:val="es-ES_tradnl"/>
              </w:rPr>
            </w:pPr>
            <w:r>
              <w:rPr>
                <w:lang w:val="es-ES_tradnl"/>
              </w:rPr>
              <w:t>Dólares EE.UU. 2002</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Enero</w:t>
            </w:r>
          </w:p>
        </w:tc>
        <w:tc>
          <w:tcPr>
            <w:tcW w:w="1813" w:type="dxa"/>
          </w:tcPr>
          <w:p w:rsidR="00000000" w:rsidRDefault="00000000">
            <w:pPr>
              <w:jc w:val="right"/>
            </w:pPr>
            <w:r>
              <w:rPr>
                <w:szCs w:val="23"/>
                <w:lang w:val="es-ES_tradnl"/>
              </w:rPr>
              <w:t>2.512.250</w:t>
            </w:r>
          </w:p>
        </w:tc>
        <w:tc>
          <w:tcPr>
            <w:tcW w:w="1813" w:type="dxa"/>
          </w:tcPr>
          <w:p w:rsidR="00000000" w:rsidRDefault="00000000">
            <w:pPr>
              <w:jc w:val="right"/>
            </w:pPr>
            <w:r>
              <w:rPr>
                <w:szCs w:val="23"/>
                <w:lang w:val="es-ES_tradnl"/>
              </w:rPr>
              <w:t>1.140.969</w:t>
            </w:r>
          </w:p>
        </w:tc>
        <w:tc>
          <w:tcPr>
            <w:tcW w:w="1813" w:type="dxa"/>
          </w:tcPr>
          <w:p w:rsidR="00000000" w:rsidRDefault="00000000">
            <w:pPr>
              <w:jc w:val="right"/>
            </w:pPr>
            <w:r>
              <w:rPr>
                <w:szCs w:val="22"/>
                <w:lang w:val="es-ES_tradnl"/>
              </w:rPr>
              <w:t>242,91</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Febrero</w:t>
            </w:r>
          </w:p>
        </w:tc>
        <w:tc>
          <w:tcPr>
            <w:tcW w:w="1813" w:type="dxa"/>
          </w:tcPr>
          <w:p w:rsidR="00000000" w:rsidRDefault="00000000">
            <w:pPr>
              <w:jc w:val="right"/>
            </w:pPr>
            <w:r>
              <w:rPr>
                <w:szCs w:val="22"/>
                <w:lang w:val="es-ES_tradnl"/>
              </w:rPr>
              <w:t>2.603.742</w:t>
            </w:r>
          </w:p>
        </w:tc>
        <w:tc>
          <w:tcPr>
            <w:tcW w:w="1813" w:type="dxa"/>
          </w:tcPr>
          <w:p w:rsidR="00000000" w:rsidRDefault="00000000">
            <w:pPr>
              <w:jc w:val="right"/>
            </w:pPr>
            <w:r>
              <w:rPr>
                <w:szCs w:val="22"/>
                <w:lang w:val="es-ES_tradnl"/>
              </w:rPr>
              <w:t>1.176.697</w:t>
            </w:r>
          </w:p>
        </w:tc>
        <w:tc>
          <w:tcPr>
            <w:tcW w:w="1813" w:type="dxa"/>
          </w:tcPr>
          <w:p w:rsidR="00000000" w:rsidRDefault="00000000">
            <w:pPr>
              <w:jc w:val="right"/>
            </w:pPr>
            <w:r>
              <w:rPr>
                <w:szCs w:val="22"/>
                <w:lang w:val="es-ES_tradnl"/>
              </w:rPr>
              <w:t>245,43</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Marzo</w:t>
            </w:r>
          </w:p>
        </w:tc>
        <w:tc>
          <w:tcPr>
            <w:tcW w:w="1813" w:type="dxa"/>
          </w:tcPr>
          <w:p w:rsidR="00000000" w:rsidRDefault="00000000">
            <w:pPr>
              <w:jc w:val="right"/>
            </w:pPr>
            <w:r>
              <w:rPr>
                <w:szCs w:val="22"/>
                <w:lang w:val="es-ES_tradnl"/>
              </w:rPr>
              <w:t>2.875.117</w:t>
            </w:r>
          </w:p>
        </w:tc>
        <w:tc>
          <w:tcPr>
            <w:tcW w:w="1813" w:type="dxa"/>
          </w:tcPr>
          <w:p w:rsidR="00000000" w:rsidRDefault="00000000">
            <w:pPr>
              <w:jc w:val="right"/>
            </w:pPr>
            <w:r>
              <w:rPr>
                <w:szCs w:val="22"/>
                <w:lang w:val="es-ES_tradnl"/>
              </w:rPr>
              <w:t>1.293.050</w:t>
            </w:r>
          </w:p>
        </w:tc>
        <w:tc>
          <w:tcPr>
            <w:tcW w:w="1813" w:type="dxa"/>
          </w:tcPr>
          <w:p w:rsidR="00000000" w:rsidRDefault="00000000">
            <w:pPr>
              <w:jc w:val="right"/>
            </w:pPr>
            <w:r>
              <w:rPr>
                <w:szCs w:val="22"/>
                <w:lang w:val="es-ES_tradnl"/>
              </w:rPr>
              <w:t>248,38</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Abril</w:t>
            </w:r>
          </w:p>
        </w:tc>
        <w:tc>
          <w:tcPr>
            <w:tcW w:w="1813" w:type="dxa"/>
          </w:tcPr>
          <w:p w:rsidR="00000000" w:rsidRDefault="00000000">
            <w:pPr>
              <w:jc w:val="right"/>
            </w:pPr>
            <w:r>
              <w:rPr>
                <w:szCs w:val="22"/>
                <w:lang w:val="es-ES_tradnl"/>
              </w:rPr>
              <w:t>3.122.004</w:t>
            </w:r>
          </w:p>
        </w:tc>
        <w:tc>
          <w:tcPr>
            <w:tcW w:w="1813" w:type="dxa"/>
          </w:tcPr>
          <w:p w:rsidR="00000000" w:rsidRDefault="00000000">
            <w:pPr>
              <w:jc w:val="right"/>
            </w:pPr>
            <w:r>
              <w:rPr>
                <w:szCs w:val="22"/>
                <w:lang w:val="es-ES_tradnl"/>
              </w:rPr>
              <w:t>1.386.524</w:t>
            </w:r>
          </w:p>
        </w:tc>
        <w:tc>
          <w:tcPr>
            <w:tcW w:w="1813" w:type="dxa"/>
          </w:tcPr>
          <w:p w:rsidR="00000000" w:rsidRDefault="00000000">
            <w:pPr>
              <w:jc w:val="right"/>
            </w:pPr>
            <w:r>
              <w:rPr>
                <w:szCs w:val="22"/>
                <w:lang w:val="es-ES_tradnl"/>
              </w:rPr>
              <w:t>250,99</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Mayo</w:t>
            </w:r>
          </w:p>
        </w:tc>
        <w:tc>
          <w:tcPr>
            <w:tcW w:w="1813" w:type="dxa"/>
          </w:tcPr>
          <w:p w:rsidR="00000000" w:rsidRDefault="00000000">
            <w:pPr>
              <w:jc w:val="right"/>
            </w:pPr>
            <w:r>
              <w:rPr>
                <w:szCs w:val="22"/>
                <w:lang w:val="es-ES_tradnl"/>
              </w:rPr>
              <w:t>3.168.974</w:t>
            </w:r>
          </w:p>
        </w:tc>
        <w:tc>
          <w:tcPr>
            <w:tcW w:w="1813" w:type="dxa"/>
          </w:tcPr>
          <w:p w:rsidR="00000000" w:rsidRDefault="00000000">
            <w:pPr>
              <w:jc w:val="right"/>
            </w:pPr>
            <w:r>
              <w:rPr>
                <w:szCs w:val="22"/>
                <w:lang w:val="es-ES_tradnl"/>
              </w:rPr>
              <w:t>1.413.659</w:t>
            </w:r>
          </w:p>
        </w:tc>
        <w:tc>
          <w:tcPr>
            <w:tcW w:w="1813" w:type="dxa"/>
          </w:tcPr>
          <w:p w:rsidR="00000000" w:rsidRDefault="00000000">
            <w:pPr>
              <w:jc w:val="right"/>
            </w:pPr>
            <w:r>
              <w:rPr>
                <w:szCs w:val="22"/>
                <w:lang w:val="es-ES_tradnl"/>
              </w:rPr>
              <w:t>252,71</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Junio</w:t>
            </w:r>
          </w:p>
        </w:tc>
        <w:tc>
          <w:tcPr>
            <w:tcW w:w="1813" w:type="dxa"/>
          </w:tcPr>
          <w:p w:rsidR="00000000" w:rsidRDefault="00000000">
            <w:pPr>
              <w:jc w:val="right"/>
            </w:pPr>
            <w:r>
              <w:rPr>
                <w:szCs w:val="22"/>
                <w:lang w:val="es-ES_tradnl"/>
              </w:rPr>
              <w:t>3.204.801</w:t>
            </w:r>
          </w:p>
        </w:tc>
        <w:tc>
          <w:tcPr>
            <w:tcW w:w="1813" w:type="dxa"/>
          </w:tcPr>
          <w:p w:rsidR="00000000" w:rsidRDefault="00000000">
            <w:pPr>
              <w:jc w:val="right"/>
            </w:pPr>
            <w:r>
              <w:rPr>
                <w:szCs w:val="22"/>
                <w:lang w:val="es-ES_tradnl"/>
              </w:rPr>
              <w:t>1.423.280</w:t>
            </w:r>
          </w:p>
        </w:tc>
        <w:tc>
          <w:tcPr>
            <w:tcW w:w="1813" w:type="dxa"/>
          </w:tcPr>
          <w:p w:rsidR="00000000" w:rsidRDefault="00000000">
            <w:pPr>
              <w:jc w:val="right"/>
            </w:pPr>
            <w:r>
              <w:rPr>
                <w:szCs w:val="22"/>
                <w:lang w:val="es-ES_tradnl"/>
              </w:rPr>
              <w:t>252,79</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Julio</w:t>
            </w:r>
          </w:p>
        </w:tc>
        <w:tc>
          <w:tcPr>
            <w:tcW w:w="1813" w:type="dxa"/>
          </w:tcPr>
          <w:p w:rsidR="00000000" w:rsidRDefault="00000000">
            <w:pPr>
              <w:jc w:val="right"/>
            </w:pPr>
            <w:r>
              <w:rPr>
                <w:szCs w:val="22"/>
                <w:lang w:val="es-ES_tradnl"/>
              </w:rPr>
              <w:t>3.279.856</w:t>
            </w:r>
          </w:p>
        </w:tc>
        <w:tc>
          <w:tcPr>
            <w:tcW w:w="1813" w:type="dxa"/>
          </w:tcPr>
          <w:p w:rsidR="00000000" w:rsidRDefault="00000000">
            <w:pPr>
              <w:jc w:val="right"/>
            </w:pPr>
            <w:r>
              <w:rPr>
                <w:szCs w:val="22"/>
                <w:lang w:val="es-ES_tradnl"/>
              </w:rPr>
              <w:t>1.457.622</w:t>
            </w:r>
          </w:p>
        </w:tc>
        <w:tc>
          <w:tcPr>
            <w:tcW w:w="1813" w:type="dxa"/>
          </w:tcPr>
          <w:p w:rsidR="00000000" w:rsidRDefault="00000000">
            <w:pPr>
              <w:jc w:val="right"/>
            </w:pPr>
            <w:r>
              <w:rPr>
                <w:szCs w:val="22"/>
                <w:lang w:val="es-ES_tradnl"/>
              </w:rPr>
              <w:t>254,63</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Agosto</w:t>
            </w:r>
          </w:p>
        </w:tc>
        <w:tc>
          <w:tcPr>
            <w:tcW w:w="1813" w:type="dxa"/>
          </w:tcPr>
          <w:p w:rsidR="00000000" w:rsidRDefault="00000000">
            <w:pPr>
              <w:jc w:val="right"/>
            </w:pPr>
            <w:r>
              <w:rPr>
                <w:szCs w:val="22"/>
                <w:lang w:val="es-ES_tradnl"/>
              </w:rPr>
              <w:t>3.307.825</w:t>
            </w:r>
          </w:p>
        </w:tc>
        <w:tc>
          <w:tcPr>
            <w:tcW w:w="1813" w:type="dxa"/>
          </w:tcPr>
          <w:p w:rsidR="00000000" w:rsidRDefault="00000000">
            <w:pPr>
              <w:jc w:val="right"/>
            </w:pPr>
            <w:r>
              <w:rPr>
                <w:szCs w:val="22"/>
                <w:lang w:val="es-ES_tradnl"/>
              </w:rPr>
              <w:t>1.456.104</w:t>
            </w:r>
          </w:p>
        </w:tc>
        <w:tc>
          <w:tcPr>
            <w:tcW w:w="1813" w:type="dxa"/>
          </w:tcPr>
          <w:p w:rsidR="00000000" w:rsidRDefault="00000000">
            <w:pPr>
              <w:jc w:val="right"/>
            </w:pPr>
            <w:r>
              <w:rPr>
                <w:szCs w:val="22"/>
                <w:lang w:val="es-ES_tradnl"/>
              </w:rPr>
              <w:t>256,54</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Septiembre</w:t>
            </w:r>
          </w:p>
        </w:tc>
        <w:tc>
          <w:tcPr>
            <w:tcW w:w="1813" w:type="dxa"/>
          </w:tcPr>
          <w:p w:rsidR="00000000" w:rsidRDefault="00000000">
            <w:pPr>
              <w:jc w:val="right"/>
            </w:pPr>
            <w:r>
              <w:rPr>
                <w:szCs w:val="22"/>
                <w:lang w:val="es-ES_tradnl"/>
              </w:rPr>
              <w:t>3.360.077</w:t>
            </w:r>
          </w:p>
        </w:tc>
        <w:tc>
          <w:tcPr>
            <w:tcW w:w="1813" w:type="dxa"/>
          </w:tcPr>
          <w:p w:rsidR="00000000" w:rsidRDefault="00000000">
            <w:pPr>
              <w:jc w:val="right"/>
            </w:pPr>
            <w:r>
              <w:rPr>
                <w:szCs w:val="22"/>
                <w:lang w:val="es-ES_tradnl"/>
              </w:rPr>
              <w:t>1.472.150</w:t>
            </w:r>
          </w:p>
        </w:tc>
        <w:tc>
          <w:tcPr>
            <w:tcW w:w="1813" w:type="dxa"/>
          </w:tcPr>
          <w:p w:rsidR="00000000" w:rsidRDefault="00000000">
            <w:pPr>
              <w:jc w:val="right"/>
            </w:pPr>
            <w:r>
              <w:rPr>
                <w:szCs w:val="22"/>
                <w:lang w:val="es-ES_tradnl"/>
              </w:rPr>
              <w:t>256,89</w:t>
            </w: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Octubre</w:t>
            </w:r>
          </w:p>
        </w:tc>
        <w:tc>
          <w:tcPr>
            <w:tcW w:w="1813" w:type="dxa"/>
          </w:tcPr>
          <w:p w:rsidR="00000000" w:rsidRDefault="00000000">
            <w:pPr>
              <w:jc w:val="right"/>
            </w:pPr>
            <w:r>
              <w:rPr>
                <w:szCs w:val="22"/>
                <w:lang w:val="es-ES_tradnl"/>
              </w:rPr>
              <w:t>3.479.926</w:t>
            </w:r>
          </w:p>
        </w:tc>
        <w:tc>
          <w:tcPr>
            <w:tcW w:w="1813" w:type="dxa"/>
          </w:tcPr>
          <w:p w:rsidR="00000000" w:rsidRDefault="00000000">
            <w:pPr>
              <w:jc w:val="right"/>
            </w:pPr>
            <w:r>
              <w:rPr>
                <w:szCs w:val="22"/>
                <w:lang w:val="es-ES_tradnl"/>
              </w:rPr>
              <w:t>1.506.420</w:t>
            </w:r>
          </w:p>
        </w:tc>
        <w:tc>
          <w:tcPr>
            <w:tcW w:w="1813" w:type="dxa"/>
          </w:tcPr>
          <w:p w:rsidR="00000000" w:rsidRDefault="00000000">
            <w:pPr>
              <w:jc w:val="right"/>
            </w:pP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Noviembre</w:t>
            </w:r>
          </w:p>
        </w:tc>
        <w:tc>
          <w:tcPr>
            <w:tcW w:w="1813" w:type="dxa"/>
          </w:tcPr>
          <w:p w:rsidR="00000000" w:rsidRDefault="00000000">
            <w:pPr>
              <w:jc w:val="right"/>
            </w:pPr>
            <w:r>
              <w:rPr>
                <w:szCs w:val="22"/>
                <w:lang w:val="es-ES_tradnl"/>
              </w:rPr>
              <w:t>3.722.291</w:t>
            </w:r>
          </w:p>
        </w:tc>
        <w:tc>
          <w:tcPr>
            <w:tcW w:w="1813" w:type="dxa"/>
          </w:tcPr>
          <w:p w:rsidR="00000000" w:rsidRDefault="00000000">
            <w:pPr>
              <w:jc w:val="right"/>
            </w:pPr>
            <w:r>
              <w:rPr>
                <w:szCs w:val="22"/>
                <w:lang w:val="es-ES_tradnl"/>
              </w:rPr>
              <w:t>1.592.009</w:t>
            </w:r>
          </w:p>
        </w:tc>
        <w:tc>
          <w:tcPr>
            <w:tcW w:w="1813" w:type="dxa"/>
          </w:tcPr>
          <w:p w:rsidR="00000000" w:rsidRDefault="00000000">
            <w:pPr>
              <w:jc w:val="right"/>
            </w:pPr>
          </w:p>
        </w:tc>
      </w:tr>
      <w:tr w:rsidR="00000000">
        <w:tblPrEx>
          <w:tblCellMar>
            <w:top w:w="0" w:type="dxa"/>
            <w:bottom w:w="0" w:type="dxa"/>
          </w:tblCellMar>
        </w:tblPrEx>
        <w:trPr>
          <w:jc w:val="center"/>
        </w:trPr>
        <w:tc>
          <w:tcPr>
            <w:tcW w:w="1813" w:type="dxa"/>
          </w:tcPr>
          <w:p w:rsidR="00000000" w:rsidRDefault="00000000">
            <w:pPr>
              <w:rPr>
                <w:lang w:val="es-ES_tradnl"/>
              </w:rPr>
            </w:pPr>
            <w:r>
              <w:rPr>
                <w:lang w:val="es-ES_tradnl"/>
              </w:rPr>
              <w:t>Diciembre</w:t>
            </w:r>
          </w:p>
        </w:tc>
        <w:tc>
          <w:tcPr>
            <w:tcW w:w="1813" w:type="dxa"/>
          </w:tcPr>
          <w:p w:rsidR="00000000" w:rsidRDefault="00000000">
            <w:pPr>
              <w:jc w:val="right"/>
            </w:pPr>
            <w:r>
              <w:rPr>
                <w:szCs w:val="22"/>
                <w:lang w:val="es-ES_tradnl"/>
              </w:rPr>
              <w:t>3.990.099</w:t>
            </w:r>
          </w:p>
        </w:tc>
        <w:tc>
          <w:tcPr>
            <w:tcW w:w="1813" w:type="dxa"/>
          </w:tcPr>
          <w:p w:rsidR="00000000" w:rsidRDefault="00000000">
            <w:pPr>
              <w:jc w:val="right"/>
            </w:pPr>
            <w:r>
              <w:rPr>
                <w:szCs w:val="22"/>
                <w:lang w:val="es-ES_tradnl"/>
              </w:rPr>
              <w:t>1.694.738</w:t>
            </w:r>
          </w:p>
        </w:tc>
        <w:tc>
          <w:tcPr>
            <w:tcW w:w="1813" w:type="dxa"/>
          </w:tcPr>
          <w:p w:rsidR="00000000" w:rsidRDefault="00000000">
            <w:pPr>
              <w:jc w:val="right"/>
            </w:pPr>
          </w:p>
        </w:tc>
      </w:tr>
    </w:tbl>
    <w:p w:rsidR="00000000" w:rsidRDefault="00000000">
      <w:pPr>
        <w:spacing w:before="240" w:after="480"/>
        <w:ind w:left="1055"/>
      </w:pPr>
      <w:r>
        <w:rPr>
          <w:i/>
          <w:iCs/>
          <w:szCs w:val="23"/>
          <w:lang w:val="es-ES_tradnl"/>
        </w:rPr>
        <w:t>Fuente</w:t>
      </w:r>
      <w:r>
        <w:rPr>
          <w:szCs w:val="23"/>
          <w:lang w:val="es-ES_tradnl"/>
        </w:rPr>
        <w:t>:  INEC.</w:t>
      </w:r>
    </w:p>
    <w:p w:rsidR="00000000" w:rsidRDefault="00000000">
      <w:pPr>
        <w:spacing w:after="240"/>
      </w:pPr>
      <w:r>
        <w:rPr>
          <w:lang w:val="es-ES_tradnl"/>
        </w:rPr>
        <w:t>285.</w:t>
      </w:r>
      <w:r>
        <w:rPr>
          <w:lang w:val="es-ES_tradnl"/>
        </w:rPr>
        <w:tab/>
        <w:t>En 1999, el 78,5% de la población ocupada es pobre, de los cuales el 46,2% son indigentes, y el 32,3% son pobres, y únicamente el 21,5% se encuentra por encima de la línea de pobreza</w:t>
      </w:r>
      <w:r>
        <w:rPr>
          <w:rStyle w:val="FootnoteReference"/>
          <w:lang w:val="es-ES_tradnl"/>
        </w:rPr>
        <w:footnoteReference w:id="37"/>
      </w:r>
      <w:r>
        <w:rPr>
          <w:lang w:val="es-ES_tradnl"/>
        </w:rPr>
        <w:t>.</w:t>
      </w:r>
    </w:p>
    <w:p w:rsidR="00000000" w:rsidRDefault="00000000">
      <w:pPr>
        <w:spacing w:after="240"/>
      </w:pPr>
      <w:r>
        <w:rPr>
          <w:lang w:val="es-ES_tradnl"/>
        </w:rPr>
        <w:t>286.</w:t>
      </w:r>
      <w:r>
        <w:rPr>
          <w:lang w:val="es-ES_tradnl"/>
        </w:rPr>
        <w:tab/>
        <w:t>La caída del PIB en 7,3% significa que por la recesión de la economía en relación con el año anterior el país dejó de producir en alrededor de 6.046 millones de dólares.  La economía no creció por problemas como los del fenómeno de El Niño, la mancha blanca del camarón y por el congelamiento de cuentas bancarias.</w:t>
      </w:r>
    </w:p>
    <w:p w:rsidR="00000000" w:rsidRDefault="00000000">
      <w:pPr>
        <w:spacing w:after="240"/>
      </w:pPr>
      <w:r>
        <w:rPr>
          <w:lang w:val="es-ES_tradnl"/>
        </w:rPr>
        <w:t>287.</w:t>
      </w:r>
      <w:r>
        <w:rPr>
          <w:lang w:val="es-ES_tradnl"/>
        </w:rPr>
        <w:tab/>
        <w:t>La recesión se evidenció en el cierre de empresas con el consiguiente aumento del desempleo, que bordeó en septiembre de 1999 niveles del 14,4 % con respecto a la información del INEC, que en 1998 estableció que el desempleo era del 11,5%.</w:t>
      </w:r>
    </w:p>
    <w:p w:rsidR="00000000" w:rsidRDefault="00000000">
      <w:pPr>
        <w:spacing w:after="240"/>
      </w:pPr>
      <w:r>
        <w:rPr>
          <w:i/>
          <w:iCs/>
          <w:lang w:val="es-ES_tradnl"/>
        </w:rPr>
        <w:t>Nivel de pobreza, PNB</w:t>
      </w:r>
    </w:p>
    <w:p w:rsidR="00000000" w:rsidRDefault="00000000">
      <w:pPr>
        <w:spacing w:after="240"/>
      </w:pPr>
      <w:r>
        <w:rPr>
          <w:lang w:val="es-ES_tradnl"/>
        </w:rPr>
        <w:t>288.</w:t>
      </w:r>
      <w:r>
        <w:rPr>
          <w:lang w:val="es-ES_tradnl"/>
        </w:rPr>
        <w:tab/>
        <w:t>En el país, en 1997, el quintil (20%) más rico de la población se lleva el 54,3% de la riqueza mientras que el quintil (20%) más pobre concentra el 5,4%.  Este indicador es útil para examinar en el tiempo los cambios en los niveles de participación en el ingreso total de los diferentes estratos de la sociedad</w:t>
      </w:r>
      <w:r>
        <w:rPr>
          <w:rStyle w:val="FootnoteReference"/>
          <w:lang w:val="es-ES_tradnl"/>
        </w:rPr>
        <w:footnoteReference w:id="38"/>
      </w:r>
      <w:r>
        <w:rPr>
          <w:lang w:val="es-ES_tradnl"/>
        </w:rPr>
        <w:t>.</w:t>
      </w:r>
    </w:p>
    <w:tbl>
      <w:tblPr>
        <w:tblW w:w="0" w:type="auto"/>
        <w:jc w:val="center"/>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6"/>
        <w:gridCol w:w="1989"/>
      </w:tblGrid>
      <w:tr w:rsidR="00000000">
        <w:tblPrEx>
          <w:tblCellMar>
            <w:top w:w="0" w:type="dxa"/>
            <w:bottom w:w="0" w:type="dxa"/>
          </w:tblCellMar>
        </w:tblPrEx>
        <w:trPr>
          <w:cantSplit/>
          <w:jc w:val="center"/>
        </w:trPr>
        <w:tc>
          <w:tcPr>
            <w:tcW w:w="5655" w:type="dxa"/>
            <w:gridSpan w:val="2"/>
            <w:vAlign w:val="center"/>
          </w:tcPr>
          <w:p w:rsidR="00000000" w:rsidRDefault="00000000">
            <w:pPr>
              <w:jc w:val="center"/>
              <w:rPr>
                <w:szCs w:val="22"/>
                <w:lang w:val="es-ES_tradnl"/>
              </w:rPr>
            </w:pPr>
            <w:r>
              <w:rPr>
                <w:szCs w:val="22"/>
                <w:lang w:val="es-ES_tradnl"/>
              </w:rPr>
              <w:t>Indicadores demográficos 1998</w:t>
            </w:r>
            <w:r>
              <w:rPr>
                <w:szCs w:val="22"/>
                <w:lang w:val="es-ES_tradnl"/>
              </w:rPr>
              <w:br/>
              <w:t>(Ministerio de Salud Pública)</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Tasa de fecundidad*</w:t>
            </w:r>
          </w:p>
        </w:tc>
        <w:tc>
          <w:tcPr>
            <w:tcW w:w="1989" w:type="dxa"/>
          </w:tcPr>
          <w:p w:rsidR="00000000" w:rsidRDefault="00000000">
            <w:pPr>
              <w:jc w:val="right"/>
              <w:rPr>
                <w:szCs w:val="22"/>
                <w:lang w:val="es-ES_tradnl"/>
              </w:rPr>
            </w:pPr>
            <w:r>
              <w:rPr>
                <w:szCs w:val="22"/>
                <w:lang w:val="es-ES_tradnl"/>
              </w:rPr>
              <w:t>87,7</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Tasa de mortalidad general*</w:t>
            </w:r>
          </w:p>
        </w:tc>
        <w:tc>
          <w:tcPr>
            <w:tcW w:w="1989" w:type="dxa"/>
          </w:tcPr>
          <w:p w:rsidR="00000000" w:rsidRDefault="00000000">
            <w:pPr>
              <w:jc w:val="right"/>
              <w:rPr>
                <w:szCs w:val="22"/>
                <w:lang w:val="es-ES_tradnl"/>
              </w:rPr>
            </w:pPr>
            <w:r>
              <w:rPr>
                <w:szCs w:val="22"/>
                <w:lang w:val="es-ES_tradnl"/>
              </w:rPr>
              <w:t>4,4</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Tasa de mortalidad infantil</w:t>
            </w:r>
          </w:p>
        </w:tc>
        <w:tc>
          <w:tcPr>
            <w:tcW w:w="1989" w:type="dxa"/>
          </w:tcPr>
          <w:p w:rsidR="00000000" w:rsidRDefault="00000000">
            <w:pPr>
              <w:jc w:val="right"/>
              <w:rPr>
                <w:szCs w:val="22"/>
                <w:lang w:val="es-ES_tradnl"/>
              </w:rPr>
            </w:pPr>
            <w:r>
              <w:rPr>
                <w:szCs w:val="22"/>
                <w:lang w:val="es-ES_tradnl"/>
              </w:rPr>
              <w:t>32,2</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Tasa de mortalidad neonatal*</w:t>
            </w:r>
          </w:p>
        </w:tc>
        <w:tc>
          <w:tcPr>
            <w:tcW w:w="1989" w:type="dxa"/>
          </w:tcPr>
          <w:p w:rsidR="00000000" w:rsidRDefault="00000000">
            <w:pPr>
              <w:jc w:val="right"/>
              <w:rPr>
                <w:szCs w:val="22"/>
                <w:lang w:val="es-ES_tradnl"/>
              </w:rPr>
            </w:pPr>
            <w:r>
              <w:rPr>
                <w:szCs w:val="22"/>
                <w:lang w:val="es-ES_tradnl"/>
              </w:rPr>
              <w:t>14,5</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 xml:space="preserve">Tasa de mortalidad </w:t>
            </w:r>
            <w:proofErr w:type="spellStart"/>
            <w:r>
              <w:rPr>
                <w:szCs w:val="23"/>
                <w:lang w:val="es-ES_tradnl"/>
              </w:rPr>
              <w:t>posnonatal</w:t>
            </w:r>
            <w:proofErr w:type="spellEnd"/>
            <w:r>
              <w:rPr>
                <w:szCs w:val="23"/>
                <w:lang w:val="es-ES_tradnl"/>
              </w:rPr>
              <w:t>*</w:t>
            </w:r>
          </w:p>
        </w:tc>
        <w:tc>
          <w:tcPr>
            <w:tcW w:w="1989" w:type="dxa"/>
          </w:tcPr>
          <w:p w:rsidR="00000000" w:rsidRDefault="00000000">
            <w:pPr>
              <w:jc w:val="right"/>
              <w:rPr>
                <w:szCs w:val="22"/>
                <w:lang w:val="es-ES_tradnl"/>
              </w:rPr>
            </w:pPr>
            <w:r>
              <w:rPr>
                <w:szCs w:val="22"/>
                <w:lang w:val="es-ES_tradnl"/>
              </w:rPr>
              <w:t>17,7</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 xml:space="preserve">Tasa de mortalidad </w:t>
            </w:r>
            <w:proofErr w:type="spellStart"/>
            <w:r>
              <w:rPr>
                <w:szCs w:val="23"/>
                <w:lang w:val="es-ES_tradnl"/>
              </w:rPr>
              <w:t>perinatal</w:t>
            </w:r>
            <w:proofErr w:type="spellEnd"/>
            <w:r>
              <w:rPr>
                <w:szCs w:val="23"/>
                <w:lang w:val="es-ES_tradnl"/>
              </w:rPr>
              <w:t>*</w:t>
            </w:r>
          </w:p>
        </w:tc>
        <w:tc>
          <w:tcPr>
            <w:tcW w:w="1989" w:type="dxa"/>
          </w:tcPr>
          <w:p w:rsidR="00000000" w:rsidRDefault="00000000">
            <w:pPr>
              <w:jc w:val="right"/>
              <w:rPr>
                <w:szCs w:val="22"/>
                <w:lang w:val="es-ES_tradnl"/>
              </w:rPr>
            </w:pPr>
            <w:r>
              <w:rPr>
                <w:szCs w:val="22"/>
                <w:lang w:val="es-ES_tradnl"/>
              </w:rPr>
              <w:t>19,7</w:t>
            </w:r>
          </w:p>
        </w:tc>
      </w:tr>
      <w:tr w:rsidR="00000000">
        <w:tblPrEx>
          <w:tblCellMar>
            <w:top w:w="0" w:type="dxa"/>
            <w:bottom w:w="0" w:type="dxa"/>
          </w:tblCellMar>
        </w:tblPrEx>
        <w:trPr>
          <w:jc w:val="center"/>
        </w:trPr>
        <w:tc>
          <w:tcPr>
            <w:tcW w:w="3666" w:type="dxa"/>
          </w:tcPr>
          <w:p w:rsidR="00000000" w:rsidRDefault="00000000">
            <w:pPr>
              <w:rPr>
                <w:szCs w:val="22"/>
                <w:lang w:val="es-ES_tradnl"/>
              </w:rPr>
            </w:pPr>
            <w:r>
              <w:rPr>
                <w:szCs w:val="23"/>
                <w:lang w:val="es-ES_tradnl"/>
              </w:rPr>
              <w:t>Tasa de mortalidad materna**</w:t>
            </w:r>
          </w:p>
        </w:tc>
        <w:tc>
          <w:tcPr>
            <w:tcW w:w="1989" w:type="dxa"/>
          </w:tcPr>
          <w:p w:rsidR="00000000" w:rsidRDefault="00000000">
            <w:pPr>
              <w:jc w:val="right"/>
              <w:rPr>
                <w:szCs w:val="22"/>
                <w:lang w:val="es-ES_tradnl"/>
              </w:rPr>
            </w:pPr>
            <w:r>
              <w:rPr>
                <w:szCs w:val="22"/>
                <w:lang w:val="es-ES_tradnl"/>
              </w:rPr>
              <w:t>93,4</w:t>
            </w:r>
          </w:p>
        </w:tc>
      </w:tr>
      <w:tr w:rsidR="00000000">
        <w:tblPrEx>
          <w:tblCellMar>
            <w:top w:w="0" w:type="dxa"/>
            <w:bottom w:w="0" w:type="dxa"/>
          </w:tblCellMar>
        </w:tblPrEx>
        <w:trPr>
          <w:jc w:val="center"/>
        </w:trPr>
        <w:tc>
          <w:tcPr>
            <w:tcW w:w="3666" w:type="dxa"/>
          </w:tcPr>
          <w:p w:rsidR="00000000" w:rsidRDefault="00000000">
            <w:pPr>
              <w:rPr>
                <w:szCs w:val="23"/>
                <w:lang w:val="es-ES_tradnl"/>
              </w:rPr>
            </w:pPr>
            <w:r>
              <w:rPr>
                <w:szCs w:val="23"/>
                <w:lang w:val="es-ES_tradnl"/>
              </w:rPr>
              <w:t>Porcentaje de partos con asistencia</w:t>
            </w:r>
          </w:p>
        </w:tc>
        <w:tc>
          <w:tcPr>
            <w:tcW w:w="1989" w:type="dxa"/>
          </w:tcPr>
          <w:p w:rsidR="00000000" w:rsidRDefault="00000000">
            <w:pPr>
              <w:jc w:val="right"/>
              <w:rPr>
                <w:szCs w:val="22"/>
                <w:lang w:val="es-ES_tradnl"/>
              </w:rPr>
            </w:pPr>
            <w:r>
              <w:rPr>
                <w:szCs w:val="22"/>
                <w:lang w:val="es-ES_tradnl"/>
              </w:rPr>
              <w:t>70,9</w:t>
            </w:r>
          </w:p>
        </w:tc>
      </w:tr>
      <w:tr w:rsidR="00000000">
        <w:tblPrEx>
          <w:tblCellMar>
            <w:top w:w="0" w:type="dxa"/>
            <w:bottom w:w="0" w:type="dxa"/>
          </w:tblCellMar>
        </w:tblPrEx>
        <w:trPr>
          <w:cantSplit/>
          <w:jc w:val="center"/>
        </w:trPr>
        <w:tc>
          <w:tcPr>
            <w:tcW w:w="5655" w:type="dxa"/>
            <w:gridSpan w:val="2"/>
          </w:tcPr>
          <w:p w:rsidR="00000000" w:rsidRDefault="00000000">
            <w:pPr>
              <w:rPr>
                <w:szCs w:val="22"/>
                <w:lang w:val="es-ES_tradnl"/>
              </w:rPr>
            </w:pPr>
            <w:r>
              <w:rPr>
                <w:szCs w:val="23"/>
                <w:lang w:val="es-ES_tradnl"/>
              </w:rPr>
              <w:t>Cobertura de atención-Salud materna Ecuador:</w:t>
            </w:r>
          </w:p>
        </w:tc>
      </w:tr>
      <w:tr w:rsidR="00000000">
        <w:tblPrEx>
          <w:tblCellMar>
            <w:top w:w="0" w:type="dxa"/>
            <w:bottom w:w="0" w:type="dxa"/>
          </w:tblCellMar>
        </w:tblPrEx>
        <w:trPr>
          <w:jc w:val="center"/>
        </w:trPr>
        <w:tc>
          <w:tcPr>
            <w:tcW w:w="3666" w:type="dxa"/>
          </w:tcPr>
          <w:p w:rsidR="00000000" w:rsidRDefault="00000000">
            <w:pPr>
              <w:tabs>
                <w:tab w:val="left" w:pos="359"/>
              </w:tabs>
              <w:rPr>
                <w:szCs w:val="22"/>
                <w:lang w:val="es-ES_tradnl"/>
              </w:rPr>
            </w:pPr>
            <w:r>
              <w:rPr>
                <w:szCs w:val="22"/>
                <w:lang w:val="es-ES_tradnl"/>
              </w:rPr>
              <w:tab/>
              <w:t>Prenatal</w:t>
            </w:r>
          </w:p>
        </w:tc>
        <w:tc>
          <w:tcPr>
            <w:tcW w:w="1989" w:type="dxa"/>
          </w:tcPr>
          <w:p w:rsidR="00000000" w:rsidRDefault="00000000">
            <w:pPr>
              <w:jc w:val="right"/>
              <w:rPr>
                <w:szCs w:val="22"/>
                <w:lang w:val="es-ES_tradnl"/>
              </w:rPr>
            </w:pPr>
            <w:r>
              <w:rPr>
                <w:szCs w:val="22"/>
                <w:lang w:val="es-ES_tradnl"/>
              </w:rPr>
              <w:t>69,3</w:t>
            </w:r>
          </w:p>
        </w:tc>
      </w:tr>
      <w:tr w:rsidR="00000000">
        <w:tblPrEx>
          <w:tblCellMar>
            <w:top w:w="0" w:type="dxa"/>
            <w:bottom w:w="0" w:type="dxa"/>
          </w:tblCellMar>
        </w:tblPrEx>
        <w:trPr>
          <w:jc w:val="center"/>
        </w:trPr>
        <w:tc>
          <w:tcPr>
            <w:tcW w:w="3666" w:type="dxa"/>
          </w:tcPr>
          <w:p w:rsidR="00000000" w:rsidRDefault="00000000">
            <w:pPr>
              <w:tabs>
                <w:tab w:val="left" w:pos="359"/>
              </w:tabs>
              <w:rPr>
                <w:szCs w:val="22"/>
                <w:lang w:val="es-ES_tradnl"/>
              </w:rPr>
            </w:pPr>
            <w:r>
              <w:rPr>
                <w:szCs w:val="22"/>
                <w:lang w:val="es-ES_tradnl"/>
              </w:rPr>
              <w:tab/>
              <w:t>Parto</w:t>
            </w:r>
          </w:p>
        </w:tc>
        <w:tc>
          <w:tcPr>
            <w:tcW w:w="1989" w:type="dxa"/>
          </w:tcPr>
          <w:p w:rsidR="00000000" w:rsidRDefault="00000000">
            <w:pPr>
              <w:jc w:val="right"/>
              <w:rPr>
                <w:szCs w:val="22"/>
                <w:lang w:val="es-ES_tradnl"/>
              </w:rPr>
            </w:pPr>
            <w:r>
              <w:rPr>
                <w:szCs w:val="22"/>
                <w:lang w:val="es-ES_tradnl"/>
              </w:rPr>
              <w:t>26,9</w:t>
            </w:r>
          </w:p>
        </w:tc>
      </w:tr>
      <w:tr w:rsidR="00000000">
        <w:tblPrEx>
          <w:tblCellMar>
            <w:top w:w="0" w:type="dxa"/>
            <w:bottom w:w="0" w:type="dxa"/>
          </w:tblCellMar>
        </w:tblPrEx>
        <w:trPr>
          <w:jc w:val="center"/>
        </w:trPr>
        <w:tc>
          <w:tcPr>
            <w:tcW w:w="3666" w:type="dxa"/>
          </w:tcPr>
          <w:p w:rsidR="00000000" w:rsidRDefault="00000000">
            <w:pPr>
              <w:tabs>
                <w:tab w:val="left" w:pos="359"/>
              </w:tabs>
              <w:rPr>
                <w:szCs w:val="22"/>
                <w:lang w:val="es-ES_tradnl"/>
              </w:rPr>
            </w:pPr>
            <w:r>
              <w:rPr>
                <w:szCs w:val="22"/>
                <w:lang w:val="es-ES_tradnl"/>
              </w:rPr>
              <w:tab/>
              <w:t>Posparto</w:t>
            </w:r>
          </w:p>
        </w:tc>
        <w:tc>
          <w:tcPr>
            <w:tcW w:w="1989" w:type="dxa"/>
          </w:tcPr>
          <w:p w:rsidR="00000000" w:rsidRDefault="00000000">
            <w:pPr>
              <w:jc w:val="right"/>
              <w:rPr>
                <w:szCs w:val="22"/>
                <w:lang w:val="es-ES_tradnl"/>
              </w:rPr>
            </w:pPr>
            <w:r>
              <w:rPr>
                <w:szCs w:val="22"/>
                <w:lang w:val="es-ES_tradnl"/>
              </w:rPr>
              <w:t>15,1</w:t>
            </w:r>
          </w:p>
        </w:tc>
      </w:tr>
      <w:tr w:rsidR="00000000">
        <w:tblPrEx>
          <w:tblCellMar>
            <w:top w:w="0" w:type="dxa"/>
            <w:bottom w:w="0" w:type="dxa"/>
          </w:tblCellMar>
        </w:tblPrEx>
        <w:trPr>
          <w:jc w:val="center"/>
        </w:trPr>
        <w:tc>
          <w:tcPr>
            <w:tcW w:w="3666" w:type="dxa"/>
          </w:tcPr>
          <w:p w:rsidR="00000000" w:rsidRDefault="00000000">
            <w:pPr>
              <w:tabs>
                <w:tab w:val="left" w:pos="359"/>
              </w:tabs>
              <w:rPr>
                <w:szCs w:val="22"/>
                <w:lang w:val="es-ES_tradnl"/>
              </w:rPr>
            </w:pPr>
            <w:r>
              <w:rPr>
                <w:szCs w:val="22"/>
                <w:lang w:val="es-ES_tradnl"/>
              </w:rPr>
              <w:tab/>
              <w:t>Regulación fecundidad</w:t>
            </w:r>
          </w:p>
        </w:tc>
        <w:tc>
          <w:tcPr>
            <w:tcW w:w="1989" w:type="dxa"/>
          </w:tcPr>
          <w:p w:rsidR="00000000" w:rsidRDefault="00000000">
            <w:pPr>
              <w:jc w:val="right"/>
              <w:rPr>
                <w:szCs w:val="22"/>
                <w:lang w:val="es-ES_tradnl"/>
              </w:rPr>
            </w:pPr>
            <w:r>
              <w:rPr>
                <w:szCs w:val="22"/>
                <w:lang w:val="es-ES_tradnl"/>
              </w:rPr>
              <w:t>3,6</w:t>
            </w:r>
          </w:p>
        </w:tc>
      </w:tr>
      <w:tr w:rsidR="00000000">
        <w:tblPrEx>
          <w:tblCellMar>
            <w:top w:w="0" w:type="dxa"/>
            <w:bottom w:w="0" w:type="dxa"/>
          </w:tblCellMar>
        </w:tblPrEx>
        <w:trPr>
          <w:jc w:val="center"/>
        </w:trPr>
        <w:tc>
          <w:tcPr>
            <w:tcW w:w="3666" w:type="dxa"/>
          </w:tcPr>
          <w:p w:rsidR="00000000" w:rsidRDefault="00000000">
            <w:pPr>
              <w:tabs>
                <w:tab w:val="left" w:pos="359"/>
              </w:tabs>
              <w:rPr>
                <w:szCs w:val="22"/>
                <w:lang w:val="es-ES_tradnl"/>
              </w:rPr>
            </w:pPr>
            <w:r>
              <w:rPr>
                <w:szCs w:val="22"/>
                <w:lang w:val="es-ES_tradnl"/>
              </w:rPr>
              <w:tab/>
            </w:r>
            <w:proofErr w:type="spellStart"/>
            <w:r>
              <w:rPr>
                <w:szCs w:val="22"/>
                <w:lang w:val="es-ES_tradnl"/>
              </w:rPr>
              <w:t>D.O.C</w:t>
            </w:r>
            <w:proofErr w:type="spellEnd"/>
            <w:r>
              <w:rPr>
                <w:szCs w:val="22"/>
                <w:lang w:val="es-ES_tradnl"/>
              </w:rPr>
              <w:t>.</w:t>
            </w:r>
          </w:p>
        </w:tc>
        <w:tc>
          <w:tcPr>
            <w:tcW w:w="1989" w:type="dxa"/>
          </w:tcPr>
          <w:p w:rsidR="00000000" w:rsidRDefault="00000000">
            <w:pPr>
              <w:jc w:val="right"/>
              <w:rPr>
                <w:szCs w:val="22"/>
                <w:lang w:val="es-ES_tradnl"/>
              </w:rPr>
            </w:pPr>
            <w:r>
              <w:rPr>
                <w:szCs w:val="22"/>
                <w:lang w:val="es-ES_tradnl"/>
              </w:rPr>
              <w:t>4,9</w:t>
            </w:r>
          </w:p>
        </w:tc>
      </w:tr>
    </w:tbl>
    <w:p w:rsidR="00000000" w:rsidRDefault="00000000">
      <w:pPr>
        <w:spacing w:before="240" w:after="240"/>
        <w:ind w:left="1980"/>
      </w:pPr>
      <w:r>
        <w:rPr>
          <w:szCs w:val="23"/>
          <w:lang w:val="es-ES_tradnl"/>
        </w:rPr>
        <w:t>* Tasa por 1.000 nacidos vivos.</w:t>
      </w:r>
    </w:p>
    <w:p w:rsidR="00000000" w:rsidRDefault="00000000">
      <w:pPr>
        <w:spacing w:before="240" w:after="240"/>
        <w:ind w:left="1980"/>
      </w:pPr>
      <w:r>
        <w:rPr>
          <w:szCs w:val="23"/>
          <w:lang w:val="es-ES_tradnl"/>
        </w:rPr>
        <w:t>** Tasa por 100.000 nacidos vivos.</w:t>
      </w:r>
    </w:p>
    <w:p w:rsidR="00000000" w:rsidRDefault="00000000">
      <w:pPr>
        <w:keepNext/>
        <w:keepLines/>
        <w:shd w:val="clear" w:color="auto" w:fill="FFFFFF"/>
        <w:spacing w:after="240"/>
      </w:pPr>
      <w:r>
        <w:rPr>
          <w:b/>
          <w:bCs/>
          <w:color w:val="000000"/>
          <w:szCs w:val="26"/>
          <w:lang w:val="es-ES_tradnl"/>
        </w:rPr>
        <w:t>El derecho a alimentación suficiente</w:t>
      </w:r>
    </w:p>
    <w:p w:rsidR="00000000" w:rsidRDefault="00000000">
      <w:pPr>
        <w:keepNext/>
        <w:keepLines/>
        <w:shd w:val="clear" w:color="auto" w:fill="FFFFFF"/>
        <w:spacing w:after="240"/>
      </w:pPr>
      <w:r>
        <w:rPr>
          <w:color w:val="000000"/>
          <w:szCs w:val="25"/>
          <w:lang w:val="es-ES_tradnl"/>
        </w:rPr>
        <w:t>289.</w:t>
      </w:r>
      <w:r>
        <w:rPr>
          <w:color w:val="000000"/>
          <w:szCs w:val="25"/>
          <w:lang w:val="es-ES_tradnl"/>
        </w:rPr>
        <w:tab/>
        <w:t xml:space="preserve">La Constitución Política del Estado, en el Título III, capítulo II de los derechos civiles, en el artículo 23, numeral 20, dice que el Estado reconocerá y garantizará a las personas "el derecho a una calidad de vida que asegure la salud, alimentación y nutrición, agua potable, saneamiento ambiental; educación, trabajo, empleo, recreación, vivienda, vestido y otros servicios sociales necesarios".  En el artículo 43, inciso 2, del texto constitucional se señala que "el Estado promoverá la cultura por la salud y la vida, con énfasis en la educación </w:t>
      </w:r>
      <w:proofErr w:type="spellStart"/>
      <w:r>
        <w:rPr>
          <w:color w:val="000000"/>
          <w:szCs w:val="25"/>
          <w:lang w:val="es-ES_tradnl"/>
        </w:rPr>
        <w:t>alimentaria</w:t>
      </w:r>
      <w:proofErr w:type="spellEnd"/>
      <w:r>
        <w:rPr>
          <w:color w:val="000000"/>
          <w:szCs w:val="25"/>
          <w:lang w:val="es-ES_tradnl"/>
        </w:rPr>
        <w:t xml:space="preserve"> y nutricional de madres y niños, y en la salud sexual y reproductiva, mediante la participación de la sociedad y la colaboración de los medios de comunicación social".</w:t>
      </w:r>
    </w:p>
    <w:p w:rsidR="00000000" w:rsidRDefault="00000000">
      <w:pPr>
        <w:shd w:val="clear" w:color="auto" w:fill="FFFFFF"/>
        <w:spacing w:after="240"/>
        <w:rPr>
          <w:color w:val="000000"/>
          <w:szCs w:val="25"/>
          <w:lang w:val="es-ES_tradnl"/>
        </w:rPr>
      </w:pPr>
      <w:r>
        <w:rPr>
          <w:color w:val="000000"/>
          <w:szCs w:val="25"/>
          <w:lang w:val="es-ES_tradnl"/>
        </w:rPr>
        <w:t>290.</w:t>
      </w:r>
      <w:r>
        <w:rPr>
          <w:color w:val="000000"/>
          <w:szCs w:val="25"/>
          <w:lang w:val="es-ES_tradnl"/>
        </w:rPr>
        <w:tab/>
        <w:t xml:space="preserve">La crisis que atraviesa el país ha incidido desfavorablemente en la población, que ha visto disminuir la capacidad adquisitiva de sus ingresos, incrementando la brecha existente entre pobres y ricos, producto de la desigual distribución de la riqueza, agravada dramáticamente en los últimos años por los niveles de pobreza caracterizados por la existencia de altos índices de desnutrición e insalubridad.  </w:t>
      </w:r>
    </w:p>
    <w:p w:rsidR="00000000" w:rsidRDefault="00000000">
      <w:pPr>
        <w:shd w:val="clear" w:color="auto" w:fill="FFFFFF"/>
        <w:spacing w:after="240"/>
      </w:pPr>
      <w:r>
        <w:rPr>
          <w:color w:val="000000"/>
          <w:szCs w:val="25"/>
          <w:lang w:val="es-ES_tradnl"/>
        </w:rPr>
        <w:t>291.</w:t>
      </w:r>
      <w:r>
        <w:rPr>
          <w:color w:val="000000"/>
          <w:szCs w:val="25"/>
          <w:lang w:val="es-ES_tradnl"/>
        </w:rPr>
        <w:tab/>
        <w:t>Según estimaciones del Ministerio de Salud Pública (MSP), el 50% de los niños menores de 2 años presenta retardo del crecimiento y consume dietas insuficientes en energía, proteínas, hierro, zinc y vitamina A.  Por medio de encuestas bioquímicas se ha determinado que la anemia afecta a más de la mitad de las embarazadas y niños menores de 3 años y que la carencia de vitamina A compromete a nivel nacional a 200.000 menores de 5 años</w:t>
      </w:r>
      <w:r>
        <w:rPr>
          <w:rStyle w:val="FootnoteReference"/>
          <w:color w:val="000000"/>
          <w:szCs w:val="25"/>
          <w:lang w:val="es-ES_tradnl"/>
        </w:rPr>
        <w:footnoteReference w:id="39"/>
      </w:r>
      <w:r>
        <w:rPr>
          <w:color w:val="000000"/>
          <w:szCs w:val="25"/>
          <w:lang w:val="es-ES_tradnl"/>
        </w:rPr>
        <w:t>.</w:t>
      </w:r>
    </w:p>
    <w:p w:rsidR="00000000" w:rsidRDefault="00000000">
      <w:pPr>
        <w:shd w:val="clear" w:color="auto" w:fill="FFFFFF"/>
        <w:spacing w:after="240"/>
      </w:pPr>
      <w:r>
        <w:rPr>
          <w:color w:val="000000"/>
          <w:szCs w:val="25"/>
          <w:lang w:val="es-ES_tradnl"/>
        </w:rPr>
        <w:t>292.</w:t>
      </w:r>
      <w:r>
        <w:rPr>
          <w:color w:val="000000"/>
          <w:szCs w:val="25"/>
          <w:lang w:val="es-ES_tradnl"/>
        </w:rPr>
        <w:tab/>
        <w:t xml:space="preserve">La disponibilidad de alimentos, de acuerdo a estudios nutricionales efectuados en el país por el Ministerio de Agricultura y Ganadería a través de las hojas de balance alimentario sobre el contenido de calorías, proteínas y grasas de los productos contemplados en el boletín, refleja la disponibilidad aparente de nutrientes en función al consumo </w:t>
      </w:r>
      <w:proofErr w:type="spellStart"/>
      <w:r>
        <w:rPr>
          <w:color w:val="000000"/>
          <w:szCs w:val="25"/>
          <w:lang w:val="es-ES_tradnl"/>
        </w:rPr>
        <w:t>per</w:t>
      </w:r>
      <w:proofErr w:type="spellEnd"/>
      <w:r>
        <w:rPr>
          <w:color w:val="000000"/>
          <w:szCs w:val="25"/>
          <w:lang w:val="es-ES_tradnl"/>
        </w:rPr>
        <w:t xml:space="preserve"> </w:t>
      </w:r>
      <w:proofErr w:type="spellStart"/>
      <w:r>
        <w:rPr>
          <w:color w:val="000000"/>
          <w:szCs w:val="25"/>
          <w:lang w:val="es-ES_tradnl"/>
        </w:rPr>
        <w:t>cápita/día</w:t>
      </w:r>
      <w:proofErr w:type="spellEnd"/>
      <w:r>
        <w:rPr>
          <w:color w:val="000000"/>
          <w:szCs w:val="25"/>
          <w:lang w:val="es-ES_tradnl"/>
        </w:rPr>
        <w:t xml:space="preserve"> de la población ecuatoriana.  Los resultados de la cantidad de alimentos y nutrientes por persona no significan consumos efectivos sino que representan sólo la cantidad que en promedio estuvo disponible para los años 1990-1998 para cubrir las necesidades </w:t>
      </w:r>
      <w:proofErr w:type="spellStart"/>
      <w:r>
        <w:rPr>
          <w:color w:val="000000"/>
          <w:szCs w:val="25"/>
          <w:lang w:val="es-ES_tradnl"/>
        </w:rPr>
        <w:t>alimentarias</w:t>
      </w:r>
      <w:proofErr w:type="spellEnd"/>
      <w:r>
        <w:rPr>
          <w:color w:val="000000"/>
          <w:szCs w:val="25"/>
          <w:lang w:val="es-ES_tradnl"/>
        </w:rPr>
        <w:t xml:space="preserve"> de la población.</w:t>
      </w:r>
    </w:p>
    <w:p w:rsidR="00000000" w:rsidRDefault="00000000">
      <w:pPr>
        <w:shd w:val="clear" w:color="auto" w:fill="FFFFFF"/>
        <w:spacing w:after="240"/>
        <w:rPr>
          <w:color w:val="000000"/>
          <w:szCs w:val="25"/>
          <w:lang w:val="es-ES_tradnl"/>
        </w:rPr>
      </w:pPr>
      <w:r>
        <w:rPr>
          <w:color w:val="000000"/>
          <w:szCs w:val="25"/>
          <w:lang w:val="es-ES_tradnl"/>
        </w:rPr>
        <w:t>293.</w:t>
      </w:r>
      <w:r>
        <w:rPr>
          <w:color w:val="000000"/>
          <w:szCs w:val="25"/>
          <w:lang w:val="es-ES_tradnl"/>
        </w:rPr>
        <w:tab/>
        <w:t xml:space="preserve">Esta información no refleja la verdadera situación nutricional </w:t>
      </w:r>
      <w:proofErr w:type="spellStart"/>
      <w:r>
        <w:rPr>
          <w:color w:val="000000"/>
          <w:szCs w:val="25"/>
          <w:lang w:val="es-ES_tradnl"/>
        </w:rPr>
        <w:t>alimentaria</w:t>
      </w:r>
      <w:proofErr w:type="spellEnd"/>
      <w:r>
        <w:rPr>
          <w:color w:val="000000"/>
          <w:szCs w:val="25"/>
          <w:lang w:val="es-ES_tradnl"/>
        </w:rPr>
        <w:t xml:space="preserve"> del habitante ecuatoriano debido a que los datos estadísticos representan únicamente la disponibilidad teórica (oferta) de los alimentos y la nutrición </w:t>
      </w:r>
      <w:proofErr w:type="spellStart"/>
      <w:r>
        <w:rPr>
          <w:color w:val="000000"/>
          <w:szCs w:val="25"/>
          <w:lang w:val="es-ES_tradnl"/>
        </w:rPr>
        <w:t>alimentaria</w:t>
      </w:r>
      <w:proofErr w:type="spellEnd"/>
      <w:r>
        <w:rPr>
          <w:color w:val="000000"/>
          <w:szCs w:val="25"/>
          <w:lang w:val="es-ES_tradnl"/>
        </w:rPr>
        <w:t xml:space="preserve"> está en función de variables como la distribución espacial, aspectos socioeconómicos, desigual distribución del ingreso, etc.</w:t>
      </w:r>
      <w:r>
        <w:rPr>
          <w:rStyle w:val="FootnoteReference"/>
          <w:color w:val="000000"/>
          <w:szCs w:val="25"/>
          <w:lang w:val="es-ES_tradnl"/>
        </w:rPr>
        <w:footnoteReference w:id="40"/>
      </w:r>
      <w:r>
        <w:rPr>
          <w:color w:val="000000"/>
          <w:szCs w:val="25"/>
          <w:lang w:val="es-ES_tradnl"/>
        </w:rPr>
        <w:t>.</w:t>
      </w:r>
    </w:p>
    <w:p w:rsidR="00000000" w:rsidRDefault="00000000">
      <w:pPr>
        <w:keepNext/>
        <w:keepLines/>
        <w:shd w:val="clear" w:color="auto" w:fill="FFFFFF"/>
        <w:spacing w:after="200"/>
        <w:jc w:val="center"/>
        <w:rPr>
          <w:b/>
          <w:bCs/>
          <w:color w:val="000000"/>
          <w:szCs w:val="21"/>
          <w:lang w:val="es-ES_tradnl"/>
        </w:rPr>
      </w:pPr>
      <w:r>
        <w:rPr>
          <w:b/>
          <w:bCs/>
          <w:color w:val="000000"/>
          <w:szCs w:val="21"/>
          <w:lang w:val="es-ES_tradnl"/>
        </w:rPr>
        <w:t>Disponibilidad de calorías y proteínas</w:t>
      </w:r>
      <w:r>
        <w:rPr>
          <w:b/>
          <w:bCs/>
          <w:color w:val="000000"/>
          <w:szCs w:val="21"/>
          <w:lang w:val="es-ES_tradnl"/>
        </w:rPr>
        <w:br/>
        <w:t>(</w:t>
      </w:r>
      <w:proofErr w:type="spellStart"/>
      <w:r>
        <w:rPr>
          <w:b/>
          <w:bCs/>
          <w:color w:val="000000"/>
          <w:szCs w:val="21"/>
          <w:lang w:val="es-ES_tradnl"/>
        </w:rPr>
        <w:t>Per</w:t>
      </w:r>
      <w:proofErr w:type="spellEnd"/>
      <w:r>
        <w:rPr>
          <w:b/>
          <w:bCs/>
          <w:color w:val="000000"/>
          <w:szCs w:val="21"/>
          <w:lang w:val="es-ES_tradnl"/>
        </w:rPr>
        <w:t xml:space="preserve"> </w:t>
      </w:r>
      <w:proofErr w:type="spellStart"/>
      <w:r>
        <w:rPr>
          <w:b/>
          <w:bCs/>
          <w:color w:val="000000"/>
          <w:szCs w:val="21"/>
          <w:lang w:val="es-ES_tradnl"/>
        </w:rPr>
        <w:t>cápita/día</w:t>
      </w:r>
      <w:proofErr w:type="spellEnd"/>
      <w:r>
        <w:rPr>
          <w:b/>
          <w:bCs/>
          <w:color w:val="000000"/>
          <w:szCs w:val="21"/>
          <w:lang w:val="es-ES_tradnl"/>
        </w:rPr>
        <w:t>)</w:t>
      </w:r>
    </w:p>
    <w:tbl>
      <w:tblPr>
        <w:tblW w:w="0" w:type="auto"/>
        <w:jc w:val="center"/>
        <w:tblInd w:w="3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5"/>
        <w:gridCol w:w="1716"/>
        <w:gridCol w:w="1538"/>
        <w:gridCol w:w="1092"/>
      </w:tblGrid>
      <w:tr w:rsidR="00000000">
        <w:tblPrEx>
          <w:tblCellMar>
            <w:top w:w="0" w:type="dxa"/>
            <w:bottom w:w="0" w:type="dxa"/>
          </w:tblCellMar>
        </w:tblPrEx>
        <w:trPr>
          <w:jc w:val="center"/>
        </w:trPr>
        <w:tc>
          <w:tcPr>
            <w:tcW w:w="1075" w:type="dxa"/>
          </w:tcPr>
          <w:p w:rsidR="00000000" w:rsidRDefault="00000000">
            <w:pPr>
              <w:keepNext/>
              <w:keepLines/>
              <w:jc w:val="center"/>
            </w:pPr>
            <w:r>
              <w:t>Año</w:t>
            </w:r>
          </w:p>
        </w:tc>
        <w:tc>
          <w:tcPr>
            <w:tcW w:w="1716" w:type="dxa"/>
          </w:tcPr>
          <w:p w:rsidR="00000000" w:rsidRDefault="00000000">
            <w:pPr>
              <w:keepNext/>
              <w:keepLines/>
              <w:jc w:val="center"/>
            </w:pPr>
            <w:r>
              <w:t>Calorías</w:t>
            </w:r>
          </w:p>
        </w:tc>
        <w:tc>
          <w:tcPr>
            <w:tcW w:w="1538" w:type="dxa"/>
          </w:tcPr>
          <w:p w:rsidR="00000000" w:rsidRDefault="00000000">
            <w:pPr>
              <w:keepNext/>
              <w:keepLines/>
              <w:jc w:val="center"/>
            </w:pPr>
            <w:r>
              <w:t>Proteínas</w:t>
            </w:r>
          </w:p>
        </w:tc>
        <w:tc>
          <w:tcPr>
            <w:tcW w:w="1092" w:type="dxa"/>
          </w:tcPr>
          <w:p w:rsidR="00000000" w:rsidRDefault="00000000">
            <w:pPr>
              <w:keepNext/>
              <w:keepLines/>
              <w:jc w:val="center"/>
            </w:pPr>
            <w:r>
              <w:t xml:space="preserve">Grasas </w:t>
            </w:r>
          </w:p>
        </w:tc>
      </w:tr>
      <w:tr w:rsidR="00000000">
        <w:tblPrEx>
          <w:tblCellMar>
            <w:top w:w="0" w:type="dxa"/>
            <w:bottom w:w="0" w:type="dxa"/>
          </w:tblCellMar>
        </w:tblPrEx>
        <w:trPr>
          <w:jc w:val="center"/>
        </w:trPr>
        <w:tc>
          <w:tcPr>
            <w:tcW w:w="1075" w:type="dxa"/>
            <w:vAlign w:val="center"/>
          </w:tcPr>
          <w:p w:rsidR="00000000" w:rsidRDefault="00000000">
            <w:pPr>
              <w:keepNext/>
              <w:keepLines/>
            </w:pPr>
            <w:r>
              <w:t>1990</w:t>
            </w:r>
          </w:p>
        </w:tc>
        <w:tc>
          <w:tcPr>
            <w:tcW w:w="1716" w:type="dxa"/>
            <w:vAlign w:val="center"/>
          </w:tcPr>
          <w:p w:rsidR="00000000" w:rsidRDefault="00000000">
            <w:pPr>
              <w:keepNext/>
              <w:keepLines/>
              <w:jc w:val="right"/>
            </w:pPr>
            <w:r>
              <w:t>2.441,32</w:t>
            </w:r>
          </w:p>
        </w:tc>
        <w:tc>
          <w:tcPr>
            <w:tcW w:w="1538" w:type="dxa"/>
            <w:vAlign w:val="center"/>
          </w:tcPr>
          <w:p w:rsidR="00000000" w:rsidRDefault="00000000">
            <w:pPr>
              <w:keepNext/>
              <w:keepLines/>
              <w:jc w:val="right"/>
            </w:pPr>
            <w:r>
              <w:t>59,59</w:t>
            </w:r>
          </w:p>
        </w:tc>
        <w:tc>
          <w:tcPr>
            <w:tcW w:w="1092" w:type="dxa"/>
            <w:vAlign w:val="center"/>
          </w:tcPr>
          <w:p w:rsidR="00000000" w:rsidRDefault="00000000">
            <w:pPr>
              <w:keepNext/>
              <w:keepLines/>
              <w:jc w:val="right"/>
            </w:pPr>
            <w:r>
              <w:t>49,53</w:t>
            </w:r>
          </w:p>
        </w:tc>
      </w:tr>
      <w:tr w:rsidR="00000000">
        <w:tblPrEx>
          <w:tblCellMar>
            <w:top w:w="0" w:type="dxa"/>
            <w:bottom w:w="0" w:type="dxa"/>
          </w:tblCellMar>
        </w:tblPrEx>
        <w:trPr>
          <w:jc w:val="center"/>
        </w:trPr>
        <w:tc>
          <w:tcPr>
            <w:tcW w:w="1075" w:type="dxa"/>
            <w:vAlign w:val="center"/>
          </w:tcPr>
          <w:p w:rsidR="00000000" w:rsidRDefault="00000000">
            <w:pPr>
              <w:keepNext/>
              <w:keepLines/>
            </w:pPr>
            <w:r>
              <w:t>1995</w:t>
            </w:r>
          </w:p>
        </w:tc>
        <w:tc>
          <w:tcPr>
            <w:tcW w:w="1716" w:type="dxa"/>
            <w:vAlign w:val="center"/>
          </w:tcPr>
          <w:p w:rsidR="00000000" w:rsidRDefault="00000000">
            <w:pPr>
              <w:keepNext/>
              <w:keepLines/>
              <w:jc w:val="right"/>
            </w:pPr>
            <w:r>
              <w:t>2.588,89</w:t>
            </w:r>
          </w:p>
        </w:tc>
        <w:tc>
          <w:tcPr>
            <w:tcW w:w="1538" w:type="dxa"/>
            <w:vAlign w:val="center"/>
          </w:tcPr>
          <w:p w:rsidR="00000000" w:rsidRDefault="00000000">
            <w:pPr>
              <w:keepNext/>
              <w:keepLines/>
              <w:jc w:val="right"/>
            </w:pPr>
            <w:r>
              <w:t>61,91</w:t>
            </w:r>
          </w:p>
        </w:tc>
        <w:tc>
          <w:tcPr>
            <w:tcW w:w="1092" w:type="dxa"/>
            <w:vAlign w:val="center"/>
          </w:tcPr>
          <w:p w:rsidR="00000000" w:rsidRDefault="00000000">
            <w:pPr>
              <w:keepNext/>
              <w:keepLines/>
              <w:jc w:val="right"/>
            </w:pPr>
            <w:r>
              <w:t>56,56</w:t>
            </w:r>
          </w:p>
        </w:tc>
      </w:tr>
      <w:tr w:rsidR="00000000">
        <w:tblPrEx>
          <w:tblCellMar>
            <w:top w:w="0" w:type="dxa"/>
            <w:bottom w:w="0" w:type="dxa"/>
          </w:tblCellMar>
        </w:tblPrEx>
        <w:trPr>
          <w:jc w:val="center"/>
        </w:trPr>
        <w:tc>
          <w:tcPr>
            <w:tcW w:w="1075" w:type="dxa"/>
            <w:vAlign w:val="center"/>
          </w:tcPr>
          <w:p w:rsidR="00000000" w:rsidRDefault="00000000">
            <w:pPr>
              <w:keepNext/>
              <w:keepLines/>
            </w:pPr>
            <w:r>
              <w:t>1996</w:t>
            </w:r>
          </w:p>
        </w:tc>
        <w:tc>
          <w:tcPr>
            <w:tcW w:w="1716" w:type="dxa"/>
            <w:vAlign w:val="center"/>
          </w:tcPr>
          <w:p w:rsidR="00000000" w:rsidRDefault="00000000">
            <w:pPr>
              <w:keepNext/>
              <w:keepLines/>
              <w:jc w:val="right"/>
            </w:pPr>
            <w:r>
              <w:t>2.565,75</w:t>
            </w:r>
          </w:p>
        </w:tc>
        <w:tc>
          <w:tcPr>
            <w:tcW w:w="1538" w:type="dxa"/>
            <w:vAlign w:val="center"/>
          </w:tcPr>
          <w:p w:rsidR="00000000" w:rsidRDefault="00000000">
            <w:pPr>
              <w:keepNext/>
              <w:keepLines/>
              <w:jc w:val="right"/>
            </w:pPr>
            <w:r>
              <w:t>66,67</w:t>
            </w:r>
          </w:p>
        </w:tc>
        <w:tc>
          <w:tcPr>
            <w:tcW w:w="1092" w:type="dxa"/>
            <w:vAlign w:val="center"/>
          </w:tcPr>
          <w:p w:rsidR="00000000" w:rsidRDefault="00000000">
            <w:pPr>
              <w:keepNext/>
              <w:keepLines/>
              <w:jc w:val="right"/>
            </w:pPr>
            <w:r>
              <w:t>60,94</w:t>
            </w:r>
          </w:p>
        </w:tc>
      </w:tr>
      <w:tr w:rsidR="00000000">
        <w:tblPrEx>
          <w:tblCellMar>
            <w:top w:w="0" w:type="dxa"/>
            <w:bottom w:w="0" w:type="dxa"/>
          </w:tblCellMar>
        </w:tblPrEx>
        <w:trPr>
          <w:jc w:val="center"/>
        </w:trPr>
        <w:tc>
          <w:tcPr>
            <w:tcW w:w="1075" w:type="dxa"/>
            <w:vAlign w:val="center"/>
          </w:tcPr>
          <w:p w:rsidR="00000000" w:rsidRDefault="00000000">
            <w:pPr>
              <w:keepNext/>
              <w:keepLines/>
            </w:pPr>
            <w:r>
              <w:t>1997</w:t>
            </w:r>
          </w:p>
        </w:tc>
        <w:tc>
          <w:tcPr>
            <w:tcW w:w="1716" w:type="dxa"/>
            <w:vAlign w:val="center"/>
          </w:tcPr>
          <w:p w:rsidR="00000000" w:rsidRDefault="00000000">
            <w:pPr>
              <w:keepNext/>
              <w:keepLines/>
              <w:jc w:val="right"/>
            </w:pPr>
            <w:r>
              <w:t>2.628,14</w:t>
            </w:r>
          </w:p>
        </w:tc>
        <w:tc>
          <w:tcPr>
            <w:tcW w:w="1538" w:type="dxa"/>
            <w:vAlign w:val="center"/>
          </w:tcPr>
          <w:p w:rsidR="00000000" w:rsidRDefault="00000000">
            <w:pPr>
              <w:keepNext/>
              <w:keepLines/>
              <w:jc w:val="right"/>
            </w:pPr>
            <w:r>
              <w:t>67,71</w:t>
            </w:r>
          </w:p>
        </w:tc>
        <w:tc>
          <w:tcPr>
            <w:tcW w:w="1092" w:type="dxa"/>
            <w:vAlign w:val="center"/>
          </w:tcPr>
          <w:p w:rsidR="00000000" w:rsidRDefault="00000000">
            <w:pPr>
              <w:keepNext/>
              <w:keepLines/>
              <w:jc w:val="right"/>
            </w:pPr>
            <w:r>
              <w:t>66,12</w:t>
            </w:r>
          </w:p>
        </w:tc>
      </w:tr>
      <w:tr w:rsidR="00000000">
        <w:tblPrEx>
          <w:tblCellMar>
            <w:top w:w="0" w:type="dxa"/>
            <w:bottom w:w="0" w:type="dxa"/>
          </w:tblCellMar>
        </w:tblPrEx>
        <w:trPr>
          <w:jc w:val="center"/>
        </w:trPr>
        <w:tc>
          <w:tcPr>
            <w:tcW w:w="1075" w:type="dxa"/>
            <w:vAlign w:val="center"/>
          </w:tcPr>
          <w:p w:rsidR="00000000" w:rsidRDefault="00000000">
            <w:pPr>
              <w:keepNext/>
              <w:keepLines/>
            </w:pPr>
            <w:r>
              <w:t>1998</w:t>
            </w:r>
          </w:p>
        </w:tc>
        <w:tc>
          <w:tcPr>
            <w:tcW w:w="1716" w:type="dxa"/>
            <w:vAlign w:val="center"/>
          </w:tcPr>
          <w:p w:rsidR="00000000" w:rsidRDefault="00000000">
            <w:pPr>
              <w:keepNext/>
              <w:keepLines/>
              <w:jc w:val="right"/>
            </w:pPr>
            <w:r>
              <w:t>2.509,04</w:t>
            </w:r>
          </w:p>
        </w:tc>
        <w:tc>
          <w:tcPr>
            <w:tcW w:w="1538" w:type="dxa"/>
            <w:vAlign w:val="center"/>
          </w:tcPr>
          <w:p w:rsidR="00000000" w:rsidRDefault="00000000">
            <w:pPr>
              <w:keepNext/>
              <w:keepLines/>
              <w:jc w:val="right"/>
            </w:pPr>
            <w:r>
              <w:t>61,50</w:t>
            </w:r>
          </w:p>
        </w:tc>
        <w:tc>
          <w:tcPr>
            <w:tcW w:w="1092" w:type="dxa"/>
            <w:vAlign w:val="center"/>
          </w:tcPr>
          <w:p w:rsidR="00000000" w:rsidRDefault="00000000">
            <w:pPr>
              <w:keepNext/>
              <w:keepLines/>
              <w:jc w:val="right"/>
            </w:pPr>
            <w:r>
              <w:t>63,55</w:t>
            </w:r>
          </w:p>
        </w:tc>
      </w:tr>
    </w:tbl>
    <w:p w:rsidR="00000000" w:rsidRDefault="00000000">
      <w:pPr>
        <w:keepNext/>
        <w:keepLines/>
        <w:shd w:val="clear" w:color="auto" w:fill="FFFFFF"/>
        <w:tabs>
          <w:tab w:val="left" w:pos="1980"/>
        </w:tabs>
        <w:spacing w:before="240" w:after="480"/>
      </w:pPr>
      <w:r>
        <w:rPr>
          <w:i/>
          <w:iCs/>
        </w:rPr>
        <w:tab/>
        <w:t>Fuente</w:t>
      </w:r>
      <w:r>
        <w:t>:  Ministerio de Agricultura y Economía, hojas</w:t>
      </w:r>
      <w:r>
        <w:br/>
      </w:r>
      <w:r>
        <w:tab/>
        <w:t>de balance de alimentos.</w:t>
      </w:r>
    </w:p>
    <w:p w:rsidR="00000000" w:rsidRDefault="00000000">
      <w:pPr>
        <w:shd w:val="clear" w:color="auto" w:fill="FFFFFF"/>
        <w:spacing w:after="240"/>
      </w:pPr>
      <w:r>
        <w:rPr>
          <w:color w:val="000000"/>
          <w:szCs w:val="25"/>
          <w:lang w:val="es-ES_tradnl"/>
        </w:rPr>
        <w:t>294.</w:t>
      </w:r>
      <w:r>
        <w:rPr>
          <w:color w:val="000000"/>
          <w:szCs w:val="25"/>
          <w:lang w:val="es-ES_tradnl"/>
        </w:rPr>
        <w:tab/>
        <w:t xml:space="preserve">Respecto a la situación </w:t>
      </w:r>
      <w:proofErr w:type="spellStart"/>
      <w:r>
        <w:rPr>
          <w:color w:val="000000"/>
          <w:szCs w:val="25"/>
          <w:lang w:val="es-ES_tradnl"/>
        </w:rPr>
        <w:t>alimentaria</w:t>
      </w:r>
      <w:proofErr w:type="spellEnd"/>
      <w:r>
        <w:rPr>
          <w:color w:val="000000"/>
          <w:szCs w:val="25"/>
          <w:lang w:val="es-ES_tradnl"/>
        </w:rPr>
        <w:t xml:space="preserve"> y nutricional de la población ecuatoriana, en estos últimos años, a pesar de que en el país existe la producción de alimentos suficientes para satisfacer la demanda global, el principal problema radica en el acceso que la población tiene para adquirir los alimentos, debido al incremento de la pobreza que padecen sobre todo las poblaciones marginales, tanto rurales como urbanas del país, producto de la desigual distribución de la riqueza y de una ineficiente política salarial, que ha generado el deterioro de la capacidad adquisitiva de los ingresos de los asalariados y ha obligado a modificar la estructura del gasto familiar.</w:t>
      </w:r>
    </w:p>
    <w:p w:rsidR="00000000" w:rsidRDefault="00000000">
      <w:pPr>
        <w:shd w:val="clear" w:color="auto" w:fill="FFFFFF"/>
        <w:spacing w:after="240" w:line="269" w:lineRule="exact"/>
      </w:pPr>
      <w:r>
        <w:rPr>
          <w:color w:val="000000"/>
          <w:szCs w:val="25"/>
          <w:lang w:val="es-ES_tradnl"/>
        </w:rPr>
        <w:t>295.</w:t>
      </w:r>
      <w:r>
        <w:rPr>
          <w:color w:val="000000"/>
          <w:szCs w:val="25"/>
          <w:lang w:val="es-ES_tradnl"/>
        </w:rPr>
        <w:tab/>
        <w:t>Existen otras variables que están directamente relacionadas con condiciones de pobreza, como el excesivo número de hijos por familia, bajos niveles de educación y de cultura sobre todo de las madres, comunidades sin servicio de alcantarillado, agua potable y recolección de basura.</w:t>
      </w:r>
    </w:p>
    <w:p w:rsidR="00000000" w:rsidRDefault="00000000">
      <w:pPr>
        <w:shd w:val="clear" w:color="auto" w:fill="FFFFFF"/>
        <w:spacing w:after="240" w:line="274" w:lineRule="exact"/>
      </w:pPr>
      <w:r>
        <w:rPr>
          <w:color w:val="000000"/>
          <w:szCs w:val="25"/>
          <w:lang w:val="es-ES_tradnl"/>
        </w:rPr>
        <w:t>296.</w:t>
      </w:r>
      <w:r>
        <w:rPr>
          <w:color w:val="000000"/>
          <w:szCs w:val="25"/>
          <w:lang w:val="es-ES_tradnl"/>
        </w:rPr>
        <w:tab/>
        <w:t>La población proyectada para 1999 es de 12.441.232 habitantes con un 42% de la población rural, es decir, 5.225.317 personas.  Del total de ecuatorianos, alrededor del 78,5% viven bajo el umbral de la pobreza.  En las áreas rurales este porcentaje crece a un 90%. En estas áreas se encuentra la mayor parte de la población indígena y negra.  El VI censo de población y V de la vivienda realizado el 21 de noviembre del 2001 determinó que en el Ecuador existen 12.090.804 personas</w:t>
      </w:r>
      <w:r>
        <w:rPr>
          <w:rStyle w:val="FootnoteReference"/>
          <w:color w:val="000000"/>
          <w:szCs w:val="25"/>
          <w:lang w:val="es-ES_tradnl"/>
        </w:rPr>
        <w:footnoteReference w:id="41"/>
      </w:r>
      <w:r>
        <w:rPr>
          <w:color w:val="000000"/>
          <w:szCs w:val="25"/>
          <w:lang w:val="es-ES_tradnl"/>
        </w:rPr>
        <w:t>.</w:t>
      </w:r>
    </w:p>
    <w:p w:rsidR="00000000" w:rsidRDefault="00000000">
      <w:pPr>
        <w:shd w:val="clear" w:color="auto" w:fill="FFFFFF"/>
        <w:spacing w:after="240" w:line="274" w:lineRule="exact"/>
      </w:pPr>
      <w:r>
        <w:t>297.</w:t>
      </w:r>
      <w:r>
        <w:tab/>
      </w:r>
      <w:r>
        <w:rPr>
          <w:color w:val="000000"/>
          <w:szCs w:val="25"/>
          <w:lang w:val="es-ES_tradnl"/>
        </w:rPr>
        <w:t xml:space="preserve">El Ministerio de Salud Pública ejecuta el Programa Integrado de </w:t>
      </w:r>
      <w:proofErr w:type="spellStart"/>
      <w:r>
        <w:rPr>
          <w:color w:val="000000"/>
          <w:szCs w:val="25"/>
          <w:lang w:val="es-ES_tradnl"/>
        </w:rPr>
        <w:t>Micronutrientes</w:t>
      </w:r>
      <w:proofErr w:type="spellEnd"/>
      <w:r>
        <w:rPr>
          <w:color w:val="000000"/>
          <w:szCs w:val="25"/>
          <w:lang w:val="es-ES_tradnl"/>
        </w:rPr>
        <w:t xml:space="preserve"> (</w:t>
      </w:r>
      <w:proofErr w:type="spellStart"/>
      <w:r>
        <w:rPr>
          <w:color w:val="000000"/>
          <w:szCs w:val="25"/>
          <w:lang w:val="es-ES_tradnl"/>
        </w:rPr>
        <w:t>PIM</w:t>
      </w:r>
      <w:proofErr w:type="spellEnd"/>
      <w:r>
        <w:rPr>
          <w:color w:val="000000"/>
          <w:szCs w:val="25"/>
          <w:lang w:val="es-ES_tradnl"/>
        </w:rPr>
        <w:t>) desde 1995, a través del Instituto Nacional de Ciencia y Tecnología (</w:t>
      </w:r>
      <w:proofErr w:type="spellStart"/>
      <w:r>
        <w:rPr>
          <w:color w:val="000000"/>
          <w:szCs w:val="25"/>
          <w:lang w:val="es-ES_tradnl"/>
        </w:rPr>
        <w:t>ICT</w:t>
      </w:r>
      <w:proofErr w:type="spellEnd"/>
      <w:r>
        <w:rPr>
          <w:color w:val="000000"/>
          <w:szCs w:val="25"/>
          <w:lang w:val="es-ES_tradnl"/>
        </w:rPr>
        <w:t xml:space="preserve">) y espera mejorar el estado nutricional de la población ecuatoriana con relación a </w:t>
      </w:r>
      <w:proofErr w:type="spellStart"/>
      <w:r>
        <w:rPr>
          <w:color w:val="000000"/>
          <w:szCs w:val="25"/>
          <w:lang w:val="es-ES_tradnl"/>
        </w:rPr>
        <w:t>micronutrientes</w:t>
      </w:r>
      <w:proofErr w:type="spellEnd"/>
      <w:r>
        <w:rPr>
          <w:color w:val="000000"/>
          <w:szCs w:val="25"/>
          <w:lang w:val="es-ES_tradnl"/>
        </w:rPr>
        <w:t xml:space="preserve">, (deficiencias de yodo, hierro y vitamina A).  Por estudios del </w:t>
      </w:r>
      <w:proofErr w:type="spellStart"/>
      <w:r>
        <w:rPr>
          <w:color w:val="000000"/>
          <w:szCs w:val="25"/>
          <w:lang w:val="es-ES_tradnl"/>
        </w:rPr>
        <w:t>ICT</w:t>
      </w:r>
      <w:proofErr w:type="spellEnd"/>
      <w:r>
        <w:rPr>
          <w:color w:val="000000"/>
          <w:szCs w:val="25"/>
          <w:lang w:val="es-ES_tradnl"/>
        </w:rPr>
        <w:t xml:space="preserve"> se desprende esencialmente que 55 de cada 100 mujeres tienen algún grado de anemia y que la deficiencia afecta especialmente a la población del área rural dispersa:  57 de cada 100 habitantes de dicha área tienen anemia</w:t>
      </w:r>
      <w:r>
        <w:rPr>
          <w:rStyle w:val="FootnoteReference"/>
          <w:color w:val="000000"/>
          <w:szCs w:val="25"/>
          <w:lang w:val="es-ES_tradnl"/>
        </w:rPr>
        <w:footnoteReference w:id="42"/>
      </w:r>
      <w:r>
        <w:rPr>
          <w:color w:val="000000"/>
          <w:szCs w:val="25"/>
          <w:lang w:val="es-ES_tradnl"/>
        </w:rPr>
        <w:t>.</w:t>
      </w:r>
    </w:p>
    <w:p w:rsidR="00000000" w:rsidRDefault="00000000">
      <w:pPr>
        <w:shd w:val="clear" w:color="auto" w:fill="FFFFFF"/>
        <w:spacing w:after="240" w:line="269" w:lineRule="exact"/>
      </w:pPr>
      <w:r>
        <w:rPr>
          <w:color w:val="000000"/>
          <w:szCs w:val="25"/>
          <w:lang w:val="es-ES_tradnl"/>
        </w:rPr>
        <w:t>298.</w:t>
      </w:r>
      <w:r>
        <w:rPr>
          <w:color w:val="000000"/>
          <w:szCs w:val="25"/>
          <w:lang w:val="es-ES_tradnl"/>
        </w:rPr>
        <w:tab/>
        <w:t>En el ámbito nacional el promedio de hemoglobina fue de 12,5 +/-1,</w:t>
      </w:r>
      <w:proofErr w:type="spellStart"/>
      <w:r>
        <w:rPr>
          <w:color w:val="000000"/>
          <w:szCs w:val="25"/>
          <w:lang w:val="es-ES_tradnl"/>
        </w:rPr>
        <w:t>9g</w:t>
      </w:r>
      <w:proofErr w:type="spellEnd"/>
      <w:r>
        <w:rPr>
          <w:color w:val="000000"/>
          <w:szCs w:val="25"/>
          <w:lang w:val="es-ES_tradnl"/>
        </w:rPr>
        <w:t xml:space="preserve">/dl; desagregando, el promedio de hemoglobina del sexo masculino fue de 12,9 +/-2,1 </w:t>
      </w:r>
      <w:proofErr w:type="spellStart"/>
      <w:r>
        <w:rPr>
          <w:color w:val="000000"/>
          <w:szCs w:val="25"/>
          <w:lang w:val="es-ES_tradnl"/>
        </w:rPr>
        <w:t>g/dl</w:t>
      </w:r>
      <w:proofErr w:type="spellEnd"/>
      <w:r>
        <w:rPr>
          <w:color w:val="000000"/>
          <w:szCs w:val="25"/>
          <w:lang w:val="es-ES_tradnl"/>
        </w:rPr>
        <w:t xml:space="preserve">, en la mujer fue de 12,2 +/-1,7 </w:t>
      </w:r>
      <w:proofErr w:type="spellStart"/>
      <w:r>
        <w:rPr>
          <w:color w:val="000000"/>
          <w:szCs w:val="25"/>
          <w:lang w:val="es-ES_tradnl"/>
        </w:rPr>
        <w:t>g/dl</w:t>
      </w:r>
      <w:proofErr w:type="spellEnd"/>
      <w:r>
        <w:rPr>
          <w:color w:val="000000"/>
          <w:szCs w:val="25"/>
          <w:lang w:val="es-ES_tradnl"/>
        </w:rPr>
        <w:t xml:space="preserve">; existiendo un porcentaje de anemia para los hombres de 46,8 y para las mujeres de 54,8.  La etnia negra tuvo un promedio de 11,7 +/-2,0 </w:t>
      </w:r>
      <w:proofErr w:type="spellStart"/>
      <w:r>
        <w:rPr>
          <w:color w:val="000000"/>
          <w:szCs w:val="25"/>
          <w:lang w:val="es-ES_tradnl"/>
        </w:rPr>
        <w:t>g/dl</w:t>
      </w:r>
      <w:proofErr w:type="spellEnd"/>
      <w:r>
        <w:rPr>
          <w:color w:val="000000"/>
          <w:szCs w:val="25"/>
          <w:lang w:val="es-ES_tradnl"/>
        </w:rPr>
        <w:t xml:space="preserve">, inferior a 12,5 +/1,5 </w:t>
      </w:r>
      <w:proofErr w:type="spellStart"/>
      <w:r>
        <w:rPr>
          <w:color w:val="000000"/>
          <w:szCs w:val="25"/>
          <w:lang w:val="es-ES_tradnl"/>
        </w:rPr>
        <w:t>g/dl</w:t>
      </w:r>
      <w:proofErr w:type="spellEnd"/>
      <w:r>
        <w:rPr>
          <w:color w:val="000000"/>
          <w:szCs w:val="25"/>
          <w:lang w:val="es-ES_tradnl"/>
        </w:rPr>
        <w:t xml:space="preserve"> que corresponde a la etnia mestiza.  El porcentaje de anemia para la etnia negra fue de 65% y para la mestiza de 50,8%.</w:t>
      </w:r>
    </w:p>
    <w:p w:rsidR="00000000" w:rsidRDefault="00000000">
      <w:pPr>
        <w:shd w:val="clear" w:color="auto" w:fill="FFFFFF"/>
        <w:spacing w:before="240" w:after="240"/>
        <w:jc w:val="center"/>
        <w:rPr>
          <w:b/>
          <w:bCs/>
        </w:rPr>
      </w:pPr>
      <w:r>
        <w:rPr>
          <w:b/>
          <w:bCs/>
        </w:rPr>
        <w:t xml:space="preserve">Valores de hemoglobina y </w:t>
      </w:r>
      <w:proofErr w:type="spellStart"/>
      <w:r>
        <w:rPr>
          <w:b/>
          <w:bCs/>
        </w:rPr>
        <w:t>prevalencia</w:t>
      </w:r>
      <w:proofErr w:type="spellEnd"/>
      <w:r>
        <w:rPr>
          <w:b/>
          <w:bCs/>
        </w:rPr>
        <w:t xml:space="preserve"> de anemia por sexo,</w:t>
      </w:r>
      <w:r>
        <w:rPr>
          <w:b/>
          <w:bCs/>
        </w:rPr>
        <w:br/>
        <w:t>etnia.  Ecuador,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6"/>
        <w:gridCol w:w="1356"/>
        <w:gridCol w:w="1356"/>
        <w:gridCol w:w="1357"/>
        <w:gridCol w:w="1357"/>
        <w:gridCol w:w="1357"/>
      </w:tblGrid>
      <w:tr w:rsidR="00000000">
        <w:tblPrEx>
          <w:tblCellMar>
            <w:top w:w="0" w:type="dxa"/>
            <w:bottom w:w="0" w:type="dxa"/>
          </w:tblCellMar>
        </w:tblPrEx>
        <w:trPr>
          <w:cantSplit/>
          <w:jc w:val="center"/>
        </w:trPr>
        <w:tc>
          <w:tcPr>
            <w:tcW w:w="1356" w:type="dxa"/>
            <w:vMerge w:val="restart"/>
            <w:vAlign w:val="center"/>
          </w:tcPr>
          <w:p w:rsidR="00000000" w:rsidRDefault="00000000">
            <w:pPr>
              <w:jc w:val="center"/>
            </w:pPr>
            <w:r>
              <w:t>Variables</w:t>
            </w:r>
          </w:p>
        </w:tc>
        <w:tc>
          <w:tcPr>
            <w:tcW w:w="1356" w:type="dxa"/>
            <w:vMerge w:val="restart"/>
            <w:vAlign w:val="center"/>
          </w:tcPr>
          <w:p w:rsidR="00000000" w:rsidRDefault="00000000">
            <w:pPr>
              <w:jc w:val="center"/>
            </w:pPr>
            <w:r>
              <w:t>Total muestra</w:t>
            </w:r>
          </w:p>
        </w:tc>
        <w:tc>
          <w:tcPr>
            <w:tcW w:w="2713" w:type="dxa"/>
            <w:gridSpan w:val="2"/>
            <w:vAlign w:val="center"/>
          </w:tcPr>
          <w:p w:rsidR="00000000" w:rsidRDefault="00000000">
            <w:pPr>
              <w:jc w:val="center"/>
            </w:pPr>
            <w:r>
              <w:t>Hemoglobina</w:t>
            </w:r>
          </w:p>
        </w:tc>
        <w:tc>
          <w:tcPr>
            <w:tcW w:w="2714" w:type="dxa"/>
            <w:gridSpan w:val="2"/>
            <w:vAlign w:val="center"/>
          </w:tcPr>
          <w:p w:rsidR="00000000" w:rsidRDefault="00000000">
            <w:pPr>
              <w:jc w:val="center"/>
            </w:pPr>
            <w:r>
              <w:t>Anemia</w:t>
            </w:r>
          </w:p>
        </w:tc>
      </w:tr>
      <w:tr w:rsidR="00000000">
        <w:tblPrEx>
          <w:tblCellMar>
            <w:top w:w="0" w:type="dxa"/>
            <w:bottom w:w="0" w:type="dxa"/>
          </w:tblCellMar>
        </w:tblPrEx>
        <w:trPr>
          <w:cantSplit/>
          <w:jc w:val="center"/>
        </w:trPr>
        <w:tc>
          <w:tcPr>
            <w:tcW w:w="1356" w:type="dxa"/>
            <w:vMerge/>
            <w:vAlign w:val="center"/>
          </w:tcPr>
          <w:p w:rsidR="00000000" w:rsidRDefault="00000000">
            <w:pPr>
              <w:jc w:val="center"/>
            </w:pPr>
          </w:p>
        </w:tc>
        <w:tc>
          <w:tcPr>
            <w:tcW w:w="1356" w:type="dxa"/>
            <w:vMerge/>
            <w:vAlign w:val="center"/>
          </w:tcPr>
          <w:p w:rsidR="00000000" w:rsidRDefault="00000000">
            <w:pPr>
              <w:jc w:val="center"/>
            </w:pPr>
          </w:p>
        </w:tc>
        <w:tc>
          <w:tcPr>
            <w:tcW w:w="1356" w:type="dxa"/>
          </w:tcPr>
          <w:p w:rsidR="00000000" w:rsidRDefault="00000000">
            <w:pPr>
              <w:jc w:val="center"/>
            </w:pPr>
            <w:r>
              <w:t>Promedio</w:t>
            </w:r>
          </w:p>
        </w:tc>
        <w:tc>
          <w:tcPr>
            <w:tcW w:w="1357" w:type="dxa"/>
          </w:tcPr>
          <w:p w:rsidR="00000000" w:rsidRDefault="00000000">
            <w:pPr>
              <w:jc w:val="center"/>
            </w:pPr>
            <w:r>
              <w:t>DE</w:t>
            </w:r>
          </w:p>
        </w:tc>
        <w:tc>
          <w:tcPr>
            <w:tcW w:w="1357" w:type="dxa"/>
          </w:tcPr>
          <w:p w:rsidR="00000000" w:rsidRDefault="00000000">
            <w:pPr>
              <w:jc w:val="center"/>
            </w:pPr>
            <w:r>
              <w:t>No.</w:t>
            </w:r>
          </w:p>
        </w:tc>
        <w:tc>
          <w:tcPr>
            <w:tcW w:w="1357" w:type="dxa"/>
          </w:tcPr>
          <w:p w:rsidR="00000000" w:rsidRDefault="00000000">
            <w:pPr>
              <w:jc w:val="center"/>
            </w:pPr>
            <w:r>
              <w:t>Porcentaje</w:t>
            </w:r>
          </w:p>
        </w:tc>
      </w:tr>
      <w:tr w:rsidR="00000000">
        <w:tblPrEx>
          <w:tblCellMar>
            <w:top w:w="0" w:type="dxa"/>
            <w:bottom w:w="0" w:type="dxa"/>
          </w:tblCellMar>
        </w:tblPrEx>
        <w:trPr>
          <w:jc w:val="center"/>
        </w:trPr>
        <w:tc>
          <w:tcPr>
            <w:tcW w:w="1356" w:type="dxa"/>
          </w:tcPr>
          <w:p w:rsidR="00000000" w:rsidRDefault="00000000">
            <w:pPr>
              <w:rPr>
                <w:lang w:val="fr-CH"/>
              </w:rPr>
            </w:pPr>
            <w:proofErr w:type="spellStart"/>
            <w:r>
              <w:rPr>
                <w:lang w:val="fr-CH"/>
              </w:rPr>
              <w:t>Sexo</w:t>
            </w:r>
            <w:proofErr w:type="spellEnd"/>
          </w:p>
        </w:tc>
        <w:tc>
          <w:tcPr>
            <w:tcW w:w="1356" w:type="dxa"/>
            <w:vAlign w:val="center"/>
          </w:tcPr>
          <w:p w:rsidR="00000000" w:rsidRDefault="00000000">
            <w:pPr>
              <w:jc w:val="right"/>
              <w:rPr>
                <w:lang w:val="fr-CH"/>
              </w:rPr>
            </w:pPr>
          </w:p>
        </w:tc>
        <w:tc>
          <w:tcPr>
            <w:tcW w:w="1356"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c>
          <w:tcPr>
            <w:tcW w:w="1357" w:type="dxa"/>
            <w:vAlign w:val="center"/>
          </w:tcPr>
          <w:p w:rsidR="00000000" w:rsidRDefault="00000000">
            <w:pPr>
              <w:jc w:val="right"/>
              <w:rPr>
                <w:lang w:val="fr-CH"/>
              </w:rPr>
            </w:pPr>
          </w:p>
        </w:tc>
      </w:tr>
      <w:tr w:rsidR="00000000">
        <w:tblPrEx>
          <w:tblCellMar>
            <w:top w:w="0" w:type="dxa"/>
            <w:bottom w:w="0" w:type="dxa"/>
          </w:tblCellMar>
        </w:tblPrEx>
        <w:trPr>
          <w:jc w:val="center"/>
        </w:trPr>
        <w:tc>
          <w:tcPr>
            <w:tcW w:w="1356" w:type="dxa"/>
          </w:tcPr>
          <w:p w:rsidR="00000000" w:rsidRDefault="00000000">
            <w:pPr>
              <w:tabs>
                <w:tab w:val="left" w:pos="222"/>
              </w:tabs>
              <w:rPr>
                <w:lang w:val="fr-CH"/>
              </w:rPr>
            </w:pPr>
            <w:r>
              <w:rPr>
                <w:lang w:val="fr-CH"/>
              </w:rPr>
              <w:tab/>
            </w:r>
            <w:proofErr w:type="spellStart"/>
            <w:r>
              <w:rPr>
                <w:lang w:val="fr-CH"/>
              </w:rPr>
              <w:t>Masculino</w:t>
            </w:r>
            <w:proofErr w:type="spellEnd"/>
          </w:p>
        </w:tc>
        <w:tc>
          <w:tcPr>
            <w:tcW w:w="1356" w:type="dxa"/>
            <w:vAlign w:val="center"/>
          </w:tcPr>
          <w:p w:rsidR="00000000" w:rsidRDefault="00000000">
            <w:pPr>
              <w:jc w:val="right"/>
              <w:rPr>
                <w:lang w:val="fr-CH"/>
              </w:rPr>
            </w:pPr>
            <w:proofErr w:type="spellStart"/>
            <w:r>
              <w:rPr>
                <w:lang w:val="fr-CH"/>
              </w:rPr>
              <w:t>3.271</w:t>
            </w:r>
            <w:proofErr w:type="spellEnd"/>
          </w:p>
        </w:tc>
        <w:tc>
          <w:tcPr>
            <w:tcW w:w="1356" w:type="dxa"/>
            <w:vAlign w:val="center"/>
          </w:tcPr>
          <w:p w:rsidR="00000000" w:rsidRDefault="00000000">
            <w:pPr>
              <w:jc w:val="right"/>
              <w:rPr>
                <w:lang w:val="fr-CH"/>
              </w:rPr>
            </w:pPr>
            <w:r>
              <w:rPr>
                <w:lang w:val="fr-CH"/>
              </w:rPr>
              <w:t>12,9</w:t>
            </w:r>
          </w:p>
        </w:tc>
        <w:tc>
          <w:tcPr>
            <w:tcW w:w="1357" w:type="dxa"/>
            <w:vAlign w:val="center"/>
          </w:tcPr>
          <w:p w:rsidR="00000000" w:rsidRDefault="00000000">
            <w:pPr>
              <w:jc w:val="right"/>
              <w:rPr>
                <w:lang w:val="fr-CH"/>
              </w:rPr>
            </w:pPr>
            <w:r>
              <w:rPr>
                <w:lang w:val="fr-CH"/>
              </w:rPr>
              <w:t>2,1</w:t>
            </w:r>
          </w:p>
        </w:tc>
        <w:tc>
          <w:tcPr>
            <w:tcW w:w="1357" w:type="dxa"/>
            <w:vAlign w:val="center"/>
          </w:tcPr>
          <w:p w:rsidR="00000000" w:rsidRDefault="00000000">
            <w:pPr>
              <w:jc w:val="right"/>
              <w:rPr>
                <w:lang w:val="fr-CH"/>
              </w:rPr>
            </w:pPr>
            <w:proofErr w:type="spellStart"/>
            <w:r>
              <w:rPr>
                <w:lang w:val="fr-CH"/>
              </w:rPr>
              <w:t>1.530</w:t>
            </w:r>
            <w:proofErr w:type="spellEnd"/>
          </w:p>
        </w:tc>
        <w:tc>
          <w:tcPr>
            <w:tcW w:w="1357" w:type="dxa"/>
            <w:vAlign w:val="center"/>
          </w:tcPr>
          <w:p w:rsidR="00000000" w:rsidRDefault="00000000">
            <w:pPr>
              <w:jc w:val="right"/>
              <w:rPr>
                <w:lang w:val="fr-CH"/>
              </w:rPr>
            </w:pPr>
            <w:r>
              <w:rPr>
                <w:lang w:val="fr-CH"/>
              </w:rPr>
              <w:t>46,8</w:t>
            </w:r>
          </w:p>
        </w:tc>
      </w:tr>
      <w:tr w:rsidR="00000000">
        <w:tblPrEx>
          <w:tblCellMar>
            <w:top w:w="0" w:type="dxa"/>
            <w:bottom w:w="0" w:type="dxa"/>
          </w:tblCellMar>
        </w:tblPrEx>
        <w:trPr>
          <w:jc w:val="center"/>
        </w:trPr>
        <w:tc>
          <w:tcPr>
            <w:tcW w:w="1356" w:type="dxa"/>
          </w:tcPr>
          <w:p w:rsidR="00000000" w:rsidRDefault="00000000">
            <w:pPr>
              <w:tabs>
                <w:tab w:val="left" w:pos="222"/>
              </w:tabs>
              <w:rPr>
                <w:lang w:val="fr-CH"/>
              </w:rPr>
            </w:pPr>
            <w:r>
              <w:rPr>
                <w:lang w:val="fr-CH"/>
              </w:rPr>
              <w:tab/>
            </w:r>
            <w:proofErr w:type="spellStart"/>
            <w:r>
              <w:rPr>
                <w:lang w:val="fr-CH"/>
              </w:rPr>
              <w:t>Femenino</w:t>
            </w:r>
            <w:proofErr w:type="spellEnd"/>
          </w:p>
        </w:tc>
        <w:tc>
          <w:tcPr>
            <w:tcW w:w="1356" w:type="dxa"/>
            <w:vAlign w:val="center"/>
          </w:tcPr>
          <w:p w:rsidR="00000000" w:rsidRDefault="00000000">
            <w:pPr>
              <w:jc w:val="right"/>
            </w:pPr>
            <w:r>
              <w:t>4.326</w:t>
            </w:r>
          </w:p>
        </w:tc>
        <w:tc>
          <w:tcPr>
            <w:tcW w:w="1356" w:type="dxa"/>
            <w:vAlign w:val="center"/>
          </w:tcPr>
          <w:p w:rsidR="00000000" w:rsidRDefault="00000000">
            <w:pPr>
              <w:jc w:val="right"/>
            </w:pPr>
            <w:r>
              <w:t>12,2</w:t>
            </w:r>
          </w:p>
        </w:tc>
        <w:tc>
          <w:tcPr>
            <w:tcW w:w="1357" w:type="dxa"/>
            <w:vAlign w:val="center"/>
          </w:tcPr>
          <w:p w:rsidR="00000000" w:rsidRDefault="00000000">
            <w:pPr>
              <w:jc w:val="right"/>
            </w:pPr>
            <w:r>
              <w:t>1,7</w:t>
            </w:r>
          </w:p>
        </w:tc>
        <w:tc>
          <w:tcPr>
            <w:tcW w:w="1357" w:type="dxa"/>
            <w:vAlign w:val="center"/>
          </w:tcPr>
          <w:p w:rsidR="00000000" w:rsidRDefault="00000000">
            <w:pPr>
              <w:jc w:val="right"/>
            </w:pPr>
            <w:r>
              <w:t>2.370</w:t>
            </w:r>
          </w:p>
        </w:tc>
        <w:tc>
          <w:tcPr>
            <w:tcW w:w="1357" w:type="dxa"/>
            <w:vAlign w:val="center"/>
          </w:tcPr>
          <w:p w:rsidR="00000000" w:rsidRDefault="00000000">
            <w:pPr>
              <w:jc w:val="right"/>
            </w:pPr>
            <w:r>
              <w:t>54,8</w:t>
            </w:r>
          </w:p>
        </w:tc>
      </w:tr>
      <w:tr w:rsidR="00000000">
        <w:tblPrEx>
          <w:tblCellMar>
            <w:top w:w="0" w:type="dxa"/>
            <w:bottom w:w="0" w:type="dxa"/>
          </w:tblCellMar>
        </w:tblPrEx>
        <w:trPr>
          <w:jc w:val="center"/>
        </w:trPr>
        <w:tc>
          <w:tcPr>
            <w:tcW w:w="1356" w:type="dxa"/>
          </w:tcPr>
          <w:p w:rsidR="00000000" w:rsidRDefault="00000000">
            <w:r>
              <w:t>Etnia</w:t>
            </w:r>
          </w:p>
        </w:tc>
        <w:tc>
          <w:tcPr>
            <w:tcW w:w="1356" w:type="dxa"/>
            <w:vAlign w:val="center"/>
          </w:tcPr>
          <w:p w:rsidR="00000000" w:rsidRDefault="00000000">
            <w:pPr>
              <w:jc w:val="right"/>
            </w:pPr>
          </w:p>
        </w:tc>
        <w:tc>
          <w:tcPr>
            <w:tcW w:w="1356" w:type="dxa"/>
            <w:vAlign w:val="center"/>
          </w:tcPr>
          <w:p w:rsidR="00000000" w:rsidRDefault="00000000">
            <w:pPr>
              <w:jc w:val="right"/>
            </w:pPr>
          </w:p>
        </w:tc>
        <w:tc>
          <w:tcPr>
            <w:tcW w:w="1357" w:type="dxa"/>
            <w:vAlign w:val="center"/>
          </w:tcPr>
          <w:p w:rsidR="00000000" w:rsidRDefault="00000000">
            <w:pPr>
              <w:jc w:val="right"/>
            </w:pPr>
          </w:p>
        </w:tc>
        <w:tc>
          <w:tcPr>
            <w:tcW w:w="1357" w:type="dxa"/>
            <w:vAlign w:val="center"/>
          </w:tcPr>
          <w:p w:rsidR="00000000" w:rsidRDefault="00000000">
            <w:pPr>
              <w:jc w:val="right"/>
            </w:pPr>
          </w:p>
        </w:tc>
        <w:tc>
          <w:tcPr>
            <w:tcW w:w="1357" w:type="dxa"/>
            <w:vAlign w:val="center"/>
          </w:tcPr>
          <w:p w:rsidR="00000000" w:rsidRDefault="00000000">
            <w:pPr>
              <w:jc w:val="right"/>
            </w:pPr>
          </w:p>
        </w:tc>
      </w:tr>
      <w:tr w:rsidR="00000000">
        <w:tblPrEx>
          <w:tblCellMar>
            <w:top w:w="0" w:type="dxa"/>
            <w:bottom w:w="0" w:type="dxa"/>
          </w:tblCellMar>
        </w:tblPrEx>
        <w:trPr>
          <w:jc w:val="center"/>
        </w:trPr>
        <w:tc>
          <w:tcPr>
            <w:tcW w:w="1356" w:type="dxa"/>
          </w:tcPr>
          <w:p w:rsidR="00000000" w:rsidRDefault="00000000">
            <w:pPr>
              <w:tabs>
                <w:tab w:val="left" w:pos="222"/>
              </w:tabs>
            </w:pPr>
            <w:r>
              <w:tab/>
              <w:t>Negra</w:t>
            </w:r>
          </w:p>
        </w:tc>
        <w:tc>
          <w:tcPr>
            <w:tcW w:w="1356" w:type="dxa"/>
            <w:vAlign w:val="center"/>
          </w:tcPr>
          <w:p w:rsidR="00000000" w:rsidRDefault="00000000">
            <w:pPr>
              <w:jc w:val="right"/>
            </w:pPr>
            <w:r>
              <w:t>275</w:t>
            </w:r>
          </w:p>
        </w:tc>
        <w:tc>
          <w:tcPr>
            <w:tcW w:w="1356" w:type="dxa"/>
            <w:vAlign w:val="center"/>
          </w:tcPr>
          <w:p w:rsidR="00000000" w:rsidRDefault="00000000">
            <w:pPr>
              <w:jc w:val="right"/>
            </w:pPr>
            <w:r>
              <w:t>11,7</w:t>
            </w:r>
          </w:p>
        </w:tc>
        <w:tc>
          <w:tcPr>
            <w:tcW w:w="1357" w:type="dxa"/>
            <w:vAlign w:val="center"/>
          </w:tcPr>
          <w:p w:rsidR="00000000" w:rsidRDefault="00000000">
            <w:pPr>
              <w:jc w:val="right"/>
            </w:pPr>
            <w:r>
              <w:t>2</w:t>
            </w:r>
          </w:p>
        </w:tc>
        <w:tc>
          <w:tcPr>
            <w:tcW w:w="1357" w:type="dxa"/>
            <w:vAlign w:val="center"/>
          </w:tcPr>
          <w:p w:rsidR="00000000" w:rsidRDefault="00000000">
            <w:pPr>
              <w:jc w:val="right"/>
            </w:pPr>
            <w:r>
              <w:t>180</w:t>
            </w:r>
          </w:p>
        </w:tc>
        <w:tc>
          <w:tcPr>
            <w:tcW w:w="1357" w:type="dxa"/>
            <w:vAlign w:val="center"/>
          </w:tcPr>
          <w:p w:rsidR="00000000" w:rsidRDefault="00000000">
            <w:pPr>
              <w:jc w:val="right"/>
            </w:pPr>
            <w:r>
              <w:t>65,5</w:t>
            </w:r>
          </w:p>
        </w:tc>
      </w:tr>
      <w:tr w:rsidR="00000000">
        <w:tblPrEx>
          <w:tblCellMar>
            <w:top w:w="0" w:type="dxa"/>
            <w:bottom w:w="0" w:type="dxa"/>
          </w:tblCellMar>
        </w:tblPrEx>
        <w:trPr>
          <w:jc w:val="center"/>
        </w:trPr>
        <w:tc>
          <w:tcPr>
            <w:tcW w:w="1356" w:type="dxa"/>
          </w:tcPr>
          <w:p w:rsidR="00000000" w:rsidRDefault="00000000">
            <w:pPr>
              <w:tabs>
                <w:tab w:val="left" w:pos="222"/>
              </w:tabs>
            </w:pPr>
            <w:r>
              <w:tab/>
              <w:t xml:space="preserve">No </w:t>
            </w:r>
            <w:proofErr w:type="spellStart"/>
            <w:r>
              <w:rPr>
                <w:lang w:val="fr-CH"/>
              </w:rPr>
              <w:t>negra</w:t>
            </w:r>
            <w:proofErr w:type="spellEnd"/>
          </w:p>
        </w:tc>
        <w:tc>
          <w:tcPr>
            <w:tcW w:w="1356" w:type="dxa"/>
            <w:vAlign w:val="center"/>
          </w:tcPr>
          <w:p w:rsidR="00000000" w:rsidRDefault="00000000">
            <w:pPr>
              <w:jc w:val="right"/>
            </w:pPr>
            <w:r>
              <w:t>7.322</w:t>
            </w:r>
          </w:p>
        </w:tc>
        <w:tc>
          <w:tcPr>
            <w:tcW w:w="1356" w:type="dxa"/>
            <w:vAlign w:val="center"/>
          </w:tcPr>
          <w:p w:rsidR="00000000" w:rsidRDefault="00000000">
            <w:pPr>
              <w:jc w:val="right"/>
            </w:pPr>
            <w:r>
              <w:t>12,5</w:t>
            </w:r>
          </w:p>
        </w:tc>
        <w:tc>
          <w:tcPr>
            <w:tcW w:w="1357" w:type="dxa"/>
            <w:vAlign w:val="center"/>
          </w:tcPr>
          <w:p w:rsidR="00000000" w:rsidRDefault="00000000">
            <w:pPr>
              <w:jc w:val="right"/>
            </w:pPr>
            <w:r>
              <w:t>1,9</w:t>
            </w:r>
          </w:p>
        </w:tc>
        <w:tc>
          <w:tcPr>
            <w:tcW w:w="1357" w:type="dxa"/>
            <w:vAlign w:val="center"/>
          </w:tcPr>
          <w:p w:rsidR="00000000" w:rsidRDefault="00000000">
            <w:pPr>
              <w:jc w:val="right"/>
            </w:pPr>
            <w:r>
              <w:t>3.720</w:t>
            </w:r>
          </w:p>
        </w:tc>
        <w:tc>
          <w:tcPr>
            <w:tcW w:w="1357" w:type="dxa"/>
            <w:vAlign w:val="center"/>
          </w:tcPr>
          <w:p w:rsidR="00000000" w:rsidRDefault="00000000">
            <w:pPr>
              <w:jc w:val="right"/>
            </w:pPr>
            <w:r>
              <w:t>50,8</w:t>
            </w:r>
          </w:p>
        </w:tc>
      </w:tr>
    </w:tbl>
    <w:p w:rsidR="00000000" w:rsidRDefault="00000000">
      <w:pPr>
        <w:shd w:val="clear" w:color="auto" w:fill="FFFFFF"/>
        <w:spacing w:before="240" w:after="480"/>
        <w:ind w:left="720"/>
        <w:rPr>
          <w:i/>
          <w:iCs/>
        </w:rPr>
      </w:pPr>
      <w:r>
        <w:rPr>
          <w:i/>
          <w:iCs/>
        </w:rPr>
        <w:t>Fuente</w:t>
      </w:r>
      <w:r>
        <w:t xml:space="preserve">:  Ministerio de Salud Pública, </w:t>
      </w:r>
      <w:r>
        <w:rPr>
          <w:i/>
          <w:iCs/>
        </w:rPr>
        <w:t xml:space="preserve">Boletín Informativo del </w:t>
      </w:r>
      <w:proofErr w:type="spellStart"/>
      <w:r>
        <w:rPr>
          <w:i/>
          <w:iCs/>
        </w:rPr>
        <w:t>ICT</w:t>
      </w:r>
      <w:proofErr w:type="spellEnd"/>
      <w:r>
        <w:t xml:space="preserve">, </w:t>
      </w:r>
      <w:proofErr w:type="spellStart"/>
      <w:r>
        <w:t>Nº</w:t>
      </w:r>
      <w:proofErr w:type="spellEnd"/>
      <w:r>
        <w:t xml:space="preserve"> 3</w:t>
      </w:r>
      <w:r>
        <w:rPr>
          <w:i/>
          <w:iCs/>
        </w:rPr>
        <w:t>.</w:t>
      </w:r>
    </w:p>
    <w:p w:rsidR="00000000" w:rsidRDefault="00000000">
      <w:pPr>
        <w:shd w:val="clear" w:color="auto" w:fill="FFFFFF"/>
        <w:spacing w:after="240"/>
      </w:pPr>
      <w:r>
        <w:t>299.</w:t>
      </w:r>
      <w:r>
        <w:tab/>
      </w:r>
      <w:r>
        <w:rPr>
          <w:color w:val="000000"/>
          <w:szCs w:val="25"/>
          <w:lang w:val="es-ES_tradnl"/>
        </w:rPr>
        <w:t xml:space="preserve">Los promedios de hemoglobina, desagregados por niveles de instrucción, es similar.  Sin embargo, se encuentra que las personas que tuvieron una instrucción primaria, secundaria y superior tienen promedios más altos de hemoglobina.  Con relación al porcentaje de anemia por niveles de instrucción, éste fue menor de acuerdo al nivel de instrucción.  Las </w:t>
      </w:r>
      <w:proofErr w:type="spellStart"/>
      <w:r>
        <w:rPr>
          <w:color w:val="000000"/>
          <w:szCs w:val="25"/>
          <w:lang w:val="es-ES_tradnl"/>
        </w:rPr>
        <w:t>prevalencias</w:t>
      </w:r>
      <w:proofErr w:type="spellEnd"/>
      <w:r>
        <w:rPr>
          <w:color w:val="000000"/>
          <w:szCs w:val="25"/>
          <w:lang w:val="es-ES_tradnl"/>
        </w:rPr>
        <w:t xml:space="preserve"> altas las encontramos en la población que no tiene ninguna instrucción.</w:t>
      </w:r>
    </w:p>
    <w:p w:rsidR="00000000" w:rsidRDefault="00000000">
      <w:pPr>
        <w:shd w:val="clear" w:color="auto" w:fill="FFFFFF"/>
        <w:spacing w:before="240" w:after="480"/>
        <w:jc w:val="center"/>
        <w:rPr>
          <w:b/>
          <w:bCs/>
        </w:rPr>
      </w:pPr>
      <w:r>
        <w:rPr>
          <w:b/>
          <w:bCs/>
        </w:rPr>
        <w:t xml:space="preserve">Valores de hemoglobina y </w:t>
      </w:r>
      <w:proofErr w:type="spellStart"/>
      <w:r>
        <w:rPr>
          <w:b/>
          <w:bCs/>
        </w:rPr>
        <w:t>prevalencia</w:t>
      </w:r>
      <w:proofErr w:type="spellEnd"/>
      <w:r>
        <w:rPr>
          <w:b/>
          <w:bCs/>
        </w:rPr>
        <w:t xml:space="preserve"> de anemia por instrucción,</w:t>
      </w:r>
      <w:r>
        <w:rPr>
          <w:b/>
          <w:bCs/>
        </w:rPr>
        <w:br/>
        <w:t>Ecuador, 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3"/>
        <w:gridCol w:w="1019"/>
        <w:gridCol w:w="1356"/>
        <w:gridCol w:w="1357"/>
        <w:gridCol w:w="1357"/>
        <w:gridCol w:w="1357"/>
      </w:tblGrid>
      <w:tr w:rsidR="00000000">
        <w:tblPrEx>
          <w:tblCellMar>
            <w:top w:w="0" w:type="dxa"/>
            <w:bottom w:w="0" w:type="dxa"/>
          </w:tblCellMar>
        </w:tblPrEx>
        <w:trPr>
          <w:cantSplit/>
          <w:jc w:val="center"/>
        </w:trPr>
        <w:tc>
          <w:tcPr>
            <w:tcW w:w="1693" w:type="dxa"/>
            <w:vMerge w:val="restart"/>
            <w:vAlign w:val="center"/>
          </w:tcPr>
          <w:p w:rsidR="00000000" w:rsidRDefault="00000000">
            <w:pPr>
              <w:jc w:val="center"/>
            </w:pPr>
            <w:r>
              <w:t>Variables</w:t>
            </w:r>
          </w:p>
        </w:tc>
        <w:tc>
          <w:tcPr>
            <w:tcW w:w="1019" w:type="dxa"/>
            <w:vMerge w:val="restart"/>
            <w:vAlign w:val="center"/>
          </w:tcPr>
          <w:p w:rsidR="00000000" w:rsidRDefault="00000000">
            <w:pPr>
              <w:jc w:val="center"/>
            </w:pPr>
            <w:r>
              <w:t>Total muestra</w:t>
            </w:r>
          </w:p>
        </w:tc>
        <w:tc>
          <w:tcPr>
            <w:tcW w:w="2713" w:type="dxa"/>
            <w:gridSpan w:val="2"/>
            <w:vAlign w:val="center"/>
          </w:tcPr>
          <w:p w:rsidR="00000000" w:rsidRDefault="00000000">
            <w:pPr>
              <w:jc w:val="center"/>
            </w:pPr>
            <w:r>
              <w:t>Hemoglobina</w:t>
            </w:r>
          </w:p>
        </w:tc>
        <w:tc>
          <w:tcPr>
            <w:tcW w:w="2714" w:type="dxa"/>
            <w:gridSpan w:val="2"/>
            <w:vAlign w:val="center"/>
          </w:tcPr>
          <w:p w:rsidR="00000000" w:rsidRDefault="00000000">
            <w:pPr>
              <w:jc w:val="center"/>
            </w:pPr>
            <w:r>
              <w:t>Anemia</w:t>
            </w:r>
          </w:p>
        </w:tc>
      </w:tr>
      <w:tr w:rsidR="00000000">
        <w:tblPrEx>
          <w:tblCellMar>
            <w:top w:w="0" w:type="dxa"/>
            <w:bottom w:w="0" w:type="dxa"/>
          </w:tblCellMar>
        </w:tblPrEx>
        <w:trPr>
          <w:cantSplit/>
          <w:jc w:val="center"/>
        </w:trPr>
        <w:tc>
          <w:tcPr>
            <w:tcW w:w="1693" w:type="dxa"/>
            <w:vMerge/>
            <w:tcBorders>
              <w:bottom w:val="single" w:sz="4" w:space="0" w:color="auto"/>
            </w:tcBorders>
            <w:vAlign w:val="center"/>
          </w:tcPr>
          <w:p w:rsidR="00000000" w:rsidRDefault="00000000">
            <w:pPr>
              <w:jc w:val="center"/>
            </w:pPr>
          </w:p>
        </w:tc>
        <w:tc>
          <w:tcPr>
            <w:tcW w:w="1019" w:type="dxa"/>
            <w:vMerge/>
            <w:tcBorders>
              <w:bottom w:val="single" w:sz="4" w:space="0" w:color="auto"/>
            </w:tcBorders>
            <w:vAlign w:val="center"/>
          </w:tcPr>
          <w:p w:rsidR="00000000" w:rsidRDefault="00000000">
            <w:pPr>
              <w:jc w:val="center"/>
            </w:pPr>
          </w:p>
        </w:tc>
        <w:tc>
          <w:tcPr>
            <w:tcW w:w="1356" w:type="dxa"/>
            <w:tcBorders>
              <w:bottom w:val="single" w:sz="4" w:space="0" w:color="auto"/>
            </w:tcBorders>
          </w:tcPr>
          <w:p w:rsidR="00000000" w:rsidRDefault="00000000">
            <w:pPr>
              <w:jc w:val="center"/>
            </w:pPr>
            <w:r>
              <w:t>Promedio</w:t>
            </w:r>
          </w:p>
        </w:tc>
        <w:tc>
          <w:tcPr>
            <w:tcW w:w="1357" w:type="dxa"/>
            <w:tcBorders>
              <w:bottom w:val="single" w:sz="4" w:space="0" w:color="auto"/>
            </w:tcBorders>
          </w:tcPr>
          <w:p w:rsidR="00000000" w:rsidRDefault="00000000">
            <w:pPr>
              <w:jc w:val="center"/>
            </w:pPr>
            <w:r>
              <w:t>DE</w:t>
            </w:r>
          </w:p>
        </w:tc>
        <w:tc>
          <w:tcPr>
            <w:tcW w:w="1357" w:type="dxa"/>
            <w:tcBorders>
              <w:bottom w:val="single" w:sz="4" w:space="0" w:color="auto"/>
            </w:tcBorders>
          </w:tcPr>
          <w:p w:rsidR="00000000" w:rsidRDefault="00000000">
            <w:pPr>
              <w:jc w:val="center"/>
            </w:pPr>
            <w:r>
              <w:t>No.</w:t>
            </w:r>
          </w:p>
        </w:tc>
        <w:tc>
          <w:tcPr>
            <w:tcW w:w="1357" w:type="dxa"/>
            <w:tcBorders>
              <w:bottom w:val="single" w:sz="4" w:space="0" w:color="auto"/>
            </w:tcBorders>
          </w:tcPr>
          <w:p w:rsidR="00000000" w:rsidRDefault="00000000">
            <w:pPr>
              <w:jc w:val="center"/>
            </w:pPr>
            <w:r>
              <w:t>Porcentaje</w:t>
            </w:r>
          </w:p>
        </w:tc>
      </w:tr>
      <w:tr w:rsidR="00000000">
        <w:tblPrEx>
          <w:tblCellMar>
            <w:top w:w="0" w:type="dxa"/>
            <w:bottom w:w="0" w:type="dxa"/>
          </w:tblCellMar>
        </w:tblPrEx>
        <w:trPr>
          <w:cantSplit/>
          <w:jc w:val="center"/>
        </w:trPr>
        <w:tc>
          <w:tcPr>
            <w:tcW w:w="2712" w:type="dxa"/>
            <w:gridSpan w:val="2"/>
            <w:tcBorders>
              <w:top w:val="nil"/>
              <w:bottom w:val="single" w:sz="4" w:space="0" w:color="auto"/>
            </w:tcBorders>
          </w:tcPr>
          <w:p w:rsidR="00000000" w:rsidRDefault="00000000">
            <w:r>
              <w:t>Instrucción (6 y + años)</w:t>
            </w:r>
          </w:p>
        </w:tc>
        <w:tc>
          <w:tcPr>
            <w:tcW w:w="1356"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c>
          <w:tcPr>
            <w:tcW w:w="1357" w:type="dxa"/>
            <w:tcBorders>
              <w:top w:val="nil"/>
              <w:bottom w:val="single" w:sz="4" w:space="0" w:color="auto"/>
            </w:tcBorders>
            <w:vAlign w:val="center"/>
          </w:tcPr>
          <w:p w:rsidR="00000000" w:rsidRDefault="00000000">
            <w:pPr>
              <w:jc w:val="right"/>
            </w:pPr>
          </w:p>
        </w:tc>
      </w:tr>
      <w:tr w:rsidR="00000000">
        <w:tblPrEx>
          <w:tblCellMar>
            <w:top w:w="0" w:type="dxa"/>
            <w:bottom w:w="0" w:type="dxa"/>
          </w:tblCellMar>
        </w:tblPrEx>
        <w:trPr>
          <w:jc w:val="center"/>
        </w:trPr>
        <w:tc>
          <w:tcPr>
            <w:tcW w:w="1693" w:type="dxa"/>
            <w:tcBorders>
              <w:top w:val="nil"/>
              <w:bottom w:val="single" w:sz="4" w:space="0" w:color="auto"/>
            </w:tcBorders>
          </w:tcPr>
          <w:p w:rsidR="00000000" w:rsidRDefault="00000000">
            <w:r>
              <w:t>Ninguno</w:t>
            </w:r>
          </w:p>
        </w:tc>
        <w:tc>
          <w:tcPr>
            <w:tcW w:w="1019" w:type="dxa"/>
            <w:tcBorders>
              <w:top w:val="nil"/>
              <w:bottom w:val="single" w:sz="4" w:space="0" w:color="auto"/>
            </w:tcBorders>
            <w:vAlign w:val="center"/>
          </w:tcPr>
          <w:p w:rsidR="00000000" w:rsidRDefault="00000000">
            <w:pPr>
              <w:jc w:val="right"/>
            </w:pPr>
            <w:r>
              <w:t>446</w:t>
            </w:r>
          </w:p>
        </w:tc>
        <w:tc>
          <w:tcPr>
            <w:tcW w:w="1356" w:type="dxa"/>
            <w:tcBorders>
              <w:top w:val="nil"/>
              <w:bottom w:val="single" w:sz="4" w:space="0" w:color="auto"/>
            </w:tcBorders>
            <w:vAlign w:val="center"/>
          </w:tcPr>
          <w:p w:rsidR="00000000" w:rsidRDefault="00000000">
            <w:pPr>
              <w:jc w:val="right"/>
            </w:pPr>
            <w:r>
              <w:t>12,6</w:t>
            </w:r>
          </w:p>
        </w:tc>
        <w:tc>
          <w:tcPr>
            <w:tcW w:w="1357" w:type="dxa"/>
            <w:tcBorders>
              <w:top w:val="nil"/>
              <w:bottom w:val="single" w:sz="4" w:space="0" w:color="auto"/>
            </w:tcBorders>
            <w:vAlign w:val="center"/>
          </w:tcPr>
          <w:p w:rsidR="00000000" w:rsidRDefault="00000000">
            <w:pPr>
              <w:jc w:val="right"/>
            </w:pPr>
            <w:r>
              <w:t>1,8</w:t>
            </w:r>
          </w:p>
        </w:tc>
        <w:tc>
          <w:tcPr>
            <w:tcW w:w="1357" w:type="dxa"/>
            <w:tcBorders>
              <w:top w:val="nil"/>
              <w:bottom w:val="single" w:sz="4" w:space="0" w:color="auto"/>
            </w:tcBorders>
            <w:vAlign w:val="center"/>
          </w:tcPr>
          <w:p w:rsidR="00000000" w:rsidRDefault="00000000">
            <w:pPr>
              <w:jc w:val="right"/>
            </w:pPr>
            <w:r>
              <w:t>279</w:t>
            </w:r>
          </w:p>
        </w:tc>
        <w:tc>
          <w:tcPr>
            <w:tcW w:w="1357" w:type="dxa"/>
            <w:tcBorders>
              <w:top w:val="nil"/>
              <w:bottom w:val="single" w:sz="4" w:space="0" w:color="auto"/>
            </w:tcBorders>
            <w:vAlign w:val="center"/>
          </w:tcPr>
          <w:p w:rsidR="00000000" w:rsidRDefault="00000000">
            <w:pPr>
              <w:jc w:val="right"/>
            </w:pPr>
            <w:r>
              <w:t>62,6</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Primaria</w:t>
            </w:r>
          </w:p>
        </w:tc>
        <w:tc>
          <w:tcPr>
            <w:tcW w:w="1019" w:type="dxa"/>
            <w:tcBorders>
              <w:top w:val="single" w:sz="4" w:space="0" w:color="auto"/>
              <w:bottom w:val="single" w:sz="4" w:space="0" w:color="auto"/>
            </w:tcBorders>
            <w:vAlign w:val="center"/>
          </w:tcPr>
          <w:p w:rsidR="00000000" w:rsidRDefault="00000000">
            <w:pPr>
              <w:jc w:val="right"/>
            </w:pPr>
            <w:r>
              <w:t>3.301</w:t>
            </w:r>
          </w:p>
        </w:tc>
        <w:tc>
          <w:tcPr>
            <w:tcW w:w="1356" w:type="dxa"/>
            <w:tcBorders>
              <w:top w:val="single" w:sz="4" w:space="0" w:color="auto"/>
              <w:bottom w:val="single" w:sz="4" w:space="0" w:color="auto"/>
            </w:tcBorders>
            <w:vAlign w:val="center"/>
          </w:tcPr>
          <w:p w:rsidR="00000000" w:rsidRDefault="00000000">
            <w:pPr>
              <w:jc w:val="right"/>
            </w:pPr>
            <w:r>
              <w:t>12,7</w:t>
            </w:r>
          </w:p>
        </w:tc>
        <w:tc>
          <w:tcPr>
            <w:tcW w:w="1357" w:type="dxa"/>
            <w:tcBorders>
              <w:top w:val="single" w:sz="4" w:space="0" w:color="auto"/>
              <w:bottom w:val="single" w:sz="4" w:space="0" w:color="auto"/>
            </w:tcBorders>
            <w:vAlign w:val="center"/>
          </w:tcPr>
          <w:p w:rsidR="00000000" w:rsidRDefault="00000000">
            <w:pPr>
              <w:jc w:val="right"/>
            </w:pPr>
            <w:r>
              <w:t>1,7</w:t>
            </w:r>
          </w:p>
        </w:tc>
        <w:tc>
          <w:tcPr>
            <w:tcW w:w="1357" w:type="dxa"/>
            <w:tcBorders>
              <w:top w:val="single" w:sz="4" w:space="0" w:color="auto"/>
              <w:bottom w:val="single" w:sz="4" w:space="0" w:color="auto"/>
            </w:tcBorders>
            <w:vAlign w:val="center"/>
          </w:tcPr>
          <w:p w:rsidR="00000000" w:rsidRDefault="00000000">
            <w:pPr>
              <w:jc w:val="right"/>
            </w:pPr>
            <w:r>
              <w:t>1.748</w:t>
            </w:r>
          </w:p>
        </w:tc>
        <w:tc>
          <w:tcPr>
            <w:tcW w:w="1357" w:type="dxa"/>
            <w:tcBorders>
              <w:top w:val="single" w:sz="4" w:space="0" w:color="auto"/>
              <w:bottom w:val="single" w:sz="4" w:space="0" w:color="auto"/>
            </w:tcBorders>
            <w:vAlign w:val="center"/>
          </w:tcPr>
          <w:p w:rsidR="00000000" w:rsidRDefault="00000000">
            <w:pPr>
              <w:jc w:val="right"/>
            </w:pPr>
            <w:r>
              <w:t>53,0</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Secundaria</w:t>
            </w:r>
          </w:p>
        </w:tc>
        <w:tc>
          <w:tcPr>
            <w:tcW w:w="1019" w:type="dxa"/>
            <w:tcBorders>
              <w:top w:val="single" w:sz="4" w:space="0" w:color="auto"/>
              <w:bottom w:val="single" w:sz="4" w:space="0" w:color="auto"/>
            </w:tcBorders>
            <w:vAlign w:val="center"/>
          </w:tcPr>
          <w:p w:rsidR="00000000" w:rsidRDefault="00000000">
            <w:pPr>
              <w:jc w:val="right"/>
            </w:pPr>
            <w:r>
              <w:t>1.678</w:t>
            </w:r>
          </w:p>
        </w:tc>
        <w:tc>
          <w:tcPr>
            <w:tcW w:w="1356" w:type="dxa"/>
            <w:tcBorders>
              <w:top w:val="single" w:sz="4" w:space="0" w:color="auto"/>
              <w:bottom w:val="single" w:sz="4" w:space="0" w:color="auto"/>
            </w:tcBorders>
            <w:vAlign w:val="center"/>
          </w:tcPr>
          <w:p w:rsidR="00000000" w:rsidRDefault="00000000">
            <w:pPr>
              <w:jc w:val="right"/>
            </w:pPr>
            <w:r>
              <w:t>13,1</w:t>
            </w:r>
          </w:p>
        </w:tc>
        <w:tc>
          <w:tcPr>
            <w:tcW w:w="1357" w:type="dxa"/>
            <w:tcBorders>
              <w:top w:val="single" w:sz="4" w:space="0" w:color="auto"/>
              <w:bottom w:val="single" w:sz="4" w:space="0" w:color="auto"/>
            </w:tcBorders>
            <w:vAlign w:val="center"/>
          </w:tcPr>
          <w:p w:rsidR="00000000" w:rsidRDefault="00000000">
            <w:pPr>
              <w:jc w:val="right"/>
            </w:pPr>
            <w:r>
              <w:t>1,8</w:t>
            </w:r>
          </w:p>
        </w:tc>
        <w:tc>
          <w:tcPr>
            <w:tcW w:w="1357" w:type="dxa"/>
            <w:tcBorders>
              <w:top w:val="single" w:sz="4" w:space="0" w:color="auto"/>
              <w:bottom w:val="single" w:sz="4" w:space="0" w:color="auto"/>
            </w:tcBorders>
            <w:vAlign w:val="center"/>
          </w:tcPr>
          <w:p w:rsidR="00000000" w:rsidRDefault="00000000">
            <w:pPr>
              <w:jc w:val="right"/>
            </w:pPr>
            <w:r>
              <w:t>689</w:t>
            </w:r>
          </w:p>
        </w:tc>
        <w:tc>
          <w:tcPr>
            <w:tcW w:w="1357" w:type="dxa"/>
            <w:tcBorders>
              <w:top w:val="single" w:sz="4" w:space="0" w:color="auto"/>
              <w:bottom w:val="single" w:sz="4" w:space="0" w:color="auto"/>
            </w:tcBorders>
            <w:vAlign w:val="center"/>
          </w:tcPr>
          <w:p w:rsidR="00000000" w:rsidRDefault="00000000">
            <w:pPr>
              <w:jc w:val="right"/>
            </w:pPr>
            <w:r>
              <w:t>41,1</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Superior</w:t>
            </w:r>
          </w:p>
        </w:tc>
        <w:tc>
          <w:tcPr>
            <w:tcW w:w="1019" w:type="dxa"/>
            <w:tcBorders>
              <w:top w:val="single" w:sz="4" w:space="0" w:color="auto"/>
              <w:bottom w:val="single" w:sz="4" w:space="0" w:color="auto"/>
            </w:tcBorders>
            <w:vAlign w:val="center"/>
          </w:tcPr>
          <w:p w:rsidR="00000000" w:rsidRDefault="00000000">
            <w:pPr>
              <w:jc w:val="right"/>
            </w:pPr>
            <w:r>
              <w:t>436</w:t>
            </w:r>
          </w:p>
        </w:tc>
        <w:tc>
          <w:tcPr>
            <w:tcW w:w="1356" w:type="dxa"/>
            <w:tcBorders>
              <w:top w:val="single" w:sz="4" w:space="0" w:color="auto"/>
              <w:bottom w:val="single" w:sz="4" w:space="0" w:color="auto"/>
            </w:tcBorders>
            <w:vAlign w:val="center"/>
          </w:tcPr>
          <w:p w:rsidR="00000000" w:rsidRDefault="00000000">
            <w:pPr>
              <w:jc w:val="right"/>
            </w:pPr>
            <w:r>
              <w:t>13,5</w:t>
            </w:r>
          </w:p>
        </w:tc>
        <w:tc>
          <w:tcPr>
            <w:tcW w:w="1357" w:type="dxa"/>
            <w:tcBorders>
              <w:top w:val="single" w:sz="4" w:space="0" w:color="auto"/>
              <w:bottom w:val="single" w:sz="4" w:space="0" w:color="auto"/>
            </w:tcBorders>
            <w:vAlign w:val="center"/>
          </w:tcPr>
          <w:p w:rsidR="00000000" w:rsidRDefault="00000000">
            <w:pPr>
              <w:jc w:val="right"/>
            </w:pPr>
            <w:r>
              <w:t>1,8</w:t>
            </w:r>
          </w:p>
        </w:tc>
        <w:tc>
          <w:tcPr>
            <w:tcW w:w="1357" w:type="dxa"/>
            <w:tcBorders>
              <w:top w:val="single" w:sz="4" w:space="0" w:color="auto"/>
              <w:bottom w:val="single" w:sz="4" w:space="0" w:color="auto"/>
            </w:tcBorders>
            <w:vAlign w:val="center"/>
          </w:tcPr>
          <w:p w:rsidR="00000000" w:rsidRDefault="00000000">
            <w:pPr>
              <w:jc w:val="right"/>
            </w:pPr>
            <w:r>
              <w:t>167</w:t>
            </w:r>
          </w:p>
        </w:tc>
        <w:tc>
          <w:tcPr>
            <w:tcW w:w="1357" w:type="dxa"/>
            <w:tcBorders>
              <w:top w:val="single" w:sz="4" w:space="0" w:color="auto"/>
              <w:bottom w:val="single" w:sz="4" w:space="0" w:color="auto"/>
            </w:tcBorders>
            <w:vAlign w:val="center"/>
          </w:tcPr>
          <w:p w:rsidR="00000000" w:rsidRDefault="00000000">
            <w:pPr>
              <w:jc w:val="right"/>
            </w:pPr>
            <w:r>
              <w:t>38,3</w:t>
            </w:r>
          </w:p>
        </w:tc>
      </w:tr>
      <w:tr w:rsidR="00000000">
        <w:tblPrEx>
          <w:tblCellMar>
            <w:top w:w="0" w:type="dxa"/>
            <w:bottom w:w="0" w:type="dxa"/>
          </w:tblCellMar>
        </w:tblPrEx>
        <w:trPr>
          <w:jc w:val="center"/>
        </w:trPr>
        <w:tc>
          <w:tcPr>
            <w:tcW w:w="1693" w:type="dxa"/>
            <w:tcBorders>
              <w:top w:val="single" w:sz="4" w:space="0" w:color="auto"/>
              <w:bottom w:val="single" w:sz="4" w:space="0" w:color="auto"/>
            </w:tcBorders>
          </w:tcPr>
          <w:p w:rsidR="00000000" w:rsidRDefault="00000000">
            <w:r>
              <w:t>No sabe</w:t>
            </w:r>
          </w:p>
        </w:tc>
        <w:tc>
          <w:tcPr>
            <w:tcW w:w="1019" w:type="dxa"/>
            <w:tcBorders>
              <w:top w:val="single" w:sz="4" w:space="0" w:color="auto"/>
              <w:bottom w:val="single" w:sz="4" w:space="0" w:color="auto"/>
            </w:tcBorders>
            <w:vAlign w:val="center"/>
          </w:tcPr>
          <w:p w:rsidR="00000000" w:rsidRDefault="00000000">
            <w:pPr>
              <w:jc w:val="right"/>
            </w:pPr>
            <w:r>
              <w:t>1.008</w:t>
            </w:r>
          </w:p>
        </w:tc>
        <w:tc>
          <w:tcPr>
            <w:tcW w:w="1356" w:type="dxa"/>
            <w:tcBorders>
              <w:top w:val="single" w:sz="4" w:space="0" w:color="auto"/>
              <w:bottom w:val="single" w:sz="4" w:space="0" w:color="auto"/>
            </w:tcBorders>
            <w:vAlign w:val="center"/>
          </w:tcPr>
          <w:p w:rsidR="00000000" w:rsidRDefault="00000000">
            <w:pPr>
              <w:jc w:val="right"/>
            </w:pPr>
            <w:r>
              <w:t>11,4</w:t>
            </w:r>
          </w:p>
        </w:tc>
        <w:tc>
          <w:tcPr>
            <w:tcW w:w="1357" w:type="dxa"/>
            <w:tcBorders>
              <w:top w:val="single" w:sz="4" w:space="0" w:color="auto"/>
              <w:bottom w:val="single" w:sz="4" w:space="0" w:color="auto"/>
            </w:tcBorders>
            <w:vAlign w:val="center"/>
          </w:tcPr>
          <w:p w:rsidR="00000000" w:rsidRDefault="00000000">
            <w:pPr>
              <w:jc w:val="right"/>
            </w:pPr>
            <w:r>
              <w:t>1,7</w:t>
            </w:r>
          </w:p>
        </w:tc>
        <w:tc>
          <w:tcPr>
            <w:tcW w:w="1357" w:type="dxa"/>
            <w:tcBorders>
              <w:top w:val="single" w:sz="4" w:space="0" w:color="auto"/>
              <w:bottom w:val="single" w:sz="4" w:space="0" w:color="auto"/>
            </w:tcBorders>
            <w:vAlign w:val="center"/>
          </w:tcPr>
          <w:p w:rsidR="00000000" w:rsidRDefault="00000000">
            <w:pPr>
              <w:jc w:val="right"/>
            </w:pPr>
            <w:r>
              <w:t>616</w:t>
            </w:r>
          </w:p>
        </w:tc>
        <w:tc>
          <w:tcPr>
            <w:tcW w:w="1357" w:type="dxa"/>
            <w:tcBorders>
              <w:top w:val="single" w:sz="4" w:space="0" w:color="auto"/>
              <w:bottom w:val="single" w:sz="4" w:space="0" w:color="auto"/>
            </w:tcBorders>
            <w:vAlign w:val="center"/>
          </w:tcPr>
          <w:p w:rsidR="00000000" w:rsidRDefault="00000000">
            <w:pPr>
              <w:jc w:val="right"/>
            </w:pPr>
            <w:r>
              <w:t>61,1</w:t>
            </w:r>
          </w:p>
        </w:tc>
      </w:tr>
      <w:tr w:rsidR="00000000">
        <w:tblPrEx>
          <w:tblCellMar>
            <w:top w:w="0" w:type="dxa"/>
            <w:bottom w:w="0" w:type="dxa"/>
          </w:tblCellMar>
        </w:tblPrEx>
        <w:trPr>
          <w:jc w:val="center"/>
        </w:trPr>
        <w:tc>
          <w:tcPr>
            <w:tcW w:w="1693" w:type="dxa"/>
            <w:tcBorders>
              <w:top w:val="single" w:sz="4" w:space="0" w:color="auto"/>
            </w:tcBorders>
          </w:tcPr>
          <w:p w:rsidR="00000000" w:rsidRDefault="00000000">
            <w:r>
              <w:t>No corresponde</w:t>
            </w:r>
            <w:r>
              <w:br/>
              <w:t>(&lt; 6 años)</w:t>
            </w:r>
          </w:p>
        </w:tc>
        <w:tc>
          <w:tcPr>
            <w:tcW w:w="1019" w:type="dxa"/>
            <w:tcBorders>
              <w:top w:val="single" w:sz="4" w:space="0" w:color="auto"/>
            </w:tcBorders>
            <w:vAlign w:val="bottom"/>
          </w:tcPr>
          <w:p w:rsidR="00000000" w:rsidRDefault="00000000">
            <w:pPr>
              <w:jc w:val="right"/>
            </w:pPr>
            <w:r>
              <w:t>728</w:t>
            </w:r>
          </w:p>
        </w:tc>
        <w:tc>
          <w:tcPr>
            <w:tcW w:w="1356" w:type="dxa"/>
            <w:tcBorders>
              <w:top w:val="single" w:sz="4" w:space="0" w:color="auto"/>
            </w:tcBorders>
            <w:vAlign w:val="bottom"/>
          </w:tcPr>
          <w:p w:rsidR="00000000" w:rsidRDefault="00000000">
            <w:pPr>
              <w:jc w:val="right"/>
            </w:pPr>
            <w:r>
              <w:t>11,4</w:t>
            </w:r>
          </w:p>
        </w:tc>
        <w:tc>
          <w:tcPr>
            <w:tcW w:w="1357" w:type="dxa"/>
            <w:tcBorders>
              <w:top w:val="single" w:sz="4" w:space="0" w:color="auto"/>
            </w:tcBorders>
            <w:vAlign w:val="bottom"/>
          </w:tcPr>
          <w:p w:rsidR="00000000" w:rsidRDefault="00000000">
            <w:pPr>
              <w:jc w:val="right"/>
            </w:pPr>
            <w:r>
              <w:t>1,6</w:t>
            </w:r>
          </w:p>
        </w:tc>
        <w:tc>
          <w:tcPr>
            <w:tcW w:w="1357" w:type="dxa"/>
            <w:tcBorders>
              <w:top w:val="single" w:sz="4" w:space="0" w:color="auto"/>
            </w:tcBorders>
            <w:vAlign w:val="bottom"/>
          </w:tcPr>
          <w:p w:rsidR="00000000" w:rsidRDefault="00000000">
            <w:pPr>
              <w:jc w:val="right"/>
            </w:pPr>
            <w:r>
              <w:t>401</w:t>
            </w:r>
          </w:p>
        </w:tc>
        <w:tc>
          <w:tcPr>
            <w:tcW w:w="1357" w:type="dxa"/>
            <w:tcBorders>
              <w:top w:val="single" w:sz="4" w:space="0" w:color="auto"/>
            </w:tcBorders>
            <w:vAlign w:val="bottom"/>
          </w:tcPr>
          <w:p w:rsidR="00000000" w:rsidRDefault="00000000">
            <w:pPr>
              <w:jc w:val="right"/>
            </w:pPr>
            <w:r>
              <w:t>55,1</w:t>
            </w:r>
          </w:p>
        </w:tc>
      </w:tr>
    </w:tbl>
    <w:p w:rsidR="00000000" w:rsidRDefault="00000000">
      <w:pPr>
        <w:shd w:val="clear" w:color="auto" w:fill="FFFFFF"/>
        <w:spacing w:before="240" w:after="480"/>
        <w:rPr>
          <w:b/>
          <w:bCs/>
        </w:rPr>
      </w:pPr>
      <w:r>
        <w:rPr>
          <w:i/>
          <w:iCs/>
        </w:rPr>
        <w:tab/>
        <w:t>Fuente</w:t>
      </w:r>
      <w:r>
        <w:t xml:space="preserve">:  Ministerio de Salud Pública, </w:t>
      </w:r>
      <w:r>
        <w:rPr>
          <w:i/>
          <w:iCs/>
        </w:rPr>
        <w:t xml:space="preserve">Boletín Informativo del </w:t>
      </w:r>
      <w:proofErr w:type="spellStart"/>
      <w:r>
        <w:rPr>
          <w:i/>
          <w:iCs/>
        </w:rPr>
        <w:t>ICT</w:t>
      </w:r>
      <w:proofErr w:type="spellEnd"/>
      <w:r>
        <w:rPr>
          <w:i/>
          <w:iCs/>
        </w:rPr>
        <w:t xml:space="preserve">, </w:t>
      </w:r>
      <w:proofErr w:type="spellStart"/>
      <w:r>
        <w:t>Nº</w:t>
      </w:r>
      <w:proofErr w:type="spellEnd"/>
      <w:r>
        <w:t xml:space="preserve"> 3.</w:t>
      </w:r>
    </w:p>
    <w:p w:rsidR="00000000" w:rsidRDefault="00000000">
      <w:pPr>
        <w:shd w:val="clear" w:color="auto" w:fill="FFFFFF"/>
        <w:spacing w:after="240"/>
        <w:rPr>
          <w:color w:val="000000"/>
          <w:szCs w:val="25"/>
          <w:lang w:val="es-ES_tradnl"/>
        </w:rPr>
      </w:pPr>
      <w:r>
        <w:t>300.</w:t>
      </w:r>
      <w:r>
        <w:tab/>
      </w:r>
      <w:r>
        <w:rPr>
          <w:color w:val="000000"/>
          <w:szCs w:val="25"/>
          <w:lang w:val="es-ES_tradnl"/>
        </w:rPr>
        <w:t xml:space="preserve">Los promedios de hemoglobina correspondientes a las categorías de ocupación de la población, muestran que las personas que trabajan tienen promedios de hemoglobina similares, destacando los promedios de hemoglobina de las siguientes ocupaciones:  empleado de la empresa privada con 13,8+-1,9 </w:t>
      </w:r>
      <w:proofErr w:type="spellStart"/>
      <w:r>
        <w:rPr>
          <w:color w:val="000000"/>
          <w:szCs w:val="25"/>
          <w:lang w:val="es-ES_tradnl"/>
        </w:rPr>
        <w:t>g/dl</w:t>
      </w:r>
      <w:proofErr w:type="spellEnd"/>
      <w:r>
        <w:rPr>
          <w:color w:val="000000"/>
          <w:szCs w:val="25"/>
          <w:lang w:val="es-ES_tradnl"/>
        </w:rPr>
        <w:t xml:space="preserve">, profesión independiente con 13,9 +/-1,8 </w:t>
      </w:r>
      <w:proofErr w:type="spellStart"/>
      <w:r>
        <w:rPr>
          <w:color w:val="000000"/>
          <w:szCs w:val="25"/>
          <w:lang w:val="es-ES_tradnl"/>
        </w:rPr>
        <w:t>g/dl</w:t>
      </w:r>
      <w:proofErr w:type="spellEnd"/>
      <w:r>
        <w:rPr>
          <w:color w:val="000000"/>
          <w:szCs w:val="25"/>
          <w:lang w:val="es-ES_tradnl"/>
        </w:rPr>
        <w:t xml:space="preserve"> y pequeño productor rural con 13,7 +/-1 </w:t>
      </w:r>
      <w:proofErr w:type="spellStart"/>
      <w:r>
        <w:rPr>
          <w:color w:val="000000"/>
          <w:szCs w:val="25"/>
          <w:lang w:val="es-ES_tradnl"/>
        </w:rPr>
        <w:t>g/dl</w:t>
      </w:r>
      <w:proofErr w:type="spellEnd"/>
      <w:r>
        <w:rPr>
          <w:color w:val="000000"/>
          <w:szCs w:val="25"/>
          <w:lang w:val="es-ES_tradnl"/>
        </w:rPr>
        <w:t xml:space="preserve">; en las personas que se dedican a los quehaceres domésticos se encontró un valor de 12,4 </w:t>
      </w:r>
      <w:proofErr w:type="spellStart"/>
      <w:r>
        <w:rPr>
          <w:color w:val="000000"/>
          <w:szCs w:val="25"/>
          <w:lang w:val="es-ES_tradnl"/>
        </w:rPr>
        <w:t>g/dl</w:t>
      </w:r>
      <w:proofErr w:type="spellEnd"/>
      <w:r>
        <w:rPr>
          <w:color w:val="000000"/>
          <w:szCs w:val="25"/>
          <w:lang w:val="es-ES_tradnl"/>
        </w:rPr>
        <w:t>.</w:t>
      </w:r>
    </w:p>
    <w:p w:rsidR="00000000" w:rsidRDefault="00000000">
      <w:pPr>
        <w:shd w:val="clear" w:color="auto" w:fill="FFFFFF"/>
        <w:spacing w:after="240"/>
        <w:jc w:val="center"/>
        <w:rPr>
          <w:b/>
          <w:bCs/>
        </w:rPr>
      </w:pPr>
      <w:r>
        <w:rPr>
          <w:b/>
          <w:bCs/>
        </w:rPr>
        <w:t xml:space="preserve">Valores de hemoglobina y </w:t>
      </w:r>
      <w:proofErr w:type="spellStart"/>
      <w:r>
        <w:rPr>
          <w:b/>
          <w:bCs/>
        </w:rPr>
        <w:t>prevalencia</w:t>
      </w:r>
      <w:proofErr w:type="spellEnd"/>
      <w:r>
        <w:rPr>
          <w:b/>
          <w:bCs/>
        </w:rPr>
        <w:t xml:space="preserve"> de anemia por</w:t>
      </w:r>
      <w:r>
        <w:rPr>
          <w:b/>
          <w:bCs/>
        </w:rPr>
        <w:br/>
        <w:t>ocupación.  Ecuador, 1997</w:t>
      </w:r>
    </w:p>
    <w:tbl>
      <w:tblPr>
        <w:tblW w:w="0" w:type="auto"/>
        <w:jc w:val="center"/>
        <w:tblInd w:w="-1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49"/>
        <w:gridCol w:w="1104"/>
        <w:gridCol w:w="1416"/>
        <w:gridCol w:w="905"/>
        <w:gridCol w:w="800"/>
        <w:gridCol w:w="1357"/>
      </w:tblGrid>
      <w:tr w:rsidR="00000000">
        <w:tblPrEx>
          <w:tblCellMar>
            <w:top w:w="0" w:type="dxa"/>
            <w:bottom w:w="0" w:type="dxa"/>
          </w:tblCellMar>
        </w:tblPrEx>
        <w:trPr>
          <w:cantSplit/>
          <w:jc w:val="center"/>
        </w:trPr>
        <w:tc>
          <w:tcPr>
            <w:tcW w:w="3149" w:type="dxa"/>
            <w:vMerge w:val="restart"/>
            <w:vAlign w:val="center"/>
          </w:tcPr>
          <w:p w:rsidR="00000000" w:rsidRDefault="00000000">
            <w:pPr>
              <w:jc w:val="center"/>
            </w:pPr>
            <w:r>
              <w:t>Variables</w:t>
            </w:r>
          </w:p>
        </w:tc>
        <w:tc>
          <w:tcPr>
            <w:tcW w:w="1104" w:type="dxa"/>
            <w:vMerge w:val="restart"/>
            <w:vAlign w:val="center"/>
          </w:tcPr>
          <w:p w:rsidR="00000000" w:rsidRDefault="00000000">
            <w:pPr>
              <w:jc w:val="center"/>
            </w:pPr>
            <w:r>
              <w:t>Total muestra</w:t>
            </w:r>
          </w:p>
        </w:tc>
        <w:tc>
          <w:tcPr>
            <w:tcW w:w="2321" w:type="dxa"/>
            <w:gridSpan w:val="2"/>
            <w:vAlign w:val="center"/>
          </w:tcPr>
          <w:p w:rsidR="00000000" w:rsidRDefault="00000000">
            <w:pPr>
              <w:jc w:val="center"/>
            </w:pPr>
            <w:r>
              <w:t>Hemoglobina</w:t>
            </w:r>
          </w:p>
        </w:tc>
        <w:tc>
          <w:tcPr>
            <w:tcW w:w="2157" w:type="dxa"/>
            <w:gridSpan w:val="2"/>
            <w:vAlign w:val="center"/>
          </w:tcPr>
          <w:p w:rsidR="00000000" w:rsidRDefault="00000000">
            <w:pPr>
              <w:jc w:val="center"/>
            </w:pPr>
            <w:r>
              <w:t>Anemia</w:t>
            </w:r>
          </w:p>
        </w:tc>
      </w:tr>
      <w:tr w:rsidR="00000000">
        <w:tblPrEx>
          <w:tblCellMar>
            <w:top w:w="0" w:type="dxa"/>
            <w:bottom w:w="0" w:type="dxa"/>
          </w:tblCellMar>
        </w:tblPrEx>
        <w:trPr>
          <w:cantSplit/>
          <w:jc w:val="center"/>
        </w:trPr>
        <w:tc>
          <w:tcPr>
            <w:tcW w:w="3149" w:type="dxa"/>
            <w:vMerge/>
            <w:vAlign w:val="center"/>
          </w:tcPr>
          <w:p w:rsidR="00000000" w:rsidRDefault="00000000">
            <w:pPr>
              <w:jc w:val="center"/>
            </w:pPr>
          </w:p>
        </w:tc>
        <w:tc>
          <w:tcPr>
            <w:tcW w:w="1104" w:type="dxa"/>
            <w:vMerge/>
            <w:vAlign w:val="center"/>
          </w:tcPr>
          <w:p w:rsidR="00000000" w:rsidRDefault="00000000">
            <w:pPr>
              <w:jc w:val="center"/>
            </w:pPr>
          </w:p>
        </w:tc>
        <w:tc>
          <w:tcPr>
            <w:tcW w:w="1416" w:type="dxa"/>
          </w:tcPr>
          <w:p w:rsidR="00000000" w:rsidRDefault="00000000">
            <w:pPr>
              <w:jc w:val="center"/>
            </w:pPr>
            <w:r>
              <w:t>Promedio</w:t>
            </w:r>
          </w:p>
        </w:tc>
        <w:tc>
          <w:tcPr>
            <w:tcW w:w="905" w:type="dxa"/>
          </w:tcPr>
          <w:p w:rsidR="00000000" w:rsidRDefault="00000000">
            <w:pPr>
              <w:jc w:val="center"/>
            </w:pPr>
            <w:r>
              <w:t>DE</w:t>
            </w:r>
          </w:p>
        </w:tc>
        <w:tc>
          <w:tcPr>
            <w:tcW w:w="800" w:type="dxa"/>
          </w:tcPr>
          <w:p w:rsidR="00000000" w:rsidRDefault="00000000">
            <w:pPr>
              <w:jc w:val="center"/>
            </w:pPr>
            <w:r>
              <w:t>No.</w:t>
            </w:r>
          </w:p>
        </w:tc>
        <w:tc>
          <w:tcPr>
            <w:tcW w:w="1357" w:type="dxa"/>
          </w:tcPr>
          <w:p w:rsidR="00000000" w:rsidRDefault="00000000">
            <w:pPr>
              <w:jc w:val="center"/>
            </w:pPr>
            <w:r>
              <w:t>Porcentaje</w:t>
            </w:r>
          </w:p>
        </w:tc>
      </w:tr>
      <w:tr w:rsidR="00000000">
        <w:tblPrEx>
          <w:tblCellMar>
            <w:top w:w="0" w:type="dxa"/>
            <w:bottom w:w="0" w:type="dxa"/>
          </w:tblCellMar>
        </w:tblPrEx>
        <w:trPr>
          <w:jc w:val="center"/>
        </w:trPr>
        <w:tc>
          <w:tcPr>
            <w:tcW w:w="3149" w:type="dxa"/>
          </w:tcPr>
          <w:p w:rsidR="00000000" w:rsidRDefault="00000000">
            <w:r>
              <w:t>Ocupación</w:t>
            </w:r>
          </w:p>
        </w:tc>
        <w:tc>
          <w:tcPr>
            <w:tcW w:w="1104" w:type="dxa"/>
            <w:vAlign w:val="center"/>
          </w:tcPr>
          <w:p w:rsidR="00000000" w:rsidRDefault="00000000">
            <w:pPr>
              <w:jc w:val="right"/>
            </w:pPr>
          </w:p>
        </w:tc>
        <w:tc>
          <w:tcPr>
            <w:tcW w:w="1416" w:type="dxa"/>
            <w:vAlign w:val="center"/>
          </w:tcPr>
          <w:p w:rsidR="00000000" w:rsidRDefault="00000000">
            <w:pPr>
              <w:jc w:val="right"/>
            </w:pPr>
          </w:p>
        </w:tc>
        <w:tc>
          <w:tcPr>
            <w:tcW w:w="905" w:type="dxa"/>
            <w:vAlign w:val="center"/>
          </w:tcPr>
          <w:p w:rsidR="00000000" w:rsidRDefault="00000000">
            <w:pPr>
              <w:jc w:val="right"/>
            </w:pPr>
          </w:p>
        </w:tc>
        <w:tc>
          <w:tcPr>
            <w:tcW w:w="800" w:type="dxa"/>
            <w:vAlign w:val="center"/>
          </w:tcPr>
          <w:p w:rsidR="00000000" w:rsidRDefault="00000000">
            <w:pPr>
              <w:jc w:val="right"/>
            </w:pPr>
          </w:p>
        </w:tc>
        <w:tc>
          <w:tcPr>
            <w:tcW w:w="1357" w:type="dxa"/>
            <w:vAlign w:val="center"/>
          </w:tcPr>
          <w:p w:rsidR="00000000" w:rsidRDefault="00000000">
            <w:pPr>
              <w:jc w:val="right"/>
            </w:pPr>
          </w:p>
        </w:tc>
      </w:tr>
      <w:tr w:rsidR="00000000">
        <w:tblPrEx>
          <w:tblCellMar>
            <w:top w:w="0" w:type="dxa"/>
            <w:bottom w:w="0" w:type="dxa"/>
          </w:tblCellMar>
        </w:tblPrEx>
        <w:trPr>
          <w:jc w:val="center"/>
        </w:trPr>
        <w:tc>
          <w:tcPr>
            <w:tcW w:w="3149" w:type="dxa"/>
          </w:tcPr>
          <w:p w:rsidR="00000000" w:rsidRDefault="00000000">
            <w:r>
              <w:t>Obrero</w:t>
            </w:r>
          </w:p>
        </w:tc>
        <w:tc>
          <w:tcPr>
            <w:tcW w:w="1104" w:type="dxa"/>
            <w:vAlign w:val="center"/>
          </w:tcPr>
          <w:p w:rsidR="00000000" w:rsidRDefault="00000000">
            <w:pPr>
              <w:jc w:val="right"/>
            </w:pPr>
            <w:r>
              <w:t>127</w:t>
            </w:r>
          </w:p>
        </w:tc>
        <w:tc>
          <w:tcPr>
            <w:tcW w:w="1416" w:type="dxa"/>
            <w:vAlign w:val="center"/>
          </w:tcPr>
          <w:p w:rsidR="00000000" w:rsidRDefault="00000000">
            <w:pPr>
              <w:jc w:val="right"/>
            </w:pPr>
            <w:r>
              <w:t>13,6</w:t>
            </w:r>
          </w:p>
        </w:tc>
        <w:tc>
          <w:tcPr>
            <w:tcW w:w="905" w:type="dxa"/>
            <w:vAlign w:val="center"/>
          </w:tcPr>
          <w:p w:rsidR="00000000" w:rsidRDefault="00000000">
            <w:pPr>
              <w:jc w:val="right"/>
            </w:pPr>
            <w:r>
              <w:t>1,6</w:t>
            </w:r>
          </w:p>
        </w:tc>
        <w:tc>
          <w:tcPr>
            <w:tcW w:w="800" w:type="dxa"/>
            <w:vAlign w:val="center"/>
          </w:tcPr>
          <w:p w:rsidR="00000000" w:rsidRDefault="00000000">
            <w:pPr>
              <w:jc w:val="right"/>
            </w:pPr>
            <w:r>
              <w:t>49</w:t>
            </w:r>
          </w:p>
        </w:tc>
        <w:tc>
          <w:tcPr>
            <w:tcW w:w="1357" w:type="dxa"/>
            <w:vAlign w:val="center"/>
          </w:tcPr>
          <w:p w:rsidR="00000000" w:rsidRDefault="00000000">
            <w:pPr>
              <w:jc w:val="right"/>
            </w:pPr>
            <w:r>
              <w:t>38,6</w:t>
            </w:r>
          </w:p>
        </w:tc>
      </w:tr>
      <w:tr w:rsidR="00000000">
        <w:tblPrEx>
          <w:tblCellMar>
            <w:top w:w="0" w:type="dxa"/>
            <w:bottom w:w="0" w:type="dxa"/>
          </w:tblCellMar>
        </w:tblPrEx>
        <w:trPr>
          <w:jc w:val="center"/>
        </w:trPr>
        <w:tc>
          <w:tcPr>
            <w:tcW w:w="3149" w:type="dxa"/>
          </w:tcPr>
          <w:p w:rsidR="00000000" w:rsidRDefault="00000000">
            <w:r>
              <w:t>Artesano</w:t>
            </w:r>
          </w:p>
        </w:tc>
        <w:tc>
          <w:tcPr>
            <w:tcW w:w="1104" w:type="dxa"/>
            <w:vAlign w:val="center"/>
          </w:tcPr>
          <w:p w:rsidR="00000000" w:rsidRDefault="00000000">
            <w:pPr>
              <w:jc w:val="right"/>
            </w:pPr>
            <w:r>
              <w:t>235</w:t>
            </w:r>
          </w:p>
        </w:tc>
        <w:tc>
          <w:tcPr>
            <w:tcW w:w="1416" w:type="dxa"/>
            <w:vAlign w:val="center"/>
          </w:tcPr>
          <w:p w:rsidR="00000000" w:rsidRDefault="00000000">
            <w:pPr>
              <w:jc w:val="right"/>
            </w:pPr>
            <w:r>
              <w:t>13,6</w:t>
            </w:r>
          </w:p>
        </w:tc>
        <w:tc>
          <w:tcPr>
            <w:tcW w:w="905" w:type="dxa"/>
            <w:vAlign w:val="center"/>
          </w:tcPr>
          <w:p w:rsidR="00000000" w:rsidRDefault="00000000">
            <w:pPr>
              <w:jc w:val="right"/>
            </w:pPr>
            <w:r>
              <w:t>2,0</w:t>
            </w:r>
          </w:p>
        </w:tc>
        <w:tc>
          <w:tcPr>
            <w:tcW w:w="800" w:type="dxa"/>
            <w:vAlign w:val="center"/>
          </w:tcPr>
          <w:p w:rsidR="00000000" w:rsidRDefault="00000000">
            <w:pPr>
              <w:jc w:val="right"/>
            </w:pPr>
            <w:r>
              <w:t>91</w:t>
            </w:r>
          </w:p>
        </w:tc>
        <w:tc>
          <w:tcPr>
            <w:tcW w:w="1357" w:type="dxa"/>
            <w:vAlign w:val="center"/>
          </w:tcPr>
          <w:p w:rsidR="00000000" w:rsidRDefault="00000000">
            <w:pPr>
              <w:jc w:val="right"/>
            </w:pPr>
            <w:r>
              <w:t>38,7</w:t>
            </w:r>
          </w:p>
        </w:tc>
      </w:tr>
      <w:tr w:rsidR="00000000">
        <w:tblPrEx>
          <w:tblCellMar>
            <w:top w:w="0" w:type="dxa"/>
            <w:bottom w:w="0" w:type="dxa"/>
          </w:tblCellMar>
        </w:tblPrEx>
        <w:trPr>
          <w:jc w:val="center"/>
        </w:trPr>
        <w:tc>
          <w:tcPr>
            <w:tcW w:w="3149" w:type="dxa"/>
          </w:tcPr>
          <w:p w:rsidR="00000000" w:rsidRDefault="00000000">
            <w:r>
              <w:t>Empleado público</w:t>
            </w:r>
          </w:p>
        </w:tc>
        <w:tc>
          <w:tcPr>
            <w:tcW w:w="1104" w:type="dxa"/>
            <w:vAlign w:val="center"/>
          </w:tcPr>
          <w:p w:rsidR="00000000" w:rsidRDefault="00000000">
            <w:pPr>
              <w:jc w:val="right"/>
            </w:pPr>
            <w:r>
              <w:t>209</w:t>
            </w:r>
          </w:p>
        </w:tc>
        <w:tc>
          <w:tcPr>
            <w:tcW w:w="1416" w:type="dxa"/>
            <w:vAlign w:val="center"/>
          </w:tcPr>
          <w:p w:rsidR="00000000" w:rsidRDefault="00000000">
            <w:pPr>
              <w:jc w:val="right"/>
            </w:pPr>
            <w:r>
              <w:t>13,5</w:t>
            </w:r>
          </w:p>
        </w:tc>
        <w:tc>
          <w:tcPr>
            <w:tcW w:w="905" w:type="dxa"/>
            <w:vAlign w:val="center"/>
          </w:tcPr>
          <w:p w:rsidR="00000000" w:rsidRDefault="00000000">
            <w:pPr>
              <w:jc w:val="right"/>
            </w:pPr>
            <w:r>
              <w:t>1,8</w:t>
            </w:r>
          </w:p>
        </w:tc>
        <w:tc>
          <w:tcPr>
            <w:tcW w:w="800" w:type="dxa"/>
            <w:vAlign w:val="center"/>
          </w:tcPr>
          <w:p w:rsidR="00000000" w:rsidRDefault="00000000">
            <w:pPr>
              <w:jc w:val="right"/>
            </w:pPr>
            <w:r>
              <w:t>86</w:t>
            </w:r>
          </w:p>
        </w:tc>
        <w:tc>
          <w:tcPr>
            <w:tcW w:w="1357" w:type="dxa"/>
            <w:vAlign w:val="center"/>
          </w:tcPr>
          <w:p w:rsidR="00000000" w:rsidRDefault="00000000">
            <w:pPr>
              <w:jc w:val="right"/>
            </w:pPr>
            <w:r>
              <w:t>41,1</w:t>
            </w:r>
          </w:p>
        </w:tc>
      </w:tr>
      <w:tr w:rsidR="00000000">
        <w:tblPrEx>
          <w:tblCellMar>
            <w:top w:w="0" w:type="dxa"/>
            <w:bottom w:w="0" w:type="dxa"/>
          </w:tblCellMar>
        </w:tblPrEx>
        <w:trPr>
          <w:jc w:val="center"/>
        </w:trPr>
        <w:tc>
          <w:tcPr>
            <w:tcW w:w="3149" w:type="dxa"/>
          </w:tcPr>
          <w:p w:rsidR="00000000" w:rsidRDefault="00000000">
            <w:r>
              <w:t xml:space="preserve">Subempleado </w:t>
            </w:r>
          </w:p>
        </w:tc>
        <w:tc>
          <w:tcPr>
            <w:tcW w:w="1104" w:type="dxa"/>
            <w:vAlign w:val="bottom"/>
          </w:tcPr>
          <w:p w:rsidR="00000000" w:rsidRDefault="00000000">
            <w:pPr>
              <w:jc w:val="right"/>
            </w:pPr>
            <w:r>
              <w:t>100</w:t>
            </w:r>
          </w:p>
        </w:tc>
        <w:tc>
          <w:tcPr>
            <w:tcW w:w="1416" w:type="dxa"/>
            <w:vAlign w:val="bottom"/>
          </w:tcPr>
          <w:p w:rsidR="00000000" w:rsidRDefault="00000000">
            <w:pPr>
              <w:jc w:val="right"/>
            </w:pPr>
            <w:r>
              <w:t>13,7</w:t>
            </w:r>
          </w:p>
        </w:tc>
        <w:tc>
          <w:tcPr>
            <w:tcW w:w="905" w:type="dxa"/>
            <w:vAlign w:val="bottom"/>
          </w:tcPr>
          <w:p w:rsidR="00000000" w:rsidRDefault="00000000">
            <w:pPr>
              <w:jc w:val="right"/>
            </w:pPr>
            <w:r>
              <w:t>1,7</w:t>
            </w:r>
          </w:p>
        </w:tc>
        <w:tc>
          <w:tcPr>
            <w:tcW w:w="800" w:type="dxa"/>
            <w:vAlign w:val="bottom"/>
          </w:tcPr>
          <w:p w:rsidR="00000000" w:rsidRDefault="00000000">
            <w:pPr>
              <w:jc w:val="right"/>
            </w:pPr>
            <w:r>
              <w:t>45</w:t>
            </w:r>
          </w:p>
        </w:tc>
        <w:tc>
          <w:tcPr>
            <w:tcW w:w="1357" w:type="dxa"/>
            <w:vAlign w:val="bottom"/>
          </w:tcPr>
          <w:p w:rsidR="00000000" w:rsidRDefault="00000000">
            <w:pPr>
              <w:jc w:val="right"/>
            </w:pPr>
            <w:r>
              <w:t>45,0</w:t>
            </w:r>
          </w:p>
        </w:tc>
      </w:tr>
      <w:tr w:rsidR="00000000">
        <w:tblPrEx>
          <w:tblCellMar>
            <w:top w:w="0" w:type="dxa"/>
            <w:bottom w:w="0" w:type="dxa"/>
          </w:tblCellMar>
        </w:tblPrEx>
        <w:trPr>
          <w:jc w:val="center"/>
        </w:trPr>
        <w:tc>
          <w:tcPr>
            <w:tcW w:w="3149" w:type="dxa"/>
          </w:tcPr>
          <w:p w:rsidR="00000000" w:rsidRDefault="00000000">
            <w:r>
              <w:t xml:space="preserve">Empleado empresa privada </w:t>
            </w:r>
          </w:p>
        </w:tc>
        <w:tc>
          <w:tcPr>
            <w:tcW w:w="1104" w:type="dxa"/>
            <w:vAlign w:val="bottom"/>
          </w:tcPr>
          <w:p w:rsidR="00000000" w:rsidRDefault="00000000">
            <w:pPr>
              <w:jc w:val="right"/>
            </w:pPr>
            <w:r>
              <w:t>200</w:t>
            </w:r>
          </w:p>
        </w:tc>
        <w:tc>
          <w:tcPr>
            <w:tcW w:w="1416" w:type="dxa"/>
            <w:vAlign w:val="bottom"/>
          </w:tcPr>
          <w:p w:rsidR="00000000" w:rsidRDefault="00000000">
            <w:pPr>
              <w:jc w:val="right"/>
            </w:pPr>
            <w:r>
              <w:t>13,8</w:t>
            </w:r>
          </w:p>
        </w:tc>
        <w:tc>
          <w:tcPr>
            <w:tcW w:w="905" w:type="dxa"/>
            <w:vAlign w:val="bottom"/>
          </w:tcPr>
          <w:p w:rsidR="00000000" w:rsidRDefault="00000000">
            <w:pPr>
              <w:jc w:val="right"/>
            </w:pPr>
            <w:r>
              <w:t>1,9</w:t>
            </w:r>
          </w:p>
        </w:tc>
        <w:tc>
          <w:tcPr>
            <w:tcW w:w="800" w:type="dxa"/>
            <w:vAlign w:val="bottom"/>
          </w:tcPr>
          <w:p w:rsidR="00000000" w:rsidRDefault="00000000">
            <w:pPr>
              <w:jc w:val="right"/>
            </w:pPr>
            <w:r>
              <w:t>67</w:t>
            </w:r>
          </w:p>
        </w:tc>
        <w:tc>
          <w:tcPr>
            <w:tcW w:w="1357" w:type="dxa"/>
            <w:vAlign w:val="bottom"/>
          </w:tcPr>
          <w:p w:rsidR="00000000" w:rsidRDefault="00000000">
            <w:pPr>
              <w:jc w:val="right"/>
            </w:pPr>
            <w:r>
              <w:t>33,5</w:t>
            </w:r>
          </w:p>
        </w:tc>
      </w:tr>
      <w:tr w:rsidR="00000000">
        <w:tblPrEx>
          <w:tblCellMar>
            <w:top w:w="0" w:type="dxa"/>
            <w:bottom w:w="0" w:type="dxa"/>
          </w:tblCellMar>
        </w:tblPrEx>
        <w:trPr>
          <w:jc w:val="center"/>
        </w:trPr>
        <w:tc>
          <w:tcPr>
            <w:tcW w:w="3149" w:type="dxa"/>
          </w:tcPr>
          <w:p w:rsidR="00000000" w:rsidRDefault="00000000">
            <w:r>
              <w:t xml:space="preserve">Administración empresa privada </w:t>
            </w:r>
          </w:p>
        </w:tc>
        <w:tc>
          <w:tcPr>
            <w:tcW w:w="1104" w:type="dxa"/>
            <w:vAlign w:val="bottom"/>
          </w:tcPr>
          <w:p w:rsidR="00000000" w:rsidRDefault="00000000">
            <w:pPr>
              <w:jc w:val="right"/>
            </w:pPr>
            <w:r>
              <w:t>40</w:t>
            </w:r>
          </w:p>
        </w:tc>
        <w:tc>
          <w:tcPr>
            <w:tcW w:w="1416" w:type="dxa"/>
            <w:vAlign w:val="bottom"/>
          </w:tcPr>
          <w:p w:rsidR="00000000" w:rsidRDefault="00000000">
            <w:pPr>
              <w:jc w:val="right"/>
            </w:pPr>
            <w:r>
              <w:t>13,6</w:t>
            </w:r>
          </w:p>
        </w:tc>
        <w:tc>
          <w:tcPr>
            <w:tcW w:w="905" w:type="dxa"/>
            <w:vAlign w:val="bottom"/>
          </w:tcPr>
          <w:p w:rsidR="00000000" w:rsidRDefault="00000000">
            <w:pPr>
              <w:jc w:val="right"/>
            </w:pPr>
            <w:r>
              <w:t>2,0</w:t>
            </w:r>
          </w:p>
        </w:tc>
        <w:tc>
          <w:tcPr>
            <w:tcW w:w="800" w:type="dxa"/>
            <w:vAlign w:val="bottom"/>
          </w:tcPr>
          <w:p w:rsidR="00000000" w:rsidRDefault="00000000">
            <w:pPr>
              <w:jc w:val="right"/>
            </w:pPr>
            <w:r>
              <w:t>22</w:t>
            </w:r>
          </w:p>
        </w:tc>
        <w:tc>
          <w:tcPr>
            <w:tcW w:w="1357" w:type="dxa"/>
            <w:vAlign w:val="bottom"/>
          </w:tcPr>
          <w:p w:rsidR="00000000" w:rsidRDefault="00000000">
            <w:pPr>
              <w:jc w:val="right"/>
            </w:pPr>
            <w:r>
              <w:t>55,0</w:t>
            </w:r>
          </w:p>
        </w:tc>
      </w:tr>
      <w:tr w:rsidR="00000000">
        <w:tblPrEx>
          <w:tblCellMar>
            <w:top w:w="0" w:type="dxa"/>
            <w:bottom w:w="0" w:type="dxa"/>
          </w:tblCellMar>
        </w:tblPrEx>
        <w:trPr>
          <w:jc w:val="center"/>
        </w:trPr>
        <w:tc>
          <w:tcPr>
            <w:tcW w:w="3149" w:type="dxa"/>
          </w:tcPr>
          <w:p w:rsidR="00000000" w:rsidRDefault="00000000">
            <w:r>
              <w:t>Comerciante menor</w:t>
            </w:r>
          </w:p>
        </w:tc>
        <w:tc>
          <w:tcPr>
            <w:tcW w:w="1104" w:type="dxa"/>
            <w:vAlign w:val="bottom"/>
          </w:tcPr>
          <w:p w:rsidR="00000000" w:rsidRDefault="00000000">
            <w:pPr>
              <w:jc w:val="right"/>
            </w:pPr>
            <w:r>
              <w:t>303</w:t>
            </w:r>
          </w:p>
        </w:tc>
        <w:tc>
          <w:tcPr>
            <w:tcW w:w="1416" w:type="dxa"/>
            <w:vAlign w:val="bottom"/>
          </w:tcPr>
          <w:p w:rsidR="00000000" w:rsidRDefault="00000000">
            <w:pPr>
              <w:jc w:val="right"/>
            </w:pPr>
            <w:r>
              <w:t>13,1</w:t>
            </w:r>
          </w:p>
        </w:tc>
        <w:tc>
          <w:tcPr>
            <w:tcW w:w="905" w:type="dxa"/>
            <w:vAlign w:val="bottom"/>
          </w:tcPr>
          <w:p w:rsidR="00000000" w:rsidRDefault="00000000">
            <w:pPr>
              <w:jc w:val="right"/>
            </w:pPr>
            <w:r>
              <w:t>2,0</w:t>
            </w:r>
          </w:p>
        </w:tc>
        <w:tc>
          <w:tcPr>
            <w:tcW w:w="800" w:type="dxa"/>
            <w:vAlign w:val="bottom"/>
          </w:tcPr>
          <w:p w:rsidR="00000000" w:rsidRDefault="00000000">
            <w:pPr>
              <w:jc w:val="right"/>
            </w:pPr>
            <w:r>
              <w:t>143</w:t>
            </w:r>
          </w:p>
        </w:tc>
        <w:tc>
          <w:tcPr>
            <w:tcW w:w="1357" w:type="dxa"/>
            <w:vAlign w:val="bottom"/>
          </w:tcPr>
          <w:p w:rsidR="00000000" w:rsidRDefault="00000000">
            <w:pPr>
              <w:jc w:val="right"/>
            </w:pPr>
            <w:r>
              <w:t>47,2</w:t>
            </w:r>
          </w:p>
        </w:tc>
      </w:tr>
      <w:tr w:rsidR="00000000">
        <w:tblPrEx>
          <w:tblCellMar>
            <w:top w:w="0" w:type="dxa"/>
            <w:bottom w:w="0" w:type="dxa"/>
          </w:tblCellMar>
        </w:tblPrEx>
        <w:trPr>
          <w:jc w:val="center"/>
        </w:trPr>
        <w:tc>
          <w:tcPr>
            <w:tcW w:w="3149" w:type="dxa"/>
          </w:tcPr>
          <w:p w:rsidR="00000000" w:rsidRDefault="00000000">
            <w:r>
              <w:t>Profesión independiente</w:t>
            </w:r>
          </w:p>
        </w:tc>
        <w:tc>
          <w:tcPr>
            <w:tcW w:w="1104" w:type="dxa"/>
            <w:vAlign w:val="bottom"/>
          </w:tcPr>
          <w:p w:rsidR="00000000" w:rsidRDefault="00000000">
            <w:pPr>
              <w:jc w:val="right"/>
            </w:pPr>
            <w:r>
              <w:t>181</w:t>
            </w:r>
          </w:p>
        </w:tc>
        <w:tc>
          <w:tcPr>
            <w:tcW w:w="1416" w:type="dxa"/>
            <w:vAlign w:val="bottom"/>
          </w:tcPr>
          <w:p w:rsidR="00000000" w:rsidRDefault="00000000">
            <w:pPr>
              <w:jc w:val="right"/>
            </w:pPr>
            <w:r>
              <w:t>13,9</w:t>
            </w:r>
          </w:p>
        </w:tc>
        <w:tc>
          <w:tcPr>
            <w:tcW w:w="905" w:type="dxa"/>
            <w:vAlign w:val="bottom"/>
          </w:tcPr>
          <w:p w:rsidR="00000000" w:rsidRDefault="00000000">
            <w:pPr>
              <w:jc w:val="right"/>
            </w:pPr>
            <w:r>
              <w:t>1,8</w:t>
            </w:r>
          </w:p>
        </w:tc>
        <w:tc>
          <w:tcPr>
            <w:tcW w:w="800" w:type="dxa"/>
            <w:vAlign w:val="bottom"/>
          </w:tcPr>
          <w:p w:rsidR="00000000" w:rsidRDefault="00000000">
            <w:pPr>
              <w:jc w:val="right"/>
            </w:pPr>
            <w:r>
              <w:t>59</w:t>
            </w:r>
          </w:p>
        </w:tc>
        <w:tc>
          <w:tcPr>
            <w:tcW w:w="1357" w:type="dxa"/>
            <w:vAlign w:val="bottom"/>
          </w:tcPr>
          <w:p w:rsidR="00000000" w:rsidRDefault="00000000">
            <w:pPr>
              <w:jc w:val="right"/>
            </w:pPr>
            <w:r>
              <w:t>32,6</w:t>
            </w:r>
          </w:p>
        </w:tc>
      </w:tr>
      <w:tr w:rsidR="00000000">
        <w:tblPrEx>
          <w:tblCellMar>
            <w:top w:w="0" w:type="dxa"/>
            <w:bottom w:w="0" w:type="dxa"/>
          </w:tblCellMar>
        </w:tblPrEx>
        <w:trPr>
          <w:jc w:val="center"/>
        </w:trPr>
        <w:tc>
          <w:tcPr>
            <w:tcW w:w="3149" w:type="dxa"/>
          </w:tcPr>
          <w:p w:rsidR="00000000" w:rsidRDefault="00000000">
            <w:r>
              <w:t>Pequeño productor rural</w:t>
            </w:r>
          </w:p>
        </w:tc>
        <w:tc>
          <w:tcPr>
            <w:tcW w:w="1104" w:type="dxa"/>
            <w:vAlign w:val="bottom"/>
          </w:tcPr>
          <w:p w:rsidR="00000000" w:rsidRDefault="00000000">
            <w:pPr>
              <w:jc w:val="right"/>
            </w:pPr>
            <w:r>
              <w:t>183</w:t>
            </w:r>
          </w:p>
        </w:tc>
        <w:tc>
          <w:tcPr>
            <w:tcW w:w="1416" w:type="dxa"/>
            <w:vAlign w:val="bottom"/>
          </w:tcPr>
          <w:p w:rsidR="00000000" w:rsidRDefault="00000000">
            <w:pPr>
              <w:jc w:val="right"/>
            </w:pPr>
            <w:r>
              <w:t>13,7</w:t>
            </w:r>
          </w:p>
        </w:tc>
        <w:tc>
          <w:tcPr>
            <w:tcW w:w="905" w:type="dxa"/>
            <w:vAlign w:val="bottom"/>
          </w:tcPr>
          <w:p w:rsidR="00000000" w:rsidRDefault="00000000">
            <w:pPr>
              <w:jc w:val="right"/>
            </w:pPr>
            <w:r>
              <w:t>1,9</w:t>
            </w:r>
          </w:p>
        </w:tc>
        <w:tc>
          <w:tcPr>
            <w:tcW w:w="800" w:type="dxa"/>
            <w:vAlign w:val="bottom"/>
          </w:tcPr>
          <w:p w:rsidR="00000000" w:rsidRDefault="00000000">
            <w:pPr>
              <w:jc w:val="right"/>
            </w:pPr>
            <w:r>
              <w:t>66</w:t>
            </w:r>
          </w:p>
        </w:tc>
        <w:tc>
          <w:tcPr>
            <w:tcW w:w="1357" w:type="dxa"/>
            <w:vAlign w:val="bottom"/>
          </w:tcPr>
          <w:p w:rsidR="00000000" w:rsidRDefault="00000000">
            <w:pPr>
              <w:jc w:val="right"/>
            </w:pPr>
            <w:r>
              <w:t>36,1</w:t>
            </w:r>
          </w:p>
        </w:tc>
      </w:tr>
      <w:tr w:rsidR="00000000">
        <w:tblPrEx>
          <w:tblCellMar>
            <w:top w:w="0" w:type="dxa"/>
            <w:bottom w:w="0" w:type="dxa"/>
          </w:tblCellMar>
        </w:tblPrEx>
        <w:trPr>
          <w:jc w:val="center"/>
        </w:trPr>
        <w:tc>
          <w:tcPr>
            <w:tcW w:w="3149" w:type="dxa"/>
          </w:tcPr>
          <w:p w:rsidR="00000000" w:rsidRDefault="00000000">
            <w:r>
              <w:t>Campesino pobre</w:t>
            </w:r>
          </w:p>
        </w:tc>
        <w:tc>
          <w:tcPr>
            <w:tcW w:w="1104" w:type="dxa"/>
            <w:vAlign w:val="center"/>
          </w:tcPr>
          <w:p w:rsidR="00000000" w:rsidRDefault="00000000">
            <w:pPr>
              <w:jc w:val="right"/>
            </w:pPr>
            <w:r>
              <w:t>293</w:t>
            </w:r>
          </w:p>
        </w:tc>
        <w:tc>
          <w:tcPr>
            <w:tcW w:w="1416" w:type="dxa"/>
            <w:vAlign w:val="center"/>
          </w:tcPr>
          <w:p w:rsidR="00000000" w:rsidRDefault="00000000">
            <w:pPr>
              <w:jc w:val="right"/>
            </w:pPr>
            <w:r>
              <w:t>13,2</w:t>
            </w:r>
          </w:p>
        </w:tc>
        <w:tc>
          <w:tcPr>
            <w:tcW w:w="905" w:type="dxa"/>
            <w:vAlign w:val="center"/>
          </w:tcPr>
          <w:p w:rsidR="00000000" w:rsidRDefault="00000000">
            <w:pPr>
              <w:jc w:val="right"/>
            </w:pPr>
            <w:r>
              <w:t>1,7</w:t>
            </w:r>
          </w:p>
        </w:tc>
        <w:tc>
          <w:tcPr>
            <w:tcW w:w="800" w:type="dxa"/>
            <w:vAlign w:val="center"/>
          </w:tcPr>
          <w:p w:rsidR="00000000" w:rsidRDefault="00000000">
            <w:pPr>
              <w:jc w:val="right"/>
            </w:pPr>
            <w:r>
              <w:t>160</w:t>
            </w:r>
          </w:p>
        </w:tc>
        <w:tc>
          <w:tcPr>
            <w:tcW w:w="1357" w:type="dxa"/>
            <w:vAlign w:val="center"/>
          </w:tcPr>
          <w:p w:rsidR="00000000" w:rsidRDefault="00000000">
            <w:pPr>
              <w:jc w:val="right"/>
            </w:pPr>
            <w:r>
              <w:t>54,6</w:t>
            </w:r>
          </w:p>
        </w:tc>
      </w:tr>
      <w:tr w:rsidR="00000000">
        <w:tblPrEx>
          <w:tblCellMar>
            <w:top w:w="0" w:type="dxa"/>
            <w:bottom w:w="0" w:type="dxa"/>
          </w:tblCellMar>
        </w:tblPrEx>
        <w:trPr>
          <w:jc w:val="center"/>
        </w:trPr>
        <w:tc>
          <w:tcPr>
            <w:tcW w:w="3149" w:type="dxa"/>
          </w:tcPr>
          <w:p w:rsidR="00000000" w:rsidRDefault="00000000">
            <w:r>
              <w:t>Otros</w:t>
            </w:r>
          </w:p>
        </w:tc>
        <w:tc>
          <w:tcPr>
            <w:tcW w:w="1104" w:type="dxa"/>
            <w:vAlign w:val="bottom"/>
          </w:tcPr>
          <w:p w:rsidR="00000000" w:rsidRDefault="00000000">
            <w:pPr>
              <w:jc w:val="right"/>
            </w:pPr>
            <w:r>
              <w:t>838</w:t>
            </w:r>
          </w:p>
        </w:tc>
        <w:tc>
          <w:tcPr>
            <w:tcW w:w="1416" w:type="dxa"/>
            <w:vAlign w:val="bottom"/>
          </w:tcPr>
          <w:p w:rsidR="00000000" w:rsidRDefault="00000000">
            <w:pPr>
              <w:jc w:val="right"/>
            </w:pPr>
            <w:r>
              <w:t>13,0</w:t>
            </w:r>
          </w:p>
        </w:tc>
        <w:tc>
          <w:tcPr>
            <w:tcW w:w="905" w:type="dxa"/>
            <w:vAlign w:val="bottom"/>
          </w:tcPr>
          <w:p w:rsidR="00000000" w:rsidRDefault="00000000">
            <w:pPr>
              <w:jc w:val="right"/>
            </w:pPr>
            <w:r>
              <w:t>1,8</w:t>
            </w:r>
          </w:p>
        </w:tc>
        <w:tc>
          <w:tcPr>
            <w:tcW w:w="800" w:type="dxa"/>
            <w:vAlign w:val="bottom"/>
          </w:tcPr>
          <w:p w:rsidR="00000000" w:rsidRDefault="00000000">
            <w:pPr>
              <w:jc w:val="right"/>
            </w:pPr>
            <w:r>
              <w:t>351</w:t>
            </w:r>
          </w:p>
        </w:tc>
        <w:tc>
          <w:tcPr>
            <w:tcW w:w="1357" w:type="dxa"/>
            <w:vAlign w:val="bottom"/>
          </w:tcPr>
          <w:p w:rsidR="00000000" w:rsidRDefault="00000000">
            <w:pPr>
              <w:jc w:val="right"/>
            </w:pPr>
            <w:r>
              <w:t>41,9</w:t>
            </w:r>
          </w:p>
        </w:tc>
      </w:tr>
      <w:tr w:rsidR="00000000">
        <w:tblPrEx>
          <w:tblCellMar>
            <w:top w:w="0" w:type="dxa"/>
            <w:bottom w:w="0" w:type="dxa"/>
          </w:tblCellMar>
        </w:tblPrEx>
        <w:trPr>
          <w:jc w:val="center"/>
        </w:trPr>
        <w:tc>
          <w:tcPr>
            <w:tcW w:w="3149" w:type="dxa"/>
          </w:tcPr>
          <w:p w:rsidR="00000000" w:rsidRDefault="00000000">
            <w:r>
              <w:t>Quehaceres domésticos</w:t>
            </w:r>
          </w:p>
        </w:tc>
        <w:tc>
          <w:tcPr>
            <w:tcW w:w="1104" w:type="dxa"/>
            <w:vAlign w:val="bottom"/>
          </w:tcPr>
          <w:p w:rsidR="00000000" w:rsidRDefault="00000000">
            <w:pPr>
              <w:jc w:val="right"/>
            </w:pPr>
            <w:r>
              <w:t>1.658</w:t>
            </w:r>
          </w:p>
        </w:tc>
        <w:tc>
          <w:tcPr>
            <w:tcW w:w="1416" w:type="dxa"/>
            <w:vAlign w:val="bottom"/>
          </w:tcPr>
          <w:p w:rsidR="00000000" w:rsidRDefault="00000000">
            <w:pPr>
              <w:jc w:val="right"/>
            </w:pPr>
            <w:r>
              <w:t>12,4</w:t>
            </w:r>
          </w:p>
        </w:tc>
        <w:tc>
          <w:tcPr>
            <w:tcW w:w="905" w:type="dxa"/>
            <w:vAlign w:val="bottom"/>
          </w:tcPr>
          <w:p w:rsidR="00000000" w:rsidRDefault="00000000">
            <w:pPr>
              <w:jc w:val="right"/>
            </w:pPr>
            <w:r>
              <w:t>1,7</w:t>
            </w:r>
          </w:p>
        </w:tc>
        <w:tc>
          <w:tcPr>
            <w:tcW w:w="800" w:type="dxa"/>
            <w:vAlign w:val="bottom"/>
          </w:tcPr>
          <w:p w:rsidR="00000000" w:rsidRDefault="00000000">
            <w:pPr>
              <w:jc w:val="right"/>
            </w:pPr>
            <w:r>
              <w:t>901</w:t>
            </w:r>
          </w:p>
        </w:tc>
        <w:tc>
          <w:tcPr>
            <w:tcW w:w="1357" w:type="dxa"/>
            <w:vAlign w:val="bottom"/>
          </w:tcPr>
          <w:p w:rsidR="00000000" w:rsidRDefault="00000000">
            <w:pPr>
              <w:jc w:val="right"/>
            </w:pPr>
            <w:r>
              <w:t>54,3</w:t>
            </w:r>
          </w:p>
        </w:tc>
      </w:tr>
      <w:tr w:rsidR="00000000">
        <w:tblPrEx>
          <w:tblCellMar>
            <w:top w:w="0" w:type="dxa"/>
            <w:bottom w:w="0" w:type="dxa"/>
          </w:tblCellMar>
        </w:tblPrEx>
        <w:trPr>
          <w:jc w:val="center"/>
        </w:trPr>
        <w:tc>
          <w:tcPr>
            <w:tcW w:w="3149" w:type="dxa"/>
          </w:tcPr>
          <w:p w:rsidR="00000000" w:rsidRDefault="00000000">
            <w:r>
              <w:t>No contesta</w:t>
            </w:r>
          </w:p>
        </w:tc>
        <w:tc>
          <w:tcPr>
            <w:tcW w:w="1104" w:type="dxa"/>
            <w:vAlign w:val="center"/>
          </w:tcPr>
          <w:p w:rsidR="00000000" w:rsidRDefault="00000000">
            <w:pPr>
              <w:jc w:val="right"/>
            </w:pPr>
            <w:r>
              <w:t>216</w:t>
            </w:r>
          </w:p>
        </w:tc>
        <w:tc>
          <w:tcPr>
            <w:tcW w:w="1416" w:type="dxa"/>
            <w:vAlign w:val="center"/>
          </w:tcPr>
          <w:p w:rsidR="00000000" w:rsidRDefault="00000000">
            <w:pPr>
              <w:jc w:val="right"/>
            </w:pPr>
            <w:r>
              <w:t>13,6</w:t>
            </w:r>
          </w:p>
        </w:tc>
        <w:tc>
          <w:tcPr>
            <w:tcW w:w="905" w:type="dxa"/>
            <w:vAlign w:val="center"/>
          </w:tcPr>
          <w:p w:rsidR="00000000" w:rsidRDefault="00000000">
            <w:pPr>
              <w:jc w:val="right"/>
            </w:pPr>
            <w:r>
              <w:t>1,8</w:t>
            </w:r>
          </w:p>
        </w:tc>
        <w:tc>
          <w:tcPr>
            <w:tcW w:w="800" w:type="dxa"/>
            <w:vAlign w:val="center"/>
          </w:tcPr>
          <w:p w:rsidR="00000000" w:rsidRDefault="00000000">
            <w:pPr>
              <w:jc w:val="right"/>
            </w:pPr>
            <w:r>
              <w:t>97</w:t>
            </w:r>
          </w:p>
        </w:tc>
        <w:tc>
          <w:tcPr>
            <w:tcW w:w="1357" w:type="dxa"/>
            <w:vAlign w:val="center"/>
          </w:tcPr>
          <w:p w:rsidR="00000000" w:rsidRDefault="00000000">
            <w:pPr>
              <w:jc w:val="right"/>
            </w:pPr>
            <w:r>
              <w:t>44,9</w:t>
            </w:r>
          </w:p>
        </w:tc>
      </w:tr>
      <w:tr w:rsidR="00000000">
        <w:tblPrEx>
          <w:tblCellMar>
            <w:top w:w="0" w:type="dxa"/>
            <w:bottom w:w="0" w:type="dxa"/>
          </w:tblCellMar>
        </w:tblPrEx>
        <w:trPr>
          <w:jc w:val="center"/>
        </w:trPr>
        <w:tc>
          <w:tcPr>
            <w:tcW w:w="3149" w:type="dxa"/>
          </w:tcPr>
          <w:p w:rsidR="00000000" w:rsidRDefault="00000000">
            <w:r>
              <w:t>No corresponde (&lt; 14 años)</w:t>
            </w:r>
          </w:p>
        </w:tc>
        <w:tc>
          <w:tcPr>
            <w:tcW w:w="1104" w:type="dxa"/>
            <w:vAlign w:val="bottom"/>
          </w:tcPr>
          <w:p w:rsidR="00000000" w:rsidRDefault="00000000">
            <w:pPr>
              <w:jc w:val="right"/>
            </w:pPr>
            <w:r>
              <w:t>3.014</w:t>
            </w:r>
          </w:p>
        </w:tc>
        <w:tc>
          <w:tcPr>
            <w:tcW w:w="1416" w:type="dxa"/>
            <w:vAlign w:val="bottom"/>
          </w:tcPr>
          <w:p w:rsidR="00000000" w:rsidRDefault="00000000">
            <w:pPr>
              <w:jc w:val="right"/>
            </w:pPr>
            <w:r>
              <w:t>11,7</w:t>
            </w:r>
          </w:p>
        </w:tc>
        <w:tc>
          <w:tcPr>
            <w:tcW w:w="905" w:type="dxa"/>
            <w:vAlign w:val="bottom"/>
          </w:tcPr>
          <w:p w:rsidR="00000000" w:rsidRDefault="00000000">
            <w:pPr>
              <w:jc w:val="right"/>
            </w:pPr>
            <w:r>
              <w:t>1,6</w:t>
            </w:r>
          </w:p>
        </w:tc>
        <w:tc>
          <w:tcPr>
            <w:tcW w:w="800" w:type="dxa"/>
            <w:vAlign w:val="bottom"/>
          </w:tcPr>
          <w:p w:rsidR="00000000" w:rsidRDefault="00000000">
            <w:pPr>
              <w:jc w:val="right"/>
            </w:pPr>
            <w:r>
              <w:t>1.763</w:t>
            </w:r>
          </w:p>
        </w:tc>
        <w:tc>
          <w:tcPr>
            <w:tcW w:w="1357" w:type="dxa"/>
            <w:vAlign w:val="bottom"/>
          </w:tcPr>
          <w:p w:rsidR="00000000" w:rsidRDefault="00000000">
            <w:pPr>
              <w:jc w:val="right"/>
            </w:pPr>
            <w:r>
              <w:t>58,5</w:t>
            </w:r>
          </w:p>
        </w:tc>
      </w:tr>
    </w:tbl>
    <w:p w:rsidR="00000000" w:rsidRDefault="00000000">
      <w:pPr>
        <w:shd w:val="clear" w:color="auto" w:fill="FFFFFF"/>
        <w:tabs>
          <w:tab w:val="left" w:pos="360"/>
        </w:tabs>
        <w:spacing w:before="240" w:after="480"/>
      </w:pPr>
      <w:r>
        <w:rPr>
          <w:i/>
          <w:iCs/>
        </w:rPr>
        <w:tab/>
        <w:t>Fuente</w:t>
      </w:r>
      <w:r>
        <w:t xml:space="preserve">:  Ministerio de Salud Pública, </w:t>
      </w:r>
      <w:r>
        <w:rPr>
          <w:i/>
          <w:iCs/>
        </w:rPr>
        <w:t xml:space="preserve">Boletín Informativo del </w:t>
      </w:r>
      <w:proofErr w:type="spellStart"/>
      <w:r>
        <w:rPr>
          <w:i/>
          <w:iCs/>
        </w:rPr>
        <w:t>ICT</w:t>
      </w:r>
      <w:proofErr w:type="spellEnd"/>
      <w:r>
        <w:t xml:space="preserve">, </w:t>
      </w:r>
      <w:proofErr w:type="spellStart"/>
      <w:r>
        <w:t>Nº</w:t>
      </w:r>
      <w:proofErr w:type="spellEnd"/>
      <w:r>
        <w:t xml:space="preserve"> 3.</w:t>
      </w:r>
    </w:p>
    <w:p w:rsidR="00000000" w:rsidRDefault="00000000">
      <w:pPr>
        <w:shd w:val="clear" w:color="auto" w:fill="FFFFFF"/>
        <w:spacing w:after="240"/>
      </w:pPr>
      <w:r>
        <w:t>301.</w:t>
      </w:r>
      <w:r>
        <w:tab/>
        <w:t xml:space="preserve">El </w:t>
      </w:r>
      <w:proofErr w:type="spellStart"/>
      <w:r>
        <w:t>PIM</w:t>
      </w:r>
      <w:proofErr w:type="spellEnd"/>
      <w:r>
        <w:t xml:space="preserve"> ejecuta acciones como:  s</w:t>
      </w:r>
      <w:proofErr w:type="spellStart"/>
      <w:r>
        <w:rPr>
          <w:color w:val="000000"/>
          <w:szCs w:val="25"/>
          <w:lang w:val="es-ES_tradnl"/>
        </w:rPr>
        <w:t>uplementación</w:t>
      </w:r>
      <w:proofErr w:type="spellEnd"/>
      <w:r>
        <w:rPr>
          <w:color w:val="000000"/>
          <w:szCs w:val="25"/>
          <w:lang w:val="es-ES_tradnl"/>
        </w:rPr>
        <w:t xml:space="preserve"> con hierro, ácido fólico y vitamina A en grupos de riesgo; hierro al 100% de las mujeres embarazadas y niños menores de un año que acuden a las unidades operativas del Ministerio de Salud; vitamina A al 100% de los niños de 1 a 3 años que habitan en las parroquias de pobreza crítica; fortificación de alimentos, sal con yodo y flúor, harina de trigo con hierro y ácido fólico para el grupo objetivo de la población total del país; y diversificación </w:t>
      </w:r>
      <w:proofErr w:type="spellStart"/>
      <w:r>
        <w:rPr>
          <w:color w:val="000000"/>
          <w:szCs w:val="25"/>
          <w:lang w:val="es-ES_tradnl"/>
        </w:rPr>
        <w:t>alimentaria</w:t>
      </w:r>
      <w:proofErr w:type="spellEnd"/>
      <w:r>
        <w:rPr>
          <w:color w:val="000000"/>
          <w:szCs w:val="25"/>
          <w:lang w:val="es-ES_tradnl"/>
        </w:rPr>
        <w:t xml:space="preserve"> basada en campañas educativas de difusión y comunicación social.</w:t>
      </w:r>
    </w:p>
    <w:p w:rsidR="00000000" w:rsidRDefault="00000000">
      <w:pPr>
        <w:shd w:val="clear" w:color="auto" w:fill="FFFFFF"/>
        <w:spacing w:after="240"/>
        <w:rPr>
          <w:color w:val="000000"/>
          <w:szCs w:val="25"/>
          <w:lang w:val="es-ES_tradnl"/>
        </w:rPr>
      </w:pPr>
      <w:r>
        <w:rPr>
          <w:color w:val="000000"/>
          <w:szCs w:val="25"/>
          <w:lang w:val="es-ES_tradnl"/>
        </w:rPr>
        <w:t>302.</w:t>
      </w:r>
      <w:r>
        <w:rPr>
          <w:color w:val="000000"/>
          <w:szCs w:val="25"/>
          <w:lang w:val="es-ES_tradnl"/>
        </w:rPr>
        <w:tab/>
        <w:t>La desnutrición crónica de acuerdo a criterios internacionales, talla para la edad inferior a </w:t>
      </w:r>
      <w:r>
        <w:rPr>
          <w:color w:val="000000"/>
          <w:szCs w:val="25"/>
          <w:lang w:val="es-ES_tradnl"/>
        </w:rPr>
        <w:noBreakHyphen/>
        <w:t>2 desviaciones estándar (DE)</w:t>
      </w:r>
      <w:r>
        <w:rPr>
          <w:rStyle w:val="FootnoteReference"/>
          <w:color w:val="000000"/>
          <w:szCs w:val="25"/>
          <w:lang w:val="es-ES_tradnl"/>
        </w:rPr>
        <w:footnoteReference w:id="43"/>
      </w:r>
      <w:r>
        <w:rPr>
          <w:color w:val="000000"/>
          <w:szCs w:val="25"/>
          <w:lang w:val="es-ES_tradnl"/>
        </w:rPr>
        <w:t xml:space="preserve">, afecta a uno de cada cuatro niños menores de 5 años (tabla 1):  el déficit de la talla es significantemente mayor en la población rural, especialmente en la Sierra, donde la </w:t>
      </w:r>
      <w:proofErr w:type="spellStart"/>
      <w:r>
        <w:rPr>
          <w:color w:val="000000"/>
          <w:szCs w:val="25"/>
          <w:lang w:val="es-ES_tradnl"/>
        </w:rPr>
        <w:t>prevalencia</w:t>
      </w:r>
      <w:proofErr w:type="spellEnd"/>
      <w:r>
        <w:rPr>
          <w:color w:val="000000"/>
          <w:szCs w:val="25"/>
          <w:lang w:val="es-ES_tradnl"/>
        </w:rPr>
        <w:t xml:space="preserve"> supera el 40%.  La desnutrición global (peso para la edad bajo -</w:t>
      </w:r>
      <w:proofErr w:type="spellStart"/>
      <w:r>
        <w:rPr>
          <w:color w:val="000000"/>
          <w:szCs w:val="25"/>
          <w:lang w:val="es-ES_tradnl"/>
        </w:rPr>
        <w:t>2E</w:t>
      </w:r>
      <w:proofErr w:type="spellEnd"/>
      <w:r>
        <w:rPr>
          <w:color w:val="000000"/>
          <w:szCs w:val="25"/>
          <w:lang w:val="es-ES_tradnl"/>
        </w:rPr>
        <w:t>) afecta al 14,6% de la</w:t>
      </w:r>
      <w:r>
        <w:rPr>
          <w:color w:val="000000"/>
          <w:vertAlign w:val="superscript"/>
          <w:lang w:val="es-ES_tradnl"/>
        </w:rPr>
        <w:t xml:space="preserve"> </w:t>
      </w:r>
      <w:r>
        <w:rPr>
          <w:color w:val="000000"/>
          <w:szCs w:val="25"/>
          <w:lang w:val="es-ES_tradnl"/>
        </w:rPr>
        <w:t>población y sigue la misma tendencia anterior.  El compromiso de la relación peso para la talla (desnutrición aguda) es poco frecuente, situación similar a la observada en la mayor parte de los países en desarrollo</w:t>
      </w:r>
      <w:r>
        <w:rPr>
          <w:rStyle w:val="FootnoteReference"/>
          <w:color w:val="000000"/>
          <w:szCs w:val="25"/>
          <w:lang w:val="es-ES_tradnl"/>
        </w:rPr>
        <w:footnoteReference w:id="44"/>
      </w:r>
      <w:r>
        <w:rPr>
          <w:color w:val="000000"/>
          <w:szCs w:val="25"/>
          <w:lang w:val="es-ES_tradnl"/>
        </w:rPr>
        <w:t>.</w:t>
      </w:r>
    </w:p>
    <w:p w:rsidR="00000000" w:rsidRDefault="00000000">
      <w:pPr>
        <w:shd w:val="clear" w:color="auto" w:fill="FFFFFF"/>
        <w:spacing w:after="240"/>
        <w:jc w:val="center"/>
        <w:rPr>
          <w:b/>
          <w:bCs/>
          <w:color w:val="000000"/>
          <w:szCs w:val="25"/>
          <w:lang w:val="es-ES_tradnl"/>
        </w:rPr>
      </w:pPr>
      <w:r>
        <w:rPr>
          <w:b/>
          <w:bCs/>
          <w:color w:val="000000"/>
          <w:szCs w:val="25"/>
          <w:lang w:val="es-ES_tradnl"/>
        </w:rPr>
        <w:t>Tabla 1</w:t>
      </w:r>
    </w:p>
    <w:p w:rsidR="00000000" w:rsidRDefault="00000000">
      <w:pPr>
        <w:shd w:val="clear" w:color="auto" w:fill="FFFFFF"/>
        <w:spacing w:after="240"/>
        <w:jc w:val="center"/>
        <w:rPr>
          <w:b/>
          <w:bCs/>
          <w:color w:val="000000"/>
          <w:szCs w:val="25"/>
          <w:lang w:val="es-ES_tradnl"/>
        </w:rPr>
      </w:pPr>
      <w:proofErr w:type="spellStart"/>
      <w:r>
        <w:rPr>
          <w:b/>
          <w:bCs/>
          <w:color w:val="000000"/>
          <w:szCs w:val="25"/>
          <w:lang w:val="es-ES_tradnl"/>
        </w:rPr>
        <w:t>Prevalencia</w:t>
      </w:r>
      <w:proofErr w:type="spellEnd"/>
      <w:r>
        <w:rPr>
          <w:b/>
          <w:bCs/>
          <w:color w:val="000000"/>
          <w:szCs w:val="25"/>
          <w:lang w:val="es-ES_tradnl"/>
        </w:rPr>
        <w:t xml:space="preserve"> de desnutrición en menores de 5 años según sector geográfico</w:t>
      </w:r>
    </w:p>
    <w:p w:rsidR="00000000" w:rsidRDefault="00000000">
      <w:pPr>
        <w:shd w:val="clear" w:color="auto" w:fill="FFFFFF"/>
        <w:spacing w:after="240"/>
        <w:jc w:val="center"/>
        <w:rPr>
          <w:b/>
          <w:bCs/>
          <w:color w:val="000000"/>
          <w:szCs w:val="25"/>
          <w:lang w:val="es-ES_tradnl"/>
        </w:rPr>
      </w:pPr>
      <w:r>
        <w:rPr>
          <w:b/>
          <w:bCs/>
          <w:color w:val="000000"/>
          <w:szCs w:val="25"/>
          <w:lang w:val="es-ES_tradnl"/>
        </w:rPr>
        <w:t>(Encuesta de condiciones de vida, 1998)</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0"/>
        <w:gridCol w:w="1440"/>
        <w:gridCol w:w="1980"/>
        <w:gridCol w:w="1890"/>
        <w:gridCol w:w="1800"/>
      </w:tblGrid>
      <w:tr w:rsidR="00000000">
        <w:tblPrEx>
          <w:tblCellMar>
            <w:top w:w="0" w:type="dxa"/>
            <w:bottom w:w="0" w:type="dxa"/>
          </w:tblCellMar>
        </w:tblPrEx>
        <w:trPr>
          <w:cantSplit/>
        </w:trPr>
        <w:tc>
          <w:tcPr>
            <w:tcW w:w="2250" w:type="dxa"/>
            <w:gridSpan w:val="2"/>
            <w:vAlign w:val="center"/>
          </w:tcPr>
          <w:p w:rsidR="00000000" w:rsidRDefault="00000000">
            <w:pPr>
              <w:jc w:val="center"/>
              <w:rPr>
                <w:sz w:val="22"/>
              </w:rPr>
            </w:pPr>
            <w:r>
              <w:t>Sector geográfico</w:t>
            </w:r>
          </w:p>
        </w:tc>
        <w:tc>
          <w:tcPr>
            <w:tcW w:w="1980" w:type="dxa"/>
            <w:vAlign w:val="center"/>
          </w:tcPr>
          <w:p w:rsidR="00000000" w:rsidRDefault="00000000">
            <w:pPr>
              <w:jc w:val="center"/>
              <w:rPr>
                <w:sz w:val="22"/>
              </w:rPr>
            </w:pPr>
            <w:r>
              <w:t>Crónica talla</w:t>
            </w:r>
            <w:r>
              <w:noBreakHyphen/>
              <w:t>edad</w:t>
            </w:r>
            <w:r>
              <w:br/>
            </w:r>
            <w:r>
              <w:rPr>
                <w:sz w:val="22"/>
              </w:rPr>
              <w:t>&lt;</w:t>
            </w:r>
            <w:r>
              <w:t>-</w:t>
            </w:r>
            <w:r>
              <w:rPr>
                <w:sz w:val="22"/>
              </w:rPr>
              <w:t xml:space="preserve">2 </w:t>
            </w:r>
            <w:r>
              <w:t>DE %</w:t>
            </w:r>
          </w:p>
        </w:tc>
        <w:tc>
          <w:tcPr>
            <w:tcW w:w="1890" w:type="dxa"/>
          </w:tcPr>
          <w:p w:rsidR="00000000" w:rsidRDefault="00000000">
            <w:pPr>
              <w:jc w:val="center"/>
            </w:pPr>
            <w:r>
              <w:t>Global peso</w:t>
            </w:r>
            <w:r>
              <w:noBreakHyphen/>
              <w:t>edad &lt;-2 DE %</w:t>
            </w:r>
          </w:p>
        </w:tc>
        <w:tc>
          <w:tcPr>
            <w:tcW w:w="1800" w:type="dxa"/>
            <w:vAlign w:val="center"/>
          </w:tcPr>
          <w:p w:rsidR="00000000" w:rsidRDefault="00000000">
            <w:pPr>
              <w:jc w:val="center"/>
            </w:pPr>
            <w:r>
              <w:t>Aguda peso</w:t>
            </w:r>
            <w:r>
              <w:noBreakHyphen/>
              <w:t>talla &lt;-2 DE %</w:t>
            </w:r>
          </w:p>
        </w:tc>
      </w:tr>
      <w:tr w:rsidR="00000000">
        <w:tblPrEx>
          <w:tblCellMar>
            <w:top w:w="0" w:type="dxa"/>
            <w:bottom w:w="0" w:type="dxa"/>
          </w:tblCellMar>
        </w:tblPrEx>
        <w:trPr>
          <w:cantSplit/>
        </w:trPr>
        <w:tc>
          <w:tcPr>
            <w:tcW w:w="810" w:type="dxa"/>
          </w:tcPr>
          <w:p w:rsidR="00000000" w:rsidRDefault="00000000">
            <w:r>
              <w:t>Costa</w:t>
            </w:r>
          </w:p>
        </w:tc>
        <w:tc>
          <w:tcPr>
            <w:tcW w:w="1440" w:type="dxa"/>
            <w:vAlign w:val="center"/>
          </w:tcPr>
          <w:p w:rsidR="00000000" w:rsidRDefault="00000000">
            <w:r>
              <w:t>Urbana</w:t>
            </w:r>
          </w:p>
        </w:tc>
        <w:tc>
          <w:tcPr>
            <w:tcW w:w="1980" w:type="dxa"/>
            <w:vAlign w:val="bottom"/>
          </w:tcPr>
          <w:p w:rsidR="00000000" w:rsidRDefault="00000000">
            <w:pPr>
              <w:jc w:val="center"/>
            </w:pPr>
            <w:r>
              <w:t>22,3</w:t>
            </w:r>
          </w:p>
        </w:tc>
        <w:tc>
          <w:tcPr>
            <w:tcW w:w="1890" w:type="dxa"/>
            <w:vAlign w:val="bottom"/>
          </w:tcPr>
          <w:p w:rsidR="00000000" w:rsidRDefault="00000000">
            <w:pPr>
              <w:jc w:val="center"/>
            </w:pPr>
            <w:r>
              <w:t>12,8</w:t>
            </w:r>
          </w:p>
        </w:tc>
        <w:tc>
          <w:tcPr>
            <w:tcW w:w="1800" w:type="dxa"/>
            <w:vAlign w:val="bottom"/>
          </w:tcPr>
          <w:p w:rsidR="00000000" w:rsidRDefault="00000000">
            <w:pPr>
              <w:jc w:val="center"/>
            </w:pPr>
            <w:r>
              <w:t>2,3</w:t>
            </w:r>
          </w:p>
        </w:tc>
      </w:tr>
      <w:tr w:rsidR="00000000">
        <w:tblPrEx>
          <w:tblCellMar>
            <w:top w:w="0" w:type="dxa"/>
            <w:bottom w:w="0" w:type="dxa"/>
          </w:tblCellMar>
        </w:tblPrEx>
        <w:trPr>
          <w:cantSplit/>
        </w:trPr>
        <w:tc>
          <w:tcPr>
            <w:tcW w:w="810" w:type="dxa"/>
          </w:tcPr>
          <w:p w:rsidR="00000000" w:rsidRDefault="00000000"/>
        </w:tc>
        <w:tc>
          <w:tcPr>
            <w:tcW w:w="1440" w:type="dxa"/>
            <w:vAlign w:val="center"/>
          </w:tcPr>
          <w:p w:rsidR="00000000" w:rsidRDefault="00000000">
            <w:r>
              <w:t>Rural</w:t>
            </w:r>
          </w:p>
        </w:tc>
        <w:tc>
          <w:tcPr>
            <w:tcW w:w="1980" w:type="dxa"/>
            <w:vAlign w:val="bottom"/>
          </w:tcPr>
          <w:p w:rsidR="00000000" w:rsidRDefault="00000000">
            <w:pPr>
              <w:jc w:val="center"/>
            </w:pPr>
            <w:r>
              <w:t>23,2</w:t>
            </w:r>
          </w:p>
        </w:tc>
        <w:tc>
          <w:tcPr>
            <w:tcW w:w="1890" w:type="dxa"/>
            <w:vAlign w:val="bottom"/>
          </w:tcPr>
          <w:p w:rsidR="00000000" w:rsidRDefault="00000000">
            <w:pPr>
              <w:jc w:val="center"/>
            </w:pPr>
            <w:r>
              <w:t>20,0</w:t>
            </w:r>
          </w:p>
        </w:tc>
        <w:tc>
          <w:tcPr>
            <w:tcW w:w="1800" w:type="dxa"/>
            <w:vAlign w:val="bottom"/>
          </w:tcPr>
          <w:p w:rsidR="00000000" w:rsidRDefault="00000000">
            <w:pPr>
              <w:jc w:val="center"/>
            </w:pPr>
            <w:r>
              <w:t>3,8</w:t>
            </w:r>
          </w:p>
        </w:tc>
      </w:tr>
      <w:tr w:rsidR="00000000">
        <w:tblPrEx>
          <w:tblCellMar>
            <w:top w:w="0" w:type="dxa"/>
            <w:bottom w:w="0" w:type="dxa"/>
          </w:tblCellMar>
        </w:tblPrEx>
        <w:trPr>
          <w:cantSplit/>
        </w:trPr>
        <w:tc>
          <w:tcPr>
            <w:tcW w:w="810" w:type="dxa"/>
          </w:tcPr>
          <w:p w:rsidR="00000000" w:rsidRDefault="00000000"/>
        </w:tc>
        <w:tc>
          <w:tcPr>
            <w:tcW w:w="1440" w:type="dxa"/>
            <w:vAlign w:val="center"/>
          </w:tcPr>
          <w:p w:rsidR="00000000" w:rsidRDefault="00000000">
            <w:r>
              <w:t>Total</w:t>
            </w:r>
          </w:p>
        </w:tc>
        <w:tc>
          <w:tcPr>
            <w:tcW w:w="1980" w:type="dxa"/>
            <w:vAlign w:val="bottom"/>
          </w:tcPr>
          <w:p w:rsidR="00000000" w:rsidRDefault="00000000">
            <w:pPr>
              <w:jc w:val="center"/>
            </w:pPr>
            <w:r>
              <w:t>22,5</w:t>
            </w:r>
          </w:p>
        </w:tc>
        <w:tc>
          <w:tcPr>
            <w:tcW w:w="1890" w:type="dxa"/>
            <w:vAlign w:val="bottom"/>
          </w:tcPr>
          <w:p w:rsidR="00000000" w:rsidRDefault="00000000">
            <w:pPr>
              <w:jc w:val="center"/>
            </w:pPr>
            <w:r>
              <w:t>14,9</w:t>
            </w:r>
          </w:p>
        </w:tc>
        <w:tc>
          <w:tcPr>
            <w:tcW w:w="1800" w:type="dxa"/>
            <w:vAlign w:val="bottom"/>
          </w:tcPr>
          <w:p w:rsidR="00000000" w:rsidRDefault="00000000">
            <w:pPr>
              <w:jc w:val="center"/>
            </w:pPr>
            <w:r>
              <w:t>2,7</w:t>
            </w:r>
          </w:p>
        </w:tc>
      </w:tr>
      <w:tr w:rsidR="00000000">
        <w:tblPrEx>
          <w:tblCellMar>
            <w:top w:w="0" w:type="dxa"/>
            <w:bottom w:w="0" w:type="dxa"/>
          </w:tblCellMar>
        </w:tblPrEx>
        <w:trPr>
          <w:cantSplit/>
        </w:trPr>
        <w:tc>
          <w:tcPr>
            <w:tcW w:w="810" w:type="dxa"/>
          </w:tcPr>
          <w:p w:rsidR="00000000" w:rsidRDefault="00000000">
            <w:r>
              <w:t>Sierra</w:t>
            </w:r>
          </w:p>
        </w:tc>
        <w:tc>
          <w:tcPr>
            <w:tcW w:w="1440" w:type="dxa"/>
            <w:vAlign w:val="center"/>
          </w:tcPr>
          <w:p w:rsidR="00000000" w:rsidRDefault="00000000">
            <w:r>
              <w:t>Urbana</w:t>
            </w:r>
          </w:p>
        </w:tc>
        <w:tc>
          <w:tcPr>
            <w:tcW w:w="1980" w:type="dxa"/>
            <w:vAlign w:val="bottom"/>
          </w:tcPr>
          <w:p w:rsidR="00000000" w:rsidRDefault="00000000">
            <w:pPr>
              <w:jc w:val="center"/>
            </w:pPr>
            <w:r>
              <w:t>22,1</w:t>
            </w:r>
          </w:p>
        </w:tc>
        <w:tc>
          <w:tcPr>
            <w:tcW w:w="1890" w:type="dxa"/>
            <w:vAlign w:val="bottom"/>
          </w:tcPr>
          <w:p w:rsidR="00000000" w:rsidRDefault="00000000">
            <w:pPr>
              <w:ind w:left="113"/>
              <w:jc w:val="center"/>
            </w:pPr>
            <w:r>
              <w:t>9,2</w:t>
            </w:r>
          </w:p>
        </w:tc>
        <w:tc>
          <w:tcPr>
            <w:tcW w:w="1800" w:type="dxa"/>
            <w:vAlign w:val="bottom"/>
          </w:tcPr>
          <w:p w:rsidR="00000000" w:rsidRDefault="00000000">
            <w:pPr>
              <w:jc w:val="center"/>
            </w:pPr>
            <w:r>
              <w:t>0,9</w:t>
            </w:r>
          </w:p>
        </w:tc>
      </w:tr>
      <w:tr w:rsidR="00000000">
        <w:tblPrEx>
          <w:tblCellMar>
            <w:top w:w="0" w:type="dxa"/>
            <w:bottom w:w="0" w:type="dxa"/>
          </w:tblCellMar>
        </w:tblPrEx>
        <w:trPr>
          <w:cantSplit/>
        </w:trPr>
        <w:tc>
          <w:tcPr>
            <w:tcW w:w="810" w:type="dxa"/>
          </w:tcPr>
          <w:p w:rsidR="00000000" w:rsidRDefault="00000000"/>
        </w:tc>
        <w:tc>
          <w:tcPr>
            <w:tcW w:w="1440" w:type="dxa"/>
            <w:vAlign w:val="center"/>
          </w:tcPr>
          <w:p w:rsidR="00000000" w:rsidRDefault="00000000">
            <w:r>
              <w:t>Rural</w:t>
            </w:r>
          </w:p>
        </w:tc>
        <w:tc>
          <w:tcPr>
            <w:tcW w:w="1980" w:type="dxa"/>
            <w:vAlign w:val="bottom"/>
          </w:tcPr>
          <w:p w:rsidR="00000000" w:rsidRDefault="00000000">
            <w:pPr>
              <w:jc w:val="center"/>
              <w:rPr>
                <w:lang w:val="en-US"/>
              </w:rPr>
            </w:pPr>
            <w:r>
              <w:rPr>
                <w:lang w:val="en-US"/>
              </w:rPr>
              <w:t>41,0</w:t>
            </w:r>
          </w:p>
        </w:tc>
        <w:tc>
          <w:tcPr>
            <w:tcW w:w="1890" w:type="dxa"/>
            <w:vAlign w:val="bottom"/>
          </w:tcPr>
          <w:p w:rsidR="00000000" w:rsidRDefault="00000000">
            <w:pPr>
              <w:jc w:val="center"/>
              <w:rPr>
                <w:lang w:val="en-US"/>
              </w:rPr>
            </w:pPr>
            <w:r>
              <w:rPr>
                <w:lang w:val="en-US"/>
              </w:rPr>
              <w:t>18,8</w:t>
            </w:r>
          </w:p>
        </w:tc>
        <w:tc>
          <w:tcPr>
            <w:tcW w:w="1800" w:type="dxa"/>
            <w:vAlign w:val="bottom"/>
          </w:tcPr>
          <w:p w:rsidR="00000000" w:rsidRDefault="00000000">
            <w:pPr>
              <w:jc w:val="center"/>
              <w:rPr>
                <w:lang w:val="en-US"/>
              </w:rPr>
            </w:pPr>
            <w:r>
              <w:rPr>
                <w:lang w:val="en-US"/>
              </w:rPr>
              <w:t>2,8</w:t>
            </w:r>
          </w:p>
        </w:tc>
      </w:tr>
      <w:tr w:rsidR="00000000">
        <w:tblPrEx>
          <w:tblCellMar>
            <w:top w:w="0" w:type="dxa"/>
            <w:bottom w:w="0" w:type="dxa"/>
          </w:tblCellMar>
        </w:tblPrEx>
        <w:trPr>
          <w:cantSplit/>
        </w:trPr>
        <w:tc>
          <w:tcPr>
            <w:tcW w:w="810" w:type="dxa"/>
          </w:tcPr>
          <w:p w:rsidR="00000000" w:rsidRDefault="00000000">
            <w:pPr>
              <w:rPr>
                <w:lang w:val="en-US"/>
              </w:rPr>
            </w:pPr>
          </w:p>
        </w:tc>
        <w:tc>
          <w:tcPr>
            <w:tcW w:w="1440" w:type="dxa"/>
            <w:vAlign w:val="center"/>
          </w:tcPr>
          <w:p w:rsidR="00000000" w:rsidRDefault="00000000">
            <w:pPr>
              <w:rPr>
                <w:lang w:val="en-US"/>
              </w:rPr>
            </w:pPr>
            <w:r>
              <w:rPr>
                <w:lang w:val="en-US"/>
              </w:rPr>
              <w:t>Total</w:t>
            </w:r>
          </w:p>
        </w:tc>
        <w:tc>
          <w:tcPr>
            <w:tcW w:w="1980" w:type="dxa"/>
            <w:vAlign w:val="bottom"/>
          </w:tcPr>
          <w:p w:rsidR="00000000" w:rsidRDefault="00000000">
            <w:pPr>
              <w:jc w:val="center"/>
              <w:rPr>
                <w:lang w:val="en-US"/>
              </w:rPr>
            </w:pPr>
            <w:r>
              <w:rPr>
                <w:lang w:val="en-US"/>
              </w:rPr>
              <w:t>32,9</w:t>
            </w:r>
          </w:p>
        </w:tc>
        <w:tc>
          <w:tcPr>
            <w:tcW w:w="1890" w:type="dxa"/>
            <w:vAlign w:val="bottom"/>
          </w:tcPr>
          <w:p w:rsidR="00000000" w:rsidRDefault="00000000">
            <w:pPr>
              <w:jc w:val="center"/>
              <w:rPr>
                <w:lang w:val="en-US"/>
              </w:rPr>
            </w:pPr>
            <w:r>
              <w:rPr>
                <w:lang w:val="en-US"/>
              </w:rPr>
              <w:t>14,7</w:t>
            </w:r>
          </w:p>
        </w:tc>
        <w:tc>
          <w:tcPr>
            <w:tcW w:w="1800" w:type="dxa"/>
            <w:vAlign w:val="bottom"/>
          </w:tcPr>
          <w:p w:rsidR="00000000" w:rsidRDefault="00000000">
            <w:pPr>
              <w:jc w:val="center"/>
              <w:rPr>
                <w:lang w:val="en-US"/>
              </w:rPr>
            </w:pPr>
            <w:r>
              <w:rPr>
                <w:lang w:val="en-US"/>
              </w:rPr>
              <w:t>2,0</w:t>
            </w:r>
          </w:p>
        </w:tc>
      </w:tr>
      <w:tr w:rsidR="00000000">
        <w:tblPrEx>
          <w:tblCellMar>
            <w:top w:w="0" w:type="dxa"/>
            <w:bottom w:w="0" w:type="dxa"/>
          </w:tblCellMar>
        </w:tblPrEx>
        <w:trPr>
          <w:cantSplit/>
        </w:trPr>
        <w:tc>
          <w:tcPr>
            <w:tcW w:w="810" w:type="dxa"/>
          </w:tcPr>
          <w:p w:rsidR="00000000" w:rsidRDefault="00000000">
            <w:pPr>
              <w:rPr>
                <w:lang w:val="en-US"/>
              </w:rPr>
            </w:pPr>
            <w:proofErr w:type="spellStart"/>
            <w:r>
              <w:rPr>
                <w:lang w:val="en-US"/>
              </w:rPr>
              <w:t>Oriente</w:t>
            </w:r>
            <w:proofErr w:type="spellEnd"/>
          </w:p>
        </w:tc>
        <w:tc>
          <w:tcPr>
            <w:tcW w:w="1440" w:type="dxa"/>
            <w:vAlign w:val="center"/>
          </w:tcPr>
          <w:p w:rsidR="00000000" w:rsidRDefault="00000000">
            <w:pPr>
              <w:rPr>
                <w:lang w:val="en-US"/>
              </w:rPr>
            </w:pPr>
            <w:r>
              <w:rPr>
                <w:lang w:val="en-US"/>
              </w:rPr>
              <w:t>Urbana</w:t>
            </w:r>
          </w:p>
        </w:tc>
        <w:tc>
          <w:tcPr>
            <w:tcW w:w="1980" w:type="dxa"/>
            <w:vAlign w:val="bottom"/>
          </w:tcPr>
          <w:p w:rsidR="00000000" w:rsidRDefault="00000000">
            <w:pPr>
              <w:jc w:val="center"/>
              <w:rPr>
                <w:lang w:val="en-US"/>
              </w:rPr>
            </w:pPr>
            <w:r>
              <w:rPr>
                <w:lang w:val="en-US"/>
              </w:rPr>
              <w:t>19,1</w:t>
            </w:r>
          </w:p>
        </w:tc>
        <w:tc>
          <w:tcPr>
            <w:tcW w:w="1890" w:type="dxa"/>
            <w:vAlign w:val="bottom"/>
          </w:tcPr>
          <w:p w:rsidR="00000000" w:rsidRDefault="00000000">
            <w:pPr>
              <w:ind w:left="113"/>
              <w:jc w:val="center"/>
              <w:rPr>
                <w:lang w:val="en-US"/>
              </w:rPr>
            </w:pPr>
            <w:r>
              <w:rPr>
                <w:lang w:val="en-US"/>
              </w:rPr>
              <w:t>8,3</w:t>
            </w:r>
          </w:p>
        </w:tc>
        <w:tc>
          <w:tcPr>
            <w:tcW w:w="1800" w:type="dxa"/>
            <w:vAlign w:val="bottom"/>
          </w:tcPr>
          <w:p w:rsidR="00000000" w:rsidRDefault="00000000">
            <w:pPr>
              <w:jc w:val="center"/>
              <w:rPr>
                <w:lang w:val="en-US"/>
              </w:rPr>
            </w:pPr>
            <w:r>
              <w:rPr>
                <w:lang w:val="en-US"/>
              </w:rPr>
              <w:t>0,0</w:t>
            </w:r>
          </w:p>
        </w:tc>
      </w:tr>
      <w:tr w:rsidR="00000000">
        <w:tblPrEx>
          <w:tblCellMar>
            <w:top w:w="0" w:type="dxa"/>
            <w:bottom w:w="0" w:type="dxa"/>
          </w:tblCellMar>
        </w:tblPrEx>
        <w:trPr>
          <w:cantSplit/>
        </w:trPr>
        <w:tc>
          <w:tcPr>
            <w:tcW w:w="810" w:type="dxa"/>
          </w:tcPr>
          <w:p w:rsidR="00000000" w:rsidRDefault="00000000">
            <w:pPr>
              <w:rPr>
                <w:lang w:val="en-US"/>
              </w:rPr>
            </w:pPr>
          </w:p>
        </w:tc>
        <w:tc>
          <w:tcPr>
            <w:tcW w:w="1440" w:type="dxa"/>
            <w:vAlign w:val="center"/>
          </w:tcPr>
          <w:p w:rsidR="00000000" w:rsidRDefault="00000000">
            <w:pPr>
              <w:rPr>
                <w:lang w:val="en-US"/>
              </w:rPr>
            </w:pPr>
            <w:r>
              <w:rPr>
                <w:lang w:val="en-US"/>
              </w:rPr>
              <w:t>Rural</w:t>
            </w:r>
          </w:p>
        </w:tc>
        <w:tc>
          <w:tcPr>
            <w:tcW w:w="1980" w:type="dxa"/>
            <w:vAlign w:val="bottom"/>
          </w:tcPr>
          <w:p w:rsidR="00000000" w:rsidRDefault="00000000">
            <w:pPr>
              <w:jc w:val="center"/>
              <w:rPr>
                <w:lang w:val="en-US"/>
              </w:rPr>
            </w:pPr>
            <w:r>
              <w:rPr>
                <w:lang w:val="en-US"/>
              </w:rPr>
              <w:t>27,2</w:t>
            </w:r>
          </w:p>
        </w:tc>
        <w:tc>
          <w:tcPr>
            <w:tcW w:w="1890" w:type="dxa"/>
            <w:vAlign w:val="bottom"/>
          </w:tcPr>
          <w:p w:rsidR="00000000" w:rsidRDefault="00000000">
            <w:pPr>
              <w:jc w:val="center"/>
              <w:rPr>
                <w:lang w:val="en-US"/>
              </w:rPr>
            </w:pPr>
            <w:r>
              <w:rPr>
                <w:lang w:val="en-US"/>
              </w:rPr>
              <w:t>10,0</w:t>
            </w:r>
          </w:p>
        </w:tc>
        <w:tc>
          <w:tcPr>
            <w:tcW w:w="1800" w:type="dxa"/>
            <w:vAlign w:val="bottom"/>
          </w:tcPr>
          <w:p w:rsidR="00000000" w:rsidRDefault="00000000">
            <w:pPr>
              <w:jc w:val="center"/>
              <w:rPr>
                <w:lang w:val="en-US"/>
              </w:rPr>
            </w:pPr>
            <w:r>
              <w:rPr>
                <w:lang w:val="en-US"/>
              </w:rPr>
              <w:t>0,0</w:t>
            </w:r>
          </w:p>
        </w:tc>
      </w:tr>
      <w:tr w:rsidR="00000000">
        <w:tblPrEx>
          <w:tblCellMar>
            <w:top w:w="0" w:type="dxa"/>
            <w:bottom w:w="0" w:type="dxa"/>
          </w:tblCellMar>
        </w:tblPrEx>
        <w:trPr>
          <w:cantSplit/>
        </w:trPr>
        <w:tc>
          <w:tcPr>
            <w:tcW w:w="810" w:type="dxa"/>
          </w:tcPr>
          <w:p w:rsidR="00000000" w:rsidRDefault="00000000">
            <w:pPr>
              <w:rPr>
                <w:lang w:val="en-US"/>
              </w:rPr>
            </w:pPr>
          </w:p>
        </w:tc>
        <w:tc>
          <w:tcPr>
            <w:tcW w:w="1440" w:type="dxa"/>
            <w:vAlign w:val="center"/>
          </w:tcPr>
          <w:p w:rsidR="00000000" w:rsidRDefault="00000000">
            <w:pPr>
              <w:rPr>
                <w:lang w:val="en-US"/>
              </w:rPr>
            </w:pPr>
            <w:r>
              <w:rPr>
                <w:lang w:val="en-US"/>
              </w:rPr>
              <w:t>Total</w:t>
            </w:r>
          </w:p>
        </w:tc>
        <w:tc>
          <w:tcPr>
            <w:tcW w:w="1980" w:type="dxa"/>
            <w:vAlign w:val="bottom"/>
          </w:tcPr>
          <w:p w:rsidR="00000000" w:rsidRDefault="00000000">
            <w:pPr>
              <w:jc w:val="center"/>
              <w:rPr>
                <w:lang w:val="en-US"/>
              </w:rPr>
            </w:pPr>
            <w:r>
              <w:rPr>
                <w:lang w:val="en-US"/>
              </w:rPr>
              <w:t>25,7</w:t>
            </w:r>
          </w:p>
        </w:tc>
        <w:tc>
          <w:tcPr>
            <w:tcW w:w="1890" w:type="dxa"/>
            <w:vAlign w:val="bottom"/>
          </w:tcPr>
          <w:p w:rsidR="00000000" w:rsidRDefault="00000000">
            <w:pPr>
              <w:ind w:left="113"/>
              <w:jc w:val="center"/>
              <w:rPr>
                <w:lang w:val="en-US"/>
              </w:rPr>
            </w:pPr>
            <w:r>
              <w:rPr>
                <w:lang w:val="en-US"/>
              </w:rPr>
              <w:t>9,7</w:t>
            </w:r>
          </w:p>
        </w:tc>
        <w:tc>
          <w:tcPr>
            <w:tcW w:w="1800" w:type="dxa"/>
            <w:vAlign w:val="bottom"/>
          </w:tcPr>
          <w:p w:rsidR="00000000" w:rsidRDefault="00000000">
            <w:pPr>
              <w:jc w:val="center"/>
              <w:rPr>
                <w:lang w:val="en-US"/>
              </w:rPr>
            </w:pPr>
            <w:r>
              <w:rPr>
                <w:lang w:val="en-US"/>
              </w:rPr>
              <w:t>0,0</w:t>
            </w:r>
          </w:p>
        </w:tc>
      </w:tr>
      <w:tr w:rsidR="00000000">
        <w:tblPrEx>
          <w:tblCellMar>
            <w:top w:w="0" w:type="dxa"/>
            <w:bottom w:w="0" w:type="dxa"/>
          </w:tblCellMar>
        </w:tblPrEx>
        <w:trPr>
          <w:cantSplit/>
        </w:trPr>
        <w:tc>
          <w:tcPr>
            <w:tcW w:w="810" w:type="dxa"/>
          </w:tcPr>
          <w:p w:rsidR="00000000" w:rsidRDefault="00000000">
            <w:pPr>
              <w:rPr>
                <w:lang w:val="en-US"/>
              </w:rPr>
            </w:pPr>
            <w:r>
              <w:rPr>
                <w:lang w:val="en-US"/>
              </w:rPr>
              <w:t>Total</w:t>
            </w:r>
          </w:p>
        </w:tc>
        <w:tc>
          <w:tcPr>
            <w:tcW w:w="1440" w:type="dxa"/>
            <w:vAlign w:val="center"/>
          </w:tcPr>
          <w:p w:rsidR="00000000" w:rsidRDefault="00000000">
            <w:pPr>
              <w:rPr>
                <w:lang w:val="en-US"/>
              </w:rPr>
            </w:pPr>
            <w:r>
              <w:rPr>
                <w:lang w:val="en-US"/>
              </w:rPr>
              <w:t>Urbana</w:t>
            </w:r>
          </w:p>
        </w:tc>
        <w:tc>
          <w:tcPr>
            <w:tcW w:w="1980" w:type="dxa"/>
            <w:vAlign w:val="bottom"/>
          </w:tcPr>
          <w:p w:rsidR="00000000" w:rsidRDefault="00000000">
            <w:pPr>
              <w:jc w:val="center"/>
              <w:rPr>
                <w:lang w:val="en-US"/>
              </w:rPr>
            </w:pPr>
            <w:r>
              <w:rPr>
                <w:lang w:val="en-US"/>
              </w:rPr>
              <w:t>22,2</w:t>
            </w:r>
          </w:p>
        </w:tc>
        <w:tc>
          <w:tcPr>
            <w:tcW w:w="1890" w:type="dxa"/>
            <w:vAlign w:val="bottom"/>
          </w:tcPr>
          <w:p w:rsidR="00000000" w:rsidRDefault="00000000">
            <w:pPr>
              <w:jc w:val="center"/>
              <w:rPr>
                <w:lang w:val="en-US"/>
              </w:rPr>
            </w:pPr>
            <w:r>
              <w:rPr>
                <w:lang w:val="en-US"/>
              </w:rPr>
              <w:t>11,7</w:t>
            </w:r>
          </w:p>
        </w:tc>
        <w:tc>
          <w:tcPr>
            <w:tcW w:w="1800" w:type="dxa"/>
            <w:vAlign w:val="bottom"/>
          </w:tcPr>
          <w:p w:rsidR="00000000" w:rsidRDefault="00000000">
            <w:pPr>
              <w:jc w:val="center"/>
              <w:rPr>
                <w:lang w:val="en-US"/>
              </w:rPr>
            </w:pPr>
            <w:r>
              <w:rPr>
                <w:lang w:val="en-US"/>
              </w:rPr>
              <w:t>1,9</w:t>
            </w:r>
          </w:p>
        </w:tc>
      </w:tr>
      <w:tr w:rsidR="00000000">
        <w:tblPrEx>
          <w:tblCellMar>
            <w:top w:w="0" w:type="dxa"/>
            <w:bottom w:w="0" w:type="dxa"/>
          </w:tblCellMar>
        </w:tblPrEx>
        <w:trPr>
          <w:cantSplit/>
        </w:trPr>
        <w:tc>
          <w:tcPr>
            <w:tcW w:w="810" w:type="dxa"/>
          </w:tcPr>
          <w:p w:rsidR="00000000" w:rsidRDefault="00000000">
            <w:pPr>
              <w:rPr>
                <w:lang w:val="en-US"/>
              </w:rPr>
            </w:pPr>
          </w:p>
        </w:tc>
        <w:tc>
          <w:tcPr>
            <w:tcW w:w="1440" w:type="dxa"/>
            <w:vAlign w:val="center"/>
          </w:tcPr>
          <w:p w:rsidR="00000000" w:rsidRDefault="00000000">
            <w:pPr>
              <w:rPr>
                <w:lang w:val="en-US"/>
              </w:rPr>
            </w:pPr>
            <w:r>
              <w:rPr>
                <w:lang w:val="en-US"/>
              </w:rPr>
              <w:t>Rural</w:t>
            </w:r>
          </w:p>
        </w:tc>
        <w:tc>
          <w:tcPr>
            <w:tcW w:w="1980" w:type="dxa"/>
            <w:vAlign w:val="bottom"/>
          </w:tcPr>
          <w:p w:rsidR="00000000" w:rsidRDefault="00000000">
            <w:pPr>
              <w:jc w:val="center"/>
            </w:pPr>
            <w:r>
              <w:t>33,0</w:t>
            </w:r>
          </w:p>
        </w:tc>
        <w:tc>
          <w:tcPr>
            <w:tcW w:w="1890" w:type="dxa"/>
            <w:vAlign w:val="bottom"/>
          </w:tcPr>
          <w:p w:rsidR="00000000" w:rsidRDefault="00000000">
            <w:pPr>
              <w:jc w:val="center"/>
            </w:pPr>
            <w:r>
              <w:t>18,6</w:t>
            </w:r>
          </w:p>
        </w:tc>
        <w:tc>
          <w:tcPr>
            <w:tcW w:w="1800" w:type="dxa"/>
            <w:vAlign w:val="bottom"/>
          </w:tcPr>
          <w:p w:rsidR="00000000" w:rsidRDefault="00000000">
            <w:pPr>
              <w:jc w:val="center"/>
            </w:pPr>
            <w:r>
              <w:t>3,0</w:t>
            </w:r>
          </w:p>
        </w:tc>
      </w:tr>
      <w:tr w:rsidR="00000000">
        <w:tblPrEx>
          <w:tblCellMar>
            <w:top w:w="0" w:type="dxa"/>
            <w:bottom w:w="0" w:type="dxa"/>
          </w:tblCellMar>
        </w:tblPrEx>
        <w:trPr>
          <w:cantSplit/>
        </w:trPr>
        <w:tc>
          <w:tcPr>
            <w:tcW w:w="810" w:type="dxa"/>
          </w:tcPr>
          <w:p w:rsidR="00000000" w:rsidRDefault="00000000"/>
        </w:tc>
        <w:tc>
          <w:tcPr>
            <w:tcW w:w="1440" w:type="dxa"/>
            <w:vAlign w:val="center"/>
          </w:tcPr>
          <w:p w:rsidR="00000000" w:rsidRDefault="00000000">
            <w:r>
              <w:t>Total</w:t>
            </w:r>
          </w:p>
        </w:tc>
        <w:tc>
          <w:tcPr>
            <w:tcW w:w="1980" w:type="dxa"/>
            <w:vAlign w:val="bottom"/>
          </w:tcPr>
          <w:p w:rsidR="00000000" w:rsidRDefault="00000000">
            <w:pPr>
              <w:jc w:val="center"/>
            </w:pPr>
            <w:r>
              <w:t>26,7</w:t>
            </w:r>
          </w:p>
        </w:tc>
        <w:tc>
          <w:tcPr>
            <w:tcW w:w="1890" w:type="dxa"/>
            <w:vAlign w:val="bottom"/>
          </w:tcPr>
          <w:p w:rsidR="00000000" w:rsidRDefault="00000000">
            <w:pPr>
              <w:jc w:val="center"/>
            </w:pPr>
            <w:r>
              <w:t>14,6</w:t>
            </w:r>
          </w:p>
        </w:tc>
        <w:tc>
          <w:tcPr>
            <w:tcW w:w="1800" w:type="dxa"/>
            <w:vAlign w:val="bottom"/>
          </w:tcPr>
          <w:p w:rsidR="00000000" w:rsidRDefault="00000000">
            <w:pPr>
              <w:jc w:val="center"/>
            </w:pPr>
            <w:r>
              <w:t>2,3</w:t>
            </w:r>
          </w:p>
        </w:tc>
      </w:tr>
    </w:tbl>
    <w:p w:rsidR="00000000" w:rsidRDefault="00000000">
      <w:pPr>
        <w:shd w:val="clear" w:color="auto" w:fill="FFFFFF"/>
        <w:tabs>
          <w:tab w:val="left" w:pos="720"/>
        </w:tabs>
        <w:spacing w:before="240" w:after="480"/>
      </w:pPr>
      <w:r>
        <w:rPr>
          <w:i/>
          <w:iCs/>
        </w:rPr>
        <w:tab/>
        <w:t>Fuente</w:t>
      </w:r>
      <w:r>
        <w:t>:  Sistema Integrado de Indicadores Sociales del Ecuador (</w:t>
      </w:r>
      <w:proofErr w:type="spellStart"/>
      <w:r>
        <w:t>SIISE</w:t>
      </w:r>
      <w:proofErr w:type="spellEnd"/>
      <w:r>
        <w:t>), Secretaría</w:t>
      </w:r>
      <w:r>
        <w:br/>
      </w:r>
      <w:r>
        <w:tab/>
        <w:t>de Estado de Desarrollo Humano, 1999</w:t>
      </w:r>
      <w:r>
        <w:rPr>
          <w:rStyle w:val="FootnoteReference"/>
        </w:rPr>
        <w:footnoteReference w:id="45"/>
      </w:r>
      <w:r>
        <w:t>.</w:t>
      </w:r>
    </w:p>
    <w:p w:rsidR="00000000" w:rsidRDefault="00000000">
      <w:pPr>
        <w:shd w:val="clear" w:color="auto" w:fill="FFFFFF"/>
        <w:spacing w:after="240"/>
        <w:rPr>
          <w:color w:val="000000"/>
          <w:szCs w:val="25"/>
          <w:lang w:val="es-ES_tradnl"/>
        </w:rPr>
      </w:pPr>
      <w:r>
        <w:rPr>
          <w:color w:val="000000"/>
          <w:szCs w:val="25"/>
          <w:lang w:val="es-ES_tradnl"/>
        </w:rPr>
        <w:t>303.</w:t>
      </w:r>
      <w:r>
        <w:rPr>
          <w:color w:val="000000"/>
          <w:szCs w:val="25"/>
          <w:lang w:val="es-ES_tradnl"/>
        </w:rPr>
        <w:tab/>
        <w:t xml:space="preserve">En el cuadro anterior se observa que la afectación de la talla es la más alta.  Se puede afirmar que la mayoría de los desnutridos son producto de un proceso crónico de </w:t>
      </w:r>
      <w:proofErr w:type="spellStart"/>
      <w:r>
        <w:rPr>
          <w:color w:val="000000"/>
          <w:szCs w:val="25"/>
          <w:lang w:val="es-ES_tradnl"/>
        </w:rPr>
        <w:t>subalimentación</w:t>
      </w:r>
      <w:proofErr w:type="spellEnd"/>
      <w:r>
        <w:rPr>
          <w:color w:val="000000"/>
          <w:szCs w:val="25"/>
          <w:lang w:val="es-ES_tradnl"/>
        </w:rPr>
        <w:t>, asociado a otros factores hereditarios y a condiciones inadecuadas de saneamiento, que es más marcado en los grupos socioeconómicos y áreas geográficas marginales compuestas por población indígena y negra.</w:t>
      </w:r>
    </w:p>
    <w:p w:rsidR="00000000" w:rsidRDefault="00000000">
      <w:pPr>
        <w:shd w:val="clear" w:color="auto" w:fill="FFFFFF"/>
        <w:spacing w:after="240"/>
        <w:rPr>
          <w:color w:val="000000"/>
          <w:szCs w:val="25"/>
          <w:lang w:val="es-ES_tradnl"/>
        </w:rPr>
      </w:pPr>
      <w:r>
        <w:rPr>
          <w:color w:val="000000"/>
          <w:szCs w:val="25"/>
          <w:lang w:val="es-ES_tradnl"/>
        </w:rPr>
        <w:t>304.</w:t>
      </w:r>
      <w:r>
        <w:rPr>
          <w:color w:val="000000"/>
          <w:szCs w:val="25"/>
          <w:lang w:val="es-ES_tradnl"/>
        </w:rPr>
        <w:tab/>
        <w:t xml:space="preserve">La reducción de las tasas de desnutrición en estos últimos años se debe fundamentalmente a la puesta en práctica de estrategias como la promoción de la lactancia materna, programas ampliados de inmunizaciones realizados por el Ministerio de Salud Pública, ya que las condiciones de vida no han mejorado, produciéndose más bien la pauperización de la población, como se puede observar en los indicadores analizados anteriormente.  Mediante la aprobación de la Ley reformatoria a la ley de maternidad gratuita, que provee el marco jurídico y financiero para garantizar el acceso de la población más pobre a los servicios de salud, se brinda atención preventiva al recién nacido y </w:t>
      </w:r>
      <w:proofErr w:type="spellStart"/>
      <w:r>
        <w:rPr>
          <w:color w:val="000000"/>
          <w:szCs w:val="25"/>
          <w:lang w:val="es-ES_tradnl"/>
        </w:rPr>
        <w:t>niños/as</w:t>
      </w:r>
      <w:proofErr w:type="spellEnd"/>
      <w:r>
        <w:rPr>
          <w:color w:val="000000"/>
          <w:szCs w:val="25"/>
          <w:lang w:val="es-ES_tradnl"/>
        </w:rPr>
        <w:t xml:space="preserve"> menores de 5 años y asegura el manejo descentralizado de los fondos destinados mediante los Comités de Gestión Local y los Comités de Satisfacción de Usuarias que permiten la participación de las organizaciones de mujeres en el proceso de planificación de los servicios.</w:t>
      </w:r>
    </w:p>
    <w:p w:rsidR="00000000" w:rsidRDefault="00000000">
      <w:pPr>
        <w:shd w:val="clear" w:color="auto" w:fill="FFFFFF"/>
        <w:spacing w:after="240"/>
      </w:pPr>
      <w:r>
        <w:rPr>
          <w:i/>
          <w:iCs/>
          <w:color w:val="000000"/>
          <w:szCs w:val="25"/>
          <w:lang w:val="es-ES_tradnl"/>
        </w:rPr>
        <w:t>Situación de grupos vulnerables</w:t>
      </w:r>
      <w:r>
        <w:rPr>
          <w:color w:val="000000"/>
          <w:szCs w:val="25"/>
          <w:lang w:val="es-ES_tradnl"/>
        </w:rPr>
        <w:t>.</w:t>
      </w:r>
    </w:p>
    <w:p w:rsidR="00000000" w:rsidRDefault="00000000">
      <w:pPr>
        <w:shd w:val="clear" w:color="auto" w:fill="FFFFFF"/>
        <w:spacing w:after="240"/>
      </w:pPr>
      <w:r>
        <w:rPr>
          <w:color w:val="000000"/>
          <w:szCs w:val="25"/>
          <w:lang w:val="es-ES_tradnl"/>
        </w:rPr>
        <w:t>305.</w:t>
      </w:r>
      <w:r>
        <w:rPr>
          <w:color w:val="000000"/>
          <w:szCs w:val="25"/>
          <w:lang w:val="es-ES_tradnl"/>
        </w:rPr>
        <w:tab/>
        <w:t>El Ministerio de Agricultura y Ganadería viene trabajando desde el decenio de 1980 con programas orientados al mejoramiento de la situación de la mujer.  En la actualidad ha intensificado sus políticas, programas y acciones acordes con el actual papel de la mujer, no sólo como apoyo a la producción agropecuaria familiar, sino como la responsable directa de esta actividad, por la ausencia del hombre y por la necesidad de incrementar los ingresos familiares.</w:t>
      </w:r>
    </w:p>
    <w:p w:rsidR="00000000" w:rsidRDefault="00000000">
      <w:pPr>
        <w:shd w:val="clear" w:color="auto" w:fill="FFFFFF"/>
        <w:spacing w:after="240"/>
      </w:pPr>
      <w:r>
        <w:rPr>
          <w:color w:val="000000"/>
          <w:szCs w:val="25"/>
          <w:lang w:val="es-ES_tradnl"/>
        </w:rPr>
        <w:t>306.</w:t>
      </w:r>
      <w:r>
        <w:rPr>
          <w:color w:val="000000"/>
          <w:szCs w:val="25"/>
          <w:lang w:val="es-ES_tradnl"/>
        </w:rPr>
        <w:tab/>
        <w:t xml:space="preserve">Se ha detectado como otro sector de gran importancia en el desarrollo del área rural a la juventud campesina, siendo estos dos sectores los beneficiarios directos de los proyectos de desarrollo que impulsa el Ministerio, lo que redunda en el beneficio integral hacia la familia, la comunidad y el sector rural.  Este programa se encuentra a cargo de la División Nacional de la Mujer, Juventud y Familia Campesina, creada por Acuerdo ministerial </w:t>
      </w:r>
      <w:proofErr w:type="spellStart"/>
      <w:r>
        <w:rPr>
          <w:color w:val="000000"/>
          <w:szCs w:val="25"/>
          <w:lang w:val="es-ES_tradnl"/>
        </w:rPr>
        <w:t>Nº</w:t>
      </w:r>
      <w:proofErr w:type="spellEnd"/>
      <w:r>
        <w:rPr>
          <w:color w:val="000000"/>
          <w:szCs w:val="25"/>
          <w:lang w:val="es-ES_tradnl"/>
        </w:rPr>
        <w:t xml:space="preserve"> 180, publicado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958 de 3 de junio de 1996.</w:t>
      </w:r>
    </w:p>
    <w:p w:rsidR="00000000" w:rsidRDefault="00000000">
      <w:pPr>
        <w:shd w:val="clear" w:color="auto" w:fill="FFFFFF"/>
        <w:spacing w:after="240"/>
      </w:pPr>
      <w:r>
        <w:rPr>
          <w:color w:val="000000"/>
          <w:szCs w:val="25"/>
          <w:lang w:val="es-ES_tradnl"/>
        </w:rPr>
        <w:t>307.</w:t>
      </w:r>
      <w:r>
        <w:rPr>
          <w:color w:val="000000"/>
          <w:szCs w:val="25"/>
          <w:lang w:val="es-ES_tradnl"/>
        </w:rPr>
        <w:tab/>
        <w:t xml:space="preserve">El trabajo de la División Nacional de la Mujer y la Familia Campesina es impulsar un trabajo efectivo, optimizando los recursos humanos, tecnológicos, financieros y materiales que aseguren el cambio del entorno social y económico de este sector, mediante el diseño de políticas, planes, programas y proyectos con enfoque de género, respetando y valorando sus costumbres y manifestaciones </w:t>
      </w:r>
      <w:proofErr w:type="spellStart"/>
      <w:r>
        <w:rPr>
          <w:color w:val="000000"/>
          <w:szCs w:val="25"/>
          <w:lang w:val="es-ES_tradnl"/>
        </w:rPr>
        <w:t>etnicoculturales</w:t>
      </w:r>
      <w:proofErr w:type="spellEnd"/>
      <w:r>
        <w:rPr>
          <w:color w:val="000000"/>
          <w:szCs w:val="25"/>
          <w:lang w:val="es-ES_tradnl"/>
        </w:rPr>
        <w:t>.</w:t>
      </w:r>
    </w:p>
    <w:p w:rsidR="00000000" w:rsidRDefault="00000000">
      <w:pPr>
        <w:shd w:val="clear" w:color="auto" w:fill="FFFFFF"/>
        <w:spacing w:after="240"/>
      </w:pPr>
      <w:r>
        <w:rPr>
          <w:color w:val="000000"/>
          <w:szCs w:val="25"/>
          <w:lang w:val="es-ES_tradnl"/>
        </w:rPr>
        <w:t>308.</w:t>
      </w:r>
      <w:r>
        <w:rPr>
          <w:color w:val="000000"/>
          <w:szCs w:val="25"/>
          <w:lang w:val="es-ES_tradnl"/>
        </w:rPr>
        <w:tab/>
        <w:t>El objetivo que busca la División es involucrar en todos los planes, programas y proyectos del Ministerio el enfoque de género, diseñando metodología de capacitación y transferencia de tecnología con perspectiva de género y desarrollando procesos de capacitación para la puesta en marcha de proyectos productivos.  Realiza el seguimiento y monitoreo de los proyectos en ejecución, presta ayuda y asesoramiento a las organizaciones sobre el manejo administrativo, financiero y financiamiento de los proyectos, coordina a nivel intra e interinstitucional el desarrollo de acciones a favor de la mujer, la juventud y la familia campesina.</w:t>
      </w:r>
    </w:p>
    <w:p w:rsidR="00000000" w:rsidRDefault="00000000">
      <w:pPr>
        <w:shd w:val="clear" w:color="auto" w:fill="FFFFFF"/>
        <w:tabs>
          <w:tab w:val="left" w:pos="5731"/>
        </w:tabs>
        <w:spacing w:after="240"/>
        <w:rPr>
          <w:color w:val="000000"/>
          <w:szCs w:val="25"/>
          <w:lang w:val="es-ES_tradnl"/>
        </w:rPr>
      </w:pPr>
      <w:r>
        <w:rPr>
          <w:i/>
          <w:iCs/>
          <w:color w:val="000000"/>
          <w:szCs w:val="25"/>
          <w:lang w:val="es-ES_tradnl"/>
        </w:rPr>
        <w:t>Nuevas políticas en la aplicación al derecho</w:t>
      </w:r>
      <w:r>
        <w:rPr>
          <w:color w:val="000000"/>
          <w:szCs w:val="25"/>
          <w:lang w:val="es-ES_tradnl"/>
        </w:rPr>
        <w:t>.</w:t>
      </w:r>
    </w:p>
    <w:p w:rsidR="00000000" w:rsidRDefault="00000000">
      <w:pPr>
        <w:shd w:val="clear" w:color="auto" w:fill="FFFFFF"/>
        <w:spacing w:after="240"/>
        <w:rPr>
          <w:color w:val="000000"/>
          <w:szCs w:val="25"/>
          <w:lang w:val="es-ES_tradnl"/>
        </w:rPr>
      </w:pPr>
      <w:r>
        <w:rPr>
          <w:color w:val="000000"/>
          <w:szCs w:val="25"/>
          <w:lang w:val="es-ES_tradnl"/>
        </w:rPr>
        <w:t>309.</w:t>
      </w:r>
      <w:r>
        <w:rPr>
          <w:color w:val="000000"/>
          <w:szCs w:val="25"/>
          <w:lang w:val="es-ES_tradnl"/>
        </w:rPr>
        <w:tab/>
        <w:t xml:space="preserve">Las restricciones impuestas por las políticas de ajuste que han realizado los gobiernos para lograr el equilibrio fiscal han afectado a los grupos de bajos ingresos.  En los últimos años se han acentuado los cambios demográficos en el país, caracterizándose éstos por una migración del campo a la ciudad, generando en forma explosiva una gran expansión de zonas </w:t>
      </w:r>
      <w:proofErr w:type="spellStart"/>
      <w:r>
        <w:rPr>
          <w:color w:val="000000"/>
          <w:szCs w:val="25"/>
          <w:lang w:val="es-ES_tradnl"/>
        </w:rPr>
        <w:t>urbanomarginales</w:t>
      </w:r>
      <w:proofErr w:type="spellEnd"/>
      <w:r>
        <w:rPr>
          <w:color w:val="000000"/>
          <w:szCs w:val="25"/>
          <w:lang w:val="es-ES_tradnl"/>
        </w:rPr>
        <w:t>, cinturones de pobreza, principalmente en Quito y Guayaquil.  La migración trae consigo cambios sustanciales en el modo de vida, inclusive modificaciones en los hábitos alimentarios, por un mayor consumo de alimentos que no satisfacen los requerimientos de nutrientes básicos en la dieta que, por su bajo costo, son más accesibles. Otros factores que influyen en la disponibilidad y consumo de alimentos son el nivel de instrucción de la madre, los hábitos y prácticas alimentarios y la calidad y periodicidad del suministro de alimentos.</w:t>
      </w:r>
    </w:p>
    <w:p w:rsidR="00000000" w:rsidRDefault="00000000">
      <w:pPr>
        <w:keepNext/>
        <w:keepLines/>
        <w:shd w:val="clear" w:color="auto" w:fill="FFFFFF"/>
        <w:spacing w:after="240"/>
      </w:pPr>
      <w:r>
        <w:rPr>
          <w:b/>
          <w:bCs/>
          <w:color w:val="000000"/>
          <w:szCs w:val="25"/>
          <w:lang w:val="es-ES_tradnl"/>
        </w:rPr>
        <w:t xml:space="preserve">Seguridad </w:t>
      </w:r>
      <w:proofErr w:type="spellStart"/>
      <w:r>
        <w:rPr>
          <w:b/>
          <w:bCs/>
          <w:color w:val="000000"/>
          <w:szCs w:val="25"/>
          <w:lang w:val="es-ES_tradnl"/>
        </w:rPr>
        <w:t>alimentaria</w:t>
      </w:r>
      <w:proofErr w:type="spellEnd"/>
    </w:p>
    <w:p w:rsidR="00000000" w:rsidRDefault="00000000">
      <w:pPr>
        <w:shd w:val="clear" w:color="auto" w:fill="FFFFFF"/>
        <w:spacing w:after="240"/>
        <w:jc w:val="both"/>
      </w:pPr>
      <w:r>
        <w:rPr>
          <w:color w:val="000000"/>
          <w:szCs w:val="25"/>
          <w:lang w:val="es-ES_tradnl"/>
        </w:rPr>
        <w:t>310.</w:t>
      </w:r>
      <w:r>
        <w:rPr>
          <w:color w:val="000000"/>
          <w:szCs w:val="25"/>
          <w:lang w:val="es-ES_tradnl"/>
        </w:rPr>
        <w:tab/>
        <w:t xml:space="preserve">La población pobre en el país presenta fragilidad en su seguridad </w:t>
      </w:r>
      <w:proofErr w:type="spellStart"/>
      <w:r>
        <w:rPr>
          <w:color w:val="000000"/>
          <w:szCs w:val="25"/>
          <w:lang w:val="es-ES_tradnl"/>
        </w:rPr>
        <w:t>alimentaria</w:t>
      </w:r>
      <w:proofErr w:type="spellEnd"/>
      <w:r>
        <w:rPr>
          <w:color w:val="000000"/>
          <w:szCs w:val="25"/>
          <w:lang w:val="es-ES_tradnl"/>
        </w:rPr>
        <w:t>.  El derecho a una alimentación adecuada es un derecho fundamental al que dan prioridad los diversos niveles de gobierno y para cuyo ejercicio realizan varias acciones.</w:t>
      </w:r>
    </w:p>
    <w:p w:rsidR="00000000" w:rsidRDefault="00000000">
      <w:pPr>
        <w:shd w:val="clear" w:color="auto" w:fill="FFFFFF"/>
        <w:spacing w:after="240"/>
      </w:pPr>
      <w:r>
        <w:rPr>
          <w:color w:val="000000"/>
          <w:szCs w:val="25"/>
          <w:lang w:val="es-ES_tradnl"/>
        </w:rPr>
        <w:t>311.</w:t>
      </w:r>
      <w:r>
        <w:rPr>
          <w:color w:val="000000"/>
          <w:szCs w:val="25"/>
          <w:lang w:val="es-ES_tradnl"/>
        </w:rPr>
        <w:tab/>
        <w:t xml:space="preserve">Mediante la expedición del Decreto ejecutivo </w:t>
      </w:r>
      <w:proofErr w:type="spellStart"/>
      <w:r>
        <w:rPr>
          <w:color w:val="000000"/>
          <w:szCs w:val="25"/>
          <w:lang w:val="es-ES_tradnl"/>
        </w:rPr>
        <w:t>Nº</w:t>
      </w:r>
      <w:proofErr w:type="spellEnd"/>
      <w:r>
        <w:rPr>
          <w:color w:val="000000"/>
          <w:szCs w:val="25"/>
          <w:lang w:val="es-ES_tradnl"/>
        </w:rPr>
        <w:t xml:space="preserve"> 1039 publicado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234 de 13 de enero de 1998, se declara a la "Seguridad </w:t>
      </w:r>
      <w:proofErr w:type="spellStart"/>
      <w:r>
        <w:rPr>
          <w:color w:val="000000"/>
          <w:szCs w:val="25"/>
          <w:lang w:val="es-ES_tradnl"/>
        </w:rPr>
        <w:t>Alimentaria</w:t>
      </w:r>
      <w:proofErr w:type="spellEnd"/>
      <w:r>
        <w:rPr>
          <w:color w:val="000000"/>
          <w:szCs w:val="25"/>
          <w:lang w:val="es-ES_tradnl"/>
        </w:rPr>
        <w:t xml:space="preserve"> de la Población Ecuatoriana, y en </w:t>
      </w:r>
      <w:r>
        <w:rPr>
          <w:color w:val="000000"/>
          <w:sz w:val="25"/>
          <w:szCs w:val="25"/>
          <w:lang w:val="es-ES_tradnl"/>
        </w:rPr>
        <w:t xml:space="preserve">consecuencia a los programas especiales, a establecerse al efecto en el país </w:t>
      </w:r>
      <w:r>
        <w:rPr>
          <w:color w:val="000000"/>
          <w:szCs w:val="25"/>
          <w:lang w:val="es-ES_tradnl"/>
        </w:rPr>
        <w:t xml:space="preserve">como política de Estado" a través del cual se conforma el Comité Ejecutivo Nacional de Seguridad </w:t>
      </w:r>
      <w:proofErr w:type="spellStart"/>
      <w:r>
        <w:rPr>
          <w:color w:val="000000"/>
          <w:szCs w:val="25"/>
          <w:lang w:val="es-ES_tradnl"/>
        </w:rPr>
        <w:t>Alimentaria</w:t>
      </w:r>
      <w:proofErr w:type="spellEnd"/>
      <w:r>
        <w:rPr>
          <w:color w:val="000000"/>
          <w:szCs w:val="25"/>
          <w:lang w:val="es-ES_tradnl"/>
        </w:rPr>
        <w:t xml:space="preserve">, que determinará los lineamientos y las políticas que deben implementarse para garantizar la participación efectiva y equitativa de la población en seguridad </w:t>
      </w:r>
      <w:proofErr w:type="spellStart"/>
      <w:r>
        <w:rPr>
          <w:color w:val="000000"/>
          <w:szCs w:val="25"/>
          <w:lang w:val="es-ES_tradnl"/>
        </w:rPr>
        <w:t>alimentaria</w:t>
      </w:r>
      <w:proofErr w:type="spellEnd"/>
      <w:r>
        <w:rPr>
          <w:color w:val="000000"/>
          <w:szCs w:val="25"/>
          <w:lang w:val="es-ES_tradnl"/>
        </w:rPr>
        <w:t>.</w:t>
      </w:r>
    </w:p>
    <w:p w:rsidR="00000000" w:rsidRDefault="00000000">
      <w:pPr>
        <w:shd w:val="clear" w:color="auto" w:fill="FFFFFF"/>
        <w:spacing w:after="240"/>
      </w:pPr>
      <w:r>
        <w:rPr>
          <w:color w:val="000000"/>
          <w:szCs w:val="25"/>
          <w:lang w:val="es-ES_tradnl"/>
        </w:rPr>
        <w:t>312.</w:t>
      </w:r>
      <w:r>
        <w:rPr>
          <w:color w:val="000000"/>
          <w:szCs w:val="25"/>
          <w:lang w:val="es-ES_tradnl"/>
        </w:rPr>
        <w:tab/>
        <w:t xml:space="preserve">El Comité Ejecutivo Nacional de Seguridad </w:t>
      </w:r>
      <w:proofErr w:type="spellStart"/>
      <w:r>
        <w:rPr>
          <w:color w:val="000000"/>
          <w:szCs w:val="25"/>
          <w:lang w:val="es-ES_tradnl"/>
        </w:rPr>
        <w:t>Alimentaria</w:t>
      </w:r>
      <w:proofErr w:type="spellEnd"/>
      <w:r>
        <w:rPr>
          <w:color w:val="000000"/>
          <w:szCs w:val="25"/>
          <w:lang w:val="es-ES_tradnl"/>
        </w:rPr>
        <w:t xml:space="preserve"> está presidido por el Ministerio de Agricultura y Ganadería y lo conforman los Ministerios de Salud Pública, Bienestar Social, Educación, Relaciones Exteriores y Medio Ambiente, junto a otros organismos como la Oficina de Planificación de la Presidencia de la República, el Consejo de Seguridad Nacional, el Consejo Nacional de Recursos Hídricos, el </w:t>
      </w:r>
      <w:proofErr w:type="spellStart"/>
      <w:r>
        <w:rPr>
          <w:color w:val="000000"/>
          <w:szCs w:val="25"/>
          <w:lang w:val="es-ES_tradnl"/>
        </w:rPr>
        <w:t>CODENPE</w:t>
      </w:r>
      <w:proofErr w:type="spellEnd"/>
      <w:r>
        <w:rPr>
          <w:color w:val="000000"/>
          <w:szCs w:val="25"/>
          <w:lang w:val="es-ES_tradnl"/>
        </w:rPr>
        <w:t xml:space="preserve">, organizaciones no gubernamentales como </w:t>
      </w:r>
      <w:proofErr w:type="spellStart"/>
      <w:r>
        <w:rPr>
          <w:color w:val="000000"/>
          <w:szCs w:val="25"/>
          <w:lang w:val="es-ES_tradnl"/>
        </w:rPr>
        <w:t>CEQUIPUS</w:t>
      </w:r>
      <w:proofErr w:type="spellEnd"/>
      <w:r>
        <w:rPr>
          <w:color w:val="000000"/>
          <w:szCs w:val="25"/>
          <w:lang w:val="es-ES_tradnl"/>
        </w:rPr>
        <w:t>, la Fundación de Comunicación y Desarrollo, la RIAD, y vienen actuando como asesores organismos internacionales como la FAO, el PNUD y el PMA.</w:t>
      </w:r>
    </w:p>
    <w:p w:rsidR="00000000" w:rsidRDefault="00000000">
      <w:pPr>
        <w:shd w:val="clear" w:color="auto" w:fill="FFFFFF"/>
        <w:spacing w:after="240"/>
      </w:pPr>
      <w:r>
        <w:rPr>
          <w:color w:val="000000"/>
          <w:szCs w:val="25"/>
          <w:lang w:val="es-ES_tradnl"/>
        </w:rPr>
        <w:t>313.</w:t>
      </w:r>
      <w:r>
        <w:rPr>
          <w:color w:val="000000"/>
          <w:szCs w:val="25"/>
          <w:lang w:val="es-ES_tradnl"/>
        </w:rPr>
        <w:tab/>
        <w:t xml:space="preserve">Este Comité, con el auspicio de la FAO, ha iniciado la implementación del Programa Especial de Seguridad </w:t>
      </w:r>
      <w:proofErr w:type="spellStart"/>
      <w:r>
        <w:rPr>
          <w:color w:val="000000"/>
          <w:szCs w:val="25"/>
          <w:lang w:val="es-ES_tradnl"/>
        </w:rPr>
        <w:t>Alimentaria</w:t>
      </w:r>
      <w:proofErr w:type="spellEnd"/>
      <w:r>
        <w:rPr>
          <w:color w:val="000000"/>
          <w:szCs w:val="25"/>
          <w:lang w:val="es-ES_tradnl"/>
        </w:rPr>
        <w:t xml:space="preserve"> de Ecuador (</w:t>
      </w:r>
      <w:proofErr w:type="spellStart"/>
      <w:r>
        <w:rPr>
          <w:color w:val="000000"/>
          <w:szCs w:val="25"/>
          <w:lang w:val="es-ES_tradnl"/>
        </w:rPr>
        <w:t>PESAE</w:t>
      </w:r>
      <w:proofErr w:type="spellEnd"/>
      <w:r>
        <w:rPr>
          <w:color w:val="000000"/>
          <w:szCs w:val="25"/>
          <w:lang w:val="es-ES_tradnl"/>
        </w:rPr>
        <w:t>).</w:t>
      </w:r>
    </w:p>
    <w:p w:rsidR="00000000" w:rsidRDefault="00000000">
      <w:pPr>
        <w:shd w:val="clear" w:color="auto" w:fill="FFFFFF"/>
        <w:spacing w:after="240"/>
      </w:pPr>
      <w:r>
        <w:rPr>
          <w:color w:val="000000"/>
          <w:szCs w:val="25"/>
          <w:lang w:val="es-ES_tradnl"/>
        </w:rPr>
        <w:t>314.</w:t>
      </w:r>
      <w:r>
        <w:rPr>
          <w:color w:val="000000"/>
          <w:szCs w:val="25"/>
          <w:lang w:val="es-ES_tradnl"/>
        </w:rPr>
        <w:tab/>
        <w:t xml:space="preserve">El </w:t>
      </w:r>
      <w:proofErr w:type="spellStart"/>
      <w:r>
        <w:rPr>
          <w:color w:val="000000"/>
          <w:szCs w:val="25"/>
          <w:lang w:val="es-ES_tradnl"/>
        </w:rPr>
        <w:t>PESAE</w:t>
      </w:r>
      <w:proofErr w:type="spellEnd"/>
      <w:r>
        <w:rPr>
          <w:color w:val="000000"/>
          <w:szCs w:val="25"/>
          <w:lang w:val="es-ES_tradnl"/>
        </w:rPr>
        <w:t xml:space="preserve"> está orientado a fortalecer y canalizar el esfuerzo de instituciones públicas y privadas, así como de organizaciones campesinas y de organismos internacionales en los temas sociales y técnicos de seguridad </w:t>
      </w:r>
      <w:proofErr w:type="spellStart"/>
      <w:r>
        <w:rPr>
          <w:color w:val="000000"/>
          <w:szCs w:val="25"/>
          <w:lang w:val="es-ES_tradnl"/>
        </w:rPr>
        <w:t>alimentaria</w:t>
      </w:r>
      <w:proofErr w:type="spellEnd"/>
      <w:r>
        <w:rPr>
          <w:color w:val="000000"/>
          <w:szCs w:val="25"/>
          <w:lang w:val="es-ES_tradnl"/>
        </w:rPr>
        <w:t>, dentro de un marco político, programático y operacional adecuado a la realidad del país.</w:t>
      </w:r>
    </w:p>
    <w:p w:rsidR="00000000" w:rsidRDefault="00000000">
      <w:pPr>
        <w:shd w:val="clear" w:color="auto" w:fill="FFFFFF"/>
        <w:spacing w:after="240"/>
        <w:rPr>
          <w:color w:val="000000"/>
          <w:szCs w:val="25"/>
          <w:lang w:val="es-ES_tradnl"/>
        </w:rPr>
      </w:pPr>
      <w:r>
        <w:rPr>
          <w:color w:val="000000"/>
          <w:szCs w:val="25"/>
          <w:lang w:val="es-ES_tradnl"/>
        </w:rPr>
        <w:t>315.</w:t>
      </w:r>
      <w:r>
        <w:rPr>
          <w:color w:val="000000"/>
          <w:szCs w:val="25"/>
          <w:lang w:val="es-ES_tradnl"/>
        </w:rPr>
        <w:tab/>
        <w:t xml:space="preserve">Actualmente se encuentran en ejecución dos proyectos piloto generales o " Paraguas" ubicados en la provincia de Imbabura, sector </w:t>
      </w:r>
      <w:proofErr w:type="spellStart"/>
      <w:r>
        <w:rPr>
          <w:color w:val="000000"/>
          <w:szCs w:val="25"/>
          <w:lang w:val="es-ES_tradnl"/>
        </w:rPr>
        <w:t>Ambuquí</w:t>
      </w:r>
      <w:proofErr w:type="spellEnd"/>
      <w:r>
        <w:rPr>
          <w:color w:val="000000"/>
          <w:szCs w:val="25"/>
          <w:lang w:val="es-ES_tradnl"/>
        </w:rPr>
        <w:t>, y otro en la provincia de Manabí, sector del Valle del Río Portoviejo.  En este proyecto intervienen instituciones del sector público, quienes aportan sus experiencias y recursos en la producción agropecuaria.</w:t>
      </w:r>
    </w:p>
    <w:p w:rsidR="00000000" w:rsidRDefault="00000000">
      <w:pPr>
        <w:shd w:val="clear" w:color="auto" w:fill="FFFFFF"/>
        <w:spacing w:after="240"/>
      </w:pPr>
      <w:r>
        <w:rPr>
          <w:color w:val="000000"/>
          <w:szCs w:val="25"/>
          <w:lang w:val="es-ES_tradnl"/>
        </w:rPr>
        <w:t>316.</w:t>
      </w:r>
      <w:r>
        <w:rPr>
          <w:color w:val="000000"/>
          <w:szCs w:val="25"/>
          <w:lang w:val="es-ES_tradnl"/>
        </w:rPr>
        <w:tab/>
        <w:t xml:space="preserve">Los programas en ejecución se convierten en un campo de pruebas o laboratorio en donde pueden aplicarse las tecnologías para el incremento y diversificación de los cultivos tradicionales y el mejoramiento de la metodología de trabajo comunitario para alcanzar la seguridad </w:t>
      </w:r>
      <w:proofErr w:type="spellStart"/>
      <w:r>
        <w:rPr>
          <w:color w:val="000000"/>
          <w:szCs w:val="25"/>
          <w:lang w:val="es-ES_tradnl"/>
        </w:rPr>
        <w:t>alimentaria</w:t>
      </w:r>
      <w:proofErr w:type="spellEnd"/>
      <w:r>
        <w:rPr>
          <w:color w:val="000000"/>
          <w:szCs w:val="25"/>
          <w:lang w:val="es-ES_tradnl"/>
        </w:rPr>
        <w:t xml:space="preserve"> que les permita una mejor utilización de los recursos hídricos y un mejor manejo ambiental en huertos comunales y </w:t>
      </w:r>
      <w:proofErr w:type="spellStart"/>
      <w:r>
        <w:rPr>
          <w:color w:val="000000"/>
          <w:szCs w:val="25"/>
          <w:lang w:val="es-ES_tradnl"/>
        </w:rPr>
        <w:t>agroforestería</w:t>
      </w:r>
      <w:proofErr w:type="spellEnd"/>
      <w:r>
        <w:rPr>
          <w:color w:val="000000"/>
          <w:szCs w:val="25"/>
          <w:lang w:val="es-ES_tradnl"/>
        </w:rPr>
        <w:t xml:space="preserve"> y piscicultura, a fin de incrementar los ingresos y mejorar las actuales condiciones de vida.</w:t>
      </w:r>
    </w:p>
    <w:p w:rsidR="00000000" w:rsidRDefault="00000000">
      <w:pPr>
        <w:shd w:val="clear" w:color="auto" w:fill="FFFFFF"/>
        <w:spacing w:after="240"/>
      </w:pPr>
      <w:r>
        <w:rPr>
          <w:color w:val="000000"/>
          <w:szCs w:val="25"/>
          <w:lang w:val="es-ES_tradnl"/>
        </w:rPr>
        <w:t>317.</w:t>
      </w:r>
      <w:r>
        <w:rPr>
          <w:color w:val="000000"/>
          <w:szCs w:val="25"/>
          <w:lang w:val="es-ES_tradnl"/>
        </w:rPr>
        <w:tab/>
        <w:t xml:space="preserve">Debido a los problemas </w:t>
      </w:r>
      <w:proofErr w:type="spellStart"/>
      <w:r>
        <w:rPr>
          <w:color w:val="000000"/>
          <w:szCs w:val="25"/>
          <w:lang w:val="es-ES_tradnl"/>
        </w:rPr>
        <w:t>fitopatológicos</w:t>
      </w:r>
      <w:proofErr w:type="spellEnd"/>
      <w:r>
        <w:rPr>
          <w:color w:val="000000"/>
          <w:szCs w:val="25"/>
          <w:lang w:val="es-ES_tradnl"/>
        </w:rPr>
        <w:t xml:space="preserve"> que afectaban a los cultivos agrícolas en el país, el Gobierno Nacional creó el Instituto Nacional de Investigaciones Agrícolas (INIAP), con lo cual se oficializó y se dio permanencia a las actividades agropecuarias.  El Congreso Nacional mediante Ley en 1992 convierte al INIAP en entidad de derecho público descentralizada, dotada de personería jurídica y autonomía administrativa, económica, financiera y técnica, con patrimonio propio y presupuesto especial.</w:t>
      </w:r>
    </w:p>
    <w:p w:rsidR="00000000" w:rsidRDefault="00000000">
      <w:pPr>
        <w:shd w:val="clear" w:color="auto" w:fill="FFFFFF"/>
        <w:spacing w:after="240"/>
        <w:rPr>
          <w:color w:val="000000"/>
          <w:szCs w:val="25"/>
          <w:lang w:val="es-ES_tradnl"/>
        </w:rPr>
      </w:pPr>
      <w:r>
        <w:rPr>
          <w:color w:val="000000"/>
          <w:szCs w:val="25"/>
          <w:lang w:val="es-ES_tradnl"/>
        </w:rPr>
        <w:t>318.</w:t>
      </w:r>
      <w:r>
        <w:rPr>
          <w:color w:val="000000"/>
          <w:szCs w:val="25"/>
          <w:lang w:val="es-ES_tradnl"/>
        </w:rPr>
        <w:tab/>
        <w:t>El INIAP es la principal institución en el país que se dedica a la investigación agropecuaria, juntamente con universidades, en cumplimiento de su función social.  Destina la mayor parte de los esfuerzos institucionales a generar conocimientos, tecnologías y servicios en función de las demandas de los pequeños y medianos productores, lo que les permite alcanzar niveles más altos de producción, productividad y calidad de los productos para atender la creciente demanda de alimentos, y como un medio para mejorar las condiciones de vida de la población, promoviendo la equidad, tendiente a bajar los actuales índices de pobreza.</w:t>
      </w:r>
    </w:p>
    <w:p w:rsidR="00000000" w:rsidRDefault="00000000">
      <w:pPr>
        <w:shd w:val="clear" w:color="auto" w:fill="FFFFFF"/>
        <w:spacing w:after="240"/>
        <w:rPr>
          <w:color w:val="000000"/>
          <w:szCs w:val="25"/>
          <w:lang w:val="es-ES_tradnl"/>
        </w:rPr>
      </w:pPr>
      <w:r>
        <w:rPr>
          <w:color w:val="000000"/>
          <w:szCs w:val="25"/>
          <w:lang w:val="es-ES_tradnl"/>
        </w:rPr>
        <w:t>319.</w:t>
      </w:r>
      <w:r>
        <w:rPr>
          <w:color w:val="000000"/>
          <w:szCs w:val="25"/>
          <w:lang w:val="es-ES_tradnl"/>
        </w:rPr>
        <w:tab/>
        <w:t>Para ello, debe formular las estrategias y mecanismos que posibiliten la participación efectiva de sus beneficiarios, usuarios y clientes, en el proceso de definición de lo que es prioritario para ellos y, de esta manera, conquistar y mantener la legitimación y el apoyo.</w:t>
      </w:r>
    </w:p>
    <w:p w:rsidR="00000000" w:rsidRDefault="00000000">
      <w:pPr>
        <w:shd w:val="clear" w:color="auto" w:fill="FFFFFF"/>
        <w:spacing w:after="240"/>
      </w:pPr>
      <w:r>
        <w:rPr>
          <w:color w:val="000000"/>
          <w:szCs w:val="25"/>
          <w:lang w:val="es-ES_tradnl"/>
        </w:rPr>
        <w:t>320.</w:t>
      </w:r>
      <w:r>
        <w:rPr>
          <w:color w:val="000000"/>
          <w:szCs w:val="25"/>
          <w:lang w:val="es-ES_tradnl"/>
        </w:rPr>
        <w:tab/>
        <w:t>La misión institucional que tiene el INIAP es la de "proporcionar tecnología y servicios agropecuarios", cumpliendo los siguientes objetivos:</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Investigar, desarrollar y aplicar el conocimiento científico y tecnológico para lograr una racional explotación, utilización y conservación de los recursos naturales del sector agropecuario;</w:t>
      </w:r>
    </w:p>
    <w:p w:rsidR="00000000" w:rsidRDefault="00000000">
      <w:pPr>
        <w:shd w:val="clear" w:color="auto" w:fill="FFFFFF"/>
        <w:spacing w:after="240"/>
        <w:ind w:left="1134" w:hanging="567"/>
        <w:rPr>
          <w:color w:val="000000"/>
          <w:szCs w:val="25"/>
          <w:lang w:val="es-ES_tradnl"/>
        </w:rPr>
      </w:pPr>
      <w:r>
        <w:rPr>
          <w:color w:val="000000"/>
          <w:szCs w:val="25"/>
          <w:lang w:val="es-ES_tradnl"/>
        </w:rPr>
        <w:t>b)</w:t>
      </w:r>
      <w:r>
        <w:rPr>
          <w:color w:val="000000"/>
          <w:szCs w:val="25"/>
          <w:lang w:val="es-ES_tradnl"/>
        </w:rPr>
        <w:tab/>
        <w:t>Contribuir al incremento sostenido de la producción y productividad agropecuaria y al mejoramiento cualitativo de los productos agropecuarios, mediante la generación, adaptación, validación y transferencia de tecnología.</w:t>
      </w:r>
    </w:p>
    <w:p w:rsidR="00000000" w:rsidRDefault="00000000">
      <w:pPr>
        <w:shd w:val="clear" w:color="auto" w:fill="FFFFFF"/>
        <w:spacing w:after="240"/>
        <w:rPr>
          <w:color w:val="000000"/>
          <w:szCs w:val="25"/>
          <w:lang w:val="es-ES_tradnl"/>
        </w:rPr>
      </w:pPr>
      <w:r>
        <w:t>321.</w:t>
      </w:r>
      <w:r>
        <w:tab/>
      </w:r>
      <w:r>
        <w:rPr>
          <w:color w:val="000000"/>
          <w:szCs w:val="25"/>
          <w:lang w:val="es-ES_tradnl"/>
        </w:rPr>
        <w:t>El INIAP cuenta con siete estaciones experimentales y ocho granjas ubicadas en las diferentes regiones del país.</w:t>
      </w:r>
    </w:p>
    <w:p w:rsidR="00000000" w:rsidRDefault="00000000">
      <w:pPr>
        <w:shd w:val="clear" w:color="auto" w:fill="FFFFFF"/>
        <w:spacing w:after="240"/>
      </w:pPr>
      <w:r>
        <w:rPr>
          <w:color w:val="000000"/>
          <w:szCs w:val="25"/>
          <w:lang w:val="es-ES_tradnl"/>
        </w:rPr>
        <w:t>322.</w:t>
      </w:r>
      <w:r>
        <w:rPr>
          <w:color w:val="000000"/>
          <w:szCs w:val="25"/>
          <w:lang w:val="es-ES_tradnl"/>
        </w:rPr>
        <w:tab/>
        <w:t>El INIAP desarrolla sus actividades en cuatro ámbitos de acción:  investigación, transferencia de tecnología y capacitación, producción y comercialización de semillas, provisión de servicios técnicos de apoyo.</w:t>
      </w:r>
    </w:p>
    <w:p w:rsidR="00000000" w:rsidRDefault="00000000">
      <w:pPr>
        <w:shd w:val="clear" w:color="auto" w:fill="FFFFFF"/>
        <w:spacing w:after="240"/>
      </w:pPr>
      <w:r>
        <w:rPr>
          <w:color w:val="000000"/>
          <w:szCs w:val="25"/>
          <w:lang w:val="es-ES_tradnl"/>
        </w:rPr>
        <w:t>323.</w:t>
      </w:r>
      <w:r>
        <w:rPr>
          <w:color w:val="000000"/>
          <w:szCs w:val="25"/>
          <w:lang w:val="es-ES_tradnl"/>
        </w:rPr>
        <w:tab/>
        <w:t xml:space="preserve">La labor desarrollada por el INIAP en el ámbito de la investigación científica le ha permitido generar, validar y transferir conocimientos y tecnologías que han contribuido al incremento de la producción y productividad.  Los resultados de esta tarea se han traducido en la entrega de más de 160 variedades mejoradas, con características de alto rendimiento, resistencia o tolerancia a plagas y enfermedades y adaptabilidad a las diversas zonas </w:t>
      </w:r>
      <w:proofErr w:type="spellStart"/>
      <w:r>
        <w:rPr>
          <w:color w:val="000000"/>
          <w:szCs w:val="25"/>
          <w:lang w:val="es-ES_tradnl"/>
        </w:rPr>
        <w:t>agroecológicas</w:t>
      </w:r>
      <w:proofErr w:type="spellEnd"/>
      <w:r>
        <w:rPr>
          <w:color w:val="000000"/>
          <w:szCs w:val="25"/>
          <w:lang w:val="es-ES_tradnl"/>
        </w:rPr>
        <w:t xml:space="preserve"> del país, en los cultivos de arroz, ajonjolí, algodón, avena, cacao, café, </w:t>
      </w:r>
      <w:proofErr w:type="spellStart"/>
      <w:r>
        <w:rPr>
          <w:color w:val="000000"/>
          <w:szCs w:val="25"/>
          <w:lang w:val="es-ES_tradnl"/>
        </w:rPr>
        <w:t>caupi</w:t>
      </w:r>
      <w:proofErr w:type="spellEnd"/>
      <w:r>
        <w:rPr>
          <w:color w:val="000000"/>
          <w:szCs w:val="25"/>
          <w:lang w:val="es-ES_tradnl"/>
        </w:rPr>
        <w:t xml:space="preserve">, cebada, fréjol, haba, higuerilla, lenteja, maíz, maní, mango, palma africana, </w:t>
      </w:r>
      <w:proofErr w:type="spellStart"/>
      <w:r>
        <w:rPr>
          <w:color w:val="000000"/>
          <w:szCs w:val="25"/>
          <w:lang w:val="es-ES_tradnl"/>
        </w:rPr>
        <w:t>papa</w:t>
      </w:r>
      <w:proofErr w:type="spellEnd"/>
      <w:r>
        <w:rPr>
          <w:color w:val="000000"/>
          <w:szCs w:val="25"/>
          <w:lang w:val="es-ES_tradnl"/>
        </w:rPr>
        <w:t xml:space="preserve">, pasto, pimiento, quinua, sorgo, soya, trigo, </w:t>
      </w:r>
      <w:proofErr w:type="spellStart"/>
      <w:r>
        <w:rPr>
          <w:color w:val="000000"/>
          <w:szCs w:val="25"/>
          <w:lang w:val="es-ES_tradnl"/>
        </w:rPr>
        <w:t>triticale</w:t>
      </w:r>
      <w:proofErr w:type="spellEnd"/>
      <w:r>
        <w:rPr>
          <w:color w:val="000000"/>
          <w:szCs w:val="25"/>
          <w:lang w:val="es-ES_tradnl"/>
        </w:rPr>
        <w:t xml:space="preserve"> y varias especies de frutales.</w:t>
      </w:r>
    </w:p>
    <w:p w:rsidR="00000000" w:rsidRDefault="00000000">
      <w:pPr>
        <w:shd w:val="clear" w:color="auto" w:fill="FFFFFF"/>
        <w:spacing w:after="240"/>
      </w:pPr>
      <w:r>
        <w:rPr>
          <w:color w:val="000000"/>
          <w:szCs w:val="25"/>
          <w:lang w:val="es-ES_tradnl"/>
        </w:rPr>
        <w:t>324.</w:t>
      </w:r>
      <w:r>
        <w:rPr>
          <w:color w:val="000000"/>
          <w:szCs w:val="25"/>
          <w:lang w:val="es-ES_tradnl"/>
        </w:rPr>
        <w:tab/>
        <w:t>Simultáneamente, con el desarrollo de nuevas variedades se ha generado la tecnología necesaria para su cultivo en lo relativo a labores culturales, control de plagas, enfermedades y malezas; niveles económicos de fertilización; zonas, épocas y densidades de siembra y manejo de poscosecha.</w:t>
      </w:r>
    </w:p>
    <w:p w:rsidR="00000000" w:rsidRDefault="00000000">
      <w:pPr>
        <w:shd w:val="clear" w:color="auto" w:fill="FFFFFF"/>
        <w:spacing w:after="240"/>
      </w:pPr>
      <w:r>
        <w:rPr>
          <w:color w:val="000000"/>
          <w:szCs w:val="25"/>
          <w:lang w:val="es-ES_tradnl"/>
        </w:rPr>
        <w:t>325.</w:t>
      </w:r>
      <w:r>
        <w:rPr>
          <w:color w:val="000000"/>
          <w:szCs w:val="25"/>
          <w:lang w:val="es-ES_tradnl"/>
        </w:rPr>
        <w:tab/>
        <w:t>En el área pecuaria el INIAP ha generado tecnologías de manejo de nutrición de ganado bovino y especies menores para las tres regiones del país. Asimismo, el Instituto ha realizado innumerables trabajos de introducción y adaptación de especies gramíneas y leguminosas con el fin de incrementar la capacidad productiva de las distintas zonas ganaderas del Ecuador</w:t>
      </w:r>
      <w:r>
        <w:rPr>
          <w:rStyle w:val="FootnoteReference"/>
          <w:color w:val="000000"/>
          <w:szCs w:val="25"/>
          <w:lang w:val="es-ES_tradnl"/>
        </w:rPr>
        <w:footnoteReference w:id="46"/>
      </w:r>
      <w:r>
        <w:rPr>
          <w:color w:val="000000"/>
          <w:szCs w:val="25"/>
          <w:lang w:val="es-ES_tradnl"/>
        </w:rPr>
        <w:t>.</w:t>
      </w:r>
    </w:p>
    <w:p w:rsidR="00000000" w:rsidRDefault="00000000">
      <w:pPr>
        <w:shd w:val="clear" w:color="auto" w:fill="FFFFFF"/>
        <w:spacing w:after="240"/>
      </w:pPr>
      <w:r>
        <w:rPr>
          <w:i/>
          <w:iCs/>
          <w:color w:val="000000"/>
          <w:szCs w:val="25"/>
          <w:lang w:val="es-ES_tradnl"/>
        </w:rPr>
        <w:t>Difusión del Programa de Nutrición</w:t>
      </w:r>
    </w:p>
    <w:p w:rsidR="00000000" w:rsidRDefault="00000000">
      <w:pPr>
        <w:shd w:val="clear" w:color="auto" w:fill="FFFFFF"/>
        <w:spacing w:after="240"/>
      </w:pPr>
      <w:r>
        <w:rPr>
          <w:color w:val="000000"/>
          <w:szCs w:val="25"/>
          <w:lang w:val="es-ES_tradnl"/>
        </w:rPr>
        <w:t>326.</w:t>
      </w:r>
      <w:r>
        <w:rPr>
          <w:color w:val="000000"/>
          <w:szCs w:val="25"/>
          <w:lang w:val="es-ES_tradnl"/>
        </w:rPr>
        <w:tab/>
        <w:t xml:space="preserve">El Ministerio de Salud Pública en su Plan Nacional de Salud, y el Programa Nacional de Alimentación y Nutrición, se encuentran ejecutando el </w:t>
      </w:r>
      <w:proofErr w:type="spellStart"/>
      <w:r>
        <w:rPr>
          <w:color w:val="000000"/>
          <w:szCs w:val="25"/>
          <w:lang w:val="es-ES_tradnl"/>
        </w:rPr>
        <w:t>PANN</w:t>
      </w:r>
      <w:proofErr w:type="spellEnd"/>
      <w:r>
        <w:rPr>
          <w:color w:val="000000"/>
          <w:szCs w:val="25"/>
          <w:lang w:val="es-ES_tradnl"/>
        </w:rPr>
        <w:t xml:space="preserve"> 2000, una estrategia de acción conjunta que incluye los siguientes componentes:  Cada niño con su plato:  componente de complementación </w:t>
      </w:r>
      <w:proofErr w:type="spellStart"/>
      <w:r>
        <w:rPr>
          <w:color w:val="000000"/>
          <w:szCs w:val="25"/>
          <w:lang w:val="es-ES_tradnl"/>
        </w:rPr>
        <w:t>alimentaria</w:t>
      </w:r>
      <w:proofErr w:type="spellEnd"/>
      <w:r>
        <w:rPr>
          <w:color w:val="000000"/>
          <w:szCs w:val="25"/>
          <w:lang w:val="es-ES_tradnl"/>
        </w:rPr>
        <w:t xml:space="preserve"> para menores de 2 años, embarazadas y madres en período de lactancia.  La finalidad de este componente es la de prevenir el retraso en el crecimiento y los daños de malnutrición por carencia de energía, proteína y </w:t>
      </w:r>
      <w:proofErr w:type="spellStart"/>
      <w:r>
        <w:rPr>
          <w:color w:val="000000"/>
          <w:szCs w:val="25"/>
          <w:lang w:val="es-ES_tradnl"/>
        </w:rPr>
        <w:t>micronutrientes</w:t>
      </w:r>
      <w:proofErr w:type="spellEnd"/>
      <w:r>
        <w:rPr>
          <w:color w:val="000000"/>
          <w:szCs w:val="25"/>
          <w:lang w:val="es-ES_tradnl"/>
        </w:rPr>
        <w:t xml:space="preserve"> (vitamina A, hierro, zinc) de los niños menores de 2 años y mejorar el estado nutricional de las mujeres embarazadas y en lactancia a través de cambios en las prácticas y patrones culturales en la lactancia materna y la alimentación de niños pequeños.</w:t>
      </w:r>
    </w:p>
    <w:p w:rsidR="00000000" w:rsidRDefault="00000000">
      <w:pPr>
        <w:shd w:val="clear" w:color="auto" w:fill="FFFFFF"/>
        <w:spacing w:after="240"/>
        <w:ind w:left="10" w:right="34"/>
        <w:rPr>
          <w:color w:val="000000"/>
          <w:szCs w:val="25"/>
          <w:lang w:val="es-ES_tradnl"/>
        </w:rPr>
      </w:pPr>
      <w:r>
        <w:rPr>
          <w:color w:val="000000"/>
          <w:szCs w:val="25"/>
        </w:rPr>
        <w:t>327.</w:t>
      </w:r>
      <w:r>
        <w:rPr>
          <w:color w:val="000000"/>
          <w:szCs w:val="25"/>
        </w:rPr>
        <w:tab/>
      </w:r>
      <w:r>
        <w:rPr>
          <w:color w:val="000000"/>
          <w:szCs w:val="25"/>
          <w:lang w:val="es-ES_tradnl"/>
        </w:rPr>
        <w:t xml:space="preserve">La población objetivo del Programa es de 652.189 beneficiarios.  El Programa propone atender en el año 2000 al 40% de la población objetivo (246.000), en el año 2001 al 70% (456.000) y del año 2002 en adelante al 100% (652.000).  El inicio del Programa se ha planificado para las 230 parroquias más pobres del país, que representan al primer quintil de pobreza, aproximadamente a 1.000.000 de habitantes.  En esta fase se invertirán recursos provenientes de proyectos del Ministerio de Salud y del Ministerio de Agricultura con el Programa Mundial de Alimentos y recursos canalizados con </w:t>
      </w:r>
      <w:proofErr w:type="spellStart"/>
      <w:r>
        <w:rPr>
          <w:color w:val="000000"/>
          <w:szCs w:val="25"/>
          <w:lang w:val="es-ES_tradnl"/>
        </w:rPr>
        <w:t>OPS/OMS</w:t>
      </w:r>
      <w:proofErr w:type="spellEnd"/>
      <w:r>
        <w:rPr>
          <w:color w:val="000000"/>
          <w:szCs w:val="25"/>
          <w:lang w:val="es-ES_tradnl"/>
        </w:rPr>
        <w:t xml:space="preserve"> de Iniciativa de </w:t>
      </w:r>
      <w:proofErr w:type="spellStart"/>
      <w:r>
        <w:rPr>
          <w:color w:val="000000"/>
          <w:szCs w:val="25"/>
          <w:lang w:val="es-ES_tradnl"/>
        </w:rPr>
        <w:t>Micronutrientes</w:t>
      </w:r>
      <w:proofErr w:type="spellEnd"/>
      <w:r>
        <w:rPr>
          <w:color w:val="000000"/>
          <w:szCs w:val="25"/>
          <w:lang w:val="es-ES_tradnl"/>
        </w:rPr>
        <w:t>.</w:t>
      </w:r>
    </w:p>
    <w:tbl>
      <w:tblPr>
        <w:tblW w:w="0" w:type="auto"/>
        <w:tblInd w:w="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0"/>
        <w:gridCol w:w="1350"/>
        <w:gridCol w:w="1170"/>
        <w:gridCol w:w="1080"/>
      </w:tblGrid>
      <w:tr w:rsidR="00000000">
        <w:tblPrEx>
          <w:tblCellMar>
            <w:top w:w="0" w:type="dxa"/>
            <w:bottom w:w="0" w:type="dxa"/>
          </w:tblCellMar>
        </w:tblPrEx>
        <w:tc>
          <w:tcPr>
            <w:tcW w:w="3690" w:type="dxa"/>
            <w:vAlign w:val="center"/>
          </w:tcPr>
          <w:p w:rsidR="00000000" w:rsidRDefault="00000000">
            <w:pPr>
              <w:ind w:right="34"/>
              <w:jc w:val="center"/>
            </w:pPr>
          </w:p>
        </w:tc>
        <w:tc>
          <w:tcPr>
            <w:tcW w:w="1350" w:type="dxa"/>
            <w:vAlign w:val="center"/>
          </w:tcPr>
          <w:p w:rsidR="00000000" w:rsidRDefault="00000000">
            <w:pPr>
              <w:ind w:right="34"/>
              <w:jc w:val="center"/>
              <w:rPr>
                <w:lang w:val="en-GB"/>
              </w:rPr>
            </w:pPr>
            <w:r>
              <w:rPr>
                <w:lang w:val="en-GB"/>
              </w:rPr>
              <w:t>Total</w:t>
            </w:r>
          </w:p>
        </w:tc>
        <w:tc>
          <w:tcPr>
            <w:tcW w:w="1170" w:type="dxa"/>
            <w:vAlign w:val="center"/>
          </w:tcPr>
          <w:p w:rsidR="00000000" w:rsidRDefault="00000000">
            <w:pPr>
              <w:ind w:right="34"/>
              <w:jc w:val="center"/>
              <w:rPr>
                <w:lang w:val="en-GB"/>
              </w:rPr>
            </w:pPr>
            <w:r>
              <w:rPr>
                <w:lang w:val="en-GB"/>
              </w:rPr>
              <w:t>Urbana</w:t>
            </w:r>
          </w:p>
        </w:tc>
        <w:tc>
          <w:tcPr>
            <w:tcW w:w="1080" w:type="dxa"/>
            <w:vAlign w:val="center"/>
          </w:tcPr>
          <w:p w:rsidR="00000000" w:rsidRDefault="00000000">
            <w:pPr>
              <w:ind w:right="34"/>
              <w:jc w:val="center"/>
              <w:rPr>
                <w:lang w:val="en-GB"/>
              </w:rPr>
            </w:pPr>
            <w:r>
              <w:rPr>
                <w:lang w:val="en-GB"/>
              </w:rPr>
              <w:t>Rural</w:t>
            </w:r>
          </w:p>
        </w:tc>
      </w:tr>
      <w:tr w:rsidR="00000000">
        <w:tblPrEx>
          <w:tblCellMar>
            <w:top w:w="0" w:type="dxa"/>
            <w:bottom w:w="0" w:type="dxa"/>
          </w:tblCellMar>
        </w:tblPrEx>
        <w:tc>
          <w:tcPr>
            <w:tcW w:w="3690" w:type="dxa"/>
          </w:tcPr>
          <w:p w:rsidR="00000000" w:rsidRDefault="00000000">
            <w:pPr>
              <w:ind w:right="34"/>
              <w:rPr>
                <w:lang w:val="es-ES_tradnl"/>
              </w:rPr>
            </w:pPr>
            <w:r>
              <w:rPr>
                <w:lang w:val="es-ES_tradnl"/>
              </w:rPr>
              <w:t>Niña y niños de 0 a 24 meses</w:t>
            </w:r>
          </w:p>
        </w:tc>
        <w:tc>
          <w:tcPr>
            <w:tcW w:w="1350" w:type="dxa"/>
            <w:vAlign w:val="bottom"/>
          </w:tcPr>
          <w:p w:rsidR="00000000" w:rsidRDefault="00000000">
            <w:pPr>
              <w:ind w:right="34"/>
              <w:jc w:val="right"/>
              <w:rPr>
                <w:lang w:val="es-ES_tradnl"/>
              </w:rPr>
            </w:pPr>
            <w:r>
              <w:rPr>
                <w:lang w:val="es-ES_tradnl"/>
              </w:rPr>
              <w:t>242.000</w:t>
            </w:r>
          </w:p>
        </w:tc>
        <w:tc>
          <w:tcPr>
            <w:tcW w:w="1170" w:type="dxa"/>
            <w:vAlign w:val="bottom"/>
          </w:tcPr>
          <w:p w:rsidR="00000000" w:rsidRDefault="00000000">
            <w:pPr>
              <w:ind w:right="34"/>
              <w:jc w:val="right"/>
              <w:rPr>
                <w:lang w:val="es-ES_tradnl"/>
              </w:rPr>
            </w:pPr>
            <w:r>
              <w:rPr>
                <w:lang w:val="es-ES_tradnl"/>
              </w:rPr>
              <w:t>112.000</w:t>
            </w:r>
          </w:p>
        </w:tc>
        <w:tc>
          <w:tcPr>
            <w:tcW w:w="1080" w:type="dxa"/>
            <w:vAlign w:val="bottom"/>
          </w:tcPr>
          <w:p w:rsidR="00000000" w:rsidRDefault="00000000">
            <w:pPr>
              <w:ind w:right="34"/>
              <w:jc w:val="right"/>
              <w:rPr>
                <w:lang w:val="es-ES_tradnl"/>
              </w:rPr>
            </w:pPr>
            <w:r>
              <w:rPr>
                <w:lang w:val="es-ES_tradnl"/>
              </w:rPr>
              <w:t>130.000</w:t>
            </w:r>
          </w:p>
        </w:tc>
      </w:tr>
      <w:tr w:rsidR="00000000">
        <w:tblPrEx>
          <w:tblCellMar>
            <w:top w:w="0" w:type="dxa"/>
            <w:bottom w:w="0" w:type="dxa"/>
          </w:tblCellMar>
        </w:tblPrEx>
        <w:tc>
          <w:tcPr>
            <w:tcW w:w="3690" w:type="dxa"/>
          </w:tcPr>
          <w:p w:rsidR="00000000" w:rsidRDefault="00000000">
            <w:pPr>
              <w:ind w:right="34"/>
              <w:rPr>
                <w:lang w:val="es-ES_tradnl"/>
              </w:rPr>
            </w:pPr>
            <w:r>
              <w:rPr>
                <w:lang w:val="es-ES_tradnl"/>
              </w:rPr>
              <w:t>Mujeres embarazadas</w:t>
            </w:r>
          </w:p>
        </w:tc>
        <w:tc>
          <w:tcPr>
            <w:tcW w:w="1350" w:type="dxa"/>
            <w:vAlign w:val="bottom"/>
          </w:tcPr>
          <w:p w:rsidR="00000000" w:rsidRDefault="00000000">
            <w:pPr>
              <w:ind w:right="34"/>
              <w:jc w:val="right"/>
              <w:rPr>
                <w:lang w:val="es-ES_tradnl"/>
              </w:rPr>
            </w:pPr>
            <w:r>
              <w:rPr>
                <w:lang w:val="es-ES_tradnl"/>
              </w:rPr>
              <w:t>205.000</w:t>
            </w:r>
          </w:p>
        </w:tc>
        <w:tc>
          <w:tcPr>
            <w:tcW w:w="1170" w:type="dxa"/>
            <w:vAlign w:val="bottom"/>
          </w:tcPr>
          <w:p w:rsidR="00000000" w:rsidRDefault="00000000">
            <w:pPr>
              <w:ind w:right="34"/>
              <w:jc w:val="right"/>
              <w:rPr>
                <w:lang w:val="es-ES_tradnl"/>
              </w:rPr>
            </w:pPr>
            <w:r>
              <w:rPr>
                <w:lang w:val="es-ES_tradnl"/>
              </w:rPr>
              <w:t>95.000</w:t>
            </w:r>
          </w:p>
        </w:tc>
        <w:tc>
          <w:tcPr>
            <w:tcW w:w="1080" w:type="dxa"/>
            <w:vAlign w:val="bottom"/>
          </w:tcPr>
          <w:p w:rsidR="00000000" w:rsidRDefault="00000000">
            <w:pPr>
              <w:ind w:right="34"/>
              <w:jc w:val="right"/>
              <w:rPr>
                <w:lang w:val="es-ES_tradnl"/>
              </w:rPr>
            </w:pPr>
            <w:r>
              <w:rPr>
                <w:lang w:val="es-ES_tradnl"/>
              </w:rPr>
              <w:t>110.000</w:t>
            </w:r>
          </w:p>
        </w:tc>
      </w:tr>
      <w:tr w:rsidR="00000000">
        <w:tblPrEx>
          <w:tblCellMar>
            <w:top w:w="0" w:type="dxa"/>
            <w:bottom w:w="0" w:type="dxa"/>
          </w:tblCellMar>
        </w:tblPrEx>
        <w:tc>
          <w:tcPr>
            <w:tcW w:w="3690" w:type="dxa"/>
          </w:tcPr>
          <w:p w:rsidR="00000000" w:rsidRDefault="00000000">
            <w:pPr>
              <w:ind w:right="34"/>
              <w:rPr>
                <w:lang w:val="es-ES_tradnl"/>
              </w:rPr>
            </w:pPr>
            <w:r>
              <w:rPr>
                <w:lang w:val="es-ES_tradnl"/>
              </w:rPr>
              <w:t>Mujeres que amamantan</w:t>
            </w:r>
          </w:p>
        </w:tc>
        <w:tc>
          <w:tcPr>
            <w:tcW w:w="1350" w:type="dxa"/>
            <w:vAlign w:val="bottom"/>
          </w:tcPr>
          <w:p w:rsidR="00000000" w:rsidRDefault="00000000">
            <w:pPr>
              <w:ind w:right="34"/>
              <w:jc w:val="right"/>
              <w:rPr>
                <w:lang w:val="es-ES_tradnl"/>
              </w:rPr>
            </w:pPr>
            <w:r>
              <w:rPr>
                <w:lang w:val="es-ES_tradnl"/>
              </w:rPr>
              <w:t>205.000</w:t>
            </w:r>
          </w:p>
        </w:tc>
        <w:tc>
          <w:tcPr>
            <w:tcW w:w="1170" w:type="dxa"/>
            <w:vAlign w:val="bottom"/>
          </w:tcPr>
          <w:p w:rsidR="00000000" w:rsidRDefault="00000000">
            <w:pPr>
              <w:ind w:right="34"/>
              <w:jc w:val="right"/>
              <w:rPr>
                <w:lang w:val="es-ES_tradnl"/>
              </w:rPr>
            </w:pPr>
            <w:r>
              <w:rPr>
                <w:lang w:val="es-ES_tradnl"/>
              </w:rPr>
              <w:t>95.000</w:t>
            </w:r>
          </w:p>
        </w:tc>
        <w:tc>
          <w:tcPr>
            <w:tcW w:w="1080" w:type="dxa"/>
            <w:vAlign w:val="bottom"/>
          </w:tcPr>
          <w:p w:rsidR="00000000" w:rsidRDefault="00000000">
            <w:pPr>
              <w:ind w:right="34"/>
              <w:jc w:val="right"/>
              <w:rPr>
                <w:lang w:val="es-ES_tradnl"/>
              </w:rPr>
            </w:pPr>
            <w:r>
              <w:rPr>
                <w:lang w:val="es-ES_tradnl"/>
              </w:rPr>
              <w:t>110.000</w:t>
            </w:r>
          </w:p>
        </w:tc>
      </w:tr>
      <w:tr w:rsidR="00000000">
        <w:tblPrEx>
          <w:tblCellMar>
            <w:top w:w="0" w:type="dxa"/>
            <w:bottom w:w="0" w:type="dxa"/>
          </w:tblCellMar>
        </w:tblPrEx>
        <w:tc>
          <w:tcPr>
            <w:tcW w:w="3690" w:type="dxa"/>
          </w:tcPr>
          <w:p w:rsidR="00000000" w:rsidRDefault="00000000">
            <w:pPr>
              <w:ind w:left="290" w:right="34"/>
              <w:rPr>
                <w:lang w:val="es-ES_tradnl"/>
              </w:rPr>
            </w:pPr>
            <w:r>
              <w:rPr>
                <w:lang w:val="es-ES_tradnl"/>
              </w:rPr>
              <w:t>Total</w:t>
            </w:r>
          </w:p>
        </w:tc>
        <w:tc>
          <w:tcPr>
            <w:tcW w:w="1350" w:type="dxa"/>
            <w:vAlign w:val="bottom"/>
          </w:tcPr>
          <w:p w:rsidR="00000000" w:rsidRDefault="00000000">
            <w:pPr>
              <w:ind w:right="34"/>
              <w:jc w:val="right"/>
              <w:rPr>
                <w:lang w:val="es-ES_tradnl"/>
              </w:rPr>
            </w:pPr>
            <w:r>
              <w:rPr>
                <w:lang w:val="es-ES_tradnl"/>
              </w:rPr>
              <w:t>652.000</w:t>
            </w:r>
          </w:p>
        </w:tc>
        <w:tc>
          <w:tcPr>
            <w:tcW w:w="1170" w:type="dxa"/>
            <w:vAlign w:val="bottom"/>
          </w:tcPr>
          <w:p w:rsidR="00000000" w:rsidRDefault="00000000">
            <w:pPr>
              <w:ind w:right="34"/>
              <w:jc w:val="right"/>
              <w:rPr>
                <w:lang w:val="es-ES_tradnl"/>
              </w:rPr>
            </w:pPr>
            <w:r>
              <w:rPr>
                <w:lang w:val="es-ES_tradnl"/>
              </w:rPr>
              <w:t>302.000</w:t>
            </w:r>
          </w:p>
        </w:tc>
        <w:tc>
          <w:tcPr>
            <w:tcW w:w="1080" w:type="dxa"/>
            <w:vAlign w:val="bottom"/>
          </w:tcPr>
          <w:p w:rsidR="00000000" w:rsidRDefault="00000000">
            <w:pPr>
              <w:ind w:right="34"/>
              <w:jc w:val="right"/>
              <w:rPr>
                <w:lang w:val="es-ES_tradnl"/>
              </w:rPr>
            </w:pPr>
            <w:r>
              <w:rPr>
                <w:lang w:val="es-ES_tradnl"/>
              </w:rPr>
              <w:t>350.000</w:t>
            </w:r>
          </w:p>
        </w:tc>
      </w:tr>
    </w:tbl>
    <w:p w:rsidR="00000000" w:rsidRDefault="00000000">
      <w:pPr>
        <w:shd w:val="clear" w:color="auto" w:fill="FFFFFF"/>
        <w:spacing w:before="480" w:after="240"/>
        <w:ind w:left="23" w:right="45"/>
      </w:pPr>
      <w:r>
        <w:rPr>
          <w:color w:val="000000"/>
          <w:szCs w:val="25"/>
          <w:lang w:val="es-ES_tradnl"/>
        </w:rPr>
        <w:t>328.</w:t>
      </w:r>
      <w:r>
        <w:rPr>
          <w:color w:val="000000"/>
          <w:szCs w:val="25"/>
          <w:lang w:val="es-ES_tradnl"/>
        </w:rPr>
        <w:tab/>
        <w:t xml:space="preserve">Componente de </w:t>
      </w:r>
      <w:proofErr w:type="spellStart"/>
      <w:r>
        <w:rPr>
          <w:color w:val="000000"/>
          <w:szCs w:val="25"/>
          <w:lang w:val="es-ES_tradnl"/>
        </w:rPr>
        <w:t>micronutrientes</w:t>
      </w:r>
      <w:proofErr w:type="spellEnd"/>
      <w:r>
        <w:rPr>
          <w:color w:val="000000"/>
          <w:szCs w:val="25"/>
          <w:lang w:val="es-ES_tradnl"/>
        </w:rPr>
        <w:t xml:space="preserve">, con estrategias de fortificación, </w:t>
      </w:r>
      <w:proofErr w:type="spellStart"/>
      <w:r>
        <w:rPr>
          <w:color w:val="000000"/>
          <w:szCs w:val="25"/>
          <w:lang w:val="es-ES_tradnl"/>
        </w:rPr>
        <w:t>suplementación</w:t>
      </w:r>
      <w:proofErr w:type="spellEnd"/>
      <w:r>
        <w:rPr>
          <w:color w:val="000000"/>
          <w:szCs w:val="25"/>
          <w:lang w:val="es-ES_tradnl"/>
        </w:rPr>
        <w:t xml:space="preserve"> frente a problemas de deficiencias específicas de vitaminas y minerales (hierro, vitamina A, yodo, flúor).  Frente a las altas </w:t>
      </w:r>
      <w:proofErr w:type="spellStart"/>
      <w:r>
        <w:rPr>
          <w:color w:val="000000"/>
          <w:szCs w:val="25"/>
          <w:lang w:val="es-ES_tradnl"/>
        </w:rPr>
        <w:t>prevalencias</w:t>
      </w:r>
      <w:proofErr w:type="spellEnd"/>
      <w:r>
        <w:rPr>
          <w:color w:val="000000"/>
          <w:szCs w:val="25"/>
          <w:lang w:val="es-ES_tradnl"/>
        </w:rPr>
        <w:t xml:space="preserve"> de deficiencias de </w:t>
      </w:r>
      <w:proofErr w:type="spellStart"/>
      <w:r>
        <w:rPr>
          <w:color w:val="000000"/>
          <w:szCs w:val="25"/>
          <w:lang w:val="es-ES_tradnl"/>
        </w:rPr>
        <w:t>micronutrientes</w:t>
      </w:r>
      <w:proofErr w:type="spellEnd"/>
      <w:r>
        <w:rPr>
          <w:color w:val="000000"/>
          <w:szCs w:val="25"/>
          <w:lang w:val="es-ES_tradnl"/>
        </w:rPr>
        <w:t xml:space="preserve"> en la población ecuatoriana, el país desarrolla un programa nacional de </w:t>
      </w:r>
      <w:proofErr w:type="spellStart"/>
      <w:r>
        <w:rPr>
          <w:color w:val="000000"/>
          <w:szCs w:val="25"/>
          <w:lang w:val="es-ES_tradnl"/>
        </w:rPr>
        <w:t>micronutrientes</w:t>
      </w:r>
      <w:proofErr w:type="spellEnd"/>
      <w:r>
        <w:rPr>
          <w:color w:val="000000"/>
          <w:szCs w:val="25"/>
          <w:lang w:val="es-ES_tradnl"/>
        </w:rPr>
        <w:t xml:space="preserve"> a través de:</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 xml:space="preserve">Fortificar los alimentos de consumo masivo con </w:t>
      </w:r>
      <w:proofErr w:type="spellStart"/>
      <w:r>
        <w:rPr>
          <w:color w:val="000000"/>
          <w:szCs w:val="25"/>
          <w:lang w:val="es-ES_tradnl"/>
        </w:rPr>
        <w:t>micronutrientes</w:t>
      </w:r>
      <w:proofErr w:type="spellEnd"/>
      <w:r>
        <w:rPr>
          <w:color w:val="000000"/>
          <w:szCs w:val="25"/>
          <w:lang w:val="es-ES_tradnl"/>
        </w:rPr>
        <w:t xml:space="preserve"> que representan problemas de salud pública:  yodo, flúor, hierro, vitamina A;</w:t>
      </w:r>
    </w:p>
    <w:p w:rsidR="00000000" w:rsidRDefault="00000000">
      <w:pPr>
        <w:shd w:val="clear" w:color="auto" w:fill="FFFFFF"/>
        <w:spacing w:after="240"/>
        <w:ind w:left="1134" w:hanging="567"/>
      </w:pPr>
      <w:r>
        <w:rPr>
          <w:color w:val="000000"/>
          <w:szCs w:val="25"/>
        </w:rPr>
        <w:t>b)</w:t>
      </w:r>
      <w:r>
        <w:rPr>
          <w:color w:val="000000"/>
          <w:szCs w:val="25"/>
        </w:rPr>
        <w:tab/>
      </w:r>
      <w:r>
        <w:rPr>
          <w:color w:val="000000"/>
          <w:szCs w:val="25"/>
          <w:lang w:val="es-ES_tradnl"/>
        </w:rPr>
        <w:t>Suplementar a la población en riesgo, a través de los servicios de salud y utilizando estrategias como campañas de vacunación;</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 xml:space="preserve">Definir estrategias de investigación, educación y comunicación que permitan promover el consumo sostenible de </w:t>
      </w:r>
      <w:proofErr w:type="spellStart"/>
      <w:r>
        <w:rPr>
          <w:color w:val="000000"/>
          <w:szCs w:val="25"/>
          <w:lang w:val="es-ES_tradnl"/>
        </w:rPr>
        <w:t>micronutrientes</w:t>
      </w:r>
      <w:proofErr w:type="spellEnd"/>
      <w:r>
        <w:rPr>
          <w:color w:val="000000"/>
          <w:szCs w:val="25"/>
          <w:lang w:val="es-ES_tradnl"/>
        </w:rPr>
        <w:t xml:space="preserve"> a través de la dieta familiar.</w:t>
      </w:r>
    </w:p>
    <w:p w:rsidR="00000000" w:rsidRDefault="00000000">
      <w:pPr>
        <w:shd w:val="clear" w:color="auto" w:fill="FFFFFF"/>
        <w:spacing w:after="240"/>
        <w:ind w:left="24"/>
      </w:pPr>
      <w:r>
        <w:rPr>
          <w:color w:val="000000"/>
          <w:szCs w:val="25"/>
          <w:lang w:val="es-ES_tradnl"/>
        </w:rPr>
        <w:t>329.</w:t>
      </w:r>
      <w:r>
        <w:rPr>
          <w:color w:val="000000"/>
          <w:szCs w:val="25"/>
          <w:lang w:val="es-ES_tradnl"/>
        </w:rPr>
        <w:tab/>
        <w:t xml:space="preserve">El Bono Solidario </w:t>
      </w:r>
      <w:proofErr w:type="spellStart"/>
      <w:r>
        <w:rPr>
          <w:color w:val="000000"/>
          <w:szCs w:val="25"/>
          <w:lang w:val="es-ES_tradnl"/>
        </w:rPr>
        <w:t>Maternoinfantil</w:t>
      </w:r>
      <w:proofErr w:type="spellEnd"/>
      <w:r>
        <w:rPr>
          <w:color w:val="000000"/>
          <w:szCs w:val="25"/>
          <w:lang w:val="es-ES_tradnl"/>
        </w:rPr>
        <w:t xml:space="preserve"> es de transferencia directa a madres embarazadas y niños menores de 2 años.  La finalidad del componente es incentivar controles infantiles durante el embarazo y posparto, para captar la población pobre y trabajar en mortalidad y desnutrición mediante una transferencia directa de un bono de 5 dólares bimensuales para la madre embarazada, entregado a través de los servicios de salud con cada control del embarazo, y la entrega de un bono de 5 dólares por cada control de un niño menor de 2 años.  La cobertura será para las madres embarazadas y sus niños menores de 2 años en todo el país, excepto en parroquias urbanas de las 15 ciudades con población mayor de 100.000 habitantes.</w:t>
      </w:r>
    </w:p>
    <w:p w:rsidR="00000000" w:rsidRDefault="00000000">
      <w:pPr>
        <w:shd w:val="clear" w:color="auto" w:fill="FFFFFF"/>
        <w:spacing w:after="240"/>
        <w:ind w:left="10" w:right="14"/>
      </w:pPr>
      <w:r>
        <w:rPr>
          <w:color w:val="000000"/>
          <w:szCs w:val="25"/>
          <w:lang w:val="es-ES_tradnl"/>
        </w:rPr>
        <w:t>330.</w:t>
      </w:r>
      <w:r>
        <w:rPr>
          <w:color w:val="000000"/>
          <w:szCs w:val="25"/>
          <w:lang w:val="es-ES_tradnl"/>
        </w:rPr>
        <w:tab/>
        <w:t xml:space="preserve">Componente de desarrollo local:  con recursos que financien iniciativas locales de </w:t>
      </w:r>
      <w:proofErr w:type="spellStart"/>
      <w:r>
        <w:rPr>
          <w:color w:val="000000"/>
          <w:szCs w:val="25"/>
          <w:lang w:val="es-ES_tradnl"/>
        </w:rPr>
        <w:t>microproducción</w:t>
      </w:r>
      <w:proofErr w:type="spellEnd"/>
      <w:r>
        <w:rPr>
          <w:color w:val="000000"/>
          <w:szCs w:val="25"/>
          <w:lang w:val="es-ES_tradnl"/>
        </w:rPr>
        <w:t xml:space="preserve"> e intervenciones coordinadas de programas de atención infantil con los Ministerios de Salud, Agricultura, Trabajo y Acción Social (ORI), Educación y Cultura (</w:t>
      </w:r>
      <w:proofErr w:type="spellStart"/>
      <w:r>
        <w:rPr>
          <w:color w:val="000000"/>
          <w:szCs w:val="25"/>
          <w:lang w:val="es-ES_tradnl"/>
        </w:rPr>
        <w:t>PROCALMUC</w:t>
      </w:r>
      <w:proofErr w:type="spellEnd"/>
      <w:r>
        <w:rPr>
          <w:color w:val="000000"/>
          <w:szCs w:val="25"/>
          <w:lang w:val="es-ES_tradnl"/>
        </w:rPr>
        <w:t xml:space="preserve">), </w:t>
      </w:r>
      <w:proofErr w:type="spellStart"/>
      <w:r>
        <w:rPr>
          <w:color w:val="000000"/>
          <w:szCs w:val="25"/>
          <w:lang w:val="es-ES_tradnl"/>
        </w:rPr>
        <w:t>INNFA</w:t>
      </w:r>
      <w:proofErr w:type="spellEnd"/>
      <w:r>
        <w:rPr>
          <w:color w:val="000000"/>
          <w:szCs w:val="25"/>
          <w:lang w:val="es-ES_tradnl"/>
        </w:rPr>
        <w:t xml:space="preserve">.  El Ministerio, dentro del Plan Nacional de Salud, propone el desarrollo local como una estrategia basada en la capacidad operativa, descentralizada y desconcentrada de esta y otras instituciones que bajo una adecuada coordinación interinstitucional darán una respuesta inmediata a la situación de pobreza e inseguridad </w:t>
      </w:r>
      <w:proofErr w:type="spellStart"/>
      <w:r>
        <w:rPr>
          <w:color w:val="000000"/>
          <w:szCs w:val="25"/>
          <w:lang w:val="es-ES_tradnl"/>
        </w:rPr>
        <w:t>alimentaria</w:t>
      </w:r>
      <w:proofErr w:type="spellEnd"/>
      <w:r>
        <w:rPr>
          <w:color w:val="000000"/>
          <w:szCs w:val="25"/>
          <w:lang w:val="es-ES_tradnl"/>
        </w:rPr>
        <w:t xml:space="preserve"> y de salud.</w:t>
      </w:r>
    </w:p>
    <w:p w:rsidR="00000000" w:rsidRDefault="00000000">
      <w:pPr>
        <w:shd w:val="clear" w:color="auto" w:fill="FFFFFF"/>
        <w:spacing w:after="240"/>
        <w:ind w:left="14" w:right="10"/>
      </w:pPr>
      <w:r>
        <w:rPr>
          <w:color w:val="000000"/>
          <w:szCs w:val="25"/>
          <w:lang w:val="es-ES_tradnl"/>
        </w:rPr>
        <w:t>331.</w:t>
      </w:r>
      <w:r>
        <w:rPr>
          <w:color w:val="000000"/>
          <w:szCs w:val="25"/>
          <w:lang w:val="es-ES_tradnl"/>
        </w:rPr>
        <w:tab/>
        <w:t xml:space="preserve">Este componente tiene como finalidad para el año 2000 la implementación de proyectos participativos de desarrollo, alfabetización de adultos y formación productiva, además de modalidades alternativas de cuidado diario de los niños en las 230 parroquias a las que se dio prioridad, donde durante el año 2000 se implementarán las acciones de educación y complementación </w:t>
      </w:r>
      <w:proofErr w:type="spellStart"/>
      <w:r>
        <w:rPr>
          <w:color w:val="000000"/>
          <w:szCs w:val="25"/>
          <w:lang w:val="es-ES_tradnl"/>
        </w:rPr>
        <w:t>alimentaria</w:t>
      </w:r>
      <w:proofErr w:type="spellEnd"/>
      <w:r>
        <w:rPr>
          <w:color w:val="000000"/>
          <w:szCs w:val="25"/>
          <w:lang w:val="es-ES_tradnl"/>
        </w:rPr>
        <w:t xml:space="preserve"> del componente "Cada niño con su plato" del </w:t>
      </w:r>
      <w:proofErr w:type="spellStart"/>
      <w:r>
        <w:rPr>
          <w:color w:val="000000"/>
          <w:szCs w:val="25"/>
          <w:lang w:val="es-ES_tradnl"/>
        </w:rPr>
        <w:t>PANN</w:t>
      </w:r>
      <w:proofErr w:type="spellEnd"/>
      <w:r>
        <w:rPr>
          <w:color w:val="000000"/>
          <w:szCs w:val="25"/>
          <w:lang w:val="es-ES_tradnl"/>
        </w:rPr>
        <w:t xml:space="preserve"> a madres embarazadas, mujeres en período de lactancia y niños entre 6 y 24 meses.</w:t>
      </w:r>
    </w:p>
    <w:p w:rsidR="00000000" w:rsidRDefault="00000000">
      <w:pPr>
        <w:shd w:val="clear" w:color="auto" w:fill="FFFFFF"/>
        <w:tabs>
          <w:tab w:val="left" w:pos="702"/>
        </w:tabs>
        <w:spacing w:after="240"/>
        <w:ind w:left="14" w:right="10"/>
      </w:pPr>
      <w:r>
        <w:rPr>
          <w:color w:val="000000"/>
          <w:szCs w:val="25"/>
        </w:rPr>
        <w:t>332.</w:t>
      </w:r>
      <w:r>
        <w:rPr>
          <w:color w:val="000000"/>
          <w:szCs w:val="25"/>
        </w:rPr>
        <w:tab/>
      </w:r>
      <w:r>
        <w:rPr>
          <w:color w:val="000000"/>
          <w:szCs w:val="25"/>
          <w:lang w:val="es-ES_tradnl"/>
        </w:rPr>
        <w:t xml:space="preserve">Componente de educación </w:t>
      </w:r>
      <w:proofErr w:type="spellStart"/>
      <w:r>
        <w:rPr>
          <w:color w:val="000000"/>
          <w:szCs w:val="25"/>
          <w:lang w:val="es-ES_tradnl"/>
        </w:rPr>
        <w:t>alimentaria</w:t>
      </w:r>
      <w:proofErr w:type="spellEnd"/>
      <w:r>
        <w:rPr>
          <w:color w:val="000000"/>
          <w:szCs w:val="25"/>
          <w:lang w:val="es-ES_tradnl"/>
        </w:rPr>
        <w:t xml:space="preserve"> y nutricional:  está basado en acciones de promoción y educación en los diferentes componentes y estrategias de comunicación masiva.  Este componente trabaja sobre un espectro amplio de problemas de alimentación y nutrición donde sobresalen:</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r>
      <w:proofErr w:type="spellStart"/>
      <w:r>
        <w:rPr>
          <w:color w:val="000000"/>
          <w:szCs w:val="25"/>
          <w:lang w:val="es-ES_tradnl"/>
        </w:rPr>
        <w:t>Prevalencias</w:t>
      </w:r>
      <w:proofErr w:type="spellEnd"/>
      <w:r>
        <w:rPr>
          <w:color w:val="000000"/>
          <w:szCs w:val="25"/>
          <w:lang w:val="es-ES_tradnl"/>
        </w:rPr>
        <w:t xml:space="preserve"> elevadas de desnutrición y aumento de su </w:t>
      </w:r>
      <w:proofErr w:type="spellStart"/>
      <w:r>
        <w:rPr>
          <w:color w:val="000000"/>
          <w:szCs w:val="25"/>
          <w:lang w:val="es-ES_tradnl"/>
        </w:rPr>
        <w:t>prevalencia</w:t>
      </w:r>
      <w:proofErr w:type="spellEnd"/>
      <w:r>
        <w:rPr>
          <w:color w:val="000000"/>
          <w:szCs w:val="25"/>
          <w:lang w:val="es-ES_tradnl"/>
        </w:rPr>
        <w:t xml:space="preserve"> por la crisis socioeconómica que enfrenta el país;</w:t>
      </w:r>
    </w:p>
    <w:p w:rsidR="00000000" w:rsidRDefault="00000000">
      <w:pPr>
        <w:shd w:val="clear" w:color="auto" w:fill="FFFFFF"/>
        <w:spacing w:after="240"/>
        <w:ind w:left="1134" w:hanging="567"/>
        <w:rPr>
          <w:color w:val="000000"/>
          <w:szCs w:val="25"/>
          <w:lang w:val="es-ES_tradnl"/>
        </w:rPr>
      </w:pPr>
      <w:r>
        <w:rPr>
          <w:color w:val="000000"/>
          <w:szCs w:val="25"/>
        </w:rPr>
        <w:t>b)</w:t>
      </w:r>
      <w:r>
        <w:rPr>
          <w:color w:val="000000"/>
          <w:szCs w:val="25"/>
        </w:rPr>
        <w:tab/>
      </w:r>
      <w:r>
        <w:rPr>
          <w:color w:val="000000"/>
          <w:szCs w:val="25"/>
          <w:lang w:val="es-ES_tradnl"/>
        </w:rPr>
        <w:t xml:space="preserve">Cambio de las tendencias de enfermedades crónicas no transmisibles en el perfil epidemiológico; seis de ellas están entre las diez primeras causas de mortalidad (accidente </w:t>
      </w:r>
      <w:proofErr w:type="spellStart"/>
      <w:r>
        <w:rPr>
          <w:color w:val="000000"/>
          <w:szCs w:val="25"/>
          <w:lang w:val="es-ES_tradnl"/>
        </w:rPr>
        <w:t>cerebrovascular</w:t>
      </w:r>
      <w:proofErr w:type="spellEnd"/>
      <w:r>
        <w:rPr>
          <w:color w:val="000000"/>
          <w:szCs w:val="25"/>
          <w:lang w:val="es-ES_tradnl"/>
        </w:rPr>
        <w:t>, infarto de miocardio, diabetes, cáncer de estómago, hipertensión arterial);</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Pérdida en la población de una cultura nutricional ecuatoriana.</w:t>
      </w:r>
    </w:p>
    <w:p w:rsidR="00000000" w:rsidRDefault="00000000">
      <w:pPr>
        <w:shd w:val="clear" w:color="auto" w:fill="FFFFFF"/>
        <w:spacing w:after="240"/>
        <w:ind w:left="38" w:right="19"/>
      </w:pPr>
      <w:r>
        <w:rPr>
          <w:color w:val="000000"/>
          <w:szCs w:val="25"/>
          <w:lang w:val="es-ES_tradnl"/>
        </w:rPr>
        <w:t>333.</w:t>
      </w:r>
      <w:r>
        <w:rPr>
          <w:color w:val="000000"/>
          <w:szCs w:val="25"/>
          <w:lang w:val="es-ES_tradnl"/>
        </w:rPr>
        <w:tab/>
        <w:t xml:space="preserve">La finalidad de este componente es la promoción de hábitos alimentarios y nutricionales a través de componentes y programas del </w:t>
      </w:r>
      <w:proofErr w:type="spellStart"/>
      <w:r>
        <w:rPr>
          <w:color w:val="000000"/>
          <w:szCs w:val="25"/>
          <w:lang w:val="es-ES_tradnl"/>
        </w:rPr>
        <w:t>PANN</w:t>
      </w:r>
      <w:proofErr w:type="spellEnd"/>
      <w:r>
        <w:rPr>
          <w:color w:val="000000"/>
          <w:szCs w:val="25"/>
          <w:lang w:val="es-ES_tradnl"/>
        </w:rPr>
        <w:t xml:space="preserve"> 2000 y de estrategias específicas.</w:t>
      </w:r>
    </w:p>
    <w:p w:rsidR="00000000" w:rsidRDefault="00000000">
      <w:pPr>
        <w:shd w:val="clear" w:color="auto" w:fill="FFFFFF"/>
        <w:spacing w:after="240"/>
        <w:ind w:left="38"/>
      </w:pPr>
      <w:r>
        <w:rPr>
          <w:b/>
          <w:bCs/>
          <w:color w:val="000000"/>
          <w:szCs w:val="25"/>
          <w:lang w:val="es-ES_tradnl"/>
        </w:rPr>
        <w:t xml:space="preserve">Reformas a favor de la seguridad </w:t>
      </w:r>
      <w:proofErr w:type="spellStart"/>
      <w:r>
        <w:rPr>
          <w:b/>
          <w:bCs/>
          <w:color w:val="000000"/>
          <w:szCs w:val="25"/>
          <w:lang w:val="es-ES_tradnl"/>
        </w:rPr>
        <w:t>alimentaria</w:t>
      </w:r>
      <w:proofErr w:type="spellEnd"/>
    </w:p>
    <w:p w:rsidR="00000000" w:rsidRDefault="00000000">
      <w:pPr>
        <w:shd w:val="clear" w:color="auto" w:fill="FFFFFF"/>
        <w:spacing w:after="240"/>
        <w:ind w:left="38" w:right="19"/>
      </w:pPr>
      <w:r>
        <w:rPr>
          <w:color w:val="000000"/>
          <w:szCs w:val="25"/>
          <w:lang w:val="es-ES_tradnl"/>
        </w:rPr>
        <w:t>334.</w:t>
      </w:r>
      <w:r>
        <w:rPr>
          <w:color w:val="000000"/>
          <w:szCs w:val="25"/>
          <w:lang w:val="es-ES_tradnl"/>
        </w:rPr>
        <w:tab/>
        <w:t>Las leyes de reforma agraria en el sector agrario ecuatoriano, y en especial en el sector rural, siempre se han encontrado en una situación de retraso respecto a los otros sectores de la economía nacional, producto, entre otras muchas razones, de la defectuosa estructura de distribución, tenencia y uso de la tierra.</w:t>
      </w:r>
    </w:p>
    <w:p w:rsidR="00000000" w:rsidRDefault="00000000">
      <w:pPr>
        <w:shd w:val="clear" w:color="auto" w:fill="FFFFFF"/>
        <w:spacing w:after="240"/>
        <w:ind w:left="38" w:right="19"/>
      </w:pPr>
      <w:r>
        <w:rPr>
          <w:color w:val="000000"/>
          <w:szCs w:val="25"/>
        </w:rPr>
        <w:t>335.</w:t>
      </w:r>
      <w:r>
        <w:rPr>
          <w:color w:val="000000"/>
          <w:szCs w:val="25"/>
        </w:rPr>
        <w:tab/>
      </w:r>
      <w:r>
        <w:rPr>
          <w:color w:val="000000"/>
          <w:szCs w:val="25"/>
          <w:lang w:val="es-ES_tradnl"/>
        </w:rPr>
        <w:t>En este marco, en 1964 se expide la primera Ley de reforma agraria con el propósito de transformar la estructura social y económica del sector rural para lograr el desarrollo socioeconómico de la agricultura ecuatoriana, mediante la modernización de las relaciones de producción con la liquidación del trabajo precario y la introducción de las nuevas formas de producción.</w:t>
      </w:r>
    </w:p>
    <w:p w:rsidR="00000000" w:rsidRDefault="00000000">
      <w:pPr>
        <w:shd w:val="clear" w:color="auto" w:fill="FFFFFF"/>
        <w:spacing w:after="240"/>
        <w:ind w:left="38" w:right="19"/>
        <w:rPr>
          <w:color w:val="000000"/>
          <w:szCs w:val="25"/>
          <w:lang w:val="es-ES_tradnl"/>
        </w:rPr>
      </w:pPr>
      <w:r>
        <w:rPr>
          <w:color w:val="000000"/>
          <w:szCs w:val="25"/>
          <w:lang w:val="es-ES_tradnl"/>
        </w:rPr>
        <w:t>336.</w:t>
      </w:r>
      <w:r>
        <w:rPr>
          <w:color w:val="000000"/>
          <w:szCs w:val="25"/>
          <w:lang w:val="es-ES_tradnl"/>
        </w:rPr>
        <w:tab/>
        <w:t>Esta política, como es lógico, fue atentatoria a los intereses de los latifundistas, cuyas presiones y medidas de evasión en un contexto legal válido casi anularon los esfuerzos realizados para lograr una adecuada reforma en la tenencia y uso de la tierra.</w:t>
      </w:r>
    </w:p>
    <w:p w:rsidR="00000000" w:rsidRDefault="00000000">
      <w:pPr>
        <w:shd w:val="clear" w:color="auto" w:fill="FFFFFF"/>
        <w:spacing w:after="240"/>
        <w:ind w:left="38" w:right="19"/>
      </w:pPr>
      <w:r>
        <w:rPr>
          <w:color w:val="000000"/>
          <w:szCs w:val="25"/>
          <w:lang w:val="es-ES_tradnl"/>
        </w:rPr>
        <w:t>337.</w:t>
      </w:r>
      <w:r>
        <w:rPr>
          <w:color w:val="000000"/>
          <w:szCs w:val="25"/>
          <w:lang w:val="es-ES_tradnl"/>
        </w:rPr>
        <w:tab/>
        <w:t>En 1973 se expide la segunda Ley de reforma agraria con un enfoque más avanzado que entiende el problema no únicamente como una mera distribución de tierra sino que lo asume en forma integral como "un proceso de cambio gradual y ordenado de la estructura agraria en los aspectos económico, social, cultural y político".  Por tal razón, la ley incluyó cambios en diferentes aspectos de orden jurídico, sobre todo en lo que respecta al derecho de propiedad, la afectación, las causas de expropiación, la forma de establecer el precio de las expropiaciones y otros procedimientos administrativos.</w:t>
      </w:r>
    </w:p>
    <w:p w:rsidR="00000000" w:rsidRDefault="00000000">
      <w:pPr>
        <w:shd w:val="clear" w:color="auto" w:fill="FFFFFF"/>
        <w:spacing w:after="240"/>
        <w:ind w:left="38" w:right="19"/>
      </w:pPr>
      <w:r>
        <w:rPr>
          <w:color w:val="000000"/>
          <w:szCs w:val="25"/>
          <w:lang w:val="es-ES_tradnl"/>
        </w:rPr>
        <w:t>338.</w:t>
      </w:r>
      <w:r>
        <w:rPr>
          <w:color w:val="000000"/>
          <w:szCs w:val="25"/>
          <w:lang w:val="es-ES_tradnl"/>
        </w:rPr>
        <w:tab/>
        <w:t>Durante aproximadamente 30 años de existencia, el Instituto Ecuatoriano de Reforma Agraria y Colonización (</w:t>
      </w:r>
      <w:proofErr w:type="spellStart"/>
      <w:r>
        <w:rPr>
          <w:color w:val="000000"/>
          <w:szCs w:val="25"/>
          <w:lang w:val="es-ES_tradnl"/>
        </w:rPr>
        <w:t>IERAC</w:t>
      </w:r>
      <w:proofErr w:type="spellEnd"/>
      <w:r>
        <w:rPr>
          <w:color w:val="000000"/>
          <w:szCs w:val="25"/>
          <w:lang w:val="es-ES_tradnl"/>
        </w:rPr>
        <w:t>) fue el órgano ejecutor de dicha ley y quien materializó la política de reforma agraria, a través de Programas de Reforma Agraria y Colonización que entregaron hasta 1992 7.193.366,18 ha a 211.058 familias, con un promedio de 34,06 ha por familia.</w:t>
      </w:r>
    </w:p>
    <w:p w:rsidR="00000000" w:rsidRDefault="00000000">
      <w:pPr>
        <w:shd w:val="clear" w:color="auto" w:fill="FFFFFF"/>
        <w:spacing w:after="240"/>
        <w:jc w:val="center"/>
      </w:pPr>
      <w:r>
        <w:rPr>
          <w:b/>
          <w:bCs/>
          <w:color w:val="000000"/>
          <w:szCs w:val="21"/>
          <w:lang w:val="es-ES_tradnl"/>
        </w:rPr>
        <w:t>Tierras adjudicadas por colonización y reforma agraria según</w:t>
      </w:r>
      <w:r>
        <w:rPr>
          <w:b/>
          <w:bCs/>
          <w:color w:val="000000"/>
          <w:szCs w:val="21"/>
          <w:lang w:val="es-ES_tradnl"/>
        </w:rPr>
        <w:br/>
        <w:t>regiones del Ecuador.  Período 1926-1992</w:t>
      </w:r>
    </w:p>
    <w:p w:rsidR="00000000" w:rsidRDefault="00000000">
      <w:pPr>
        <w:shd w:val="clear" w:color="auto" w:fill="FFFFFF"/>
        <w:spacing w:after="240"/>
        <w:jc w:val="center"/>
      </w:pPr>
      <w:r>
        <w:rPr>
          <w:b/>
          <w:bCs/>
          <w:color w:val="000000"/>
          <w:szCs w:val="21"/>
          <w:lang w:val="es-ES_tradnl"/>
        </w:rPr>
        <w:t>(En hectáreas)</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890"/>
        <w:gridCol w:w="1890"/>
        <w:gridCol w:w="1890"/>
      </w:tblGrid>
      <w:tr w:rsidR="00000000">
        <w:tblPrEx>
          <w:tblCellMar>
            <w:top w:w="0" w:type="dxa"/>
            <w:bottom w:w="0" w:type="dxa"/>
          </w:tblCellMar>
        </w:tblPrEx>
        <w:tc>
          <w:tcPr>
            <w:tcW w:w="2340" w:type="dxa"/>
            <w:vAlign w:val="center"/>
          </w:tcPr>
          <w:p w:rsidR="00000000" w:rsidRDefault="00000000">
            <w:pPr>
              <w:ind w:right="6"/>
              <w:jc w:val="center"/>
              <w:rPr>
                <w:color w:val="000000"/>
                <w:szCs w:val="25"/>
                <w:lang w:val="es-ES_tradnl"/>
              </w:rPr>
            </w:pPr>
            <w:r>
              <w:rPr>
                <w:color w:val="000000"/>
                <w:szCs w:val="25"/>
                <w:lang w:val="es-ES_tradnl"/>
              </w:rPr>
              <w:t>Región</w:t>
            </w:r>
          </w:p>
        </w:tc>
        <w:tc>
          <w:tcPr>
            <w:tcW w:w="1890" w:type="dxa"/>
            <w:vAlign w:val="center"/>
          </w:tcPr>
          <w:p w:rsidR="00000000" w:rsidRDefault="00000000">
            <w:pPr>
              <w:ind w:right="6"/>
              <w:jc w:val="center"/>
              <w:rPr>
                <w:color w:val="000000"/>
                <w:szCs w:val="25"/>
                <w:lang w:val="es-ES_tradnl"/>
              </w:rPr>
            </w:pPr>
            <w:r>
              <w:rPr>
                <w:color w:val="000000"/>
                <w:szCs w:val="25"/>
                <w:lang w:val="es-ES_tradnl"/>
              </w:rPr>
              <w:t>Colonización</w:t>
            </w:r>
          </w:p>
        </w:tc>
        <w:tc>
          <w:tcPr>
            <w:tcW w:w="1890" w:type="dxa"/>
            <w:vAlign w:val="center"/>
          </w:tcPr>
          <w:p w:rsidR="00000000" w:rsidRDefault="00000000">
            <w:pPr>
              <w:ind w:right="6"/>
              <w:jc w:val="center"/>
              <w:rPr>
                <w:color w:val="000000"/>
                <w:szCs w:val="25"/>
                <w:lang w:val="es-ES_tradnl"/>
              </w:rPr>
            </w:pPr>
            <w:r>
              <w:rPr>
                <w:color w:val="000000"/>
                <w:szCs w:val="25"/>
                <w:lang w:val="es-ES_tradnl"/>
              </w:rPr>
              <w:t>Reforma agraria</w:t>
            </w:r>
          </w:p>
        </w:tc>
        <w:tc>
          <w:tcPr>
            <w:tcW w:w="1890" w:type="dxa"/>
            <w:vAlign w:val="center"/>
          </w:tcPr>
          <w:p w:rsidR="00000000" w:rsidRDefault="00000000">
            <w:pPr>
              <w:ind w:right="6"/>
              <w:jc w:val="center"/>
              <w:rPr>
                <w:color w:val="000000"/>
                <w:szCs w:val="25"/>
                <w:lang w:val="es-ES_tradnl"/>
              </w:rPr>
            </w:pPr>
            <w:r>
              <w:rPr>
                <w:color w:val="000000"/>
                <w:szCs w:val="25"/>
                <w:lang w:val="es-ES_tradnl"/>
              </w:rPr>
              <w:t>Total general</w:t>
            </w:r>
          </w:p>
        </w:tc>
      </w:tr>
      <w:tr w:rsidR="00000000">
        <w:tblPrEx>
          <w:tblCellMar>
            <w:top w:w="0" w:type="dxa"/>
            <w:bottom w:w="0" w:type="dxa"/>
          </w:tblCellMar>
        </w:tblPrEx>
        <w:tc>
          <w:tcPr>
            <w:tcW w:w="2340" w:type="dxa"/>
          </w:tcPr>
          <w:p w:rsidR="00000000" w:rsidRDefault="00000000">
            <w:pPr>
              <w:ind w:right="6"/>
              <w:rPr>
                <w:color w:val="000000"/>
                <w:szCs w:val="25"/>
                <w:lang w:val="es-ES_tradnl"/>
              </w:rPr>
            </w:pPr>
            <w:r>
              <w:rPr>
                <w:color w:val="000000"/>
                <w:szCs w:val="25"/>
                <w:lang w:val="es-ES_tradnl"/>
              </w:rPr>
              <w:t>Sierra</w:t>
            </w:r>
          </w:p>
        </w:tc>
        <w:tc>
          <w:tcPr>
            <w:tcW w:w="1890" w:type="dxa"/>
            <w:vAlign w:val="bottom"/>
          </w:tcPr>
          <w:p w:rsidR="00000000" w:rsidRDefault="00000000">
            <w:pPr>
              <w:ind w:right="6"/>
              <w:jc w:val="right"/>
              <w:rPr>
                <w:color w:val="000000"/>
                <w:szCs w:val="25"/>
                <w:lang w:val="es-ES_tradnl"/>
              </w:rPr>
            </w:pPr>
            <w:r>
              <w:rPr>
                <w:color w:val="000000"/>
                <w:szCs w:val="21"/>
                <w:lang w:val="es-ES_tradnl"/>
              </w:rPr>
              <w:t>657.766,39</w:t>
            </w:r>
          </w:p>
        </w:tc>
        <w:tc>
          <w:tcPr>
            <w:tcW w:w="1890" w:type="dxa"/>
            <w:vAlign w:val="bottom"/>
          </w:tcPr>
          <w:p w:rsidR="00000000" w:rsidRDefault="00000000">
            <w:pPr>
              <w:ind w:right="6"/>
              <w:jc w:val="right"/>
              <w:rPr>
                <w:color w:val="000000"/>
                <w:szCs w:val="25"/>
                <w:lang w:val="es-ES_tradnl"/>
              </w:rPr>
            </w:pPr>
            <w:r>
              <w:rPr>
                <w:color w:val="000000"/>
                <w:szCs w:val="21"/>
                <w:lang w:val="es-ES_tradnl"/>
              </w:rPr>
              <w:t>625.618,21</w:t>
            </w:r>
          </w:p>
        </w:tc>
        <w:tc>
          <w:tcPr>
            <w:tcW w:w="1890" w:type="dxa"/>
            <w:vAlign w:val="bottom"/>
          </w:tcPr>
          <w:p w:rsidR="00000000" w:rsidRDefault="00000000">
            <w:pPr>
              <w:ind w:right="6"/>
              <w:jc w:val="right"/>
              <w:rPr>
                <w:color w:val="000000"/>
                <w:szCs w:val="25"/>
                <w:lang w:val="es-ES_tradnl"/>
              </w:rPr>
            </w:pPr>
            <w:r>
              <w:rPr>
                <w:color w:val="000000"/>
                <w:szCs w:val="21"/>
                <w:lang w:val="es-ES_tradnl"/>
              </w:rPr>
              <w:t>1.283.384,60</w:t>
            </w:r>
          </w:p>
        </w:tc>
      </w:tr>
      <w:tr w:rsidR="00000000">
        <w:tblPrEx>
          <w:tblCellMar>
            <w:top w:w="0" w:type="dxa"/>
            <w:bottom w:w="0" w:type="dxa"/>
          </w:tblCellMar>
        </w:tblPrEx>
        <w:tc>
          <w:tcPr>
            <w:tcW w:w="2340" w:type="dxa"/>
          </w:tcPr>
          <w:p w:rsidR="00000000" w:rsidRDefault="00000000">
            <w:pPr>
              <w:ind w:right="6"/>
              <w:rPr>
                <w:color w:val="000000"/>
                <w:szCs w:val="25"/>
                <w:lang w:val="es-ES_tradnl"/>
              </w:rPr>
            </w:pPr>
            <w:r>
              <w:rPr>
                <w:color w:val="000000"/>
                <w:szCs w:val="25"/>
                <w:lang w:val="es-ES_tradnl"/>
              </w:rPr>
              <w:t>Costa</w:t>
            </w:r>
          </w:p>
        </w:tc>
        <w:tc>
          <w:tcPr>
            <w:tcW w:w="1890" w:type="dxa"/>
            <w:vAlign w:val="bottom"/>
          </w:tcPr>
          <w:p w:rsidR="00000000" w:rsidRDefault="00000000">
            <w:pPr>
              <w:ind w:right="6"/>
              <w:jc w:val="right"/>
              <w:rPr>
                <w:color w:val="000000"/>
                <w:szCs w:val="25"/>
                <w:lang w:val="es-ES_tradnl"/>
              </w:rPr>
            </w:pPr>
            <w:r>
              <w:rPr>
                <w:color w:val="000000"/>
                <w:szCs w:val="21"/>
                <w:lang w:val="es-ES_tradnl"/>
              </w:rPr>
              <w:t>869.289,79</w:t>
            </w:r>
          </w:p>
        </w:tc>
        <w:tc>
          <w:tcPr>
            <w:tcW w:w="1890" w:type="dxa"/>
            <w:vAlign w:val="bottom"/>
          </w:tcPr>
          <w:p w:rsidR="00000000" w:rsidRDefault="00000000">
            <w:pPr>
              <w:ind w:right="6"/>
              <w:jc w:val="right"/>
              <w:rPr>
                <w:color w:val="000000"/>
                <w:szCs w:val="25"/>
                <w:lang w:val="es-ES_tradnl"/>
              </w:rPr>
            </w:pPr>
            <w:r>
              <w:rPr>
                <w:color w:val="000000"/>
                <w:szCs w:val="21"/>
                <w:lang w:val="es-ES_tradnl"/>
              </w:rPr>
              <w:t>505.566,55</w:t>
            </w:r>
          </w:p>
        </w:tc>
        <w:tc>
          <w:tcPr>
            <w:tcW w:w="1890" w:type="dxa"/>
            <w:vAlign w:val="bottom"/>
          </w:tcPr>
          <w:p w:rsidR="00000000" w:rsidRDefault="00000000">
            <w:pPr>
              <w:ind w:right="6"/>
              <w:jc w:val="right"/>
              <w:rPr>
                <w:color w:val="000000"/>
                <w:szCs w:val="25"/>
                <w:lang w:val="es-ES_tradnl"/>
              </w:rPr>
            </w:pPr>
            <w:r>
              <w:rPr>
                <w:color w:val="000000"/>
                <w:szCs w:val="21"/>
                <w:lang w:val="es-ES_tradnl"/>
              </w:rPr>
              <w:t>1.374.846,34</w:t>
            </w:r>
          </w:p>
        </w:tc>
      </w:tr>
      <w:tr w:rsidR="00000000">
        <w:tblPrEx>
          <w:tblCellMar>
            <w:top w:w="0" w:type="dxa"/>
            <w:bottom w:w="0" w:type="dxa"/>
          </w:tblCellMar>
        </w:tblPrEx>
        <w:tc>
          <w:tcPr>
            <w:tcW w:w="2340" w:type="dxa"/>
          </w:tcPr>
          <w:p w:rsidR="00000000" w:rsidRDefault="00000000">
            <w:pPr>
              <w:ind w:right="6"/>
              <w:rPr>
                <w:color w:val="000000"/>
                <w:szCs w:val="25"/>
                <w:lang w:val="es-ES_tradnl"/>
              </w:rPr>
            </w:pPr>
            <w:r>
              <w:rPr>
                <w:color w:val="000000"/>
                <w:szCs w:val="25"/>
                <w:lang w:val="es-ES_tradnl"/>
              </w:rPr>
              <w:t>Oriente</w:t>
            </w:r>
          </w:p>
        </w:tc>
        <w:tc>
          <w:tcPr>
            <w:tcW w:w="1890" w:type="dxa"/>
            <w:vAlign w:val="bottom"/>
          </w:tcPr>
          <w:p w:rsidR="00000000" w:rsidRDefault="00000000">
            <w:pPr>
              <w:ind w:right="6"/>
              <w:jc w:val="right"/>
              <w:rPr>
                <w:color w:val="000000"/>
                <w:szCs w:val="25"/>
                <w:lang w:val="es-ES_tradnl"/>
              </w:rPr>
            </w:pPr>
            <w:r>
              <w:rPr>
                <w:color w:val="000000"/>
                <w:szCs w:val="21"/>
                <w:lang w:val="es-ES_tradnl"/>
              </w:rPr>
              <w:t>1.812.481,50</w:t>
            </w:r>
          </w:p>
        </w:tc>
        <w:tc>
          <w:tcPr>
            <w:tcW w:w="1890" w:type="dxa"/>
            <w:vAlign w:val="bottom"/>
          </w:tcPr>
          <w:p w:rsidR="00000000" w:rsidRDefault="00000000">
            <w:pPr>
              <w:ind w:right="6"/>
              <w:jc w:val="right"/>
              <w:rPr>
                <w:color w:val="000000"/>
                <w:szCs w:val="25"/>
                <w:lang w:val="es-ES_tradnl"/>
              </w:rPr>
            </w:pPr>
            <w:r>
              <w:rPr>
                <w:color w:val="000000"/>
                <w:szCs w:val="21"/>
                <w:lang w:val="es-ES_tradnl"/>
              </w:rPr>
              <w:t>2.722.653,74</w:t>
            </w:r>
          </w:p>
        </w:tc>
        <w:tc>
          <w:tcPr>
            <w:tcW w:w="1890" w:type="dxa"/>
            <w:vAlign w:val="bottom"/>
          </w:tcPr>
          <w:p w:rsidR="00000000" w:rsidRDefault="00000000">
            <w:pPr>
              <w:ind w:right="6"/>
              <w:jc w:val="right"/>
              <w:rPr>
                <w:color w:val="000000"/>
                <w:szCs w:val="25"/>
                <w:lang w:val="es-ES_tradnl"/>
              </w:rPr>
            </w:pPr>
            <w:r>
              <w:rPr>
                <w:color w:val="000000"/>
                <w:szCs w:val="21"/>
                <w:lang w:val="es-ES_tradnl"/>
              </w:rPr>
              <w:t>4.535.135,24</w:t>
            </w:r>
          </w:p>
        </w:tc>
      </w:tr>
      <w:tr w:rsidR="00000000">
        <w:tblPrEx>
          <w:tblCellMar>
            <w:top w:w="0" w:type="dxa"/>
            <w:bottom w:w="0" w:type="dxa"/>
          </w:tblCellMar>
        </w:tblPrEx>
        <w:tc>
          <w:tcPr>
            <w:tcW w:w="2340" w:type="dxa"/>
          </w:tcPr>
          <w:p w:rsidR="00000000" w:rsidRDefault="00000000">
            <w:pPr>
              <w:ind w:left="246" w:right="6"/>
              <w:rPr>
                <w:color w:val="000000"/>
                <w:szCs w:val="25"/>
                <w:lang w:val="es-ES_tradnl"/>
              </w:rPr>
            </w:pPr>
            <w:r>
              <w:rPr>
                <w:color w:val="000000"/>
                <w:szCs w:val="25"/>
                <w:lang w:val="es-ES_tradnl"/>
              </w:rPr>
              <w:t>Total</w:t>
            </w:r>
          </w:p>
        </w:tc>
        <w:tc>
          <w:tcPr>
            <w:tcW w:w="1890" w:type="dxa"/>
            <w:vAlign w:val="bottom"/>
          </w:tcPr>
          <w:p w:rsidR="00000000" w:rsidRDefault="00000000">
            <w:pPr>
              <w:ind w:right="6"/>
              <w:jc w:val="right"/>
              <w:rPr>
                <w:color w:val="000000"/>
                <w:szCs w:val="25"/>
                <w:lang w:val="es-ES_tradnl"/>
              </w:rPr>
            </w:pPr>
            <w:r>
              <w:rPr>
                <w:color w:val="000000"/>
                <w:szCs w:val="21"/>
                <w:lang w:val="es-ES_tradnl"/>
              </w:rPr>
              <w:t>3.339.537,68</w:t>
            </w:r>
          </w:p>
        </w:tc>
        <w:tc>
          <w:tcPr>
            <w:tcW w:w="1890" w:type="dxa"/>
            <w:vAlign w:val="bottom"/>
          </w:tcPr>
          <w:p w:rsidR="00000000" w:rsidRDefault="00000000">
            <w:pPr>
              <w:ind w:right="6"/>
              <w:jc w:val="right"/>
              <w:rPr>
                <w:color w:val="000000"/>
                <w:szCs w:val="25"/>
                <w:lang w:val="es-ES_tradnl"/>
              </w:rPr>
            </w:pPr>
            <w:r>
              <w:rPr>
                <w:color w:val="000000"/>
                <w:szCs w:val="21"/>
                <w:lang w:val="es-ES_tradnl"/>
              </w:rPr>
              <w:t>3.853.828,50</w:t>
            </w:r>
          </w:p>
        </w:tc>
        <w:tc>
          <w:tcPr>
            <w:tcW w:w="1890" w:type="dxa"/>
            <w:vAlign w:val="bottom"/>
          </w:tcPr>
          <w:p w:rsidR="00000000" w:rsidRDefault="00000000">
            <w:pPr>
              <w:ind w:right="6"/>
              <w:jc w:val="right"/>
              <w:rPr>
                <w:color w:val="000000"/>
                <w:szCs w:val="25"/>
                <w:lang w:val="es-ES_tradnl"/>
              </w:rPr>
            </w:pPr>
            <w:r>
              <w:rPr>
                <w:color w:val="000000"/>
                <w:szCs w:val="21"/>
                <w:lang w:val="es-ES_tradnl"/>
              </w:rPr>
              <w:t>7.193.366,18</w:t>
            </w:r>
          </w:p>
        </w:tc>
      </w:tr>
    </w:tbl>
    <w:p w:rsidR="00000000" w:rsidRDefault="00000000">
      <w:pPr>
        <w:shd w:val="clear" w:color="auto" w:fill="FFFFFF"/>
        <w:tabs>
          <w:tab w:val="left" w:pos="720"/>
        </w:tabs>
        <w:spacing w:before="240" w:after="480"/>
        <w:ind w:left="23" w:right="6"/>
        <w:rPr>
          <w:color w:val="000000"/>
          <w:szCs w:val="25"/>
          <w:lang w:val="es-ES_tradnl"/>
        </w:rPr>
      </w:pPr>
      <w:r>
        <w:rPr>
          <w:i/>
          <w:iCs/>
          <w:color w:val="000000"/>
          <w:szCs w:val="25"/>
          <w:lang w:val="es-ES_tradnl"/>
        </w:rPr>
        <w:tab/>
        <w:t>Fuente</w:t>
      </w:r>
      <w:r>
        <w:rPr>
          <w:color w:val="000000"/>
          <w:szCs w:val="25"/>
          <w:lang w:val="es-ES_tradnl"/>
        </w:rPr>
        <w:t>:  INDA, Informe general, 1998.</w:t>
      </w:r>
    </w:p>
    <w:p w:rsidR="00000000" w:rsidRDefault="00000000">
      <w:pPr>
        <w:shd w:val="clear" w:color="auto" w:fill="FFFFFF"/>
        <w:spacing w:after="240"/>
        <w:ind w:left="24" w:right="5"/>
      </w:pPr>
      <w:r>
        <w:rPr>
          <w:color w:val="000000"/>
          <w:szCs w:val="25"/>
          <w:lang w:val="es-ES_tradnl"/>
        </w:rPr>
        <w:t>339.</w:t>
      </w:r>
      <w:r>
        <w:rPr>
          <w:color w:val="000000"/>
          <w:szCs w:val="25"/>
          <w:lang w:val="es-ES_tradnl"/>
        </w:rPr>
        <w:tab/>
        <w:t>Sin embargo, los resultados de la reforma agraria han sido polémicos.  Estudios de evaluación realizados por el Consejo Nacional de Desarrollo (CONADE)</w:t>
      </w:r>
      <w:r>
        <w:rPr>
          <w:rStyle w:val="FootnoteReference"/>
          <w:color w:val="000000"/>
          <w:szCs w:val="25"/>
          <w:lang w:val="es-ES_tradnl"/>
        </w:rPr>
        <w:footnoteReference w:id="47"/>
      </w:r>
      <w:r>
        <w:rPr>
          <w:color w:val="000000"/>
          <w:szCs w:val="25"/>
          <w:lang w:val="es-ES_tradnl"/>
        </w:rPr>
        <w:t xml:space="preserve"> en 1977 estiman que, después de un proceso de 30 años:  el 22,2% de la superficie está ocupado por predios que oscilan entre 0,1 y 9 ha, con un apreciable porcentaje de predios inferiores a 1 ha; el 26,4% está constituido por unidades productivas que van de 10 a 49 ha, y el 2,6% de los predios entre 50 y 500 ha ocupan el 51,3% de la superficie, lo que indica un bajo índice en la transferencia de la tenencia de la tierra y a un costo muy alto.</w:t>
      </w:r>
    </w:p>
    <w:p w:rsidR="00000000" w:rsidRDefault="00000000">
      <w:pPr>
        <w:shd w:val="clear" w:color="auto" w:fill="FFFFFF"/>
        <w:spacing w:after="240"/>
        <w:ind w:left="24" w:right="5"/>
      </w:pPr>
      <w:r>
        <w:rPr>
          <w:color w:val="000000"/>
          <w:szCs w:val="25"/>
        </w:rPr>
        <w:t>340.</w:t>
      </w:r>
      <w:r>
        <w:rPr>
          <w:color w:val="000000"/>
          <w:szCs w:val="25"/>
        </w:rPr>
        <w:tab/>
      </w:r>
      <w:r>
        <w:rPr>
          <w:color w:val="000000"/>
          <w:szCs w:val="25"/>
          <w:lang w:val="es-ES_tradnl"/>
        </w:rPr>
        <w:t xml:space="preserve">En efecto, con la aplicación de esta ley, en el país no se logró terminar con la injusticia y menos aún con los conflictos sociales en el agro.  Únicamente se pudieron eliminar las formas precarias de producción, pero los campesinos, en su mayoría indígenas, que accedieron a pequeñas parcelas de tierra (minifundios) en las zonas marginales y de las peores características </w:t>
      </w:r>
      <w:proofErr w:type="spellStart"/>
      <w:r>
        <w:rPr>
          <w:color w:val="000000"/>
          <w:szCs w:val="25"/>
          <w:lang w:val="es-ES_tradnl"/>
        </w:rPr>
        <w:t>agroecológicas</w:t>
      </w:r>
      <w:proofErr w:type="spellEnd"/>
      <w:r>
        <w:rPr>
          <w:color w:val="000000"/>
          <w:szCs w:val="25"/>
          <w:lang w:val="es-ES_tradnl"/>
        </w:rPr>
        <w:t xml:space="preserve"> (breñas de los montes, laderas y riscos de las montañas) de las grandes haciendas, no dispusieron, al mismo tiempo, de tecnología, capacitación, créditos, ni de caminos vecinales que les permitieran elevar el nivel de producción y productividad de sus bienes agropecuarios fundamentales, y por ende cambiar las condiciones de vida suyas ni de sus familias, acentuándose con ello el problema de la marginalidad y pobreza de la población rural.  Es preciso indicar que aproximadamente el 60% de los productores se ubican en este estrato.</w:t>
      </w:r>
    </w:p>
    <w:p w:rsidR="00000000" w:rsidRDefault="00000000">
      <w:pPr>
        <w:shd w:val="clear" w:color="auto" w:fill="FFFFFF"/>
        <w:spacing w:after="240"/>
        <w:ind w:left="24" w:right="5"/>
      </w:pPr>
      <w:r>
        <w:rPr>
          <w:color w:val="000000"/>
          <w:szCs w:val="25"/>
          <w:lang w:val="es-ES_tradnl"/>
        </w:rPr>
        <w:t>341.</w:t>
      </w:r>
      <w:r>
        <w:rPr>
          <w:color w:val="000000"/>
          <w:szCs w:val="25"/>
          <w:lang w:val="es-ES_tradnl"/>
        </w:rPr>
        <w:tab/>
        <w:t>La población negra en el país sigue siendo excluida y no ha sido beneficiada por el proceso de reforma agraria.  Uno de sus mayores problemas es la propiedad de los medios de producción.  El acceso a la tenencia de la tierra ha provocado en la última década un importante movimiento migratorio hacia las grandes ciudades, Quito y Guayaquil, donde han llegado a conformar una serie de barrios urbanos marginales, en donde su situación respecto a sus lugares de origen no ha mejorado pues en algunos casos ha empeorado.  Son elevados los niveles de pobreza y malnutrición en que desarrollan sus actividades y los gobiernos no han hecho nada por revertir esta tendencia.</w:t>
      </w:r>
    </w:p>
    <w:p w:rsidR="00000000" w:rsidRDefault="00000000">
      <w:pPr>
        <w:shd w:val="clear" w:color="auto" w:fill="FFFFFF"/>
        <w:spacing w:after="240"/>
        <w:ind w:left="24" w:right="5"/>
      </w:pPr>
      <w:r>
        <w:rPr>
          <w:color w:val="000000"/>
          <w:szCs w:val="25"/>
          <w:lang w:val="es-ES_tradnl"/>
        </w:rPr>
        <w:t>342.</w:t>
      </w:r>
      <w:r>
        <w:rPr>
          <w:color w:val="000000"/>
          <w:szCs w:val="25"/>
          <w:lang w:val="es-ES_tradnl"/>
        </w:rPr>
        <w:tab/>
        <w:t>Por otra parte, la reforma agraria también tuvo otros efectos:  el principal de ellos fue la transformación de tierras agrícolas en pastizales y bosques, como un mecanismo de defensa de los latifundistas, puesto que según la ley la superficie dedicada a pastizales y bosques no era sujeto de afectación.</w:t>
      </w:r>
    </w:p>
    <w:p w:rsidR="00000000" w:rsidRDefault="00000000">
      <w:pPr>
        <w:shd w:val="clear" w:color="auto" w:fill="FFFFFF"/>
        <w:spacing w:after="240"/>
        <w:ind w:left="24" w:right="5"/>
      </w:pPr>
      <w:r>
        <w:rPr>
          <w:color w:val="000000"/>
          <w:szCs w:val="25"/>
        </w:rPr>
        <w:t>343.</w:t>
      </w:r>
      <w:r>
        <w:rPr>
          <w:color w:val="000000"/>
          <w:szCs w:val="25"/>
        </w:rPr>
        <w:tab/>
      </w:r>
      <w:r>
        <w:rPr>
          <w:color w:val="000000"/>
          <w:szCs w:val="25"/>
          <w:lang w:val="es-ES_tradnl"/>
        </w:rPr>
        <w:t xml:space="preserve">Había necesidad de un cambio hacia el desarrollo agrario.  Producto de esa necesidad de fomentar el desarrollo integral del sector agrario, el 14 de marzo de 1994 se expide la Ley de desarrollo agrario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461, conocida como la Ley </w:t>
      </w:r>
      <w:proofErr w:type="spellStart"/>
      <w:r>
        <w:rPr>
          <w:color w:val="000000"/>
          <w:szCs w:val="25"/>
          <w:lang w:val="es-ES_tradnl"/>
        </w:rPr>
        <w:t>Nº</w:t>
      </w:r>
      <w:proofErr w:type="spellEnd"/>
      <w:r>
        <w:rPr>
          <w:color w:val="000000"/>
          <w:szCs w:val="25"/>
          <w:lang w:val="es-ES_tradnl"/>
        </w:rPr>
        <w:t> 54, propugnando la modernización del sector agropecuario.</w:t>
      </w:r>
    </w:p>
    <w:p w:rsidR="00000000" w:rsidRDefault="00000000">
      <w:pPr>
        <w:shd w:val="clear" w:color="auto" w:fill="FFFFFF"/>
        <w:spacing w:after="240"/>
        <w:ind w:left="24" w:right="5"/>
      </w:pPr>
      <w:r>
        <w:rPr>
          <w:color w:val="000000"/>
          <w:szCs w:val="25"/>
          <w:lang w:val="es-ES_tradnl"/>
        </w:rPr>
        <w:t>344.</w:t>
      </w:r>
      <w:r>
        <w:rPr>
          <w:color w:val="000000"/>
          <w:szCs w:val="25"/>
          <w:lang w:val="es-ES_tradnl"/>
        </w:rPr>
        <w:tab/>
        <w:t xml:space="preserve">Con la expedición de la </w:t>
      </w:r>
      <w:r>
        <w:t>Ley</w:t>
      </w:r>
      <w:r>
        <w:rPr>
          <w:color w:val="000000"/>
          <w:szCs w:val="25"/>
          <w:lang w:val="es-ES_tradnl"/>
        </w:rPr>
        <w:t xml:space="preserve"> de desarrollo agrario se extinguió el </w:t>
      </w:r>
      <w:proofErr w:type="spellStart"/>
      <w:r>
        <w:rPr>
          <w:color w:val="000000"/>
          <w:szCs w:val="25"/>
          <w:lang w:val="es-ES_tradnl"/>
        </w:rPr>
        <w:t>IERAC</w:t>
      </w:r>
      <w:proofErr w:type="spellEnd"/>
      <w:r>
        <w:rPr>
          <w:color w:val="000000"/>
          <w:szCs w:val="25"/>
          <w:lang w:val="es-ES_tradnl"/>
        </w:rPr>
        <w:t xml:space="preserve"> y se creó el Instituto de Desarrollo Agrario (INDA), como entidad pública encargada de administrar la política agraria en diferentes ámbitos:  garantizar la propiedad de la tierra, incorporar las tierras del Estado al mercado libre de tierras a través de la adjudicación, elaborar el catastro de tierras y coordinar </w:t>
      </w:r>
      <w:proofErr w:type="spellStart"/>
      <w:r>
        <w:rPr>
          <w:color w:val="000000"/>
          <w:szCs w:val="25"/>
          <w:lang w:val="es-ES_tradnl"/>
        </w:rPr>
        <w:t>interinstitucionalmente</w:t>
      </w:r>
      <w:proofErr w:type="spellEnd"/>
      <w:r>
        <w:rPr>
          <w:color w:val="000000"/>
          <w:szCs w:val="25"/>
          <w:lang w:val="es-ES_tradnl"/>
        </w:rPr>
        <w:t>.</w:t>
      </w:r>
    </w:p>
    <w:p w:rsidR="00000000" w:rsidRDefault="00000000">
      <w:pPr>
        <w:shd w:val="clear" w:color="auto" w:fill="FFFFFF"/>
        <w:spacing w:after="240"/>
        <w:ind w:left="24" w:right="5"/>
      </w:pPr>
      <w:r>
        <w:rPr>
          <w:color w:val="000000"/>
          <w:szCs w:val="25"/>
          <w:lang w:val="es-ES_tradnl"/>
        </w:rPr>
        <w:t>345.</w:t>
      </w:r>
      <w:r>
        <w:rPr>
          <w:color w:val="000000"/>
          <w:szCs w:val="25"/>
          <w:lang w:val="es-ES_tradnl"/>
        </w:rPr>
        <w:tab/>
        <w:t>Durante el proceso de transición y en los primeros años de funcionamiento del INDA no ha sido posible que los pequeños agricultores del sector rural ecuatoriano cuenten con un título de propiedad de sus tierras que les dé garantía sobre la posesión de sus terrenos y les permita acceder al crédito agrícola para mejorar y explotar eficientemente sus tierras.  Para el efecto, el INDA se ha comprometido a iniciar una nueva etapa en la que, producto de eficientes programas y proyectos, se apliquen las políticas de fomento, desarrollo y protección integrales del sector agrario, optimizando sus recursos y brindando servicios de calidad al usuario, contribuyendo de esta manera al desarrollo socioeconómico del país como se observa en el siguiente cuadro.</w:t>
      </w:r>
    </w:p>
    <w:p w:rsidR="00000000" w:rsidRDefault="00000000">
      <w:pPr>
        <w:shd w:val="clear" w:color="auto" w:fill="FFFFFF"/>
        <w:spacing w:after="240"/>
        <w:ind w:left="24" w:right="5"/>
        <w:jc w:val="center"/>
      </w:pPr>
      <w:r>
        <w:rPr>
          <w:b/>
          <w:bCs/>
          <w:color w:val="000000"/>
          <w:szCs w:val="21"/>
          <w:lang w:val="es-ES_tradnl"/>
        </w:rPr>
        <w:t xml:space="preserve">Total de títulos adjudicados, </w:t>
      </w:r>
      <w:r>
        <w:rPr>
          <w:b/>
          <w:bCs/>
          <w:color w:val="000000"/>
          <w:szCs w:val="25"/>
          <w:lang w:val="es-ES_tradnl"/>
        </w:rPr>
        <w:t>superficie</w:t>
      </w:r>
      <w:r>
        <w:rPr>
          <w:b/>
          <w:bCs/>
          <w:color w:val="000000"/>
          <w:szCs w:val="21"/>
          <w:lang w:val="es-ES_tradnl"/>
        </w:rPr>
        <w:t xml:space="preserve"> y beneficiarios</w:t>
      </w:r>
    </w:p>
    <w:p w:rsidR="00000000" w:rsidRDefault="00000000">
      <w:pPr>
        <w:shd w:val="clear" w:color="auto" w:fill="FFFFFF"/>
        <w:tabs>
          <w:tab w:val="left" w:pos="702"/>
        </w:tabs>
        <w:spacing w:after="240"/>
        <w:ind w:left="24" w:right="5"/>
        <w:jc w:val="center"/>
      </w:pPr>
      <w:r>
        <w:rPr>
          <w:b/>
          <w:bCs/>
          <w:color w:val="000000"/>
          <w:szCs w:val="21"/>
          <w:lang w:val="es-ES_tradnl"/>
        </w:rPr>
        <w:t>(En hectáreas)</w:t>
      </w:r>
    </w:p>
    <w:tbl>
      <w:tblPr>
        <w:tblW w:w="0" w:type="auto"/>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1710"/>
        <w:gridCol w:w="1530"/>
        <w:gridCol w:w="1440"/>
      </w:tblGrid>
      <w:tr w:rsidR="00000000">
        <w:tblPrEx>
          <w:tblCellMar>
            <w:top w:w="0" w:type="dxa"/>
            <w:bottom w:w="0" w:type="dxa"/>
          </w:tblCellMar>
        </w:tblPrEx>
        <w:trPr>
          <w:tblHeader/>
        </w:trPr>
        <w:tc>
          <w:tcPr>
            <w:tcW w:w="1980" w:type="dxa"/>
            <w:vAlign w:val="center"/>
          </w:tcPr>
          <w:p w:rsidR="00000000" w:rsidRDefault="00000000">
            <w:pPr>
              <w:ind w:right="6"/>
              <w:jc w:val="center"/>
              <w:rPr>
                <w:color w:val="000000"/>
                <w:szCs w:val="21"/>
                <w:lang w:val="es-ES_tradnl"/>
              </w:rPr>
            </w:pPr>
          </w:p>
        </w:tc>
        <w:tc>
          <w:tcPr>
            <w:tcW w:w="1710" w:type="dxa"/>
            <w:vAlign w:val="center"/>
          </w:tcPr>
          <w:p w:rsidR="00000000" w:rsidRDefault="00000000">
            <w:pPr>
              <w:ind w:right="6"/>
              <w:jc w:val="center"/>
              <w:rPr>
                <w:color w:val="000000"/>
                <w:szCs w:val="21"/>
                <w:lang w:val="es-ES_tradnl"/>
              </w:rPr>
            </w:pPr>
            <w:r>
              <w:rPr>
                <w:color w:val="000000"/>
                <w:szCs w:val="21"/>
                <w:lang w:val="es-ES_tradnl"/>
              </w:rPr>
              <w:t>Títulos</w:t>
            </w:r>
          </w:p>
        </w:tc>
        <w:tc>
          <w:tcPr>
            <w:tcW w:w="1530" w:type="dxa"/>
            <w:vAlign w:val="center"/>
          </w:tcPr>
          <w:p w:rsidR="00000000" w:rsidRDefault="00000000">
            <w:pPr>
              <w:ind w:right="6"/>
              <w:jc w:val="center"/>
              <w:rPr>
                <w:color w:val="000000"/>
                <w:szCs w:val="21"/>
                <w:lang w:val="es-ES_tradnl"/>
              </w:rPr>
            </w:pPr>
            <w:r>
              <w:rPr>
                <w:color w:val="000000"/>
                <w:szCs w:val="21"/>
                <w:lang w:val="es-ES_tradnl"/>
              </w:rPr>
              <w:t>Superficie</w:t>
            </w:r>
          </w:p>
        </w:tc>
        <w:tc>
          <w:tcPr>
            <w:tcW w:w="1440" w:type="dxa"/>
            <w:vAlign w:val="center"/>
          </w:tcPr>
          <w:p w:rsidR="00000000" w:rsidRDefault="00000000">
            <w:pPr>
              <w:ind w:right="6"/>
              <w:jc w:val="center"/>
              <w:rPr>
                <w:color w:val="000000"/>
                <w:szCs w:val="21"/>
                <w:lang w:val="es-ES_tradnl"/>
              </w:rPr>
            </w:pPr>
            <w:r>
              <w:rPr>
                <w:color w:val="000000"/>
                <w:szCs w:val="21"/>
                <w:lang w:val="es-ES_tradnl"/>
              </w:rPr>
              <w:t>Beneficiarios</w:t>
            </w:r>
          </w:p>
        </w:tc>
      </w:tr>
      <w:tr w:rsidR="00000000">
        <w:tblPrEx>
          <w:tblCellMar>
            <w:top w:w="0" w:type="dxa"/>
            <w:bottom w:w="0" w:type="dxa"/>
          </w:tblCellMar>
        </w:tblPrEx>
        <w:tc>
          <w:tcPr>
            <w:tcW w:w="1980" w:type="dxa"/>
          </w:tcPr>
          <w:p w:rsidR="00000000" w:rsidRDefault="00000000">
            <w:pPr>
              <w:ind w:right="6"/>
              <w:rPr>
                <w:color w:val="000000"/>
                <w:szCs w:val="21"/>
                <w:lang w:val="es-ES_tradnl"/>
              </w:rPr>
            </w:pPr>
            <w:r>
              <w:rPr>
                <w:color w:val="000000"/>
                <w:szCs w:val="21"/>
                <w:lang w:val="es-ES_tradnl"/>
              </w:rPr>
              <w:t>Sierra</w:t>
            </w:r>
          </w:p>
        </w:tc>
        <w:tc>
          <w:tcPr>
            <w:tcW w:w="1710" w:type="dxa"/>
            <w:vAlign w:val="bottom"/>
          </w:tcPr>
          <w:p w:rsidR="00000000" w:rsidRDefault="00000000">
            <w:pPr>
              <w:ind w:right="6"/>
              <w:jc w:val="right"/>
              <w:rPr>
                <w:color w:val="000000"/>
                <w:szCs w:val="21"/>
                <w:lang w:val="es-ES_tradnl"/>
              </w:rPr>
            </w:pPr>
            <w:r>
              <w:rPr>
                <w:color w:val="000000"/>
                <w:szCs w:val="21"/>
                <w:lang w:val="es-ES_tradnl"/>
              </w:rPr>
              <w:t>1.631</w:t>
            </w:r>
          </w:p>
        </w:tc>
        <w:tc>
          <w:tcPr>
            <w:tcW w:w="1530" w:type="dxa"/>
            <w:vAlign w:val="bottom"/>
          </w:tcPr>
          <w:p w:rsidR="00000000" w:rsidRDefault="00000000">
            <w:pPr>
              <w:ind w:right="6"/>
              <w:jc w:val="right"/>
              <w:rPr>
                <w:color w:val="000000"/>
                <w:szCs w:val="21"/>
                <w:lang w:val="es-ES_tradnl"/>
              </w:rPr>
            </w:pPr>
            <w:r>
              <w:rPr>
                <w:color w:val="000000"/>
                <w:szCs w:val="21"/>
                <w:lang w:val="es-ES_tradnl"/>
              </w:rPr>
              <w:t>6.775,80</w:t>
            </w:r>
          </w:p>
        </w:tc>
        <w:tc>
          <w:tcPr>
            <w:tcW w:w="1440" w:type="dxa"/>
            <w:vAlign w:val="bottom"/>
          </w:tcPr>
          <w:p w:rsidR="00000000" w:rsidRDefault="00000000">
            <w:pPr>
              <w:ind w:right="6"/>
              <w:jc w:val="right"/>
              <w:rPr>
                <w:color w:val="000000"/>
                <w:szCs w:val="21"/>
                <w:lang w:val="es-ES_tradnl"/>
              </w:rPr>
            </w:pPr>
            <w:r>
              <w:rPr>
                <w:color w:val="000000"/>
                <w:szCs w:val="21"/>
                <w:lang w:val="es-ES_tradnl"/>
              </w:rPr>
              <w:t>6.047</w:t>
            </w:r>
          </w:p>
        </w:tc>
      </w:tr>
      <w:tr w:rsidR="00000000">
        <w:tblPrEx>
          <w:tblCellMar>
            <w:top w:w="0" w:type="dxa"/>
            <w:bottom w:w="0" w:type="dxa"/>
          </w:tblCellMar>
        </w:tblPrEx>
        <w:tc>
          <w:tcPr>
            <w:tcW w:w="1980" w:type="dxa"/>
          </w:tcPr>
          <w:p w:rsidR="00000000" w:rsidRDefault="00000000">
            <w:pPr>
              <w:ind w:right="6"/>
              <w:rPr>
                <w:color w:val="000000"/>
                <w:szCs w:val="21"/>
                <w:lang w:val="es-ES_tradnl"/>
              </w:rPr>
            </w:pPr>
            <w:r>
              <w:rPr>
                <w:color w:val="000000"/>
                <w:szCs w:val="21"/>
                <w:lang w:val="es-ES_tradnl"/>
              </w:rPr>
              <w:t>Costa</w:t>
            </w:r>
          </w:p>
        </w:tc>
        <w:tc>
          <w:tcPr>
            <w:tcW w:w="1710" w:type="dxa"/>
            <w:vAlign w:val="bottom"/>
          </w:tcPr>
          <w:p w:rsidR="00000000" w:rsidRDefault="00000000">
            <w:pPr>
              <w:ind w:right="6"/>
              <w:jc w:val="right"/>
              <w:rPr>
                <w:color w:val="000000"/>
                <w:szCs w:val="21"/>
                <w:lang w:val="es-ES_tradnl"/>
              </w:rPr>
            </w:pPr>
            <w:r>
              <w:rPr>
                <w:color w:val="000000"/>
                <w:szCs w:val="21"/>
                <w:lang w:val="es-ES_tradnl"/>
              </w:rPr>
              <w:t>724</w:t>
            </w:r>
          </w:p>
        </w:tc>
        <w:tc>
          <w:tcPr>
            <w:tcW w:w="1530" w:type="dxa"/>
            <w:vAlign w:val="bottom"/>
          </w:tcPr>
          <w:p w:rsidR="00000000" w:rsidRDefault="00000000">
            <w:pPr>
              <w:ind w:right="6"/>
              <w:jc w:val="right"/>
              <w:rPr>
                <w:color w:val="000000"/>
                <w:szCs w:val="21"/>
                <w:lang w:val="es-ES_tradnl"/>
              </w:rPr>
            </w:pPr>
            <w:r>
              <w:rPr>
                <w:color w:val="000000"/>
                <w:szCs w:val="21"/>
                <w:lang w:val="es-ES_tradnl"/>
              </w:rPr>
              <w:t>16.984,80</w:t>
            </w:r>
          </w:p>
        </w:tc>
        <w:tc>
          <w:tcPr>
            <w:tcW w:w="1440" w:type="dxa"/>
            <w:vAlign w:val="bottom"/>
          </w:tcPr>
          <w:p w:rsidR="00000000" w:rsidRDefault="00000000">
            <w:pPr>
              <w:ind w:right="6"/>
              <w:jc w:val="right"/>
              <w:rPr>
                <w:color w:val="000000"/>
                <w:szCs w:val="21"/>
                <w:lang w:val="es-ES_tradnl"/>
              </w:rPr>
            </w:pPr>
            <w:r>
              <w:rPr>
                <w:color w:val="000000"/>
                <w:szCs w:val="21"/>
                <w:lang w:val="es-ES_tradnl"/>
              </w:rPr>
              <w:t>2.798</w:t>
            </w:r>
          </w:p>
        </w:tc>
      </w:tr>
      <w:tr w:rsidR="00000000">
        <w:tblPrEx>
          <w:tblCellMar>
            <w:top w:w="0" w:type="dxa"/>
            <w:bottom w:w="0" w:type="dxa"/>
          </w:tblCellMar>
        </w:tblPrEx>
        <w:tc>
          <w:tcPr>
            <w:tcW w:w="1980" w:type="dxa"/>
          </w:tcPr>
          <w:p w:rsidR="00000000" w:rsidRDefault="00000000">
            <w:pPr>
              <w:ind w:right="6"/>
              <w:rPr>
                <w:color w:val="000000"/>
                <w:szCs w:val="21"/>
                <w:lang w:val="es-ES_tradnl"/>
              </w:rPr>
            </w:pPr>
            <w:r>
              <w:rPr>
                <w:color w:val="000000"/>
                <w:szCs w:val="21"/>
                <w:lang w:val="es-ES_tradnl"/>
              </w:rPr>
              <w:t>Oriente</w:t>
            </w:r>
          </w:p>
        </w:tc>
        <w:tc>
          <w:tcPr>
            <w:tcW w:w="1710" w:type="dxa"/>
            <w:vAlign w:val="bottom"/>
          </w:tcPr>
          <w:p w:rsidR="00000000" w:rsidRDefault="00000000">
            <w:pPr>
              <w:ind w:right="6"/>
              <w:jc w:val="right"/>
              <w:rPr>
                <w:color w:val="000000"/>
                <w:szCs w:val="21"/>
                <w:lang w:val="es-ES_tradnl"/>
              </w:rPr>
            </w:pPr>
            <w:r>
              <w:rPr>
                <w:color w:val="000000"/>
                <w:szCs w:val="21"/>
                <w:lang w:val="es-ES_tradnl"/>
              </w:rPr>
              <w:t>447</w:t>
            </w:r>
          </w:p>
        </w:tc>
        <w:tc>
          <w:tcPr>
            <w:tcW w:w="1530" w:type="dxa"/>
            <w:vAlign w:val="bottom"/>
          </w:tcPr>
          <w:p w:rsidR="00000000" w:rsidRDefault="00000000">
            <w:pPr>
              <w:ind w:right="6"/>
              <w:jc w:val="right"/>
              <w:rPr>
                <w:color w:val="000000"/>
                <w:szCs w:val="21"/>
                <w:lang w:val="es-ES_tradnl"/>
              </w:rPr>
            </w:pPr>
            <w:r>
              <w:rPr>
                <w:color w:val="000000"/>
                <w:szCs w:val="21"/>
                <w:lang w:val="es-ES_tradnl"/>
              </w:rPr>
              <w:t>5.804,40</w:t>
            </w:r>
          </w:p>
        </w:tc>
        <w:tc>
          <w:tcPr>
            <w:tcW w:w="1440" w:type="dxa"/>
            <w:vAlign w:val="bottom"/>
          </w:tcPr>
          <w:p w:rsidR="00000000" w:rsidRDefault="00000000">
            <w:pPr>
              <w:ind w:right="6"/>
              <w:jc w:val="right"/>
              <w:rPr>
                <w:color w:val="000000"/>
                <w:szCs w:val="21"/>
                <w:lang w:val="es-ES_tradnl"/>
              </w:rPr>
            </w:pPr>
            <w:r>
              <w:rPr>
                <w:color w:val="000000"/>
                <w:szCs w:val="21"/>
                <w:lang w:val="es-ES_tradnl"/>
              </w:rPr>
              <w:t>1.706</w:t>
            </w:r>
          </w:p>
        </w:tc>
      </w:tr>
      <w:tr w:rsidR="00000000">
        <w:tblPrEx>
          <w:tblCellMar>
            <w:top w:w="0" w:type="dxa"/>
            <w:bottom w:w="0" w:type="dxa"/>
          </w:tblCellMar>
        </w:tblPrEx>
        <w:tc>
          <w:tcPr>
            <w:tcW w:w="1980" w:type="dxa"/>
          </w:tcPr>
          <w:p w:rsidR="00000000" w:rsidRDefault="00000000">
            <w:pPr>
              <w:tabs>
                <w:tab w:val="left" w:pos="246"/>
              </w:tabs>
              <w:ind w:right="6"/>
              <w:rPr>
                <w:color w:val="000000"/>
                <w:szCs w:val="21"/>
                <w:lang w:val="es-ES_tradnl"/>
              </w:rPr>
            </w:pPr>
            <w:r>
              <w:rPr>
                <w:color w:val="000000"/>
                <w:szCs w:val="21"/>
                <w:lang w:val="es-ES_tradnl"/>
              </w:rPr>
              <w:tab/>
              <w:t>Total</w:t>
            </w:r>
          </w:p>
        </w:tc>
        <w:tc>
          <w:tcPr>
            <w:tcW w:w="1710" w:type="dxa"/>
            <w:vAlign w:val="bottom"/>
          </w:tcPr>
          <w:p w:rsidR="00000000" w:rsidRDefault="00000000">
            <w:pPr>
              <w:ind w:right="6"/>
              <w:jc w:val="right"/>
              <w:rPr>
                <w:color w:val="000000"/>
                <w:szCs w:val="21"/>
                <w:lang w:val="es-ES_tradnl"/>
              </w:rPr>
            </w:pPr>
            <w:r>
              <w:rPr>
                <w:color w:val="000000"/>
                <w:szCs w:val="21"/>
                <w:lang w:val="es-ES_tradnl"/>
              </w:rPr>
              <w:t>2.802</w:t>
            </w:r>
          </w:p>
        </w:tc>
        <w:tc>
          <w:tcPr>
            <w:tcW w:w="1530" w:type="dxa"/>
            <w:vAlign w:val="bottom"/>
          </w:tcPr>
          <w:p w:rsidR="00000000" w:rsidRDefault="00000000">
            <w:pPr>
              <w:ind w:right="6"/>
              <w:jc w:val="right"/>
              <w:rPr>
                <w:color w:val="000000"/>
                <w:szCs w:val="21"/>
                <w:lang w:val="es-ES_tradnl"/>
              </w:rPr>
            </w:pPr>
            <w:r>
              <w:rPr>
                <w:color w:val="000000"/>
                <w:szCs w:val="21"/>
                <w:lang w:val="es-ES_tradnl"/>
              </w:rPr>
              <w:t>29.566,00</w:t>
            </w:r>
          </w:p>
        </w:tc>
        <w:tc>
          <w:tcPr>
            <w:tcW w:w="1440" w:type="dxa"/>
            <w:vAlign w:val="bottom"/>
          </w:tcPr>
          <w:p w:rsidR="00000000" w:rsidRDefault="00000000">
            <w:pPr>
              <w:ind w:right="6"/>
              <w:jc w:val="right"/>
              <w:rPr>
                <w:color w:val="000000"/>
                <w:szCs w:val="21"/>
                <w:lang w:val="es-ES_tradnl"/>
              </w:rPr>
            </w:pPr>
            <w:r>
              <w:rPr>
                <w:color w:val="000000"/>
                <w:szCs w:val="21"/>
                <w:lang w:val="es-ES_tradnl"/>
              </w:rPr>
              <w:t>10.511</w:t>
            </w:r>
          </w:p>
        </w:tc>
      </w:tr>
      <w:tr w:rsidR="00000000">
        <w:tblPrEx>
          <w:tblCellMar>
            <w:top w:w="0" w:type="dxa"/>
            <w:bottom w:w="0" w:type="dxa"/>
          </w:tblCellMar>
        </w:tblPrEx>
        <w:tc>
          <w:tcPr>
            <w:tcW w:w="1980" w:type="dxa"/>
          </w:tcPr>
          <w:p w:rsidR="00000000" w:rsidRDefault="00000000">
            <w:pPr>
              <w:ind w:right="6"/>
              <w:rPr>
                <w:color w:val="000000"/>
                <w:szCs w:val="21"/>
                <w:lang w:val="es-ES_tradnl"/>
              </w:rPr>
            </w:pPr>
            <w:r>
              <w:rPr>
                <w:color w:val="000000"/>
                <w:szCs w:val="21"/>
                <w:lang w:val="es-ES_tradnl"/>
              </w:rPr>
              <w:t>Proyectos</w:t>
            </w:r>
          </w:p>
        </w:tc>
        <w:tc>
          <w:tcPr>
            <w:tcW w:w="1710" w:type="dxa"/>
            <w:vAlign w:val="bottom"/>
          </w:tcPr>
          <w:p w:rsidR="00000000" w:rsidRDefault="00000000">
            <w:pPr>
              <w:ind w:right="6"/>
              <w:jc w:val="right"/>
              <w:rPr>
                <w:color w:val="000000"/>
                <w:szCs w:val="21"/>
                <w:lang w:val="es-ES_tradnl"/>
              </w:rPr>
            </w:pPr>
            <w:r>
              <w:rPr>
                <w:color w:val="000000"/>
                <w:szCs w:val="21"/>
                <w:lang w:val="es-ES_tradnl"/>
              </w:rPr>
              <w:t>908</w:t>
            </w:r>
          </w:p>
        </w:tc>
        <w:tc>
          <w:tcPr>
            <w:tcW w:w="1530" w:type="dxa"/>
            <w:vAlign w:val="bottom"/>
          </w:tcPr>
          <w:p w:rsidR="00000000" w:rsidRDefault="00000000">
            <w:pPr>
              <w:ind w:right="6"/>
              <w:jc w:val="right"/>
              <w:rPr>
                <w:color w:val="000000"/>
                <w:szCs w:val="21"/>
                <w:lang w:val="es-ES_tradnl"/>
              </w:rPr>
            </w:pPr>
            <w:r>
              <w:rPr>
                <w:color w:val="000000"/>
                <w:szCs w:val="21"/>
                <w:lang w:val="es-ES_tradnl"/>
              </w:rPr>
              <w:t>19.144,00</w:t>
            </w:r>
          </w:p>
        </w:tc>
        <w:tc>
          <w:tcPr>
            <w:tcW w:w="1440" w:type="dxa"/>
            <w:vAlign w:val="bottom"/>
          </w:tcPr>
          <w:p w:rsidR="00000000" w:rsidRDefault="00000000">
            <w:pPr>
              <w:ind w:right="6"/>
              <w:jc w:val="right"/>
              <w:rPr>
                <w:color w:val="000000"/>
                <w:szCs w:val="21"/>
                <w:lang w:val="es-ES_tradnl"/>
              </w:rPr>
            </w:pPr>
            <w:r>
              <w:rPr>
                <w:color w:val="000000"/>
                <w:szCs w:val="21"/>
                <w:lang w:val="es-ES_tradnl"/>
              </w:rPr>
              <w:t>2.627</w:t>
            </w:r>
          </w:p>
        </w:tc>
      </w:tr>
      <w:tr w:rsidR="00000000">
        <w:tblPrEx>
          <w:tblCellMar>
            <w:top w:w="0" w:type="dxa"/>
            <w:bottom w:w="0" w:type="dxa"/>
          </w:tblCellMar>
        </w:tblPrEx>
        <w:tc>
          <w:tcPr>
            <w:tcW w:w="1980" w:type="dxa"/>
          </w:tcPr>
          <w:p w:rsidR="00000000" w:rsidRDefault="00000000">
            <w:pPr>
              <w:tabs>
                <w:tab w:val="left" w:pos="246"/>
              </w:tabs>
              <w:ind w:right="6"/>
              <w:rPr>
                <w:color w:val="000000"/>
                <w:szCs w:val="21"/>
                <w:lang w:val="es-ES_tradnl"/>
              </w:rPr>
            </w:pPr>
            <w:r>
              <w:rPr>
                <w:color w:val="000000"/>
                <w:szCs w:val="21"/>
                <w:lang w:val="es-ES_tradnl"/>
              </w:rPr>
              <w:tab/>
              <w:t>T. nacional</w:t>
            </w:r>
          </w:p>
        </w:tc>
        <w:tc>
          <w:tcPr>
            <w:tcW w:w="1710" w:type="dxa"/>
            <w:vAlign w:val="bottom"/>
          </w:tcPr>
          <w:p w:rsidR="00000000" w:rsidRDefault="00000000">
            <w:pPr>
              <w:ind w:right="6"/>
              <w:jc w:val="right"/>
              <w:rPr>
                <w:color w:val="000000"/>
                <w:szCs w:val="21"/>
                <w:lang w:val="es-ES_tradnl"/>
              </w:rPr>
            </w:pPr>
            <w:r>
              <w:rPr>
                <w:color w:val="000000"/>
                <w:szCs w:val="21"/>
                <w:lang w:val="es-ES_tradnl"/>
              </w:rPr>
              <w:t>3.710</w:t>
            </w:r>
          </w:p>
        </w:tc>
        <w:tc>
          <w:tcPr>
            <w:tcW w:w="1530" w:type="dxa"/>
            <w:vAlign w:val="bottom"/>
          </w:tcPr>
          <w:p w:rsidR="00000000" w:rsidRDefault="00000000">
            <w:pPr>
              <w:ind w:right="6"/>
              <w:jc w:val="right"/>
              <w:rPr>
                <w:color w:val="000000"/>
                <w:szCs w:val="21"/>
                <w:lang w:val="es-ES_tradnl"/>
              </w:rPr>
            </w:pPr>
            <w:r>
              <w:rPr>
                <w:color w:val="000000"/>
                <w:szCs w:val="21"/>
                <w:lang w:val="es-ES_tradnl"/>
              </w:rPr>
              <w:t>48.709,00</w:t>
            </w:r>
          </w:p>
        </w:tc>
        <w:tc>
          <w:tcPr>
            <w:tcW w:w="1440" w:type="dxa"/>
            <w:vAlign w:val="bottom"/>
          </w:tcPr>
          <w:p w:rsidR="00000000" w:rsidRDefault="00000000">
            <w:pPr>
              <w:ind w:right="6"/>
              <w:jc w:val="right"/>
              <w:rPr>
                <w:color w:val="000000"/>
                <w:szCs w:val="21"/>
                <w:lang w:val="es-ES_tradnl"/>
              </w:rPr>
            </w:pPr>
            <w:r>
              <w:rPr>
                <w:color w:val="000000"/>
                <w:szCs w:val="21"/>
                <w:lang w:val="es-ES_tradnl"/>
              </w:rPr>
              <w:t>13.178</w:t>
            </w:r>
          </w:p>
        </w:tc>
      </w:tr>
    </w:tbl>
    <w:p w:rsidR="00000000" w:rsidRDefault="00000000">
      <w:pPr>
        <w:shd w:val="clear" w:color="auto" w:fill="FFFFFF"/>
        <w:tabs>
          <w:tab w:val="left" w:pos="1620"/>
        </w:tabs>
        <w:spacing w:before="240" w:after="480"/>
        <w:ind w:right="11"/>
      </w:pPr>
      <w:r>
        <w:rPr>
          <w:i/>
          <w:iCs/>
        </w:rPr>
        <w:tab/>
        <w:t>Fuente</w:t>
      </w:r>
      <w:r>
        <w:t xml:space="preserve">:  INDA, </w:t>
      </w:r>
      <w:r>
        <w:rPr>
          <w:i/>
          <w:iCs/>
        </w:rPr>
        <w:t>Informe General</w:t>
      </w:r>
      <w:r>
        <w:t>, 1998.</w:t>
      </w:r>
    </w:p>
    <w:p w:rsidR="00000000" w:rsidRDefault="00000000">
      <w:pPr>
        <w:shd w:val="clear" w:color="auto" w:fill="FFFFFF"/>
        <w:spacing w:after="240"/>
        <w:ind w:right="10"/>
      </w:pPr>
      <w:r>
        <w:rPr>
          <w:color w:val="000000"/>
          <w:szCs w:val="25"/>
          <w:lang w:val="es-ES_tradnl"/>
        </w:rPr>
        <w:t>346.</w:t>
      </w:r>
      <w:r>
        <w:rPr>
          <w:color w:val="000000"/>
          <w:szCs w:val="25"/>
          <w:lang w:val="es-ES_tradnl"/>
        </w:rPr>
        <w:tab/>
        <w:t xml:space="preserve">La Ley de desarrollo agrario reformada, publicada en el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xml:space="preserve"> 55 del 30 de abril de 1997, establece que el Ministerio de Agricultura y Ganadería, en acuerdo con las organizaciones campesinas, indígenas, de montubios, de </w:t>
      </w:r>
      <w:proofErr w:type="spellStart"/>
      <w:r>
        <w:rPr>
          <w:color w:val="000000"/>
          <w:szCs w:val="25"/>
          <w:lang w:val="es-ES_tradnl"/>
        </w:rPr>
        <w:t>afroecuatorianos</w:t>
      </w:r>
      <w:proofErr w:type="spellEnd"/>
      <w:r>
        <w:rPr>
          <w:color w:val="000000"/>
          <w:szCs w:val="25"/>
          <w:lang w:val="es-ES_tradnl"/>
        </w:rPr>
        <w:t>, de agricultores y de empresarios agrícolas, pondrán en marcha un Programa Nacional de Capacitación y Transferencia de Tecnología, incluyendo las potenciaciones e innovaciones de los conocimientos y técnicas ancestrales.  La Ley de desarrollo agrario otorga un énfasis particular a la capacitación, como una de las políticas más importantes del sector.</w:t>
      </w:r>
    </w:p>
    <w:p w:rsidR="00000000" w:rsidRDefault="00000000">
      <w:pPr>
        <w:shd w:val="clear" w:color="auto" w:fill="FFFFFF"/>
        <w:spacing w:after="240"/>
        <w:ind w:right="10"/>
      </w:pPr>
      <w:r>
        <w:rPr>
          <w:color w:val="000000"/>
          <w:szCs w:val="25"/>
          <w:lang w:val="es-ES_tradnl"/>
        </w:rPr>
        <w:t>347.</w:t>
      </w:r>
      <w:r>
        <w:rPr>
          <w:color w:val="000000"/>
          <w:szCs w:val="25"/>
          <w:lang w:val="es-ES_tradnl"/>
        </w:rPr>
        <w:tab/>
        <w:t xml:space="preserve">El Ministerio, a través del Decreto Ejecutivo </w:t>
      </w:r>
      <w:proofErr w:type="spellStart"/>
      <w:r>
        <w:rPr>
          <w:color w:val="000000"/>
          <w:szCs w:val="25"/>
          <w:lang w:val="es-ES_tradnl"/>
        </w:rPr>
        <w:t>Nº</w:t>
      </w:r>
      <w:proofErr w:type="spellEnd"/>
      <w:r>
        <w:rPr>
          <w:color w:val="000000"/>
          <w:szCs w:val="25"/>
          <w:lang w:val="es-ES_tradnl"/>
        </w:rPr>
        <w:t> 417 de 10 de julio de 1997, establece la organización de la capacitación campesina, definida en la Ley de desarrollo agrario, responsabilizando al Instituto Nacional de Capacitación Campesina (</w:t>
      </w:r>
      <w:proofErr w:type="spellStart"/>
      <w:r>
        <w:rPr>
          <w:color w:val="000000"/>
          <w:szCs w:val="25"/>
          <w:lang w:val="es-ES_tradnl"/>
        </w:rPr>
        <w:t>INCCA</w:t>
      </w:r>
      <w:proofErr w:type="spellEnd"/>
      <w:r>
        <w:rPr>
          <w:color w:val="000000"/>
          <w:szCs w:val="25"/>
          <w:lang w:val="es-ES_tradnl"/>
        </w:rPr>
        <w:t>), mediante su reestructura, de la dirección y coordinación de la capacitación campesina en el país.</w:t>
      </w:r>
    </w:p>
    <w:p w:rsidR="00000000" w:rsidRDefault="00000000">
      <w:pPr>
        <w:shd w:val="clear" w:color="auto" w:fill="FFFFFF"/>
        <w:spacing w:after="240"/>
        <w:ind w:right="10"/>
      </w:pPr>
      <w:r>
        <w:rPr>
          <w:color w:val="000000"/>
          <w:szCs w:val="25"/>
          <w:lang w:val="es-ES_tradnl"/>
        </w:rPr>
        <w:t>348.</w:t>
      </w:r>
      <w:r>
        <w:rPr>
          <w:color w:val="000000"/>
          <w:szCs w:val="25"/>
          <w:lang w:val="es-ES_tradnl"/>
        </w:rPr>
        <w:tab/>
        <w:t xml:space="preserve">Para el cumplimiento de lo expuesto se crea el Fondo Dotal, proveniente de la venta de activos improductivos del Ministerio.  El reglamento para su operación fue publicado en los </w:t>
      </w:r>
      <w:r>
        <w:rPr>
          <w:i/>
          <w:iCs/>
          <w:color w:val="000000"/>
          <w:szCs w:val="25"/>
          <w:lang w:val="es-ES_tradnl"/>
        </w:rPr>
        <w:t>Registros Oficiales</w:t>
      </w:r>
      <w:r>
        <w:rPr>
          <w:color w:val="000000"/>
          <w:szCs w:val="25"/>
          <w:lang w:val="es-ES_tradnl"/>
        </w:rPr>
        <w:t xml:space="preserve"> Nos. 94 y 185 del 23 de diciembre de 1996 y 31 de octubre de 1997, respectivamente.</w:t>
      </w:r>
    </w:p>
    <w:p w:rsidR="00000000" w:rsidRDefault="00000000">
      <w:pPr>
        <w:shd w:val="clear" w:color="auto" w:fill="FFFFFF"/>
        <w:spacing w:after="240"/>
        <w:ind w:right="10"/>
      </w:pPr>
      <w:r>
        <w:rPr>
          <w:color w:val="000000"/>
          <w:szCs w:val="25"/>
          <w:lang w:val="es-ES_tradnl"/>
        </w:rPr>
        <w:t>349.</w:t>
      </w:r>
      <w:r>
        <w:rPr>
          <w:color w:val="000000"/>
          <w:szCs w:val="25"/>
          <w:lang w:val="es-ES_tradnl"/>
        </w:rPr>
        <w:tab/>
        <w:t>La elaboración del Programa Nacional de Capacitación Campesina (</w:t>
      </w:r>
      <w:proofErr w:type="spellStart"/>
      <w:r>
        <w:rPr>
          <w:color w:val="000000"/>
          <w:szCs w:val="25"/>
          <w:lang w:val="es-ES_tradnl"/>
        </w:rPr>
        <w:t>PNCCA</w:t>
      </w:r>
      <w:proofErr w:type="spellEnd"/>
      <w:r>
        <w:rPr>
          <w:color w:val="000000"/>
          <w:szCs w:val="25"/>
          <w:lang w:val="es-ES_tradnl"/>
        </w:rPr>
        <w:t>) se desarrolló mediante un proceso participativo de los actores involucrados a partir del año 1992, con el estudio de la demanda y oferta de la capacitación en el país patrocinada por el Ministerio.</w:t>
      </w:r>
    </w:p>
    <w:p w:rsidR="00000000" w:rsidRDefault="00000000">
      <w:pPr>
        <w:shd w:val="clear" w:color="auto" w:fill="FFFFFF"/>
        <w:spacing w:after="240"/>
        <w:ind w:right="10"/>
      </w:pPr>
      <w:r>
        <w:rPr>
          <w:color w:val="000000"/>
          <w:szCs w:val="25"/>
          <w:lang w:val="es-ES_tradnl"/>
        </w:rPr>
        <w:t>350.</w:t>
      </w:r>
      <w:r>
        <w:rPr>
          <w:color w:val="000000"/>
          <w:szCs w:val="25"/>
          <w:lang w:val="es-ES_tradnl"/>
        </w:rPr>
        <w:tab/>
        <w:t xml:space="preserve">El Ministerio, por intermedio del </w:t>
      </w:r>
      <w:proofErr w:type="spellStart"/>
      <w:r>
        <w:rPr>
          <w:color w:val="000000"/>
          <w:szCs w:val="25"/>
          <w:lang w:val="es-ES_tradnl"/>
        </w:rPr>
        <w:t>INCCA</w:t>
      </w:r>
      <w:proofErr w:type="spellEnd"/>
      <w:r>
        <w:rPr>
          <w:color w:val="000000"/>
          <w:szCs w:val="25"/>
          <w:lang w:val="es-ES_tradnl"/>
        </w:rPr>
        <w:t>, ha retomado la responsabilidad de poner en marcha el </w:t>
      </w:r>
      <w:proofErr w:type="spellStart"/>
      <w:r>
        <w:rPr>
          <w:color w:val="000000"/>
          <w:szCs w:val="25"/>
          <w:lang w:val="es-ES_tradnl"/>
        </w:rPr>
        <w:t>PNCCA</w:t>
      </w:r>
      <w:proofErr w:type="spellEnd"/>
      <w:r>
        <w:rPr>
          <w:color w:val="000000"/>
          <w:szCs w:val="25"/>
          <w:lang w:val="es-ES_tradnl"/>
        </w:rPr>
        <w:t xml:space="preserve"> como primer punto del Sistema Nacional de Capacitación Campesina.  Para lograrlo, se convocó a los usuarios y operadores de la capacitación con el objetivo de lograr un consenso sobre los aspectos estratégicos del diseño y operación del mismo, durante un seminario taller en el que se identificaron, entre otros aspectos, las necesidades y áreas temáticas de capacitación de los productores y sus organizaciones.</w:t>
      </w:r>
    </w:p>
    <w:p w:rsidR="00000000" w:rsidRDefault="00000000">
      <w:pPr>
        <w:shd w:val="clear" w:color="auto" w:fill="FFFFFF"/>
        <w:spacing w:after="240"/>
        <w:ind w:right="10"/>
      </w:pPr>
      <w:r>
        <w:rPr>
          <w:color w:val="000000"/>
          <w:szCs w:val="25"/>
          <w:lang w:val="es-ES_tradnl"/>
        </w:rPr>
        <w:t>351.</w:t>
      </w:r>
      <w:r>
        <w:rPr>
          <w:color w:val="000000"/>
          <w:szCs w:val="25"/>
          <w:lang w:val="es-ES_tradnl"/>
        </w:rPr>
        <w:tab/>
        <w:t xml:space="preserve">Como resultado de esos procesos, el Ministerio </w:t>
      </w:r>
      <w:r>
        <w:rPr>
          <w:color w:val="000000"/>
          <w:szCs w:val="25"/>
          <w:lang w:val="es-ES_tradnl"/>
        </w:rPr>
        <w:noBreakHyphen/>
      </w:r>
      <w:proofErr w:type="spellStart"/>
      <w:r>
        <w:rPr>
          <w:color w:val="000000"/>
          <w:szCs w:val="25"/>
          <w:lang w:val="es-ES_tradnl"/>
        </w:rPr>
        <w:t>INCCA</w:t>
      </w:r>
      <w:proofErr w:type="spellEnd"/>
      <w:r>
        <w:rPr>
          <w:color w:val="000000"/>
          <w:szCs w:val="25"/>
          <w:lang w:val="es-ES_tradnl"/>
        </w:rPr>
        <w:t xml:space="preserve"> presentó el </w:t>
      </w:r>
      <w:proofErr w:type="spellStart"/>
      <w:r>
        <w:rPr>
          <w:color w:val="000000"/>
          <w:szCs w:val="25"/>
          <w:lang w:val="es-ES_tradnl"/>
        </w:rPr>
        <w:t>PNCCA</w:t>
      </w:r>
      <w:proofErr w:type="spellEnd"/>
      <w:r>
        <w:rPr>
          <w:color w:val="000000"/>
          <w:szCs w:val="25"/>
          <w:lang w:val="es-ES_tradnl"/>
        </w:rPr>
        <w:t xml:space="preserve"> para 1999, el mismo que constituye el instrumento de trabajo mancomunado entre usuarios operadores y el Estado Ecuatoriano</w:t>
      </w:r>
      <w:r>
        <w:rPr>
          <w:rStyle w:val="FootnoteReference"/>
          <w:color w:val="000000"/>
          <w:szCs w:val="25"/>
          <w:lang w:val="es-ES_tradnl"/>
        </w:rPr>
        <w:footnoteReference w:id="48"/>
      </w:r>
      <w:r>
        <w:rPr>
          <w:color w:val="000000"/>
          <w:szCs w:val="25"/>
          <w:lang w:val="es-ES_tradnl"/>
        </w:rPr>
        <w:t>.</w:t>
      </w:r>
    </w:p>
    <w:p w:rsidR="00000000" w:rsidRDefault="00000000">
      <w:pPr>
        <w:shd w:val="clear" w:color="auto" w:fill="FFFFFF"/>
        <w:spacing w:after="240"/>
        <w:ind w:left="10"/>
      </w:pPr>
      <w:r>
        <w:rPr>
          <w:b/>
          <w:bCs/>
          <w:color w:val="000000"/>
          <w:szCs w:val="25"/>
          <w:lang w:val="es-ES_tradnl"/>
        </w:rPr>
        <w:t>El derecho a vivienda adecuada</w:t>
      </w:r>
    </w:p>
    <w:p w:rsidR="00000000" w:rsidRDefault="00000000">
      <w:pPr>
        <w:shd w:val="clear" w:color="auto" w:fill="FFFFFF"/>
        <w:spacing w:after="240"/>
        <w:ind w:right="10"/>
      </w:pPr>
      <w:r>
        <w:rPr>
          <w:color w:val="000000"/>
          <w:szCs w:val="25"/>
          <w:lang w:val="es-ES_tradnl"/>
        </w:rPr>
        <w:t>352.</w:t>
      </w:r>
      <w:r>
        <w:rPr>
          <w:color w:val="000000"/>
          <w:szCs w:val="25"/>
          <w:lang w:val="es-ES_tradnl"/>
        </w:rPr>
        <w:tab/>
        <w:t>La información relacionada con el análisis de vivienda se realiza sobre la base de los últimos censos realizados.  Se tiene prevista la realización de un nuevo censo en el 2001, por lo que en el presente informe se analiza información correspondiente a los últimos censos efectuados.</w:t>
      </w:r>
    </w:p>
    <w:p w:rsidR="00000000" w:rsidRDefault="00000000">
      <w:pPr>
        <w:shd w:val="clear" w:color="auto" w:fill="FFFFFF"/>
        <w:spacing w:after="240"/>
        <w:ind w:right="10"/>
      </w:pPr>
      <w:r>
        <w:rPr>
          <w:color w:val="000000"/>
          <w:szCs w:val="25"/>
          <w:lang w:val="es-ES_tradnl"/>
        </w:rPr>
        <w:t>353.</w:t>
      </w:r>
      <w:r>
        <w:rPr>
          <w:color w:val="000000"/>
          <w:szCs w:val="25"/>
          <w:lang w:val="es-ES_tradnl"/>
        </w:rPr>
        <w:tab/>
        <w:t>La vivienda en términos absolutos se encuentra en la Sierra y la Costa.  Estas regiones abarcan aproximadamente el 96% del total de vivienda en el Ecuador, tanto en 1982 como en 1990.  Para efectos de llegar a determinar el déficit habitacional en el Ecuador, se analiza el crecimiento de la vivienda en el período de 1982</w:t>
      </w:r>
      <w:r>
        <w:rPr>
          <w:color w:val="000000"/>
          <w:szCs w:val="25"/>
          <w:lang w:val="es-ES_tradnl"/>
        </w:rPr>
        <w:noBreakHyphen/>
        <w:t>1990.</w:t>
      </w:r>
    </w:p>
    <w:p w:rsidR="00000000" w:rsidRDefault="00000000">
      <w:pPr>
        <w:shd w:val="clear" w:color="auto" w:fill="FFFFFF"/>
        <w:spacing w:after="240"/>
        <w:ind w:right="10"/>
      </w:pPr>
      <w:r>
        <w:rPr>
          <w:color w:val="000000"/>
          <w:szCs w:val="25"/>
          <w:lang w:val="es-ES_tradnl"/>
        </w:rPr>
        <w:t>354.</w:t>
      </w:r>
      <w:r>
        <w:rPr>
          <w:color w:val="000000"/>
          <w:szCs w:val="25"/>
          <w:lang w:val="es-ES_tradnl"/>
        </w:rPr>
        <w:tab/>
        <w:t>En el ámbito nacional la cantidad de viviendas se ha incrementado en 27,4%; a escala regional, el mayor crecimiento se registra en la Región Insular y en las zonas no delimitadas, 72% y 74%, en el Oriente es de 47%, seguido por la Costa y Sierra con 31% y 22%, respectivamente.</w:t>
      </w:r>
    </w:p>
    <w:p w:rsidR="00000000" w:rsidRDefault="00000000">
      <w:pPr>
        <w:shd w:val="clear" w:color="auto" w:fill="FFFFFF"/>
        <w:spacing w:after="240"/>
        <w:ind w:right="10"/>
        <w:jc w:val="center"/>
      </w:pPr>
      <w:r>
        <w:rPr>
          <w:b/>
          <w:bCs/>
          <w:color w:val="000000"/>
          <w:szCs w:val="22"/>
          <w:lang w:val="es-ES_tradnl"/>
        </w:rPr>
        <w:t xml:space="preserve">Viviendas </w:t>
      </w:r>
      <w:r>
        <w:rPr>
          <w:b/>
          <w:bCs/>
          <w:color w:val="000000"/>
          <w:szCs w:val="25"/>
          <w:lang w:val="es-ES_tradnl"/>
        </w:rPr>
        <w:t>Particulares</w:t>
      </w:r>
    </w:p>
    <w:p w:rsidR="00000000" w:rsidRDefault="00000000">
      <w:pPr>
        <w:shd w:val="clear" w:color="auto" w:fill="FFFFFF"/>
        <w:spacing w:after="240"/>
        <w:ind w:right="10"/>
        <w:jc w:val="center"/>
        <w:rPr>
          <w:color w:val="000000"/>
          <w:szCs w:val="22"/>
          <w:lang w:val="es-ES_tradnl"/>
        </w:rPr>
      </w:pPr>
      <w:r>
        <w:rPr>
          <w:b/>
          <w:bCs/>
          <w:color w:val="000000"/>
          <w:szCs w:val="25"/>
          <w:lang w:val="es-ES_tradnl"/>
        </w:rPr>
        <w:t>(Censos</w:t>
      </w:r>
      <w:r>
        <w:rPr>
          <w:b/>
          <w:bCs/>
          <w:color w:val="000000"/>
          <w:szCs w:val="22"/>
          <w:lang w:val="es-ES_tradnl"/>
        </w:rPr>
        <w:t xml:space="preserve"> 1982-1990)</w:t>
      </w:r>
    </w:p>
    <w:tbl>
      <w:tblPr>
        <w:tblW w:w="0" w:type="auto"/>
        <w:tblInd w:w="1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10"/>
        <w:gridCol w:w="1395"/>
        <w:gridCol w:w="1395"/>
        <w:gridCol w:w="1620"/>
      </w:tblGrid>
      <w:tr w:rsidR="00000000">
        <w:tblPrEx>
          <w:tblCellMar>
            <w:top w:w="0" w:type="dxa"/>
            <w:bottom w:w="0" w:type="dxa"/>
          </w:tblCellMar>
        </w:tblPrEx>
        <w:tc>
          <w:tcPr>
            <w:tcW w:w="2610" w:type="dxa"/>
            <w:vAlign w:val="center"/>
          </w:tcPr>
          <w:p w:rsidR="00000000" w:rsidRDefault="00000000">
            <w:pPr>
              <w:ind w:right="11"/>
              <w:jc w:val="center"/>
              <w:rPr>
                <w:color w:val="000000"/>
                <w:szCs w:val="22"/>
                <w:lang w:val="es-ES_tradnl"/>
              </w:rPr>
            </w:pPr>
            <w:r>
              <w:rPr>
                <w:color w:val="000000"/>
                <w:szCs w:val="22"/>
                <w:lang w:val="es-ES_tradnl"/>
              </w:rPr>
              <w:t>Región</w:t>
            </w:r>
          </w:p>
        </w:tc>
        <w:tc>
          <w:tcPr>
            <w:tcW w:w="1395" w:type="dxa"/>
            <w:vAlign w:val="center"/>
          </w:tcPr>
          <w:p w:rsidR="00000000" w:rsidRDefault="00000000">
            <w:pPr>
              <w:ind w:right="11"/>
              <w:jc w:val="center"/>
              <w:rPr>
                <w:color w:val="000000"/>
                <w:szCs w:val="22"/>
                <w:lang w:val="es-ES_tradnl"/>
              </w:rPr>
            </w:pPr>
            <w:r>
              <w:rPr>
                <w:color w:val="000000"/>
                <w:szCs w:val="22"/>
                <w:lang w:val="es-ES_tradnl"/>
              </w:rPr>
              <w:t>1982</w:t>
            </w:r>
          </w:p>
        </w:tc>
        <w:tc>
          <w:tcPr>
            <w:tcW w:w="1395" w:type="dxa"/>
            <w:vAlign w:val="center"/>
          </w:tcPr>
          <w:p w:rsidR="00000000" w:rsidRDefault="00000000">
            <w:pPr>
              <w:ind w:right="11"/>
              <w:jc w:val="center"/>
              <w:rPr>
                <w:color w:val="000000"/>
                <w:szCs w:val="22"/>
                <w:lang w:val="es-ES_tradnl"/>
              </w:rPr>
            </w:pPr>
            <w:r>
              <w:rPr>
                <w:color w:val="000000"/>
                <w:szCs w:val="22"/>
                <w:lang w:val="es-ES_tradnl"/>
              </w:rPr>
              <w:t>1990</w:t>
            </w:r>
          </w:p>
        </w:tc>
        <w:tc>
          <w:tcPr>
            <w:tcW w:w="1620" w:type="dxa"/>
            <w:vAlign w:val="center"/>
          </w:tcPr>
          <w:p w:rsidR="00000000" w:rsidRDefault="00000000">
            <w:pPr>
              <w:ind w:right="11"/>
              <w:jc w:val="center"/>
              <w:rPr>
                <w:color w:val="000000"/>
                <w:szCs w:val="22"/>
                <w:lang w:val="es-ES_tradnl"/>
              </w:rPr>
            </w:pPr>
            <w:r>
              <w:rPr>
                <w:color w:val="000000"/>
                <w:szCs w:val="22"/>
                <w:lang w:val="es-ES_tradnl"/>
              </w:rPr>
              <w:t>Variación</w:t>
            </w:r>
            <w:r>
              <w:rPr>
                <w:color w:val="000000"/>
                <w:szCs w:val="22"/>
                <w:lang w:val="es-ES_tradnl"/>
              </w:rPr>
              <w:br/>
              <w:t>(en porcentaje)</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lang w:val="es-ES_tradnl"/>
              </w:rPr>
              <w:t>Sierra</w:t>
            </w:r>
          </w:p>
        </w:tc>
        <w:tc>
          <w:tcPr>
            <w:tcW w:w="1395" w:type="dxa"/>
            <w:vAlign w:val="bottom"/>
          </w:tcPr>
          <w:p w:rsidR="00000000" w:rsidRDefault="00000000">
            <w:pPr>
              <w:ind w:right="11"/>
              <w:jc w:val="right"/>
              <w:rPr>
                <w:color w:val="000000"/>
                <w:szCs w:val="22"/>
                <w:lang w:val="es-ES_tradnl"/>
              </w:rPr>
            </w:pPr>
            <w:r>
              <w:rPr>
                <w:color w:val="000000"/>
                <w:szCs w:val="23"/>
                <w:lang w:val="es-ES_tradnl"/>
              </w:rPr>
              <w:t>799.287</w:t>
            </w:r>
          </w:p>
        </w:tc>
        <w:tc>
          <w:tcPr>
            <w:tcW w:w="1395" w:type="dxa"/>
            <w:vAlign w:val="bottom"/>
          </w:tcPr>
          <w:p w:rsidR="00000000" w:rsidRDefault="00000000">
            <w:pPr>
              <w:ind w:right="11"/>
              <w:jc w:val="right"/>
              <w:rPr>
                <w:color w:val="000000"/>
                <w:szCs w:val="22"/>
                <w:lang w:val="es-ES_tradnl"/>
              </w:rPr>
            </w:pPr>
            <w:r>
              <w:rPr>
                <w:color w:val="000000"/>
                <w:szCs w:val="23"/>
                <w:lang w:val="es-ES_tradnl"/>
              </w:rPr>
              <w:t>976.112</w:t>
            </w:r>
          </w:p>
        </w:tc>
        <w:tc>
          <w:tcPr>
            <w:tcW w:w="1620" w:type="dxa"/>
            <w:vAlign w:val="bottom"/>
          </w:tcPr>
          <w:p w:rsidR="00000000" w:rsidRDefault="00000000">
            <w:pPr>
              <w:ind w:right="11"/>
              <w:jc w:val="right"/>
              <w:rPr>
                <w:color w:val="000000"/>
                <w:szCs w:val="22"/>
                <w:lang w:val="es-ES_tradnl"/>
              </w:rPr>
            </w:pPr>
            <w:r>
              <w:rPr>
                <w:color w:val="000000"/>
                <w:szCs w:val="23"/>
                <w:lang w:val="es-ES_tradnl"/>
              </w:rPr>
              <w:t>22,0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lang w:val="es-ES_tradnl"/>
              </w:rPr>
              <w:t>Costa</w:t>
            </w:r>
          </w:p>
        </w:tc>
        <w:tc>
          <w:tcPr>
            <w:tcW w:w="1395" w:type="dxa"/>
            <w:vAlign w:val="bottom"/>
          </w:tcPr>
          <w:p w:rsidR="00000000" w:rsidRDefault="00000000">
            <w:pPr>
              <w:ind w:right="11"/>
              <w:jc w:val="right"/>
              <w:rPr>
                <w:color w:val="000000"/>
                <w:szCs w:val="22"/>
                <w:lang w:val="es-ES_tradnl"/>
              </w:rPr>
            </w:pPr>
            <w:r>
              <w:rPr>
                <w:color w:val="000000"/>
                <w:szCs w:val="23"/>
                <w:lang w:val="es-ES_tradnl"/>
              </w:rPr>
              <w:t>719.693</w:t>
            </w:r>
          </w:p>
        </w:tc>
        <w:tc>
          <w:tcPr>
            <w:tcW w:w="1395" w:type="dxa"/>
            <w:vAlign w:val="bottom"/>
          </w:tcPr>
          <w:p w:rsidR="00000000" w:rsidRDefault="00000000">
            <w:pPr>
              <w:ind w:right="11"/>
              <w:jc w:val="right"/>
              <w:rPr>
                <w:color w:val="000000"/>
                <w:szCs w:val="22"/>
                <w:lang w:val="es-ES_tradnl"/>
              </w:rPr>
            </w:pPr>
            <w:r>
              <w:rPr>
                <w:color w:val="000000"/>
                <w:szCs w:val="23"/>
                <w:lang w:val="es-ES_tradnl"/>
              </w:rPr>
              <w:t>945.573</w:t>
            </w:r>
          </w:p>
        </w:tc>
        <w:tc>
          <w:tcPr>
            <w:tcW w:w="1620" w:type="dxa"/>
            <w:vAlign w:val="bottom"/>
          </w:tcPr>
          <w:p w:rsidR="00000000" w:rsidRDefault="00000000">
            <w:pPr>
              <w:ind w:right="11"/>
              <w:jc w:val="right"/>
              <w:rPr>
                <w:color w:val="000000"/>
                <w:szCs w:val="22"/>
                <w:lang w:val="es-ES_tradnl"/>
              </w:rPr>
            </w:pPr>
            <w:r>
              <w:rPr>
                <w:color w:val="000000"/>
                <w:szCs w:val="23"/>
                <w:lang w:val="es-ES_tradnl"/>
              </w:rPr>
              <w:t>31,0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lang w:val="es-ES_tradnl"/>
              </w:rPr>
              <w:t>Oriente</w:t>
            </w:r>
          </w:p>
        </w:tc>
        <w:tc>
          <w:tcPr>
            <w:tcW w:w="1395" w:type="dxa"/>
            <w:vAlign w:val="bottom"/>
          </w:tcPr>
          <w:p w:rsidR="00000000" w:rsidRDefault="00000000">
            <w:pPr>
              <w:ind w:right="11"/>
              <w:jc w:val="right"/>
              <w:rPr>
                <w:color w:val="000000"/>
                <w:szCs w:val="22"/>
                <w:lang w:val="es-ES_tradnl"/>
              </w:rPr>
            </w:pPr>
            <w:r>
              <w:rPr>
                <w:color w:val="000000"/>
                <w:szCs w:val="23"/>
                <w:lang w:val="es-ES_tradnl"/>
              </w:rPr>
              <w:t>48.651</w:t>
            </w:r>
          </w:p>
        </w:tc>
        <w:tc>
          <w:tcPr>
            <w:tcW w:w="1395" w:type="dxa"/>
            <w:vAlign w:val="bottom"/>
          </w:tcPr>
          <w:p w:rsidR="00000000" w:rsidRDefault="00000000">
            <w:pPr>
              <w:ind w:right="11"/>
              <w:jc w:val="right"/>
              <w:rPr>
                <w:color w:val="000000"/>
                <w:szCs w:val="22"/>
                <w:lang w:val="es-ES_tradnl"/>
              </w:rPr>
            </w:pPr>
            <w:r>
              <w:rPr>
                <w:color w:val="000000"/>
                <w:szCs w:val="23"/>
                <w:lang w:val="es-ES_tradnl"/>
              </w:rPr>
              <w:t>71.640</w:t>
            </w:r>
          </w:p>
        </w:tc>
        <w:tc>
          <w:tcPr>
            <w:tcW w:w="1620" w:type="dxa"/>
            <w:vAlign w:val="bottom"/>
          </w:tcPr>
          <w:p w:rsidR="00000000" w:rsidRDefault="00000000">
            <w:pPr>
              <w:ind w:right="11"/>
              <w:jc w:val="right"/>
              <w:rPr>
                <w:color w:val="000000"/>
                <w:szCs w:val="22"/>
                <w:lang w:val="es-ES_tradnl"/>
              </w:rPr>
            </w:pPr>
            <w:r>
              <w:rPr>
                <w:color w:val="000000"/>
                <w:szCs w:val="23"/>
                <w:lang w:val="es-ES_tradnl"/>
              </w:rPr>
              <w:t>47,0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lang w:val="es-ES_tradnl"/>
              </w:rPr>
              <w:t>Galápagos</w:t>
            </w:r>
          </w:p>
        </w:tc>
        <w:tc>
          <w:tcPr>
            <w:tcW w:w="1395" w:type="dxa"/>
            <w:vAlign w:val="bottom"/>
          </w:tcPr>
          <w:p w:rsidR="00000000" w:rsidRDefault="00000000">
            <w:pPr>
              <w:ind w:right="11"/>
              <w:jc w:val="right"/>
              <w:rPr>
                <w:color w:val="000000"/>
                <w:szCs w:val="22"/>
                <w:lang w:val="es-ES_tradnl"/>
              </w:rPr>
            </w:pPr>
            <w:r>
              <w:rPr>
                <w:color w:val="000000"/>
                <w:szCs w:val="23"/>
                <w:lang w:val="es-ES_tradnl"/>
              </w:rPr>
              <w:t>1.265</w:t>
            </w:r>
          </w:p>
        </w:tc>
        <w:tc>
          <w:tcPr>
            <w:tcW w:w="1395" w:type="dxa"/>
            <w:vAlign w:val="bottom"/>
          </w:tcPr>
          <w:p w:rsidR="00000000" w:rsidRDefault="00000000">
            <w:pPr>
              <w:ind w:right="11"/>
              <w:jc w:val="right"/>
              <w:rPr>
                <w:color w:val="000000"/>
                <w:szCs w:val="22"/>
                <w:lang w:val="es-ES_tradnl"/>
              </w:rPr>
            </w:pPr>
            <w:r>
              <w:rPr>
                <w:color w:val="000000"/>
                <w:szCs w:val="23"/>
                <w:lang w:val="es-ES_tradnl"/>
              </w:rPr>
              <w:t>2.170</w:t>
            </w:r>
          </w:p>
        </w:tc>
        <w:tc>
          <w:tcPr>
            <w:tcW w:w="1620" w:type="dxa"/>
            <w:vAlign w:val="bottom"/>
          </w:tcPr>
          <w:p w:rsidR="00000000" w:rsidRDefault="00000000">
            <w:pPr>
              <w:ind w:right="11"/>
              <w:jc w:val="right"/>
              <w:rPr>
                <w:color w:val="000000"/>
                <w:szCs w:val="22"/>
                <w:lang w:val="es-ES_tradnl"/>
              </w:rPr>
            </w:pPr>
            <w:r>
              <w:rPr>
                <w:color w:val="000000"/>
                <w:szCs w:val="23"/>
                <w:lang w:val="es-ES_tradnl"/>
              </w:rPr>
              <w:t>72,0</w:t>
            </w:r>
          </w:p>
        </w:tc>
      </w:tr>
      <w:tr w:rsidR="00000000">
        <w:tblPrEx>
          <w:tblCellMar>
            <w:top w:w="0" w:type="dxa"/>
            <w:bottom w:w="0" w:type="dxa"/>
          </w:tblCellMar>
        </w:tblPrEx>
        <w:tc>
          <w:tcPr>
            <w:tcW w:w="2610" w:type="dxa"/>
          </w:tcPr>
          <w:p w:rsidR="00000000" w:rsidRDefault="00000000">
            <w:pPr>
              <w:ind w:right="11"/>
              <w:rPr>
                <w:color w:val="000000"/>
                <w:szCs w:val="22"/>
                <w:lang w:val="es-ES_tradnl"/>
              </w:rPr>
            </w:pPr>
            <w:r>
              <w:rPr>
                <w:color w:val="000000"/>
                <w:szCs w:val="22"/>
                <w:lang w:val="es-ES_tradnl"/>
              </w:rPr>
              <w:t>Zona</w:t>
            </w:r>
            <w:r>
              <w:rPr>
                <w:color w:val="000000"/>
                <w:szCs w:val="22"/>
                <w:lang w:val="es-ES_tradnl"/>
              </w:rPr>
              <w:noBreakHyphen/>
              <w:t>N</w:t>
            </w:r>
            <w:r>
              <w:rPr>
                <w:color w:val="000000"/>
                <w:szCs w:val="22"/>
                <w:lang w:val="es-ES_tradnl"/>
              </w:rPr>
              <w:noBreakHyphen/>
            </w:r>
            <w:proofErr w:type="spellStart"/>
            <w:r>
              <w:rPr>
                <w:color w:val="000000"/>
                <w:szCs w:val="22"/>
                <w:lang w:val="es-ES_tradnl"/>
              </w:rPr>
              <w:t>Delim</w:t>
            </w:r>
            <w:proofErr w:type="spellEnd"/>
          </w:p>
        </w:tc>
        <w:tc>
          <w:tcPr>
            <w:tcW w:w="1395" w:type="dxa"/>
            <w:vAlign w:val="bottom"/>
          </w:tcPr>
          <w:p w:rsidR="00000000" w:rsidRDefault="00000000">
            <w:pPr>
              <w:ind w:right="11"/>
              <w:jc w:val="right"/>
              <w:rPr>
                <w:color w:val="000000"/>
                <w:szCs w:val="22"/>
                <w:lang w:val="es-ES_tradnl"/>
              </w:rPr>
            </w:pPr>
            <w:r>
              <w:rPr>
                <w:color w:val="000000"/>
                <w:szCs w:val="23"/>
                <w:lang w:val="es-ES_tradnl"/>
              </w:rPr>
              <w:t>7.545</w:t>
            </w:r>
          </w:p>
        </w:tc>
        <w:tc>
          <w:tcPr>
            <w:tcW w:w="1395" w:type="dxa"/>
            <w:vAlign w:val="bottom"/>
          </w:tcPr>
          <w:p w:rsidR="00000000" w:rsidRDefault="00000000">
            <w:pPr>
              <w:ind w:right="11"/>
              <w:jc w:val="right"/>
              <w:rPr>
                <w:color w:val="000000"/>
                <w:szCs w:val="22"/>
                <w:lang w:val="es-ES_tradnl"/>
              </w:rPr>
            </w:pPr>
            <w:r>
              <w:rPr>
                <w:color w:val="000000"/>
                <w:szCs w:val="23"/>
                <w:lang w:val="es-ES_tradnl"/>
              </w:rPr>
              <w:t>13.160</w:t>
            </w:r>
          </w:p>
        </w:tc>
        <w:tc>
          <w:tcPr>
            <w:tcW w:w="1620" w:type="dxa"/>
            <w:vAlign w:val="bottom"/>
          </w:tcPr>
          <w:p w:rsidR="00000000" w:rsidRDefault="00000000">
            <w:pPr>
              <w:ind w:right="11"/>
              <w:jc w:val="right"/>
              <w:rPr>
                <w:color w:val="000000"/>
                <w:szCs w:val="22"/>
                <w:lang w:val="es-ES_tradnl"/>
              </w:rPr>
            </w:pPr>
            <w:r>
              <w:rPr>
                <w:color w:val="000000"/>
                <w:szCs w:val="23"/>
                <w:lang w:val="es-ES_tradnl"/>
              </w:rPr>
              <w:t>74,4</w:t>
            </w:r>
          </w:p>
        </w:tc>
      </w:tr>
      <w:tr w:rsidR="00000000">
        <w:tblPrEx>
          <w:tblCellMar>
            <w:top w:w="0" w:type="dxa"/>
            <w:bottom w:w="0" w:type="dxa"/>
          </w:tblCellMar>
        </w:tblPrEx>
        <w:tc>
          <w:tcPr>
            <w:tcW w:w="2610" w:type="dxa"/>
          </w:tcPr>
          <w:p w:rsidR="00000000" w:rsidRDefault="00000000">
            <w:pPr>
              <w:ind w:left="270" w:right="11"/>
              <w:rPr>
                <w:color w:val="000000"/>
                <w:szCs w:val="22"/>
                <w:lang w:val="es-ES_tradnl"/>
              </w:rPr>
            </w:pPr>
            <w:r>
              <w:rPr>
                <w:color w:val="000000"/>
                <w:szCs w:val="22"/>
                <w:lang w:val="es-ES_tradnl"/>
              </w:rPr>
              <w:t>Total nacional</w:t>
            </w:r>
          </w:p>
        </w:tc>
        <w:tc>
          <w:tcPr>
            <w:tcW w:w="1395" w:type="dxa"/>
            <w:vAlign w:val="bottom"/>
          </w:tcPr>
          <w:p w:rsidR="00000000" w:rsidRDefault="00000000">
            <w:pPr>
              <w:ind w:right="11"/>
              <w:jc w:val="right"/>
              <w:rPr>
                <w:color w:val="000000"/>
                <w:szCs w:val="22"/>
                <w:lang w:val="es-ES_tradnl"/>
              </w:rPr>
            </w:pPr>
            <w:r>
              <w:rPr>
                <w:color w:val="000000"/>
                <w:szCs w:val="22"/>
                <w:lang w:val="es-ES_tradnl"/>
              </w:rPr>
              <w:t>1.576.441</w:t>
            </w:r>
          </w:p>
        </w:tc>
        <w:tc>
          <w:tcPr>
            <w:tcW w:w="1395" w:type="dxa"/>
            <w:vAlign w:val="bottom"/>
          </w:tcPr>
          <w:p w:rsidR="00000000" w:rsidRDefault="00000000">
            <w:pPr>
              <w:ind w:right="11"/>
              <w:jc w:val="right"/>
              <w:rPr>
                <w:color w:val="000000"/>
                <w:szCs w:val="22"/>
                <w:lang w:val="es-ES_tradnl"/>
              </w:rPr>
            </w:pPr>
            <w:r>
              <w:rPr>
                <w:color w:val="000000"/>
                <w:szCs w:val="22"/>
                <w:lang w:val="es-ES_tradnl"/>
              </w:rPr>
              <w:t>2.008.655</w:t>
            </w:r>
          </w:p>
        </w:tc>
        <w:tc>
          <w:tcPr>
            <w:tcW w:w="1620" w:type="dxa"/>
            <w:vAlign w:val="bottom"/>
          </w:tcPr>
          <w:p w:rsidR="00000000" w:rsidRDefault="00000000">
            <w:pPr>
              <w:ind w:right="11"/>
              <w:jc w:val="right"/>
              <w:rPr>
                <w:color w:val="000000"/>
                <w:szCs w:val="22"/>
                <w:lang w:val="es-ES_tradnl"/>
              </w:rPr>
            </w:pPr>
            <w:r>
              <w:rPr>
                <w:color w:val="000000"/>
                <w:szCs w:val="22"/>
                <w:lang w:val="es-ES_tradnl"/>
              </w:rPr>
              <w:t>27,4</w:t>
            </w:r>
          </w:p>
        </w:tc>
      </w:tr>
    </w:tbl>
    <w:p w:rsidR="00000000" w:rsidRDefault="00000000">
      <w:pPr>
        <w:shd w:val="clear" w:color="auto" w:fill="FFFFFF"/>
        <w:tabs>
          <w:tab w:val="left" w:pos="1350"/>
        </w:tabs>
        <w:spacing w:before="240" w:after="480"/>
      </w:pPr>
      <w:r>
        <w:rPr>
          <w:i/>
          <w:iCs/>
          <w:color w:val="000000"/>
          <w:szCs w:val="25"/>
          <w:lang w:val="es-ES_tradnl"/>
        </w:rPr>
        <w:tab/>
        <w:t>Fuente</w:t>
      </w:r>
      <w:r>
        <w:rPr>
          <w:color w:val="000000"/>
          <w:szCs w:val="25"/>
          <w:lang w:val="es-ES_tradnl"/>
        </w:rPr>
        <w:t>:  MIDUVI-INEC.</w:t>
      </w:r>
    </w:p>
    <w:p w:rsidR="00000000" w:rsidRDefault="00000000">
      <w:pPr>
        <w:keepNext/>
        <w:keepLines/>
        <w:shd w:val="clear" w:color="auto" w:fill="FFFFFF"/>
        <w:spacing w:after="240"/>
        <w:jc w:val="center"/>
      </w:pPr>
      <w:r>
        <w:rPr>
          <w:b/>
          <w:bCs/>
          <w:color w:val="000000"/>
          <w:szCs w:val="22"/>
          <w:lang w:val="es-ES_tradnl"/>
        </w:rPr>
        <w:t>Distribución porcentual de viviendas particulares, ocupadas</w:t>
      </w:r>
      <w:r>
        <w:rPr>
          <w:b/>
          <w:bCs/>
          <w:color w:val="000000"/>
          <w:szCs w:val="22"/>
          <w:lang w:val="es-ES_tradnl"/>
        </w:rPr>
        <w:br/>
        <w:t>con personas presentes, por servicios que disponen</w:t>
      </w:r>
    </w:p>
    <w:p w:rsidR="00000000" w:rsidRDefault="00000000">
      <w:pPr>
        <w:keepNext/>
        <w:keepLines/>
        <w:shd w:val="clear" w:color="auto" w:fill="FFFFFF"/>
        <w:spacing w:after="240"/>
        <w:jc w:val="center"/>
        <w:rPr>
          <w:b/>
          <w:bCs/>
          <w:color w:val="000000"/>
          <w:szCs w:val="22"/>
          <w:lang w:val="es-ES_tradnl"/>
        </w:rPr>
      </w:pPr>
      <w:r>
        <w:rPr>
          <w:b/>
          <w:bCs/>
          <w:color w:val="000000"/>
          <w:szCs w:val="22"/>
          <w:lang w:val="es-ES_tradnl"/>
        </w:rPr>
        <w:t>(Censos 1982-1990)</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7"/>
        <w:gridCol w:w="1163"/>
        <w:gridCol w:w="840"/>
        <w:gridCol w:w="840"/>
        <w:gridCol w:w="840"/>
        <w:gridCol w:w="780"/>
        <w:gridCol w:w="780"/>
        <w:gridCol w:w="780"/>
        <w:gridCol w:w="945"/>
        <w:gridCol w:w="945"/>
      </w:tblGrid>
      <w:tr w:rsidR="00000000">
        <w:tblPrEx>
          <w:tblCellMar>
            <w:top w:w="0" w:type="dxa"/>
            <w:bottom w:w="0" w:type="dxa"/>
          </w:tblCellMar>
        </w:tblPrEx>
        <w:trPr>
          <w:cantSplit/>
        </w:trPr>
        <w:tc>
          <w:tcPr>
            <w:tcW w:w="1517" w:type="dxa"/>
            <w:vMerge w:val="restart"/>
            <w:vAlign w:val="center"/>
          </w:tcPr>
          <w:p w:rsidR="00000000" w:rsidRDefault="00000000">
            <w:pPr>
              <w:keepNext/>
              <w:keepLines/>
              <w:jc w:val="center"/>
              <w:rPr>
                <w:color w:val="000000"/>
                <w:szCs w:val="22"/>
                <w:lang w:val="es-ES_tradnl"/>
              </w:rPr>
            </w:pPr>
            <w:r>
              <w:rPr>
                <w:color w:val="000000"/>
                <w:szCs w:val="22"/>
                <w:lang w:val="es-ES_tradnl"/>
              </w:rPr>
              <w:t>Población</w:t>
            </w:r>
          </w:p>
        </w:tc>
        <w:tc>
          <w:tcPr>
            <w:tcW w:w="1163" w:type="dxa"/>
            <w:vMerge w:val="restart"/>
            <w:vAlign w:val="center"/>
          </w:tcPr>
          <w:p w:rsidR="00000000" w:rsidRDefault="00000000">
            <w:pPr>
              <w:keepNext/>
              <w:keepLines/>
              <w:jc w:val="center"/>
              <w:rPr>
                <w:color w:val="000000"/>
                <w:szCs w:val="21"/>
                <w:lang w:val="es-ES_tradnl"/>
              </w:rPr>
            </w:pPr>
            <w:r>
              <w:rPr>
                <w:color w:val="000000"/>
                <w:szCs w:val="22"/>
                <w:lang w:val="es-ES_tradnl"/>
              </w:rPr>
              <w:t>Total viviendas</w:t>
            </w:r>
          </w:p>
        </w:tc>
        <w:tc>
          <w:tcPr>
            <w:tcW w:w="2520" w:type="dxa"/>
            <w:gridSpan w:val="3"/>
          </w:tcPr>
          <w:p w:rsidR="00000000" w:rsidRDefault="00000000">
            <w:pPr>
              <w:keepNext/>
              <w:keepLines/>
              <w:jc w:val="center"/>
              <w:rPr>
                <w:color w:val="000000"/>
                <w:szCs w:val="21"/>
                <w:lang w:val="es-ES_tradnl"/>
              </w:rPr>
            </w:pPr>
            <w:r>
              <w:rPr>
                <w:color w:val="000000"/>
                <w:szCs w:val="22"/>
                <w:lang w:val="es-ES_tradnl"/>
              </w:rPr>
              <w:t>Abastecimiento de agua</w:t>
            </w:r>
          </w:p>
        </w:tc>
        <w:tc>
          <w:tcPr>
            <w:tcW w:w="2340" w:type="dxa"/>
            <w:gridSpan w:val="3"/>
          </w:tcPr>
          <w:p w:rsidR="00000000" w:rsidRDefault="00000000">
            <w:pPr>
              <w:keepNext/>
              <w:keepLines/>
              <w:jc w:val="center"/>
              <w:rPr>
                <w:color w:val="000000"/>
                <w:szCs w:val="21"/>
                <w:lang w:val="es-ES_tradnl"/>
              </w:rPr>
            </w:pPr>
            <w:r>
              <w:rPr>
                <w:color w:val="000000"/>
                <w:szCs w:val="22"/>
                <w:lang w:val="es-ES_tradnl"/>
              </w:rPr>
              <w:t>Eliminación de aguas</w:t>
            </w:r>
          </w:p>
        </w:tc>
        <w:tc>
          <w:tcPr>
            <w:tcW w:w="1890" w:type="dxa"/>
            <w:gridSpan w:val="2"/>
          </w:tcPr>
          <w:p w:rsidR="00000000" w:rsidRDefault="00000000">
            <w:pPr>
              <w:keepNext/>
              <w:keepLines/>
              <w:rPr>
                <w:color w:val="000000"/>
                <w:szCs w:val="21"/>
                <w:lang w:val="es-ES_tradnl"/>
              </w:rPr>
            </w:pPr>
            <w:r>
              <w:rPr>
                <w:color w:val="000000"/>
                <w:szCs w:val="22"/>
                <w:lang w:val="es-ES_tradnl"/>
              </w:rPr>
              <w:t>Servicio eléctrico</w:t>
            </w:r>
          </w:p>
        </w:tc>
      </w:tr>
      <w:tr w:rsidR="00000000">
        <w:tblPrEx>
          <w:tblCellMar>
            <w:top w:w="0" w:type="dxa"/>
            <w:bottom w:w="0" w:type="dxa"/>
          </w:tblCellMar>
        </w:tblPrEx>
        <w:trPr>
          <w:cantSplit/>
        </w:trPr>
        <w:tc>
          <w:tcPr>
            <w:tcW w:w="1517" w:type="dxa"/>
            <w:vMerge/>
          </w:tcPr>
          <w:p w:rsidR="00000000" w:rsidRDefault="00000000">
            <w:pPr>
              <w:keepNext/>
              <w:keepLines/>
              <w:rPr>
                <w:color w:val="000000"/>
                <w:szCs w:val="22"/>
                <w:lang w:val="es-ES_tradnl"/>
              </w:rPr>
            </w:pPr>
          </w:p>
        </w:tc>
        <w:tc>
          <w:tcPr>
            <w:tcW w:w="1163" w:type="dxa"/>
            <w:vMerge/>
          </w:tcPr>
          <w:p w:rsidR="00000000" w:rsidRDefault="00000000">
            <w:pPr>
              <w:keepNext/>
              <w:keepLines/>
              <w:rPr>
                <w:color w:val="000000"/>
                <w:szCs w:val="21"/>
                <w:lang w:val="es-ES_tradnl"/>
              </w:rPr>
            </w:pPr>
          </w:p>
        </w:tc>
        <w:tc>
          <w:tcPr>
            <w:tcW w:w="840" w:type="dxa"/>
          </w:tcPr>
          <w:p w:rsidR="00000000" w:rsidRDefault="00000000">
            <w:pPr>
              <w:keepNext/>
              <w:keepLines/>
              <w:jc w:val="center"/>
              <w:rPr>
                <w:color w:val="000000"/>
                <w:szCs w:val="22"/>
                <w:lang w:val="es-ES_tradnl"/>
              </w:rPr>
            </w:pPr>
            <w:r>
              <w:rPr>
                <w:color w:val="000000"/>
                <w:szCs w:val="22"/>
                <w:lang w:val="es-ES_tradnl"/>
              </w:rPr>
              <w:t>%</w:t>
            </w:r>
          </w:p>
        </w:tc>
        <w:tc>
          <w:tcPr>
            <w:tcW w:w="840" w:type="dxa"/>
          </w:tcPr>
          <w:p w:rsidR="00000000" w:rsidRDefault="00000000">
            <w:pPr>
              <w:keepNext/>
              <w:keepLines/>
              <w:jc w:val="center"/>
              <w:rPr>
                <w:color w:val="000000"/>
                <w:szCs w:val="21"/>
                <w:lang w:val="es-ES_tradnl"/>
              </w:rPr>
            </w:pPr>
            <w:proofErr w:type="spellStart"/>
            <w:r>
              <w:rPr>
                <w:color w:val="000000"/>
                <w:szCs w:val="22"/>
                <w:lang w:val="es-ES_tradnl"/>
              </w:rPr>
              <w:t>R.P</w:t>
            </w:r>
            <w:proofErr w:type="spellEnd"/>
            <w:r>
              <w:rPr>
                <w:color w:val="000000"/>
                <w:szCs w:val="22"/>
                <w:lang w:val="es-ES_tradnl"/>
              </w:rPr>
              <w:t>.</w:t>
            </w:r>
          </w:p>
        </w:tc>
        <w:tc>
          <w:tcPr>
            <w:tcW w:w="840" w:type="dxa"/>
          </w:tcPr>
          <w:p w:rsidR="00000000" w:rsidRDefault="00000000">
            <w:pPr>
              <w:keepNext/>
              <w:keepLines/>
              <w:jc w:val="center"/>
              <w:rPr>
                <w:color w:val="000000"/>
                <w:szCs w:val="21"/>
                <w:lang w:val="en-GB"/>
              </w:rPr>
            </w:pPr>
            <w:proofErr w:type="spellStart"/>
            <w:r>
              <w:rPr>
                <w:color w:val="000000"/>
                <w:szCs w:val="22"/>
                <w:lang w:val="en-GB"/>
              </w:rPr>
              <w:t>O.F</w:t>
            </w:r>
            <w:proofErr w:type="spellEnd"/>
            <w:r>
              <w:rPr>
                <w:color w:val="000000"/>
                <w:szCs w:val="22"/>
                <w:lang w:val="en-GB"/>
              </w:rPr>
              <w:t>.</w:t>
            </w:r>
          </w:p>
        </w:tc>
        <w:tc>
          <w:tcPr>
            <w:tcW w:w="780" w:type="dxa"/>
          </w:tcPr>
          <w:p w:rsidR="00000000" w:rsidRDefault="00000000">
            <w:pPr>
              <w:keepNext/>
              <w:keepLines/>
              <w:jc w:val="center"/>
              <w:rPr>
                <w:color w:val="000000"/>
                <w:szCs w:val="21"/>
                <w:lang w:val="en-GB"/>
              </w:rPr>
            </w:pPr>
            <w:r>
              <w:rPr>
                <w:color w:val="000000"/>
                <w:szCs w:val="22"/>
                <w:lang w:val="en-GB"/>
              </w:rPr>
              <w:t>A</w:t>
            </w:r>
          </w:p>
        </w:tc>
        <w:tc>
          <w:tcPr>
            <w:tcW w:w="780" w:type="dxa"/>
          </w:tcPr>
          <w:p w:rsidR="00000000" w:rsidRDefault="00000000">
            <w:pPr>
              <w:keepNext/>
              <w:keepLines/>
              <w:jc w:val="center"/>
              <w:rPr>
                <w:color w:val="000000"/>
                <w:szCs w:val="21"/>
                <w:lang w:val="en-GB"/>
              </w:rPr>
            </w:pPr>
            <w:r>
              <w:rPr>
                <w:color w:val="000000"/>
                <w:szCs w:val="22"/>
                <w:lang w:val="en-GB"/>
              </w:rPr>
              <w:t>P.C.</w:t>
            </w:r>
          </w:p>
        </w:tc>
        <w:tc>
          <w:tcPr>
            <w:tcW w:w="780" w:type="dxa"/>
          </w:tcPr>
          <w:p w:rsidR="00000000" w:rsidRDefault="00000000">
            <w:pPr>
              <w:keepNext/>
              <w:keepLines/>
              <w:jc w:val="center"/>
              <w:rPr>
                <w:color w:val="000000"/>
                <w:szCs w:val="21"/>
                <w:lang w:val="en-GB"/>
              </w:rPr>
            </w:pPr>
            <w:r>
              <w:rPr>
                <w:color w:val="000000"/>
                <w:szCs w:val="22"/>
                <w:lang w:val="en-GB"/>
              </w:rPr>
              <w:t>N</w:t>
            </w:r>
          </w:p>
        </w:tc>
        <w:tc>
          <w:tcPr>
            <w:tcW w:w="945" w:type="dxa"/>
          </w:tcPr>
          <w:p w:rsidR="00000000" w:rsidRDefault="00000000">
            <w:pPr>
              <w:keepNext/>
              <w:keepLines/>
              <w:jc w:val="center"/>
              <w:rPr>
                <w:color w:val="000000"/>
                <w:szCs w:val="21"/>
                <w:lang w:val="es-ES_tradnl"/>
              </w:rPr>
            </w:pPr>
            <w:r>
              <w:rPr>
                <w:color w:val="000000"/>
                <w:szCs w:val="22"/>
                <w:lang w:val="es-ES_tradnl"/>
              </w:rPr>
              <w:t>Sí</w:t>
            </w:r>
          </w:p>
        </w:tc>
        <w:tc>
          <w:tcPr>
            <w:tcW w:w="945" w:type="dxa"/>
          </w:tcPr>
          <w:p w:rsidR="00000000" w:rsidRDefault="00000000">
            <w:pPr>
              <w:keepNext/>
              <w:keepLines/>
              <w:jc w:val="center"/>
              <w:rPr>
                <w:color w:val="000000"/>
                <w:szCs w:val="21"/>
                <w:lang w:val="es-ES_tradnl"/>
              </w:rPr>
            </w:pPr>
            <w:r>
              <w:rPr>
                <w:color w:val="000000"/>
                <w:szCs w:val="22"/>
                <w:lang w:val="es-ES_tradnl"/>
              </w:rPr>
              <w:t>No</w:t>
            </w:r>
          </w:p>
        </w:tc>
      </w:tr>
      <w:tr w:rsidR="00000000">
        <w:tblPrEx>
          <w:tblCellMar>
            <w:top w:w="0" w:type="dxa"/>
            <w:bottom w:w="0" w:type="dxa"/>
          </w:tblCellMar>
        </w:tblPrEx>
        <w:tc>
          <w:tcPr>
            <w:tcW w:w="1517" w:type="dxa"/>
          </w:tcPr>
          <w:p w:rsidR="00000000" w:rsidRDefault="00000000">
            <w:pPr>
              <w:keepNext/>
              <w:keepLines/>
              <w:rPr>
                <w:color w:val="000000"/>
                <w:szCs w:val="22"/>
                <w:lang w:val="es-ES_tradnl"/>
              </w:rPr>
            </w:pPr>
            <w:r>
              <w:rPr>
                <w:color w:val="000000"/>
                <w:szCs w:val="22"/>
                <w:lang w:val="es-ES_tradnl"/>
              </w:rPr>
              <w:t>Censo 1982</w:t>
            </w:r>
          </w:p>
        </w:tc>
        <w:tc>
          <w:tcPr>
            <w:tcW w:w="1163" w:type="dxa"/>
          </w:tcPr>
          <w:p w:rsidR="00000000" w:rsidRDefault="00000000">
            <w:pPr>
              <w:keepNext/>
              <w:keepLines/>
              <w:jc w:val="right"/>
              <w:rPr>
                <w:color w:val="000000"/>
                <w:szCs w:val="22"/>
                <w:lang w:val="es-ES_tradnl"/>
              </w:rPr>
            </w:pPr>
            <w:r>
              <w:rPr>
                <w:color w:val="000000"/>
                <w:szCs w:val="21"/>
                <w:lang w:val="es-ES_tradnl"/>
              </w:rPr>
              <w:t>1.576.441</w:t>
            </w:r>
          </w:p>
        </w:tc>
        <w:tc>
          <w:tcPr>
            <w:tcW w:w="840" w:type="dxa"/>
          </w:tcPr>
          <w:p w:rsidR="00000000" w:rsidRDefault="00000000">
            <w:pPr>
              <w:keepNext/>
              <w:keepLines/>
              <w:jc w:val="right"/>
              <w:rPr>
                <w:color w:val="000000"/>
                <w:szCs w:val="22"/>
                <w:lang w:val="es-ES_tradnl"/>
              </w:rPr>
            </w:pPr>
            <w:r>
              <w:rPr>
                <w:color w:val="000000"/>
                <w:szCs w:val="22"/>
                <w:lang w:val="es-ES_tradnl"/>
              </w:rPr>
              <w:t>100</w:t>
            </w:r>
          </w:p>
        </w:tc>
        <w:tc>
          <w:tcPr>
            <w:tcW w:w="840" w:type="dxa"/>
          </w:tcPr>
          <w:p w:rsidR="00000000" w:rsidRDefault="00000000">
            <w:pPr>
              <w:keepNext/>
              <w:keepLines/>
              <w:jc w:val="right"/>
              <w:rPr>
                <w:color w:val="000000"/>
                <w:szCs w:val="22"/>
                <w:lang w:val="es-ES_tradnl"/>
              </w:rPr>
            </w:pPr>
            <w:r>
              <w:rPr>
                <w:color w:val="000000"/>
                <w:szCs w:val="21"/>
                <w:lang w:val="es-ES_tradnl"/>
              </w:rPr>
              <w:t>51,8</w:t>
            </w:r>
          </w:p>
        </w:tc>
        <w:tc>
          <w:tcPr>
            <w:tcW w:w="840" w:type="dxa"/>
          </w:tcPr>
          <w:p w:rsidR="00000000" w:rsidRDefault="00000000">
            <w:pPr>
              <w:keepNext/>
              <w:keepLines/>
              <w:jc w:val="right"/>
              <w:rPr>
                <w:color w:val="000000"/>
                <w:szCs w:val="22"/>
                <w:lang w:val="es-ES_tradnl"/>
              </w:rPr>
            </w:pPr>
            <w:r>
              <w:rPr>
                <w:color w:val="000000"/>
                <w:szCs w:val="21"/>
                <w:lang w:val="es-ES_tradnl"/>
              </w:rPr>
              <w:t>48,2</w:t>
            </w:r>
          </w:p>
        </w:tc>
        <w:tc>
          <w:tcPr>
            <w:tcW w:w="780" w:type="dxa"/>
          </w:tcPr>
          <w:p w:rsidR="00000000" w:rsidRDefault="00000000">
            <w:pPr>
              <w:keepNext/>
              <w:keepLines/>
              <w:jc w:val="right"/>
              <w:rPr>
                <w:color w:val="000000"/>
                <w:szCs w:val="22"/>
                <w:lang w:val="es-ES_tradnl"/>
              </w:rPr>
            </w:pPr>
            <w:r>
              <w:rPr>
                <w:color w:val="000000"/>
                <w:szCs w:val="21"/>
                <w:lang w:val="es-ES_tradnl"/>
              </w:rPr>
              <w:t>34</w:t>
            </w:r>
          </w:p>
        </w:tc>
        <w:tc>
          <w:tcPr>
            <w:tcW w:w="780" w:type="dxa"/>
          </w:tcPr>
          <w:p w:rsidR="00000000" w:rsidRDefault="00000000">
            <w:pPr>
              <w:keepNext/>
              <w:keepLines/>
              <w:jc w:val="right"/>
              <w:rPr>
                <w:color w:val="000000"/>
                <w:szCs w:val="22"/>
                <w:lang w:val="es-ES_tradnl"/>
              </w:rPr>
            </w:pPr>
            <w:r>
              <w:rPr>
                <w:color w:val="000000"/>
                <w:szCs w:val="21"/>
                <w:lang w:val="es-ES_tradnl"/>
              </w:rPr>
              <w:t>14,6</w:t>
            </w:r>
          </w:p>
        </w:tc>
        <w:tc>
          <w:tcPr>
            <w:tcW w:w="780" w:type="dxa"/>
          </w:tcPr>
          <w:p w:rsidR="00000000" w:rsidRDefault="00000000">
            <w:pPr>
              <w:keepNext/>
              <w:keepLines/>
              <w:jc w:val="right"/>
              <w:rPr>
                <w:color w:val="000000"/>
                <w:szCs w:val="22"/>
                <w:lang w:val="es-ES_tradnl"/>
              </w:rPr>
            </w:pPr>
            <w:r>
              <w:rPr>
                <w:color w:val="000000"/>
                <w:szCs w:val="21"/>
                <w:lang w:val="es-ES_tradnl"/>
              </w:rPr>
              <w:t>51,8</w:t>
            </w:r>
          </w:p>
        </w:tc>
        <w:tc>
          <w:tcPr>
            <w:tcW w:w="945" w:type="dxa"/>
          </w:tcPr>
          <w:p w:rsidR="00000000" w:rsidRDefault="00000000">
            <w:pPr>
              <w:keepNext/>
              <w:keepLines/>
              <w:jc w:val="right"/>
              <w:rPr>
                <w:color w:val="000000"/>
                <w:szCs w:val="22"/>
                <w:lang w:val="es-ES_tradnl"/>
              </w:rPr>
            </w:pPr>
            <w:r>
              <w:rPr>
                <w:color w:val="000000"/>
                <w:szCs w:val="21"/>
                <w:lang w:val="es-ES_tradnl"/>
              </w:rPr>
              <w:t>62,1</w:t>
            </w:r>
          </w:p>
        </w:tc>
        <w:tc>
          <w:tcPr>
            <w:tcW w:w="945" w:type="dxa"/>
          </w:tcPr>
          <w:p w:rsidR="00000000" w:rsidRDefault="00000000">
            <w:pPr>
              <w:keepNext/>
              <w:keepLines/>
              <w:jc w:val="right"/>
              <w:rPr>
                <w:color w:val="000000"/>
                <w:szCs w:val="22"/>
                <w:lang w:val="es-ES_tradnl"/>
              </w:rPr>
            </w:pPr>
            <w:r>
              <w:rPr>
                <w:color w:val="000000"/>
                <w:szCs w:val="21"/>
                <w:lang w:val="es-ES_tradnl"/>
              </w:rPr>
              <w:t>37,9</w:t>
            </w:r>
          </w:p>
        </w:tc>
      </w:tr>
      <w:tr w:rsidR="00000000">
        <w:tblPrEx>
          <w:tblCellMar>
            <w:top w:w="0" w:type="dxa"/>
            <w:bottom w:w="0" w:type="dxa"/>
          </w:tblCellMar>
        </w:tblPrEx>
        <w:tc>
          <w:tcPr>
            <w:tcW w:w="1517" w:type="dxa"/>
          </w:tcPr>
          <w:p w:rsidR="00000000" w:rsidRDefault="00000000">
            <w:pPr>
              <w:keepNext/>
              <w:keepLines/>
              <w:rPr>
                <w:color w:val="000000"/>
                <w:szCs w:val="22"/>
                <w:lang w:val="es-ES_tradnl"/>
              </w:rPr>
            </w:pPr>
            <w:r>
              <w:rPr>
                <w:color w:val="000000"/>
                <w:szCs w:val="22"/>
                <w:lang w:val="es-ES_tradnl"/>
              </w:rPr>
              <w:t>Censo 1990</w:t>
            </w:r>
          </w:p>
        </w:tc>
        <w:tc>
          <w:tcPr>
            <w:tcW w:w="1163" w:type="dxa"/>
          </w:tcPr>
          <w:p w:rsidR="00000000" w:rsidRDefault="00000000">
            <w:pPr>
              <w:keepNext/>
              <w:keepLines/>
              <w:jc w:val="right"/>
              <w:rPr>
                <w:color w:val="000000"/>
                <w:szCs w:val="22"/>
                <w:lang w:val="es-ES_tradnl"/>
              </w:rPr>
            </w:pPr>
            <w:r>
              <w:rPr>
                <w:color w:val="000000"/>
                <w:szCs w:val="21"/>
                <w:lang w:val="es-ES_tradnl"/>
              </w:rPr>
              <w:t>2.008.655</w:t>
            </w:r>
          </w:p>
        </w:tc>
        <w:tc>
          <w:tcPr>
            <w:tcW w:w="840" w:type="dxa"/>
          </w:tcPr>
          <w:p w:rsidR="00000000" w:rsidRDefault="00000000">
            <w:pPr>
              <w:keepNext/>
              <w:keepLines/>
              <w:jc w:val="right"/>
              <w:rPr>
                <w:color w:val="000000"/>
                <w:szCs w:val="22"/>
                <w:lang w:val="es-ES_tradnl"/>
              </w:rPr>
            </w:pPr>
            <w:r>
              <w:rPr>
                <w:color w:val="000000"/>
                <w:szCs w:val="22"/>
                <w:lang w:val="es-ES_tradnl"/>
              </w:rPr>
              <w:t>100</w:t>
            </w:r>
          </w:p>
        </w:tc>
        <w:tc>
          <w:tcPr>
            <w:tcW w:w="840" w:type="dxa"/>
          </w:tcPr>
          <w:p w:rsidR="00000000" w:rsidRDefault="00000000">
            <w:pPr>
              <w:keepNext/>
              <w:keepLines/>
              <w:jc w:val="right"/>
              <w:rPr>
                <w:color w:val="000000"/>
                <w:szCs w:val="22"/>
                <w:lang w:val="es-ES_tradnl"/>
              </w:rPr>
            </w:pPr>
            <w:r>
              <w:rPr>
                <w:color w:val="000000"/>
                <w:szCs w:val="21"/>
                <w:lang w:val="es-ES_tradnl"/>
              </w:rPr>
              <w:t>62,7</w:t>
            </w:r>
          </w:p>
        </w:tc>
        <w:tc>
          <w:tcPr>
            <w:tcW w:w="840" w:type="dxa"/>
          </w:tcPr>
          <w:p w:rsidR="00000000" w:rsidRDefault="00000000">
            <w:pPr>
              <w:keepNext/>
              <w:keepLines/>
              <w:jc w:val="right"/>
              <w:rPr>
                <w:color w:val="000000"/>
                <w:szCs w:val="22"/>
                <w:lang w:val="es-ES_tradnl"/>
              </w:rPr>
            </w:pPr>
            <w:r>
              <w:rPr>
                <w:color w:val="000000"/>
                <w:szCs w:val="21"/>
                <w:lang w:val="es-ES_tradnl"/>
              </w:rPr>
              <w:t>37,3</w:t>
            </w:r>
          </w:p>
        </w:tc>
        <w:tc>
          <w:tcPr>
            <w:tcW w:w="780" w:type="dxa"/>
          </w:tcPr>
          <w:p w:rsidR="00000000" w:rsidRDefault="00000000">
            <w:pPr>
              <w:keepNext/>
              <w:keepLines/>
              <w:jc w:val="right"/>
              <w:rPr>
                <w:color w:val="000000"/>
                <w:szCs w:val="22"/>
                <w:lang w:val="es-ES_tradnl"/>
              </w:rPr>
            </w:pPr>
            <w:r>
              <w:rPr>
                <w:color w:val="000000"/>
                <w:szCs w:val="21"/>
                <w:lang w:val="es-ES_tradnl"/>
              </w:rPr>
              <w:t>40</w:t>
            </w:r>
          </w:p>
        </w:tc>
        <w:tc>
          <w:tcPr>
            <w:tcW w:w="780" w:type="dxa"/>
          </w:tcPr>
          <w:p w:rsidR="00000000" w:rsidRDefault="00000000">
            <w:pPr>
              <w:keepNext/>
              <w:keepLines/>
              <w:jc w:val="right"/>
              <w:rPr>
                <w:color w:val="000000"/>
                <w:szCs w:val="22"/>
                <w:lang w:val="es-ES_tradnl"/>
              </w:rPr>
            </w:pPr>
            <w:r>
              <w:rPr>
                <w:color w:val="000000"/>
                <w:szCs w:val="21"/>
                <w:lang w:val="es-ES_tradnl"/>
              </w:rPr>
              <w:t>32,8</w:t>
            </w:r>
          </w:p>
        </w:tc>
        <w:tc>
          <w:tcPr>
            <w:tcW w:w="780" w:type="dxa"/>
          </w:tcPr>
          <w:p w:rsidR="00000000" w:rsidRDefault="00000000">
            <w:pPr>
              <w:keepNext/>
              <w:keepLines/>
              <w:jc w:val="right"/>
              <w:rPr>
                <w:color w:val="000000"/>
                <w:szCs w:val="22"/>
                <w:lang w:val="es-ES_tradnl"/>
              </w:rPr>
            </w:pPr>
            <w:r>
              <w:rPr>
                <w:color w:val="000000"/>
                <w:szCs w:val="21"/>
                <w:lang w:val="es-ES_tradnl"/>
              </w:rPr>
              <w:t>27,7</w:t>
            </w:r>
          </w:p>
        </w:tc>
        <w:tc>
          <w:tcPr>
            <w:tcW w:w="945" w:type="dxa"/>
          </w:tcPr>
          <w:p w:rsidR="00000000" w:rsidRDefault="00000000">
            <w:pPr>
              <w:keepNext/>
              <w:keepLines/>
              <w:jc w:val="right"/>
              <w:rPr>
                <w:color w:val="000000"/>
                <w:szCs w:val="22"/>
                <w:lang w:val="es-ES_tradnl"/>
              </w:rPr>
            </w:pPr>
            <w:r>
              <w:rPr>
                <w:color w:val="000000"/>
                <w:szCs w:val="21"/>
                <w:lang w:val="es-ES_tradnl"/>
              </w:rPr>
              <w:t>77,7</w:t>
            </w:r>
          </w:p>
        </w:tc>
        <w:tc>
          <w:tcPr>
            <w:tcW w:w="945" w:type="dxa"/>
          </w:tcPr>
          <w:p w:rsidR="00000000" w:rsidRDefault="00000000">
            <w:pPr>
              <w:keepNext/>
              <w:keepLines/>
              <w:jc w:val="right"/>
              <w:rPr>
                <w:color w:val="000000"/>
                <w:szCs w:val="22"/>
                <w:lang w:val="es-ES_tradnl"/>
              </w:rPr>
            </w:pPr>
            <w:r>
              <w:rPr>
                <w:color w:val="000000"/>
                <w:szCs w:val="21"/>
                <w:lang w:val="es-ES_tradnl"/>
              </w:rPr>
              <w:t>77,7</w:t>
            </w:r>
          </w:p>
        </w:tc>
      </w:tr>
    </w:tbl>
    <w:p w:rsidR="00000000" w:rsidRDefault="00000000">
      <w:pPr>
        <w:shd w:val="clear" w:color="auto" w:fill="FFFFFF"/>
        <w:spacing w:before="240" w:after="240"/>
        <w:rPr>
          <w:color w:val="000000"/>
          <w:szCs w:val="23"/>
          <w:lang w:val="es-ES_tradnl"/>
        </w:rPr>
      </w:pPr>
      <w:r>
        <w:rPr>
          <w:i/>
          <w:iCs/>
          <w:color w:val="000000"/>
          <w:szCs w:val="23"/>
          <w:lang w:val="es-ES_tradnl"/>
        </w:rPr>
        <w:t>Fuente</w:t>
      </w:r>
      <w:r>
        <w:rPr>
          <w:color w:val="000000"/>
          <w:szCs w:val="23"/>
          <w:lang w:val="es-ES_tradnl"/>
        </w:rPr>
        <w:t>:  MIDUVI</w:t>
      </w:r>
      <w:r>
        <w:rPr>
          <w:color w:val="000000"/>
          <w:szCs w:val="23"/>
          <w:lang w:val="es-ES_tradnl"/>
        </w:rPr>
        <w:noBreakHyphen/>
        <w:t>INEC.</w:t>
      </w:r>
    </w:p>
    <w:p w:rsidR="00000000" w:rsidRDefault="00000000">
      <w:pPr>
        <w:shd w:val="clear" w:color="auto" w:fill="FFFFFF"/>
        <w:spacing w:after="480"/>
      </w:pPr>
      <w:r>
        <w:rPr>
          <w:i/>
          <w:iCs/>
          <w:color w:val="000000"/>
          <w:szCs w:val="23"/>
          <w:lang w:val="es-ES_tradnl"/>
        </w:rPr>
        <w:t>Nota</w:t>
      </w:r>
      <w:r>
        <w:rPr>
          <w:color w:val="000000"/>
          <w:szCs w:val="23"/>
          <w:lang w:val="es-ES_tradnl"/>
        </w:rPr>
        <w:t xml:space="preserve">:  </w:t>
      </w:r>
      <w:proofErr w:type="spellStart"/>
      <w:r>
        <w:rPr>
          <w:color w:val="000000"/>
          <w:szCs w:val="23"/>
          <w:lang w:val="es-ES_tradnl"/>
        </w:rPr>
        <w:t>R.P</w:t>
      </w:r>
      <w:proofErr w:type="spellEnd"/>
      <w:r>
        <w:rPr>
          <w:color w:val="000000"/>
          <w:szCs w:val="23"/>
          <w:lang w:val="es-ES_tradnl"/>
        </w:rPr>
        <w:t xml:space="preserve">. = red pública, </w:t>
      </w:r>
      <w:proofErr w:type="spellStart"/>
      <w:r>
        <w:rPr>
          <w:color w:val="000000"/>
          <w:szCs w:val="23"/>
          <w:lang w:val="es-ES_tradnl"/>
        </w:rPr>
        <w:t>O.F</w:t>
      </w:r>
      <w:proofErr w:type="spellEnd"/>
      <w:r>
        <w:rPr>
          <w:color w:val="000000"/>
          <w:szCs w:val="23"/>
          <w:lang w:val="es-ES_tradnl"/>
        </w:rPr>
        <w:t xml:space="preserve">. = otras fuentes, A = alcantarillado, </w:t>
      </w:r>
      <w:proofErr w:type="spellStart"/>
      <w:r>
        <w:rPr>
          <w:color w:val="000000"/>
          <w:szCs w:val="23"/>
          <w:lang w:val="es-ES_tradnl"/>
        </w:rPr>
        <w:t>P.C</w:t>
      </w:r>
      <w:proofErr w:type="spellEnd"/>
      <w:r>
        <w:rPr>
          <w:color w:val="000000"/>
          <w:szCs w:val="23"/>
          <w:lang w:val="es-ES_tradnl"/>
        </w:rPr>
        <w:t>. = pozo ciego, N = ninguno, Sí = sí tiene, No = no tiene.</w:t>
      </w:r>
    </w:p>
    <w:p w:rsidR="00000000" w:rsidRDefault="00000000">
      <w:pPr>
        <w:shd w:val="clear" w:color="auto" w:fill="FFFFFF"/>
        <w:spacing w:after="240"/>
        <w:ind w:left="29"/>
        <w:rPr>
          <w:color w:val="000000"/>
          <w:szCs w:val="25"/>
          <w:lang w:val="es-ES_tradnl"/>
        </w:rPr>
      </w:pPr>
      <w:r>
        <w:rPr>
          <w:color w:val="000000"/>
          <w:szCs w:val="25"/>
          <w:lang w:val="es-ES_tradnl"/>
        </w:rPr>
        <w:t>355.</w:t>
      </w:r>
      <w:r>
        <w:rPr>
          <w:color w:val="000000"/>
          <w:szCs w:val="25"/>
          <w:lang w:val="es-ES_tradnl"/>
        </w:rPr>
        <w:tab/>
        <w:t>Para 1999 se estima un crecimiento de la población que llegaría a 12.411.232 habitantes.  De esta población el 49,8% está localizada en la Costa, el 45,65% en la Sierra y el 4,6% restante en la Región Amazónica e Insular.</w:t>
      </w:r>
    </w:p>
    <w:p w:rsidR="00000000" w:rsidRDefault="00000000">
      <w:pPr>
        <w:shd w:val="clear" w:color="auto" w:fill="FFFFFF"/>
        <w:spacing w:after="240"/>
        <w:ind w:left="29"/>
      </w:pPr>
      <w:r>
        <w:rPr>
          <w:color w:val="000000"/>
          <w:szCs w:val="25"/>
          <w:lang w:val="es-ES_tradnl"/>
        </w:rPr>
        <w:t>356.</w:t>
      </w:r>
      <w:r>
        <w:rPr>
          <w:color w:val="000000"/>
          <w:szCs w:val="25"/>
          <w:lang w:val="es-ES_tradnl"/>
        </w:rPr>
        <w:tab/>
        <w:t xml:space="preserve">Si se analiza la composición </w:t>
      </w:r>
      <w:proofErr w:type="spellStart"/>
      <w:r>
        <w:rPr>
          <w:color w:val="000000"/>
          <w:szCs w:val="25"/>
          <w:lang w:val="es-ES_tradnl"/>
        </w:rPr>
        <w:t>urbanorural</w:t>
      </w:r>
      <w:proofErr w:type="spellEnd"/>
      <w:r>
        <w:rPr>
          <w:color w:val="000000"/>
          <w:szCs w:val="25"/>
          <w:lang w:val="es-ES_tradnl"/>
        </w:rPr>
        <w:t xml:space="preserve"> de</w:t>
      </w:r>
      <w:r>
        <w:rPr>
          <w:i/>
          <w:iCs/>
          <w:color w:val="000000"/>
          <w:szCs w:val="25"/>
          <w:lang w:val="es-ES_tradnl"/>
        </w:rPr>
        <w:t xml:space="preserve"> </w:t>
      </w:r>
      <w:r>
        <w:rPr>
          <w:color w:val="000000"/>
          <w:szCs w:val="25"/>
          <w:lang w:val="es-ES_tradnl"/>
        </w:rPr>
        <w:t xml:space="preserve">la población a nivel </w:t>
      </w:r>
      <w:proofErr w:type="spellStart"/>
      <w:r>
        <w:rPr>
          <w:color w:val="000000"/>
          <w:szCs w:val="25"/>
          <w:lang w:val="es-ES_tradnl"/>
        </w:rPr>
        <w:t>intrarregional</w:t>
      </w:r>
      <w:proofErr w:type="spellEnd"/>
      <w:r>
        <w:rPr>
          <w:color w:val="000000"/>
          <w:szCs w:val="25"/>
          <w:lang w:val="es-ES_tradnl"/>
        </w:rPr>
        <w:t>, encontramos que en la Costa el 69% de la población se localiza en las ciudades, mientras que sólo el 31% a nivel rural.</w:t>
      </w:r>
    </w:p>
    <w:p w:rsidR="00000000" w:rsidRDefault="00000000">
      <w:pPr>
        <w:shd w:val="clear" w:color="auto" w:fill="FFFFFF"/>
        <w:spacing w:after="240"/>
        <w:ind w:left="29"/>
      </w:pPr>
      <w:r>
        <w:rPr>
          <w:color w:val="000000"/>
          <w:szCs w:val="25"/>
          <w:lang w:val="es-ES_tradnl"/>
        </w:rPr>
        <w:t>357.</w:t>
      </w:r>
      <w:r>
        <w:rPr>
          <w:color w:val="000000"/>
          <w:szCs w:val="25"/>
          <w:lang w:val="es-ES_tradnl"/>
        </w:rPr>
        <w:tab/>
        <w:t>En la Sierra, el 54% de la población se localiza en las ciudades y el 46% se localiza en las áreas rurales.  En el caso de la región oriental, el 72% se localiza en el ámbito rural, mientras que en Galápagos, el 82% de la población se localiza a escala urbana.</w:t>
      </w:r>
    </w:p>
    <w:p w:rsidR="00000000" w:rsidRDefault="00000000">
      <w:pPr>
        <w:shd w:val="clear" w:color="auto" w:fill="FFFFFF"/>
        <w:spacing w:after="240"/>
        <w:ind w:left="29"/>
      </w:pPr>
      <w:r>
        <w:rPr>
          <w:color w:val="000000"/>
          <w:szCs w:val="25"/>
          <w:lang w:val="es-ES_tradnl"/>
        </w:rPr>
        <w:t>358.</w:t>
      </w:r>
      <w:r>
        <w:rPr>
          <w:color w:val="000000"/>
          <w:szCs w:val="25"/>
          <w:lang w:val="es-ES_tradnl"/>
        </w:rPr>
        <w:tab/>
        <w:t>Respecto a la cobertura de saneamiento en el ámbito nacional, el 53% de los hogares urbanos se encuentran conectados a la red del sistema de alcantarillado; en la zona rural, solamente el 11%.  Las aguas residuales no son tratadas, determinando serios problemas de contaminación cuando se vierten directamente a los cuerpos de agua.</w:t>
      </w:r>
    </w:p>
    <w:p w:rsidR="00000000" w:rsidRDefault="00000000">
      <w:pPr>
        <w:shd w:val="clear" w:color="auto" w:fill="FFFFFF"/>
        <w:spacing w:after="240"/>
        <w:ind w:left="29"/>
      </w:pPr>
      <w:r>
        <w:rPr>
          <w:color w:val="000000"/>
          <w:szCs w:val="25"/>
          <w:lang w:val="es-ES_tradnl"/>
        </w:rPr>
        <w:t>359.</w:t>
      </w:r>
      <w:r>
        <w:rPr>
          <w:color w:val="000000"/>
          <w:szCs w:val="25"/>
          <w:lang w:val="es-ES_tradnl"/>
        </w:rPr>
        <w:tab/>
        <w:t>Los sistemas construidos de alcantarillado separado tienen serios problemas de transporte de aguas combinadas (pluviales y sanitarias); se le otorga poca importancia a las actividades de mantenimiento preventivo.</w:t>
      </w:r>
    </w:p>
    <w:p w:rsidR="00000000" w:rsidRDefault="00000000">
      <w:pPr>
        <w:shd w:val="clear" w:color="auto" w:fill="FFFFFF"/>
        <w:spacing w:after="240"/>
        <w:ind w:left="29"/>
        <w:rPr>
          <w:color w:val="000000"/>
          <w:szCs w:val="25"/>
          <w:lang w:val="es-ES_tradnl"/>
        </w:rPr>
      </w:pPr>
      <w:r>
        <w:rPr>
          <w:color w:val="000000"/>
          <w:szCs w:val="25"/>
          <w:lang w:val="es-ES_tradnl"/>
        </w:rPr>
        <w:t>360.</w:t>
      </w:r>
      <w:r>
        <w:rPr>
          <w:color w:val="000000"/>
          <w:szCs w:val="25"/>
          <w:lang w:val="es-ES_tradnl"/>
        </w:rPr>
        <w:tab/>
        <w:t>En el ámbito nacional, el 31% de viviendas urbanas y el 20% de viviendas rurales utilizan pozo ciego para la eliminación de excretas.</w:t>
      </w:r>
    </w:p>
    <w:p w:rsidR="00000000" w:rsidRDefault="00000000">
      <w:pPr>
        <w:keepNext/>
        <w:keepLines/>
        <w:shd w:val="clear" w:color="auto" w:fill="FFFFFF"/>
        <w:spacing w:after="240"/>
        <w:ind w:left="29"/>
        <w:jc w:val="center"/>
        <w:rPr>
          <w:b/>
          <w:bCs/>
          <w:color w:val="000000"/>
          <w:szCs w:val="22"/>
          <w:lang w:val="es-ES_tradnl"/>
        </w:rPr>
      </w:pPr>
      <w:r>
        <w:rPr>
          <w:b/>
          <w:bCs/>
          <w:color w:val="000000"/>
          <w:szCs w:val="22"/>
          <w:lang w:val="es-ES_tradnl"/>
        </w:rPr>
        <w:t xml:space="preserve">Promedio de </w:t>
      </w:r>
      <w:r>
        <w:rPr>
          <w:b/>
          <w:bCs/>
          <w:color w:val="000000"/>
          <w:szCs w:val="25"/>
          <w:lang w:val="es-ES_tradnl"/>
        </w:rPr>
        <w:t>ocupantes</w:t>
      </w:r>
      <w:r>
        <w:rPr>
          <w:b/>
          <w:bCs/>
          <w:color w:val="000000"/>
          <w:szCs w:val="22"/>
          <w:lang w:val="es-ES_tradnl"/>
        </w:rPr>
        <w:t xml:space="preserve"> por vivienda, según tipo de vivienda</w:t>
      </w:r>
    </w:p>
    <w:p w:rsidR="00000000" w:rsidRDefault="00000000">
      <w:pPr>
        <w:keepNext/>
        <w:keepLines/>
        <w:shd w:val="clear" w:color="auto" w:fill="FFFFFF"/>
        <w:spacing w:after="240"/>
        <w:ind w:left="29"/>
        <w:jc w:val="center"/>
        <w:rPr>
          <w:color w:val="000000"/>
          <w:szCs w:val="22"/>
          <w:lang w:val="es-ES_tradnl"/>
        </w:rPr>
      </w:pPr>
      <w:r>
        <w:rPr>
          <w:b/>
          <w:bCs/>
          <w:color w:val="000000"/>
          <w:szCs w:val="22"/>
          <w:lang w:val="es-ES_tradnl"/>
        </w:rPr>
        <w:t>(</w:t>
      </w:r>
      <w:r>
        <w:rPr>
          <w:b/>
          <w:bCs/>
          <w:color w:val="000000"/>
          <w:szCs w:val="25"/>
          <w:lang w:val="es-ES_tradnl"/>
        </w:rPr>
        <w:t>Censos</w:t>
      </w:r>
      <w:r>
        <w:rPr>
          <w:b/>
          <w:bCs/>
          <w:color w:val="000000"/>
          <w:szCs w:val="22"/>
          <w:lang w:val="es-ES_tradnl"/>
        </w:rPr>
        <w:t xml:space="preserve"> 1982</w:t>
      </w:r>
      <w:r>
        <w:rPr>
          <w:b/>
          <w:bCs/>
          <w:color w:val="000000"/>
          <w:szCs w:val="22"/>
          <w:lang w:val="es-ES_tradnl"/>
        </w:rPr>
        <w:noBreakHyphen/>
        <w:t>1990)</w:t>
      </w:r>
    </w:p>
    <w:tbl>
      <w:tblPr>
        <w:tblW w:w="0" w:type="auto"/>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2340"/>
        <w:gridCol w:w="2250"/>
      </w:tblGrid>
      <w:tr w:rsidR="00000000">
        <w:tblPrEx>
          <w:tblCellMar>
            <w:top w:w="0" w:type="dxa"/>
            <w:bottom w:w="0" w:type="dxa"/>
          </w:tblCellMar>
        </w:tblPrEx>
        <w:tc>
          <w:tcPr>
            <w:tcW w:w="2340" w:type="dxa"/>
            <w:vAlign w:val="center"/>
          </w:tcPr>
          <w:p w:rsidR="00000000" w:rsidRDefault="00000000">
            <w:pPr>
              <w:keepNext/>
              <w:keepLines/>
              <w:jc w:val="center"/>
            </w:pPr>
            <w:r>
              <w:t>Tipo de vivienda</w:t>
            </w:r>
          </w:p>
        </w:tc>
        <w:tc>
          <w:tcPr>
            <w:tcW w:w="2340" w:type="dxa"/>
            <w:vAlign w:val="center"/>
          </w:tcPr>
          <w:p w:rsidR="00000000" w:rsidRDefault="00000000">
            <w:pPr>
              <w:keepNext/>
              <w:keepLines/>
              <w:jc w:val="center"/>
            </w:pPr>
            <w:r>
              <w:t>Censo 1982</w:t>
            </w:r>
            <w:r>
              <w:br/>
              <w:t>(promedio ocupantes)</w:t>
            </w:r>
          </w:p>
        </w:tc>
        <w:tc>
          <w:tcPr>
            <w:tcW w:w="2250" w:type="dxa"/>
            <w:vAlign w:val="center"/>
          </w:tcPr>
          <w:p w:rsidR="00000000" w:rsidRDefault="00000000">
            <w:pPr>
              <w:keepNext/>
              <w:keepLines/>
              <w:jc w:val="center"/>
            </w:pPr>
            <w:r>
              <w:t>Censo 1990</w:t>
            </w:r>
            <w:r>
              <w:br/>
              <w:t>(promedio ocupantes)</w:t>
            </w:r>
          </w:p>
        </w:tc>
      </w:tr>
      <w:tr w:rsidR="00000000">
        <w:tblPrEx>
          <w:tblCellMar>
            <w:top w:w="0" w:type="dxa"/>
            <w:bottom w:w="0" w:type="dxa"/>
          </w:tblCellMar>
        </w:tblPrEx>
        <w:tc>
          <w:tcPr>
            <w:tcW w:w="2340" w:type="dxa"/>
          </w:tcPr>
          <w:p w:rsidR="00000000" w:rsidRDefault="00000000">
            <w:pPr>
              <w:keepNext/>
              <w:keepLines/>
            </w:pPr>
            <w:r>
              <w:rPr>
                <w:color w:val="000000"/>
                <w:lang w:val="es-ES_tradnl"/>
              </w:rPr>
              <w:t>Casa o villa</w:t>
            </w:r>
          </w:p>
        </w:tc>
        <w:tc>
          <w:tcPr>
            <w:tcW w:w="2340" w:type="dxa"/>
          </w:tcPr>
          <w:p w:rsidR="00000000" w:rsidRDefault="00000000">
            <w:pPr>
              <w:keepNext/>
              <w:keepLines/>
              <w:jc w:val="center"/>
            </w:pPr>
            <w:r>
              <w:rPr>
                <w:color w:val="000000"/>
                <w:lang w:val="es-ES_tradnl"/>
              </w:rPr>
              <w:t>5,5</w:t>
            </w:r>
          </w:p>
        </w:tc>
        <w:tc>
          <w:tcPr>
            <w:tcW w:w="2250" w:type="dxa"/>
          </w:tcPr>
          <w:p w:rsidR="00000000" w:rsidRDefault="00000000">
            <w:pPr>
              <w:keepNext/>
              <w:keepLines/>
              <w:jc w:val="center"/>
            </w:pPr>
            <w:r>
              <w:rPr>
                <w:color w:val="000000"/>
                <w:lang w:val="es-ES_tradnl"/>
              </w:rPr>
              <w:t>5,0</w:t>
            </w:r>
          </w:p>
        </w:tc>
      </w:tr>
      <w:tr w:rsidR="00000000">
        <w:tblPrEx>
          <w:tblCellMar>
            <w:top w:w="0" w:type="dxa"/>
            <w:bottom w:w="0" w:type="dxa"/>
          </w:tblCellMar>
        </w:tblPrEx>
        <w:tc>
          <w:tcPr>
            <w:tcW w:w="2340" w:type="dxa"/>
          </w:tcPr>
          <w:p w:rsidR="00000000" w:rsidRDefault="00000000">
            <w:pPr>
              <w:keepNext/>
              <w:keepLines/>
            </w:pPr>
            <w:r>
              <w:rPr>
                <w:color w:val="000000"/>
                <w:lang w:val="es-ES_tradnl"/>
              </w:rPr>
              <w:t>Departamento</w:t>
            </w:r>
          </w:p>
        </w:tc>
        <w:tc>
          <w:tcPr>
            <w:tcW w:w="2340" w:type="dxa"/>
          </w:tcPr>
          <w:p w:rsidR="00000000" w:rsidRDefault="00000000">
            <w:pPr>
              <w:keepNext/>
              <w:keepLines/>
              <w:jc w:val="center"/>
            </w:pPr>
            <w:r>
              <w:rPr>
                <w:color w:val="000000"/>
                <w:lang w:val="es-ES_tradnl"/>
              </w:rPr>
              <w:t>4,4</w:t>
            </w:r>
          </w:p>
        </w:tc>
        <w:tc>
          <w:tcPr>
            <w:tcW w:w="2250" w:type="dxa"/>
          </w:tcPr>
          <w:p w:rsidR="00000000" w:rsidRDefault="00000000">
            <w:pPr>
              <w:keepNext/>
              <w:keepLines/>
              <w:jc w:val="center"/>
            </w:pPr>
            <w:r>
              <w:rPr>
                <w:color w:val="000000"/>
                <w:lang w:val="es-ES_tradnl"/>
              </w:rPr>
              <w:t>3,9</w:t>
            </w:r>
          </w:p>
        </w:tc>
      </w:tr>
      <w:tr w:rsidR="00000000">
        <w:tblPrEx>
          <w:tblCellMar>
            <w:top w:w="0" w:type="dxa"/>
            <w:bottom w:w="0" w:type="dxa"/>
          </w:tblCellMar>
        </w:tblPrEx>
        <w:tc>
          <w:tcPr>
            <w:tcW w:w="2340" w:type="dxa"/>
          </w:tcPr>
          <w:p w:rsidR="00000000" w:rsidRDefault="00000000">
            <w:pPr>
              <w:keepNext/>
              <w:keepLines/>
            </w:pPr>
            <w:r>
              <w:rPr>
                <w:color w:val="000000"/>
                <w:lang w:val="es-ES_tradnl"/>
              </w:rPr>
              <w:t xml:space="preserve">Cuarto casa </w:t>
            </w:r>
            <w:proofErr w:type="spellStart"/>
            <w:r>
              <w:rPr>
                <w:color w:val="000000"/>
                <w:lang w:val="es-ES_tradnl"/>
              </w:rPr>
              <w:t>inquil</w:t>
            </w:r>
            <w:proofErr w:type="spellEnd"/>
          </w:p>
        </w:tc>
        <w:tc>
          <w:tcPr>
            <w:tcW w:w="2340" w:type="dxa"/>
          </w:tcPr>
          <w:p w:rsidR="00000000" w:rsidRDefault="00000000">
            <w:pPr>
              <w:keepNext/>
              <w:keepLines/>
              <w:jc w:val="center"/>
            </w:pPr>
            <w:r>
              <w:rPr>
                <w:color w:val="000000"/>
                <w:lang w:val="es-ES_tradnl"/>
              </w:rPr>
              <w:t>3,7</w:t>
            </w:r>
          </w:p>
        </w:tc>
        <w:tc>
          <w:tcPr>
            <w:tcW w:w="2250" w:type="dxa"/>
          </w:tcPr>
          <w:p w:rsidR="00000000" w:rsidRDefault="00000000">
            <w:pPr>
              <w:keepNext/>
              <w:keepLines/>
              <w:jc w:val="center"/>
            </w:pPr>
            <w:r>
              <w:rPr>
                <w:color w:val="000000"/>
                <w:lang w:val="es-ES_tradnl"/>
              </w:rPr>
              <w:t>3,6</w:t>
            </w:r>
          </w:p>
        </w:tc>
      </w:tr>
      <w:tr w:rsidR="00000000">
        <w:tblPrEx>
          <w:tblCellMar>
            <w:top w:w="0" w:type="dxa"/>
            <w:bottom w:w="0" w:type="dxa"/>
          </w:tblCellMar>
        </w:tblPrEx>
        <w:tc>
          <w:tcPr>
            <w:tcW w:w="2340" w:type="dxa"/>
          </w:tcPr>
          <w:p w:rsidR="00000000" w:rsidRDefault="00000000">
            <w:pPr>
              <w:keepNext/>
              <w:keepLines/>
            </w:pPr>
            <w:r>
              <w:rPr>
                <w:color w:val="000000"/>
                <w:lang w:val="es-ES_tradnl"/>
              </w:rPr>
              <w:t>Mediagua</w:t>
            </w:r>
          </w:p>
        </w:tc>
        <w:tc>
          <w:tcPr>
            <w:tcW w:w="2340" w:type="dxa"/>
          </w:tcPr>
          <w:p w:rsidR="00000000" w:rsidRDefault="00000000">
            <w:pPr>
              <w:keepNext/>
              <w:keepLines/>
              <w:jc w:val="center"/>
            </w:pPr>
            <w:r>
              <w:rPr>
                <w:color w:val="000000"/>
                <w:lang w:val="es-ES_tradnl"/>
              </w:rPr>
              <w:t>4,6</w:t>
            </w:r>
          </w:p>
        </w:tc>
        <w:tc>
          <w:tcPr>
            <w:tcW w:w="2250" w:type="dxa"/>
          </w:tcPr>
          <w:p w:rsidR="00000000" w:rsidRDefault="00000000">
            <w:pPr>
              <w:keepNext/>
              <w:keepLines/>
              <w:jc w:val="center"/>
            </w:pPr>
            <w:r>
              <w:rPr>
                <w:color w:val="000000"/>
                <w:lang w:val="es-ES_tradnl"/>
              </w:rPr>
              <w:t>4,5</w:t>
            </w:r>
          </w:p>
        </w:tc>
      </w:tr>
      <w:tr w:rsidR="00000000">
        <w:tblPrEx>
          <w:tblCellMar>
            <w:top w:w="0" w:type="dxa"/>
            <w:bottom w:w="0" w:type="dxa"/>
          </w:tblCellMar>
        </w:tblPrEx>
        <w:tc>
          <w:tcPr>
            <w:tcW w:w="2340" w:type="dxa"/>
          </w:tcPr>
          <w:p w:rsidR="00000000" w:rsidRDefault="00000000">
            <w:pPr>
              <w:keepNext/>
              <w:keepLines/>
            </w:pPr>
            <w:r>
              <w:rPr>
                <w:color w:val="000000"/>
                <w:lang w:val="es-ES_tradnl"/>
              </w:rPr>
              <w:t>Rancho</w:t>
            </w:r>
          </w:p>
        </w:tc>
        <w:tc>
          <w:tcPr>
            <w:tcW w:w="2340" w:type="dxa"/>
          </w:tcPr>
          <w:p w:rsidR="00000000" w:rsidRDefault="00000000">
            <w:pPr>
              <w:keepNext/>
              <w:keepLines/>
              <w:jc w:val="center"/>
            </w:pPr>
            <w:r>
              <w:rPr>
                <w:color w:val="000000"/>
                <w:lang w:val="es-ES_tradnl"/>
              </w:rPr>
              <w:t>4,1</w:t>
            </w:r>
          </w:p>
        </w:tc>
        <w:tc>
          <w:tcPr>
            <w:tcW w:w="2250" w:type="dxa"/>
          </w:tcPr>
          <w:p w:rsidR="00000000" w:rsidRDefault="00000000">
            <w:pPr>
              <w:keepNext/>
              <w:keepLines/>
              <w:jc w:val="center"/>
            </w:pPr>
            <w:r>
              <w:rPr>
                <w:color w:val="000000"/>
                <w:lang w:val="es-ES_tradnl"/>
              </w:rPr>
              <w:t>4,0</w:t>
            </w:r>
          </w:p>
        </w:tc>
      </w:tr>
      <w:tr w:rsidR="00000000">
        <w:tblPrEx>
          <w:tblCellMar>
            <w:top w:w="0" w:type="dxa"/>
            <w:bottom w:w="0" w:type="dxa"/>
          </w:tblCellMar>
        </w:tblPrEx>
        <w:tc>
          <w:tcPr>
            <w:tcW w:w="2340" w:type="dxa"/>
          </w:tcPr>
          <w:p w:rsidR="00000000" w:rsidRDefault="00000000">
            <w:r>
              <w:rPr>
                <w:color w:val="000000"/>
                <w:lang w:val="es-ES_tradnl"/>
              </w:rPr>
              <w:t>Choza</w:t>
            </w:r>
          </w:p>
        </w:tc>
        <w:tc>
          <w:tcPr>
            <w:tcW w:w="2340" w:type="dxa"/>
          </w:tcPr>
          <w:p w:rsidR="00000000" w:rsidRDefault="00000000">
            <w:pPr>
              <w:jc w:val="center"/>
            </w:pPr>
            <w:r>
              <w:t>5,2</w:t>
            </w:r>
          </w:p>
        </w:tc>
        <w:tc>
          <w:tcPr>
            <w:tcW w:w="2250" w:type="dxa"/>
          </w:tcPr>
          <w:p w:rsidR="00000000" w:rsidRDefault="00000000">
            <w:pPr>
              <w:jc w:val="center"/>
            </w:pPr>
            <w:r>
              <w:t>4,9</w:t>
            </w:r>
          </w:p>
        </w:tc>
      </w:tr>
      <w:tr w:rsidR="00000000">
        <w:tblPrEx>
          <w:tblCellMar>
            <w:top w:w="0" w:type="dxa"/>
            <w:bottom w:w="0" w:type="dxa"/>
          </w:tblCellMar>
        </w:tblPrEx>
        <w:tc>
          <w:tcPr>
            <w:tcW w:w="2340" w:type="dxa"/>
          </w:tcPr>
          <w:p w:rsidR="00000000" w:rsidRDefault="00000000">
            <w:r>
              <w:t>Otro tipo</w:t>
            </w:r>
          </w:p>
        </w:tc>
        <w:tc>
          <w:tcPr>
            <w:tcW w:w="2340" w:type="dxa"/>
          </w:tcPr>
          <w:p w:rsidR="00000000" w:rsidRDefault="00000000">
            <w:pPr>
              <w:jc w:val="center"/>
            </w:pPr>
            <w:r>
              <w:t>8,5</w:t>
            </w:r>
          </w:p>
        </w:tc>
        <w:tc>
          <w:tcPr>
            <w:tcW w:w="2250" w:type="dxa"/>
          </w:tcPr>
          <w:p w:rsidR="00000000" w:rsidRDefault="00000000">
            <w:pPr>
              <w:jc w:val="center"/>
            </w:pPr>
            <w:r>
              <w:t>3,8</w:t>
            </w:r>
          </w:p>
        </w:tc>
      </w:tr>
    </w:tbl>
    <w:p w:rsidR="00000000" w:rsidRDefault="00000000">
      <w:pPr>
        <w:shd w:val="clear" w:color="auto" w:fill="FFFFFF"/>
        <w:tabs>
          <w:tab w:val="left" w:pos="1260"/>
        </w:tabs>
        <w:spacing w:before="240" w:after="480"/>
        <w:rPr>
          <w:color w:val="000000"/>
          <w:szCs w:val="25"/>
          <w:lang w:val="es-ES_tradnl"/>
        </w:rPr>
      </w:pPr>
      <w:r>
        <w:rPr>
          <w:i/>
          <w:iCs/>
          <w:color w:val="000000"/>
          <w:szCs w:val="25"/>
          <w:lang w:val="es-ES_tradnl"/>
        </w:rPr>
        <w:tab/>
        <w:t>Fuente</w:t>
      </w:r>
      <w:r>
        <w:rPr>
          <w:color w:val="000000"/>
          <w:szCs w:val="25"/>
          <w:lang w:val="es-ES_tradnl"/>
        </w:rPr>
        <w:t>:  MIDUVI-INEC CENSOS, 1982-1990</w:t>
      </w:r>
    </w:p>
    <w:p w:rsidR="00000000" w:rsidRDefault="00000000">
      <w:pPr>
        <w:shd w:val="clear" w:color="auto" w:fill="FFFFFF"/>
        <w:spacing w:after="240"/>
        <w:rPr>
          <w:color w:val="000000"/>
          <w:szCs w:val="25"/>
          <w:lang w:val="es-ES_tradnl"/>
        </w:rPr>
      </w:pPr>
      <w:r>
        <w:rPr>
          <w:i/>
          <w:iCs/>
          <w:color w:val="000000"/>
          <w:szCs w:val="25"/>
          <w:lang w:val="es-ES_tradnl"/>
        </w:rPr>
        <w:t>Tipo de Vivienda en el Ecuador</w:t>
      </w:r>
    </w:p>
    <w:p w:rsidR="00000000" w:rsidRDefault="00000000">
      <w:pPr>
        <w:spacing w:after="240"/>
        <w:jc w:val="center"/>
        <w:rPr>
          <w:b/>
          <w:bCs/>
        </w:rPr>
      </w:pPr>
      <w:r>
        <w:rPr>
          <w:b/>
          <w:bCs/>
          <w:lang w:val="es-ES_tradnl"/>
        </w:rPr>
        <w:t>Viviendas particulares ocupadas con personas presentes, según tipo</w:t>
      </w:r>
    </w:p>
    <w:p w:rsidR="00000000" w:rsidRDefault="00000000">
      <w:pPr>
        <w:spacing w:after="240"/>
        <w:jc w:val="center"/>
      </w:pPr>
      <w:r>
        <w:rPr>
          <w:b/>
          <w:bCs/>
          <w:lang w:val="es-ES_tradnl"/>
        </w:rPr>
        <w:t>(Censos 1982-1990)</w:t>
      </w:r>
    </w:p>
    <w:tbl>
      <w:tblPr>
        <w:tblW w:w="0" w:type="auto"/>
        <w:jc w:val="center"/>
        <w:tblInd w:w="1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3"/>
        <w:gridCol w:w="1365"/>
        <w:gridCol w:w="1404"/>
        <w:gridCol w:w="1248"/>
        <w:gridCol w:w="1274"/>
      </w:tblGrid>
      <w:tr w:rsidR="00000000">
        <w:tblPrEx>
          <w:tblCellMar>
            <w:top w:w="0" w:type="dxa"/>
            <w:bottom w:w="0" w:type="dxa"/>
          </w:tblCellMar>
        </w:tblPrEx>
        <w:trPr>
          <w:cantSplit/>
          <w:jc w:val="center"/>
        </w:trPr>
        <w:tc>
          <w:tcPr>
            <w:tcW w:w="2383" w:type="dxa"/>
            <w:vMerge w:val="restart"/>
            <w:vAlign w:val="center"/>
          </w:tcPr>
          <w:p w:rsidR="00000000" w:rsidRDefault="00000000">
            <w:pPr>
              <w:jc w:val="center"/>
              <w:rPr>
                <w:szCs w:val="23"/>
                <w:lang w:val="es-ES_tradnl"/>
              </w:rPr>
            </w:pPr>
            <w:r>
              <w:rPr>
                <w:szCs w:val="23"/>
                <w:lang w:val="es-ES_tradnl"/>
              </w:rPr>
              <w:t>Tipo de tenencia</w:t>
            </w:r>
          </w:p>
        </w:tc>
        <w:tc>
          <w:tcPr>
            <w:tcW w:w="2769" w:type="dxa"/>
            <w:gridSpan w:val="2"/>
            <w:vAlign w:val="center"/>
          </w:tcPr>
          <w:p w:rsidR="00000000" w:rsidRDefault="00000000">
            <w:pPr>
              <w:jc w:val="center"/>
              <w:rPr>
                <w:szCs w:val="23"/>
                <w:lang w:val="es-ES_tradnl"/>
              </w:rPr>
            </w:pPr>
            <w:r>
              <w:rPr>
                <w:szCs w:val="23"/>
                <w:lang w:val="es-ES_tradnl"/>
              </w:rPr>
              <w:t>Censo 1982</w:t>
            </w:r>
          </w:p>
        </w:tc>
        <w:tc>
          <w:tcPr>
            <w:tcW w:w="2522" w:type="dxa"/>
            <w:gridSpan w:val="2"/>
            <w:vAlign w:val="center"/>
          </w:tcPr>
          <w:p w:rsidR="00000000" w:rsidRDefault="00000000">
            <w:pPr>
              <w:jc w:val="center"/>
              <w:rPr>
                <w:szCs w:val="23"/>
                <w:lang w:val="es-ES_tradnl"/>
              </w:rPr>
            </w:pPr>
            <w:r>
              <w:rPr>
                <w:szCs w:val="23"/>
                <w:lang w:val="es-ES_tradnl"/>
              </w:rPr>
              <w:t>Censo 1990</w:t>
            </w:r>
          </w:p>
        </w:tc>
      </w:tr>
      <w:tr w:rsidR="00000000">
        <w:tblPrEx>
          <w:tblCellMar>
            <w:top w:w="0" w:type="dxa"/>
            <w:bottom w:w="0" w:type="dxa"/>
          </w:tblCellMar>
        </w:tblPrEx>
        <w:trPr>
          <w:cantSplit/>
          <w:jc w:val="center"/>
        </w:trPr>
        <w:tc>
          <w:tcPr>
            <w:tcW w:w="2383" w:type="dxa"/>
            <w:vMerge/>
            <w:vAlign w:val="center"/>
          </w:tcPr>
          <w:p w:rsidR="00000000" w:rsidRDefault="00000000">
            <w:pPr>
              <w:jc w:val="center"/>
              <w:rPr>
                <w:szCs w:val="23"/>
                <w:lang w:val="es-ES_tradnl"/>
              </w:rPr>
            </w:pPr>
          </w:p>
        </w:tc>
        <w:tc>
          <w:tcPr>
            <w:tcW w:w="1365" w:type="dxa"/>
            <w:vAlign w:val="center"/>
          </w:tcPr>
          <w:p w:rsidR="00000000" w:rsidRDefault="00000000">
            <w:pPr>
              <w:jc w:val="center"/>
              <w:rPr>
                <w:szCs w:val="23"/>
                <w:lang w:val="es-ES_tradnl"/>
              </w:rPr>
            </w:pPr>
            <w:r>
              <w:rPr>
                <w:szCs w:val="23"/>
                <w:lang w:val="es-ES_tradnl"/>
              </w:rPr>
              <w:t>Viviendas</w:t>
            </w:r>
          </w:p>
        </w:tc>
        <w:tc>
          <w:tcPr>
            <w:tcW w:w="1404" w:type="dxa"/>
            <w:vAlign w:val="center"/>
          </w:tcPr>
          <w:p w:rsidR="00000000" w:rsidRDefault="00000000">
            <w:pPr>
              <w:jc w:val="center"/>
              <w:rPr>
                <w:szCs w:val="23"/>
                <w:lang w:val="es-ES_tradnl"/>
              </w:rPr>
            </w:pPr>
            <w:r>
              <w:rPr>
                <w:szCs w:val="23"/>
                <w:lang w:val="es-ES_tradnl"/>
              </w:rPr>
              <w:t>Porcentaje</w:t>
            </w:r>
          </w:p>
        </w:tc>
        <w:tc>
          <w:tcPr>
            <w:tcW w:w="1248" w:type="dxa"/>
            <w:vAlign w:val="center"/>
          </w:tcPr>
          <w:p w:rsidR="00000000" w:rsidRDefault="00000000">
            <w:pPr>
              <w:jc w:val="center"/>
              <w:rPr>
                <w:szCs w:val="23"/>
                <w:lang w:val="es-ES_tradnl"/>
              </w:rPr>
            </w:pPr>
            <w:r>
              <w:rPr>
                <w:szCs w:val="23"/>
                <w:lang w:val="es-ES_tradnl"/>
              </w:rPr>
              <w:t>Viviendas</w:t>
            </w:r>
          </w:p>
        </w:tc>
        <w:tc>
          <w:tcPr>
            <w:tcW w:w="1274" w:type="dxa"/>
            <w:vAlign w:val="center"/>
          </w:tcPr>
          <w:p w:rsidR="00000000" w:rsidRDefault="00000000">
            <w:pPr>
              <w:jc w:val="center"/>
            </w:pPr>
            <w:r>
              <w:rPr>
                <w:szCs w:val="23"/>
                <w:lang w:val="es-ES_tradnl"/>
              </w:rPr>
              <w:t>Porcentaje</w:t>
            </w:r>
          </w:p>
        </w:tc>
      </w:tr>
      <w:tr w:rsidR="00000000">
        <w:tblPrEx>
          <w:tblCellMar>
            <w:top w:w="0" w:type="dxa"/>
            <w:bottom w:w="0" w:type="dxa"/>
          </w:tblCellMar>
        </w:tblPrEx>
        <w:trPr>
          <w:jc w:val="center"/>
        </w:trPr>
        <w:tc>
          <w:tcPr>
            <w:tcW w:w="2383" w:type="dxa"/>
          </w:tcPr>
          <w:p w:rsidR="00000000" w:rsidRDefault="00000000">
            <w:pPr>
              <w:rPr>
                <w:lang w:val="es-ES_tradnl"/>
              </w:rPr>
            </w:pPr>
            <w:r>
              <w:rPr>
                <w:lang w:val="es-ES_tradnl"/>
              </w:rPr>
              <w:t>Propia</w:t>
            </w:r>
          </w:p>
        </w:tc>
        <w:tc>
          <w:tcPr>
            <w:tcW w:w="1365" w:type="dxa"/>
          </w:tcPr>
          <w:p w:rsidR="00000000" w:rsidRDefault="00000000">
            <w:pPr>
              <w:jc w:val="right"/>
              <w:rPr>
                <w:lang w:val="es-ES_tradnl"/>
              </w:rPr>
            </w:pPr>
            <w:r>
              <w:rPr>
                <w:lang w:val="es-ES_tradnl"/>
              </w:rPr>
              <w:t>1.051.707</w:t>
            </w:r>
          </w:p>
        </w:tc>
        <w:tc>
          <w:tcPr>
            <w:tcW w:w="1404" w:type="dxa"/>
          </w:tcPr>
          <w:p w:rsidR="00000000" w:rsidRDefault="00000000">
            <w:pPr>
              <w:jc w:val="right"/>
              <w:rPr>
                <w:lang w:val="es-ES_tradnl"/>
              </w:rPr>
            </w:pPr>
            <w:r>
              <w:rPr>
                <w:lang w:val="es-ES_tradnl"/>
              </w:rPr>
              <w:t>66,7</w:t>
            </w:r>
          </w:p>
        </w:tc>
        <w:tc>
          <w:tcPr>
            <w:tcW w:w="1248" w:type="dxa"/>
          </w:tcPr>
          <w:p w:rsidR="00000000" w:rsidRDefault="00000000">
            <w:pPr>
              <w:jc w:val="right"/>
              <w:rPr>
                <w:lang w:val="es-ES_tradnl"/>
              </w:rPr>
            </w:pPr>
            <w:r>
              <w:rPr>
                <w:lang w:val="es-ES_tradnl"/>
              </w:rPr>
              <w:t>1.367.045</w:t>
            </w:r>
          </w:p>
        </w:tc>
        <w:tc>
          <w:tcPr>
            <w:tcW w:w="1274" w:type="dxa"/>
          </w:tcPr>
          <w:p w:rsidR="00000000" w:rsidRDefault="00000000">
            <w:pPr>
              <w:jc w:val="right"/>
            </w:pPr>
            <w:r>
              <w:rPr>
                <w:lang w:val="es-ES_tradnl"/>
              </w:rPr>
              <w:t>68,1</w:t>
            </w:r>
          </w:p>
        </w:tc>
      </w:tr>
      <w:tr w:rsidR="00000000">
        <w:tblPrEx>
          <w:tblCellMar>
            <w:top w:w="0" w:type="dxa"/>
            <w:bottom w:w="0" w:type="dxa"/>
          </w:tblCellMar>
        </w:tblPrEx>
        <w:trPr>
          <w:jc w:val="center"/>
        </w:trPr>
        <w:tc>
          <w:tcPr>
            <w:tcW w:w="2383" w:type="dxa"/>
          </w:tcPr>
          <w:p w:rsidR="00000000" w:rsidRDefault="00000000">
            <w:pPr>
              <w:rPr>
                <w:szCs w:val="23"/>
                <w:lang w:val="es-ES_tradnl"/>
              </w:rPr>
            </w:pPr>
            <w:r>
              <w:rPr>
                <w:szCs w:val="23"/>
                <w:lang w:val="es-ES_tradnl"/>
              </w:rPr>
              <w:t>Arrendada</w:t>
            </w:r>
          </w:p>
        </w:tc>
        <w:tc>
          <w:tcPr>
            <w:tcW w:w="1365" w:type="dxa"/>
          </w:tcPr>
          <w:p w:rsidR="00000000" w:rsidRDefault="00000000">
            <w:pPr>
              <w:jc w:val="right"/>
              <w:rPr>
                <w:szCs w:val="23"/>
                <w:lang w:val="es-ES_tradnl"/>
              </w:rPr>
            </w:pPr>
            <w:r>
              <w:rPr>
                <w:szCs w:val="23"/>
                <w:lang w:val="es-ES_tradnl"/>
              </w:rPr>
              <w:t>360.444</w:t>
            </w:r>
          </w:p>
        </w:tc>
        <w:tc>
          <w:tcPr>
            <w:tcW w:w="1404" w:type="dxa"/>
          </w:tcPr>
          <w:p w:rsidR="00000000" w:rsidRDefault="00000000">
            <w:pPr>
              <w:jc w:val="right"/>
              <w:rPr>
                <w:szCs w:val="23"/>
                <w:lang w:val="es-ES_tradnl"/>
              </w:rPr>
            </w:pPr>
            <w:r>
              <w:rPr>
                <w:szCs w:val="23"/>
                <w:lang w:val="es-ES_tradnl"/>
              </w:rPr>
              <w:t>22,9</w:t>
            </w:r>
          </w:p>
        </w:tc>
        <w:tc>
          <w:tcPr>
            <w:tcW w:w="1248" w:type="dxa"/>
          </w:tcPr>
          <w:p w:rsidR="00000000" w:rsidRDefault="00000000">
            <w:pPr>
              <w:jc w:val="right"/>
              <w:rPr>
                <w:szCs w:val="23"/>
                <w:lang w:val="es-ES_tradnl"/>
              </w:rPr>
            </w:pPr>
            <w:r>
              <w:rPr>
                <w:szCs w:val="23"/>
                <w:lang w:val="es-ES_tradnl"/>
              </w:rPr>
              <w:t>454.782</w:t>
            </w:r>
          </w:p>
        </w:tc>
        <w:tc>
          <w:tcPr>
            <w:tcW w:w="1274" w:type="dxa"/>
          </w:tcPr>
          <w:p w:rsidR="00000000" w:rsidRDefault="00000000">
            <w:pPr>
              <w:jc w:val="right"/>
            </w:pPr>
            <w:r>
              <w:rPr>
                <w:szCs w:val="23"/>
                <w:lang w:val="es-ES_tradnl"/>
              </w:rPr>
              <w:t>22,6</w:t>
            </w:r>
          </w:p>
        </w:tc>
      </w:tr>
      <w:tr w:rsidR="00000000">
        <w:tblPrEx>
          <w:tblCellMar>
            <w:top w:w="0" w:type="dxa"/>
            <w:bottom w:w="0" w:type="dxa"/>
          </w:tblCellMar>
        </w:tblPrEx>
        <w:trPr>
          <w:jc w:val="center"/>
        </w:trPr>
        <w:tc>
          <w:tcPr>
            <w:tcW w:w="2383" w:type="dxa"/>
          </w:tcPr>
          <w:p w:rsidR="00000000" w:rsidRDefault="00000000">
            <w:pPr>
              <w:rPr>
                <w:lang w:val="es-ES_tradnl"/>
              </w:rPr>
            </w:pPr>
            <w:r>
              <w:rPr>
                <w:lang w:val="es-ES_tradnl"/>
              </w:rPr>
              <w:t>Gratuita</w:t>
            </w:r>
          </w:p>
        </w:tc>
        <w:tc>
          <w:tcPr>
            <w:tcW w:w="1365" w:type="dxa"/>
          </w:tcPr>
          <w:p w:rsidR="00000000" w:rsidRDefault="00000000">
            <w:pPr>
              <w:jc w:val="right"/>
              <w:rPr>
                <w:lang w:val="es-ES_tradnl"/>
              </w:rPr>
            </w:pPr>
            <w:r>
              <w:rPr>
                <w:lang w:val="es-ES_tradnl"/>
              </w:rPr>
              <w:t>94.547</w:t>
            </w:r>
          </w:p>
        </w:tc>
        <w:tc>
          <w:tcPr>
            <w:tcW w:w="1404" w:type="dxa"/>
          </w:tcPr>
          <w:p w:rsidR="00000000" w:rsidRDefault="00000000">
            <w:pPr>
              <w:jc w:val="right"/>
              <w:rPr>
                <w:lang w:val="es-ES_tradnl"/>
              </w:rPr>
            </w:pPr>
            <w:r>
              <w:rPr>
                <w:lang w:val="es-ES_tradnl"/>
              </w:rPr>
              <w:t>6,0</w:t>
            </w:r>
          </w:p>
        </w:tc>
        <w:tc>
          <w:tcPr>
            <w:tcW w:w="1248" w:type="dxa"/>
          </w:tcPr>
          <w:p w:rsidR="00000000" w:rsidRDefault="00000000">
            <w:pPr>
              <w:jc w:val="right"/>
              <w:rPr>
                <w:lang w:val="es-ES_tradnl"/>
              </w:rPr>
            </w:pPr>
            <w:r>
              <w:rPr>
                <w:lang w:val="es-ES_tradnl"/>
              </w:rPr>
              <w:t>110.116</w:t>
            </w:r>
          </w:p>
        </w:tc>
        <w:tc>
          <w:tcPr>
            <w:tcW w:w="1274" w:type="dxa"/>
          </w:tcPr>
          <w:p w:rsidR="00000000" w:rsidRDefault="00000000">
            <w:pPr>
              <w:jc w:val="right"/>
            </w:pPr>
            <w:r>
              <w:rPr>
                <w:lang w:val="es-ES_tradnl"/>
              </w:rPr>
              <w:t>5,5</w:t>
            </w:r>
          </w:p>
        </w:tc>
      </w:tr>
      <w:tr w:rsidR="00000000">
        <w:tblPrEx>
          <w:tblCellMar>
            <w:top w:w="0" w:type="dxa"/>
            <w:bottom w:w="0" w:type="dxa"/>
          </w:tblCellMar>
        </w:tblPrEx>
        <w:trPr>
          <w:jc w:val="center"/>
        </w:trPr>
        <w:tc>
          <w:tcPr>
            <w:tcW w:w="2383" w:type="dxa"/>
          </w:tcPr>
          <w:p w:rsidR="00000000" w:rsidRDefault="00000000">
            <w:pPr>
              <w:rPr>
                <w:szCs w:val="23"/>
                <w:lang w:val="es-ES_tradnl"/>
              </w:rPr>
            </w:pPr>
            <w:r>
              <w:rPr>
                <w:szCs w:val="23"/>
                <w:lang w:val="es-ES_tradnl"/>
              </w:rPr>
              <w:t>Por servicios</w:t>
            </w:r>
          </w:p>
        </w:tc>
        <w:tc>
          <w:tcPr>
            <w:tcW w:w="1365" w:type="dxa"/>
          </w:tcPr>
          <w:p w:rsidR="00000000" w:rsidRDefault="00000000">
            <w:pPr>
              <w:jc w:val="right"/>
              <w:rPr>
                <w:szCs w:val="23"/>
                <w:lang w:val="es-ES_tradnl"/>
              </w:rPr>
            </w:pPr>
            <w:r>
              <w:rPr>
                <w:szCs w:val="23"/>
                <w:lang w:val="es-ES_tradnl"/>
              </w:rPr>
              <w:t>58.988</w:t>
            </w:r>
          </w:p>
        </w:tc>
        <w:tc>
          <w:tcPr>
            <w:tcW w:w="1404" w:type="dxa"/>
          </w:tcPr>
          <w:p w:rsidR="00000000" w:rsidRDefault="00000000">
            <w:pPr>
              <w:jc w:val="right"/>
              <w:rPr>
                <w:szCs w:val="23"/>
                <w:lang w:val="es-ES_tradnl"/>
              </w:rPr>
            </w:pPr>
            <w:r>
              <w:rPr>
                <w:szCs w:val="23"/>
                <w:lang w:val="es-ES_tradnl"/>
              </w:rPr>
              <w:t>3,7</w:t>
            </w:r>
          </w:p>
        </w:tc>
        <w:tc>
          <w:tcPr>
            <w:tcW w:w="1248" w:type="dxa"/>
          </w:tcPr>
          <w:p w:rsidR="00000000" w:rsidRDefault="00000000">
            <w:pPr>
              <w:jc w:val="right"/>
              <w:rPr>
                <w:szCs w:val="23"/>
                <w:lang w:val="es-ES_tradnl"/>
              </w:rPr>
            </w:pPr>
            <w:r>
              <w:rPr>
                <w:szCs w:val="23"/>
                <w:lang w:val="es-ES_tradnl"/>
              </w:rPr>
              <w:t>66.306</w:t>
            </w:r>
          </w:p>
        </w:tc>
        <w:tc>
          <w:tcPr>
            <w:tcW w:w="1274" w:type="dxa"/>
          </w:tcPr>
          <w:p w:rsidR="00000000" w:rsidRDefault="00000000">
            <w:pPr>
              <w:jc w:val="right"/>
            </w:pPr>
            <w:r>
              <w:rPr>
                <w:szCs w:val="23"/>
                <w:lang w:val="es-ES_tradnl"/>
              </w:rPr>
              <w:t>3,3</w:t>
            </w:r>
          </w:p>
        </w:tc>
      </w:tr>
      <w:tr w:rsidR="00000000">
        <w:tblPrEx>
          <w:tblCellMar>
            <w:top w:w="0" w:type="dxa"/>
            <w:bottom w:w="0" w:type="dxa"/>
          </w:tblCellMar>
        </w:tblPrEx>
        <w:trPr>
          <w:jc w:val="center"/>
        </w:trPr>
        <w:tc>
          <w:tcPr>
            <w:tcW w:w="2383" w:type="dxa"/>
          </w:tcPr>
          <w:p w:rsidR="00000000" w:rsidRDefault="00000000">
            <w:pPr>
              <w:rPr>
                <w:lang w:val="es-ES_tradnl"/>
              </w:rPr>
            </w:pPr>
            <w:r>
              <w:rPr>
                <w:lang w:val="es-ES_tradnl"/>
              </w:rPr>
              <w:t>Otro</w:t>
            </w:r>
          </w:p>
        </w:tc>
        <w:tc>
          <w:tcPr>
            <w:tcW w:w="1365" w:type="dxa"/>
          </w:tcPr>
          <w:p w:rsidR="00000000" w:rsidRDefault="00000000">
            <w:pPr>
              <w:jc w:val="right"/>
              <w:rPr>
                <w:lang w:val="es-ES_tradnl"/>
              </w:rPr>
            </w:pPr>
            <w:r>
              <w:rPr>
                <w:lang w:val="es-ES_tradnl"/>
              </w:rPr>
              <w:t>10.755</w:t>
            </w:r>
          </w:p>
        </w:tc>
        <w:tc>
          <w:tcPr>
            <w:tcW w:w="1404" w:type="dxa"/>
          </w:tcPr>
          <w:p w:rsidR="00000000" w:rsidRDefault="00000000">
            <w:pPr>
              <w:jc w:val="right"/>
              <w:rPr>
                <w:lang w:val="es-ES_tradnl"/>
              </w:rPr>
            </w:pPr>
            <w:r>
              <w:rPr>
                <w:lang w:val="es-ES_tradnl"/>
              </w:rPr>
              <w:t>0,7</w:t>
            </w:r>
          </w:p>
        </w:tc>
        <w:tc>
          <w:tcPr>
            <w:tcW w:w="1248" w:type="dxa"/>
          </w:tcPr>
          <w:p w:rsidR="00000000" w:rsidRDefault="00000000">
            <w:pPr>
              <w:jc w:val="right"/>
              <w:rPr>
                <w:lang w:val="es-ES_tradnl"/>
              </w:rPr>
            </w:pPr>
            <w:r>
              <w:rPr>
                <w:lang w:val="es-ES_tradnl"/>
              </w:rPr>
              <w:t>10.406</w:t>
            </w:r>
          </w:p>
        </w:tc>
        <w:tc>
          <w:tcPr>
            <w:tcW w:w="1274" w:type="dxa"/>
          </w:tcPr>
          <w:p w:rsidR="00000000" w:rsidRDefault="00000000">
            <w:pPr>
              <w:jc w:val="right"/>
            </w:pPr>
            <w:r>
              <w:rPr>
                <w:lang w:val="es-ES_tradnl"/>
              </w:rPr>
              <w:t>0,5</w:t>
            </w:r>
          </w:p>
        </w:tc>
      </w:tr>
      <w:tr w:rsidR="00000000">
        <w:tblPrEx>
          <w:tblCellMar>
            <w:top w:w="0" w:type="dxa"/>
            <w:bottom w:w="0" w:type="dxa"/>
          </w:tblCellMar>
        </w:tblPrEx>
        <w:trPr>
          <w:jc w:val="center"/>
        </w:trPr>
        <w:tc>
          <w:tcPr>
            <w:tcW w:w="2383" w:type="dxa"/>
          </w:tcPr>
          <w:p w:rsidR="00000000" w:rsidRDefault="00000000">
            <w:pPr>
              <w:tabs>
                <w:tab w:val="left" w:pos="273"/>
              </w:tabs>
              <w:rPr>
                <w:lang w:val="es-ES_tradnl"/>
              </w:rPr>
            </w:pPr>
            <w:r>
              <w:rPr>
                <w:lang w:val="es-ES_tradnl"/>
              </w:rPr>
              <w:tab/>
              <w:t>Total</w:t>
            </w:r>
          </w:p>
        </w:tc>
        <w:tc>
          <w:tcPr>
            <w:tcW w:w="1365" w:type="dxa"/>
          </w:tcPr>
          <w:p w:rsidR="00000000" w:rsidRDefault="00000000">
            <w:pPr>
              <w:jc w:val="right"/>
              <w:rPr>
                <w:lang w:val="es-ES_tradnl"/>
              </w:rPr>
            </w:pPr>
            <w:r>
              <w:rPr>
                <w:lang w:val="es-ES_tradnl"/>
              </w:rPr>
              <w:t>1.576.441</w:t>
            </w:r>
          </w:p>
        </w:tc>
        <w:tc>
          <w:tcPr>
            <w:tcW w:w="1404" w:type="dxa"/>
          </w:tcPr>
          <w:p w:rsidR="00000000" w:rsidRDefault="00000000">
            <w:pPr>
              <w:jc w:val="right"/>
              <w:rPr>
                <w:lang w:val="es-ES_tradnl"/>
              </w:rPr>
            </w:pPr>
            <w:r>
              <w:rPr>
                <w:lang w:val="es-ES_tradnl"/>
              </w:rPr>
              <w:t>100,0</w:t>
            </w:r>
          </w:p>
        </w:tc>
        <w:tc>
          <w:tcPr>
            <w:tcW w:w="1248" w:type="dxa"/>
          </w:tcPr>
          <w:p w:rsidR="00000000" w:rsidRDefault="00000000">
            <w:pPr>
              <w:jc w:val="right"/>
              <w:rPr>
                <w:lang w:val="es-ES_tradnl"/>
              </w:rPr>
            </w:pPr>
            <w:r>
              <w:rPr>
                <w:lang w:val="es-ES_tradnl"/>
              </w:rPr>
              <w:t>2.008.655</w:t>
            </w:r>
          </w:p>
        </w:tc>
        <w:tc>
          <w:tcPr>
            <w:tcW w:w="1274" w:type="dxa"/>
          </w:tcPr>
          <w:p w:rsidR="00000000" w:rsidRDefault="00000000">
            <w:pPr>
              <w:jc w:val="right"/>
              <w:rPr>
                <w:lang w:val="es-ES_tradnl"/>
              </w:rPr>
            </w:pPr>
            <w:r>
              <w:rPr>
                <w:lang w:val="es-ES_tradnl"/>
              </w:rPr>
              <w:t>100,0</w:t>
            </w:r>
          </w:p>
        </w:tc>
      </w:tr>
    </w:tbl>
    <w:p w:rsidR="00000000" w:rsidRDefault="00000000">
      <w:pPr>
        <w:spacing w:before="240" w:after="480"/>
        <w:ind w:left="858"/>
      </w:pPr>
      <w:r>
        <w:rPr>
          <w:i/>
          <w:iCs/>
          <w:lang w:val="es-ES_tradnl"/>
        </w:rPr>
        <w:t>Fuente</w:t>
      </w:r>
      <w:r>
        <w:rPr>
          <w:lang w:val="es-ES_tradnl"/>
        </w:rPr>
        <w:t>:  INEC-MIDUVI.</w:t>
      </w:r>
    </w:p>
    <w:p w:rsidR="00000000" w:rsidRDefault="00000000">
      <w:pPr>
        <w:spacing w:after="240"/>
      </w:pPr>
      <w:r>
        <w:rPr>
          <w:i/>
          <w:iCs/>
          <w:szCs w:val="25"/>
          <w:lang w:val="es-ES_tradnl"/>
        </w:rPr>
        <w:t>Normas que garantizan el derecho a la vivienda</w:t>
      </w:r>
    </w:p>
    <w:p w:rsidR="00000000" w:rsidRDefault="00000000">
      <w:pPr>
        <w:spacing w:after="240"/>
      </w:pPr>
      <w:r>
        <w:rPr>
          <w:szCs w:val="25"/>
        </w:rPr>
        <w:t>361.</w:t>
      </w:r>
      <w:r>
        <w:rPr>
          <w:szCs w:val="25"/>
        </w:rPr>
        <w:tab/>
      </w:r>
      <w:r>
        <w:rPr>
          <w:szCs w:val="25"/>
          <w:lang w:val="es-ES_tradnl"/>
        </w:rPr>
        <w:t>La Constitución Política, en el título III, capítulo II de los derechos civiles, artículo 23, numeral 20, señala que el Estado reconocerá y garantizará "el derecho a una calidad de vida que asegure la salud, alimentación y nutrición, agua potable, saneamiento ambiental; educación, trabajo, empleo, recreación, vivienda, vestido y otros servicios sociales necesarios".  En el mismo texto constitucional, en el capítulo IV de los derechos económicos, sociales y culturales, establece lo siguiente en el artículo 32:  "Para hacer efectivo el derecho a la vivienda y a la conservación del medio ambiente, las municipalidades podrán expropiar, reservar y controlar áreas para el desarrollo futuro, de conformidad con la ley.  El Estado estimulará los programas de vivienda de interés social".</w:t>
      </w:r>
    </w:p>
    <w:p w:rsidR="00000000" w:rsidRDefault="00000000">
      <w:pPr>
        <w:spacing w:after="240"/>
      </w:pPr>
      <w:r>
        <w:rPr>
          <w:szCs w:val="25"/>
        </w:rPr>
        <w:t>362.</w:t>
      </w:r>
      <w:r>
        <w:rPr>
          <w:szCs w:val="25"/>
        </w:rPr>
        <w:tab/>
      </w:r>
      <w:r>
        <w:rPr>
          <w:szCs w:val="25"/>
          <w:lang w:val="es-ES_tradnl"/>
        </w:rPr>
        <w:t xml:space="preserve">Desde el año 1990 a la fecha de realización de este documento se tienen las siguientes leyes y reglamentos sobre el sistema de vivienda:  Ley de contratación de proyectos de interés social, Ley </w:t>
      </w:r>
      <w:proofErr w:type="spellStart"/>
      <w:r>
        <w:rPr>
          <w:szCs w:val="25"/>
          <w:lang w:val="es-ES_tradnl"/>
        </w:rPr>
        <w:t>Nº</w:t>
      </w:r>
      <w:proofErr w:type="spellEnd"/>
      <w:r>
        <w:rPr>
          <w:szCs w:val="25"/>
          <w:lang w:val="es-ES_tradnl"/>
        </w:rPr>
        <w:t xml:space="preserve"> 02,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289, de 4 de octubre de 1993; Reglamento para la contratación de proyectos de interés social, </w:t>
      </w:r>
      <w:r>
        <w:rPr>
          <w:i/>
          <w:iCs/>
          <w:szCs w:val="25"/>
          <w:lang w:val="es-ES_tradnl"/>
        </w:rPr>
        <w:t>Registro Oficial,</w:t>
      </w:r>
      <w:r>
        <w:rPr>
          <w:szCs w:val="25"/>
          <w:lang w:val="es-ES_tradnl"/>
        </w:rPr>
        <w:t xml:space="preserve"> suplemento </w:t>
      </w:r>
      <w:proofErr w:type="spellStart"/>
      <w:r>
        <w:rPr>
          <w:szCs w:val="25"/>
          <w:lang w:val="es-ES_tradnl"/>
        </w:rPr>
        <w:t>Nº</w:t>
      </w:r>
      <w:proofErr w:type="spellEnd"/>
      <w:r>
        <w:rPr>
          <w:szCs w:val="25"/>
          <w:lang w:val="es-ES_tradnl"/>
        </w:rPr>
        <w:t xml:space="preserve"> 12, de 31 de enero de 1997,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72, de 23 de noviembre de 1998; Reglamento interno para la contratación de proyectos de interés social,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108, de 15 de julio de 1997; Decreto Ejecutivo </w:t>
      </w:r>
      <w:proofErr w:type="spellStart"/>
      <w:r>
        <w:rPr>
          <w:szCs w:val="25"/>
          <w:lang w:val="es-ES_tradnl"/>
        </w:rPr>
        <w:t>Nº</w:t>
      </w:r>
      <w:proofErr w:type="spellEnd"/>
      <w:r>
        <w:rPr>
          <w:szCs w:val="25"/>
          <w:lang w:val="es-ES_tradnl"/>
        </w:rPr>
        <w:t xml:space="preserve"> 1269 de creación del Sistema de Incentivos para la Vivienda, </w:t>
      </w:r>
      <w:r>
        <w:rPr>
          <w:i/>
          <w:iCs/>
          <w:szCs w:val="25"/>
          <w:lang w:val="es-ES_tradnl"/>
        </w:rPr>
        <w:t>Registro Oficial</w:t>
      </w:r>
      <w:r>
        <w:rPr>
          <w:szCs w:val="25"/>
          <w:lang w:val="es-ES_tradnl"/>
        </w:rPr>
        <w:t xml:space="preserve">, suplemento </w:t>
      </w:r>
      <w:proofErr w:type="spellStart"/>
      <w:r>
        <w:rPr>
          <w:szCs w:val="25"/>
          <w:lang w:val="es-ES_tradnl"/>
        </w:rPr>
        <w:t>Nº</w:t>
      </w:r>
      <w:proofErr w:type="spellEnd"/>
      <w:r>
        <w:rPr>
          <w:szCs w:val="25"/>
          <w:lang w:val="es-ES_tradnl"/>
        </w:rPr>
        <w:t xml:space="preserve"> 287, de 31 de marzo de 1998:  Decreto reformatorio, </w:t>
      </w:r>
      <w:r>
        <w:rPr>
          <w:i/>
          <w:iCs/>
          <w:szCs w:val="25"/>
          <w:lang w:val="es-ES_tradnl"/>
        </w:rPr>
        <w:t xml:space="preserve">Registro Oficial, </w:t>
      </w:r>
      <w:r>
        <w:rPr>
          <w:szCs w:val="25"/>
          <w:lang w:val="es-ES_tradnl"/>
        </w:rPr>
        <w:t xml:space="preserve">suplemento </w:t>
      </w:r>
      <w:proofErr w:type="spellStart"/>
      <w:r>
        <w:rPr>
          <w:szCs w:val="25"/>
          <w:lang w:val="es-ES_tradnl"/>
        </w:rPr>
        <w:t>Nº</w:t>
      </w:r>
      <w:proofErr w:type="spellEnd"/>
      <w:r>
        <w:rPr>
          <w:szCs w:val="25"/>
          <w:lang w:val="es-ES_tradnl"/>
        </w:rPr>
        <w:t xml:space="preserve"> 352, de 2 de julio de 1998; Reglamento Sustitutivo del Reglamento del Sistema de Incentivos para Vivienda Urbana Nueva,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229, de 8 de julio de 1999; Reglamento Sustitutivo del Reglamento del Sistema de Incentivos para Mejoramiento de Vivienda Urbana,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229, de 8 de julio de 1999; Reglamento del Sistema de Incentivos para Vivienda en Centros Históricos,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229, de 8 de julio de 1999; Acuerdo Ministerial </w:t>
      </w:r>
      <w:proofErr w:type="spellStart"/>
      <w:r>
        <w:rPr>
          <w:szCs w:val="25"/>
          <w:lang w:val="es-ES_tradnl"/>
        </w:rPr>
        <w:t>Nº</w:t>
      </w:r>
      <w:proofErr w:type="spellEnd"/>
      <w:r>
        <w:rPr>
          <w:szCs w:val="25"/>
          <w:lang w:val="es-ES_tradnl"/>
        </w:rPr>
        <w:t xml:space="preserve"> 0030 - Bono Compensatorio,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235, de 16 de julio de 1999.</w:t>
      </w:r>
    </w:p>
    <w:p w:rsidR="00000000" w:rsidRDefault="00000000">
      <w:pPr>
        <w:spacing w:after="240"/>
      </w:pPr>
      <w:r>
        <w:rPr>
          <w:szCs w:val="25"/>
          <w:lang w:val="es-ES_tradnl"/>
        </w:rPr>
        <w:t>363.</w:t>
      </w:r>
      <w:r>
        <w:rPr>
          <w:szCs w:val="25"/>
          <w:lang w:val="es-ES_tradnl"/>
        </w:rPr>
        <w:tab/>
        <w:t>Junto a ello, a más de los convenios de créditos internacionales y normas del MIDUVI, que propician la participación del sistema financiero privado y del constructor privado, dentro del ámbito de su competencia, cada municipalidad expide ordenanzas que dicen relación a construcciones, programas de vivienda de interés social, urbanizaciones progresivas, parcelaciones, reestructuración parcelaria y normas arquitectónicas.  Indudablemente todas las normas deben entenderse en referencia al conjunto de disposiciones actualmente vigentes y conforme a las políticas y directrices del Gobierno ecuatoriano.</w:t>
      </w:r>
    </w:p>
    <w:p w:rsidR="00000000" w:rsidRDefault="00000000">
      <w:pPr>
        <w:spacing w:after="240"/>
      </w:pPr>
      <w:r>
        <w:rPr>
          <w:szCs w:val="25"/>
          <w:lang w:val="es-ES_tradnl"/>
        </w:rPr>
        <w:t>364.</w:t>
      </w:r>
      <w:r>
        <w:rPr>
          <w:szCs w:val="25"/>
          <w:lang w:val="es-ES_tradnl"/>
        </w:rPr>
        <w:tab/>
        <w:t xml:space="preserve">En el Reglamento Sustitutivo del Sistema de Incentivos para la Vivienda Urbana Nueva y Mejoramiento de Vivienda Urbana publicado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229, de 8 de julio de 1999, en el artículo 5 sobre el grupo familiar, se contempla el tratamiento que se da a las personas de la tercera edad y a los discapacitados.  Se los considera como miembros del grupo familiar, entregan puntuación para la postulación al incentivo de acuerdo al párrafo 8 de los puntajes, artículos 29 y 30, para vivienda urbana y nueva y párrafo 7 de los puntajes, artículos 23 y 24 para mejoramiento de vivienda urbana.</w:t>
      </w:r>
    </w:p>
    <w:p w:rsidR="00000000" w:rsidRDefault="00000000">
      <w:pPr>
        <w:spacing w:after="240"/>
      </w:pPr>
      <w:r>
        <w:rPr>
          <w:szCs w:val="25"/>
          <w:lang w:val="es-ES_tradnl"/>
        </w:rPr>
        <w:t>365.</w:t>
      </w:r>
      <w:r>
        <w:rPr>
          <w:szCs w:val="25"/>
          <w:lang w:val="es-ES_tradnl"/>
        </w:rPr>
        <w:tab/>
        <w:t>No se dispone de información estadística sobre carencia de vivienda en el ámbito urbano y rural de personas con discapacidad; sin embargo, como dato de importancia se debe anotar que, durante el año 1998, el Banco Ecuatoriano de la Vivienda otorgó créditos en condiciones especiales a 97 personas con discapacidad con un monto total de 3.341.900.000 sucres, según el siguiente detalle</w:t>
      </w:r>
      <w:r>
        <w:rPr>
          <w:rStyle w:val="FootnoteReference"/>
          <w:szCs w:val="25"/>
          <w:lang w:val="es-ES_tradnl"/>
        </w:rPr>
        <w:footnoteReference w:id="49"/>
      </w:r>
      <w:r>
        <w:rPr>
          <w:szCs w:val="25"/>
          <w:lang w:val="es-ES_tradnl"/>
        </w:rPr>
        <w:t>:</w:t>
      </w:r>
    </w:p>
    <w:tbl>
      <w:tblPr>
        <w:tblW w:w="0" w:type="auto"/>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1014"/>
      </w:tblGrid>
      <w:tr w:rsidR="00000000">
        <w:tblPrEx>
          <w:tblCellMar>
            <w:top w:w="0" w:type="dxa"/>
            <w:bottom w:w="0" w:type="dxa"/>
          </w:tblCellMar>
        </w:tblPrEx>
        <w:trPr>
          <w:jc w:val="center"/>
        </w:trPr>
        <w:tc>
          <w:tcPr>
            <w:tcW w:w="2301" w:type="dxa"/>
            <w:vAlign w:val="center"/>
          </w:tcPr>
          <w:p w:rsidR="00000000" w:rsidRDefault="00000000">
            <w:pPr>
              <w:keepNext/>
              <w:keepLines/>
              <w:jc w:val="center"/>
              <w:rPr>
                <w:lang w:val="es-ES_tradnl"/>
              </w:rPr>
            </w:pPr>
            <w:r>
              <w:rPr>
                <w:lang w:val="es-ES_tradnl"/>
              </w:rPr>
              <w:t>Agencia del BEV</w:t>
            </w:r>
          </w:p>
        </w:tc>
        <w:tc>
          <w:tcPr>
            <w:tcW w:w="1014" w:type="dxa"/>
            <w:vAlign w:val="center"/>
          </w:tcPr>
          <w:p w:rsidR="00000000" w:rsidRDefault="00000000">
            <w:pPr>
              <w:keepNext/>
              <w:keepLines/>
              <w:jc w:val="center"/>
            </w:pPr>
            <w:r>
              <w:rPr>
                <w:lang w:val="es-ES_tradnl"/>
              </w:rPr>
              <w:t>Cantidad</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Calceta</w:t>
            </w:r>
          </w:p>
        </w:tc>
        <w:tc>
          <w:tcPr>
            <w:tcW w:w="1014" w:type="dxa"/>
          </w:tcPr>
          <w:p w:rsidR="00000000" w:rsidRDefault="00000000">
            <w:pPr>
              <w:keepNext/>
              <w:keepLines/>
              <w:jc w:val="right"/>
            </w:pPr>
            <w:r>
              <w:rPr>
                <w:lang w:val="es-ES_tradnl"/>
              </w:rPr>
              <w:t>15</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Chone</w:t>
            </w:r>
          </w:p>
        </w:tc>
        <w:tc>
          <w:tcPr>
            <w:tcW w:w="1014" w:type="dxa"/>
          </w:tcPr>
          <w:p w:rsidR="00000000" w:rsidRDefault="00000000">
            <w:pPr>
              <w:keepNext/>
              <w:keepLines/>
              <w:jc w:val="right"/>
            </w:pPr>
            <w:r>
              <w:rPr>
                <w:lang w:val="es-ES_tradnl"/>
              </w:rPr>
              <w:t>25</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Cuenca</w:t>
            </w:r>
          </w:p>
        </w:tc>
        <w:tc>
          <w:tcPr>
            <w:tcW w:w="1014" w:type="dxa"/>
          </w:tcPr>
          <w:p w:rsidR="00000000" w:rsidRDefault="00000000">
            <w:pPr>
              <w:keepNext/>
              <w:keepLines/>
              <w:jc w:val="right"/>
            </w:pPr>
            <w:r>
              <w:rPr>
                <w:lang w:val="es-ES_tradnl"/>
              </w:rPr>
              <w:t>3</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Guaranda</w:t>
            </w:r>
          </w:p>
        </w:tc>
        <w:tc>
          <w:tcPr>
            <w:tcW w:w="1014" w:type="dxa"/>
          </w:tcPr>
          <w:p w:rsidR="00000000" w:rsidRDefault="00000000">
            <w:pPr>
              <w:keepNext/>
              <w:keepLines/>
              <w:jc w:val="right"/>
            </w:pPr>
            <w:r>
              <w:rPr>
                <w:lang w:val="es-ES_tradnl"/>
              </w:rPr>
              <w:t>7</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Machala</w:t>
            </w:r>
          </w:p>
        </w:tc>
        <w:tc>
          <w:tcPr>
            <w:tcW w:w="1014" w:type="dxa"/>
          </w:tcPr>
          <w:p w:rsidR="00000000" w:rsidRDefault="00000000">
            <w:pPr>
              <w:keepNext/>
              <w:keepLines/>
              <w:jc w:val="right"/>
            </w:pPr>
            <w:r>
              <w:rPr>
                <w:lang w:val="es-ES_tradnl"/>
              </w:rPr>
              <w:t>4</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Manta</w:t>
            </w:r>
          </w:p>
        </w:tc>
        <w:tc>
          <w:tcPr>
            <w:tcW w:w="1014" w:type="dxa"/>
          </w:tcPr>
          <w:p w:rsidR="00000000" w:rsidRDefault="00000000">
            <w:pPr>
              <w:keepNext/>
              <w:keepLines/>
              <w:jc w:val="right"/>
            </w:pPr>
            <w:r>
              <w:rPr>
                <w:lang w:val="es-ES_tradnl"/>
              </w:rPr>
              <w:t>2</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r>
              <w:rPr>
                <w:lang w:val="es-ES_tradnl"/>
              </w:rPr>
              <w:t>Portoviejo</w:t>
            </w:r>
          </w:p>
        </w:tc>
        <w:tc>
          <w:tcPr>
            <w:tcW w:w="1014" w:type="dxa"/>
          </w:tcPr>
          <w:p w:rsidR="00000000" w:rsidRDefault="00000000">
            <w:pPr>
              <w:keepNext/>
              <w:keepLines/>
              <w:jc w:val="right"/>
            </w:pPr>
            <w:r>
              <w:rPr>
                <w:lang w:val="es-ES_tradnl"/>
              </w:rPr>
              <w:t>3</w:t>
            </w:r>
          </w:p>
        </w:tc>
      </w:tr>
      <w:tr w:rsidR="00000000">
        <w:tblPrEx>
          <w:tblCellMar>
            <w:top w:w="0" w:type="dxa"/>
            <w:bottom w:w="0" w:type="dxa"/>
          </w:tblCellMar>
        </w:tblPrEx>
        <w:trPr>
          <w:jc w:val="center"/>
        </w:trPr>
        <w:tc>
          <w:tcPr>
            <w:tcW w:w="2301" w:type="dxa"/>
          </w:tcPr>
          <w:p w:rsidR="00000000" w:rsidRDefault="00000000">
            <w:pPr>
              <w:keepNext/>
              <w:keepLines/>
              <w:rPr>
                <w:lang w:val="es-ES_tradnl"/>
              </w:rPr>
            </w:pPr>
            <w:proofErr w:type="spellStart"/>
            <w:r>
              <w:rPr>
                <w:lang w:val="es-ES_tradnl"/>
              </w:rPr>
              <w:t>Quininde</w:t>
            </w:r>
            <w:proofErr w:type="spellEnd"/>
          </w:p>
        </w:tc>
        <w:tc>
          <w:tcPr>
            <w:tcW w:w="1014" w:type="dxa"/>
          </w:tcPr>
          <w:p w:rsidR="00000000" w:rsidRDefault="00000000">
            <w:pPr>
              <w:keepNext/>
              <w:keepLines/>
              <w:jc w:val="right"/>
            </w:pPr>
            <w:r>
              <w:rPr>
                <w:lang w:val="es-ES_tradnl"/>
              </w:rPr>
              <w:t>25</w:t>
            </w:r>
          </w:p>
        </w:tc>
      </w:tr>
      <w:tr w:rsidR="00000000">
        <w:tblPrEx>
          <w:tblCellMar>
            <w:top w:w="0" w:type="dxa"/>
            <w:bottom w:w="0" w:type="dxa"/>
          </w:tblCellMar>
        </w:tblPrEx>
        <w:trPr>
          <w:jc w:val="center"/>
        </w:trPr>
        <w:tc>
          <w:tcPr>
            <w:tcW w:w="2301" w:type="dxa"/>
          </w:tcPr>
          <w:p w:rsidR="00000000" w:rsidRDefault="00000000">
            <w:pPr>
              <w:rPr>
                <w:lang w:val="es-ES_tradnl"/>
              </w:rPr>
            </w:pPr>
            <w:r>
              <w:rPr>
                <w:lang w:val="es-ES_tradnl"/>
              </w:rPr>
              <w:t>Quito</w:t>
            </w:r>
          </w:p>
        </w:tc>
        <w:tc>
          <w:tcPr>
            <w:tcW w:w="1014" w:type="dxa"/>
          </w:tcPr>
          <w:p w:rsidR="00000000" w:rsidRDefault="00000000">
            <w:pPr>
              <w:jc w:val="right"/>
            </w:pPr>
            <w:r>
              <w:rPr>
                <w:lang w:val="es-ES_tradnl"/>
              </w:rPr>
              <w:t>8</w:t>
            </w:r>
          </w:p>
        </w:tc>
      </w:tr>
      <w:tr w:rsidR="00000000">
        <w:tblPrEx>
          <w:tblCellMar>
            <w:top w:w="0" w:type="dxa"/>
            <w:bottom w:w="0" w:type="dxa"/>
          </w:tblCellMar>
        </w:tblPrEx>
        <w:trPr>
          <w:jc w:val="center"/>
        </w:trPr>
        <w:tc>
          <w:tcPr>
            <w:tcW w:w="2301" w:type="dxa"/>
          </w:tcPr>
          <w:p w:rsidR="00000000" w:rsidRDefault="00000000">
            <w:pPr>
              <w:rPr>
                <w:lang w:val="es-ES_tradnl"/>
              </w:rPr>
            </w:pPr>
            <w:r>
              <w:rPr>
                <w:lang w:val="es-ES_tradnl"/>
              </w:rPr>
              <w:t>Santo Domingo</w:t>
            </w:r>
          </w:p>
        </w:tc>
        <w:tc>
          <w:tcPr>
            <w:tcW w:w="1014" w:type="dxa"/>
          </w:tcPr>
          <w:p w:rsidR="00000000" w:rsidRDefault="00000000">
            <w:pPr>
              <w:jc w:val="right"/>
            </w:pPr>
            <w:r>
              <w:rPr>
                <w:lang w:val="es-ES_tradnl"/>
              </w:rPr>
              <w:t>5</w:t>
            </w:r>
          </w:p>
        </w:tc>
      </w:tr>
      <w:tr w:rsidR="00000000">
        <w:tblPrEx>
          <w:tblCellMar>
            <w:top w:w="0" w:type="dxa"/>
            <w:bottom w:w="0" w:type="dxa"/>
          </w:tblCellMar>
        </w:tblPrEx>
        <w:trPr>
          <w:jc w:val="center"/>
        </w:trPr>
        <w:tc>
          <w:tcPr>
            <w:tcW w:w="2301" w:type="dxa"/>
          </w:tcPr>
          <w:p w:rsidR="00000000" w:rsidRDefault="00000000">
            <w:pPr>
              <w:tabs>
                <w:tab w:val="left" w:pos="240"/>
              </w:tabs>
              <w:rPr>
                <w:lang w:val="es-ES_tradnl"/>
              </w:rPr>
            </w:pPr>
            <w:r>
              <w:rPr>
                <w:lang w:val="es-ES_tradnl"/>
              </w:rPr>
              <w:tab/>
              <w:t>Total</w:t>
            </w:r>
          </w:p>
        </w:tc>
        <w:tc>
          <w:tcPr>
            <w:tcW w:w="1014" w:type="dxa"/>
          </w:tcPr>
          <w:p w:rsidR="00000000" w:rsidRDefault="00000000">
            <w:pPr>
              <w:jc w:val="right"/>
            </w:pPr>
            <w:r>
              <w:rPr>
                <w:lang w:val="es-ES_tradnl"/>
              </w:rPr>
              <w:t>97</w:t>
            </w:r>
          </w:p>
        </w:tc>
      </w:tr>
    </w:tbl>
    <w:p w:rsidR="00000000" w:rsidRDefault="00000000">
      <w:pPr>
        <w:spacing w:before="240" w:after="480"/>
        <w:ind w:left="3003"/>
      </w:pPr>
      <w:r>
        <w:rPr>
          <w:i/>
          <w:iCs/>
          <w:lang w:val="es-ES_tradnl"/>
        </w:rPr>
        <w:t>Fuente</w:t>
      </w:r>
      <w:r>
        <w:rPr>
          <w:lang w:val="es-ES_tradnl"/>
        </w:rPr>
        <w:t xml:space="preserve">:  </w:t>
      </w:r>
      <w:proofErr w:type="spellStart"/>
      <w:r>
        <w:rPr>
          <w:lang w:val="es-ES_tradnl"/>
        </w:rPr>
        <w:t>CONADIS</w:t>
      </w:r>
      <w:proofErr w:type="spellEnd"/>
      <w:r>
        <w:rPr>
          <w:lang w:val="es-ES_tradnl"/>
        </w:rPr>
        <w:t>.</w:t>
      </w:r>
    </w:p>
    <w:p w:rsidR="00000000" w:rsidRDefault="00000000">
      <w:pPr>
        <w:spacing w:after="240"/>
      </w:pPr>
      <w:r>
        <w:rPr>
          <w:szCs w:val="25"/>
          <w:lang w:val="es-ES_tradnl"/>
        </w:rPr>
        <w:t>366.</w:t>
      </w:r>
      <w:r>
        <w:rPr>
          <w:szCs w:val="25"/>
          <w:lang w:val="es-ES_tradnl"/>
        </w:rPr>
        <w:tab/>
        <w:t>El INEC tiene programado llevar a cabo el censo agropecuario entre octubre y diciembre del año 2000.  Este censo tiene como objetivo conocer la tenencia de la tierra, el uso de los suelos, la producción agrícola, la existencia de ganado, el personal ocupado, la energía y maquinaria utilizada, entre otras; el VI censo de población y el V de vivienda están previstos para el año 2001.  Del censo de población y vivienda se obtendrán resultados como:  características educacionales y económicas de la población, fecundidad y mortalidad, los servicios básicos disponibles y otros datos.</w:t>
      </w:r>
    </w:p>
    <w:p w:rsidR="00000000" w:rsidRDefault="00000000">
      <w:pPr>
        <w:keepNext/>
        <w:spacing w:after="240"/>
      </w:pPr>
      <w:r>
        <w:rPr>
          <w:i/>
          <w:iCs/>
          <w:szCs w:val="25"/>
          <w:lang w:val="es-ES_tradnl"/>
        </w:rPr>
        <w:t>Políticas de fomento a la vivienda</w:t>
      </w:r>
    </w:p>
    <w:p w:rsidR="00000000" w:rsidRDefault="00000000">
      <w:pPr>
        <w:spacing w:after="240"/>
      </w:pPr>
      <w:r>
        <w:rPr>
          <w:szCs w:val="25"/>
          <w:lang w:val="es-ES_tradnl"/>
        </w:rPr>
        <w:t>367.</w:t>
      </w:r>
      <w:r>
        <w:rPr>
          <w:szCs w:val="25"/>
          <w:lang w:val="es-ES_tradnl"/>
        </w:rPr>
        <w:tab/>
        <w:t xml:space="preserve">La política de vivienda insertada en el país a finales del mandato constitucional del Presidente de la República, Sixto Duran Bailén, mediante la creación del Sistema de Incentivos Habitacionales en 1996 ha prevalecido, pese a la inestabilidad política que vive el país (en menos de cuatro años ha tenido cinco presidentes de la República).  En el anterior modelo de vivienda el Estado era ejecutor, constructor de grandes programas de vivienda en cuyas adjudicaciones no había acceso directo y la forma de reparto se prestaba muchas veces a la corrupción; ahora el Estado, a través del MIDUVI, se ha convertido en </w:t>
      </w:r>
      <w:proofErr w:type="spellStart"/>
      <w:r>
        <w:rPr>
          <w:szCs w:val="25"/>
          <w:lang w:val="es-ES_tradnl"/>
        </w:rPr>
        <w:t>facilitador</w:t>
      </w:r>
      <w:proofErr w:type="spellEnd"/>
      <w:r>
        <w:rPr>
          <w:szCs w:val="25"/>
          <w:lang w:val="es-ES_tradnl"/>
        </w:rPr>
        <w:t xml:space="preserve"> del crédito y en un banco de segundo piso, financiando a constructores y entidades financieras, que mediante la creación del mercado hipotecario asegura el sostenimiento financiero de todo el sistema.</w:t>
      </w:r>
    </w:p>
    <w:p w:rsidR="00000000" w:rsidRDefault="00000000">
      <w:pPr>
        <w:spacing w:after="240"/>
      </w:pPr>
      <w:r>
        <w:rPr>
          <w:szCs w:val="25"/>
          <w:lang w:val="es-ES_tradnl"/>
        </w:rPr>
        <w:t>368.</w:t>
      </w:r>
      <w:r>
        <w:rPr>
          <w:szCs w:val="25"/>
          <w:lang w:val="es-ES_tradnl"/>
        </w:rPr>
        <w:tab/>
        <w:t>Con el nuevo sistema de vivienda se subsidia a los sectores más pobres de la población.  Existe una adecuación de la demanda y estimulación del sector privado en la oferta y el financiamiento de proyectos; el incentivo consiste en un aporte económico que entrega el Estado, a través del MIDUVI, a las familias de menores ingresos, para la adquisición o construcción de vivienda.  Este bono para vivienda se entrega por una sola vez y tiene el carácter de no reembolsable; el valor del incentivo es inversamente proporcional al costo de la vivienda, es decir que se proporcionará una cantidad mayor cuando el costo de la vivienda sea menor.</w:t>
      </w:r>
    </w:p>
    <w:p w:rsidR="00000000" w:rsidRDefault="00000000">
      <w:pPr>
        <w:keepNext/>
        <w:keepLines/>
        <w:spacing w:after="240"/>
      </w:pPr>
      <w:r>
        <w:rPr>
          <w:szCs w:val="25"/>
          <w:lang w:val="es-ES_tradnl"/>
        </w:rPr>
        <w:t>369.</w:t>
      </w:r>
      <w:r>
        <w:rPr>
          <w:szCs w:val="25"/>
          <w:lang w:val="es-ES_tradnl"/>
        </w:rPr>
        <w:tab/>
        <w:t>El mecanismo del proceso es fácil:  A + B + C donde:</w:t>
      </w:r>
    </w:p>
    <w:p w:rsidR="00000000" w:rsidRDefault="00000000">
      <w:pPr>
        <w:keepNext/>
        <w:keepLines/>
        <w:spacing w:after="240"/>
        <w:ind w:left="924" w:hanging="357"/>
      </w:pPr>
      <w:r>
        <w:rPr>
          <w:szCs w:val="25"/>
          <w:lang w:val="es-ES_tradnl"/>
        </w:rPr>
        <w:t>-</w:t>
      </w:r>
      <w:r>
        <w:rPr>
          <w:szCs w:val="25"/>
          <w:lang w:val="es-ES_tradnl"/>
        </w:rPr>
        <w:tab/>
        <w:t>A:  es el aporte de las familias que puede ser ahorro, terreno o mano de obra;</w:t>
      </w:r>
    </w:p>
    <w:p w:rsidR="00000000" w:rsidRDefault="00000000">
      <w:pPr>
        <w:keepNext/>
        <w:keepLines/>
        <w:spacing w:after="240"/>
        <w:ind w:left="924" w:hanging="357"/>
        <w:rPr>
          <w:szCs w:val="25"/>
          <w:lang w:val="es-ES_tradnl"/>
        </w:rPr>
      </w:pPr>
      <w:r>
        <w:rPr>
          <w:szCs w:val="25"/>
          <w:lang w:val="es-ES_tradnl"/>
        </w:rPr>
        <w:t>-</w:t>
      </w:r>
      <w:r>
        <w:rPr>
          <w:szCs w:val="25"/>
          <w:lang w:val="es-ES_tradnl"/>
        </w:rPr>
        <w:tab/>
        <w:t>B:  es el bono que otorga el Gobierno nacional.  Hasta el 60% del costo del proyecto;</w:t>
      </w:r>
    </w:p>
    <w:p w:rsidR="00000000" w:rsidRDefault="00000000">
      <w:pPr>
        <w:keepNext/>
        <w:keepLines/>
        <w:ind w:left="924" w:hanging="357"/>
        <w:rPr>
          <w:szCs w:val="25"/>
          <w:lang w:val="es-ES_tradnl"/>
        </w:rPr>
      </w:pPr>
      <w:r>
        <w:rPr>
          <w:szCs w:val="25"/>
          <w:lang w:val="es-ES_tradnl"/>
        </w:rPr>
        <w:t>-</w:t>
      </w:r>
      <w:r>
        <w:rPr>
          <w:szCs w:val="25"/>
          <w:lang w:val="es-ES_tradnl"/>
        </w:rPr>
        <w:tab/>
        <w:t>C:  es el crédito del sistema financiero o la cooperación de la comunidad, municipio</w:t>
      </w:r>
    </w:p>
    <w:p w:rsidR="00000000" w:rsidRDefault="00000000">
      <w:pPr>
        <w:keepNext/>
        <w:keepLines/>
        <w:tabs>
          <w:tab w:val="left" w:pos="1260"/>
        </w:tabs>
        <w:spacing w:after="240"/>
        <w:ind w:left="924" w:hanging="357"/>
      </w:pPr>
      <w:r>
        <w:rPr>
          <w:szCs w:val="25"/>
          <w:lang w:val="es-ES_tradnl"/>
        </w:rPr>
        <w:tab/>
      </w:r>
      <w:r>
        <w:rPr>
          <w:szCs w:val="25"/>
          <w:lang w:val="es-ES_tradnl"/>
        </w:rPr>
        <w:tab/>
        <w:t>u ONG que participe en el proyecto.</w:t>
      </w:r>
    </w:p>
    <w:p w:rsidR="00000000" w:rsidRDefault="00000000">
      <w:pPr>
        <w:spacing w:after="240"/>
      </w:pPr>
      <w:r>
        <w:rPr>
          <w:szCs w:val="25"/>
          <w:lang w:val="es-ES_tradnl"/>
        </w:rPr>
        <w:t>370.</w:t>
      </w:r>
      <w:r>
        <w:rPr>
          <w:szCs w:val="25"/>
          <w:lang w:val="es-ES_tradnl"/>
        </w:rPr>
        <w:tab/>
        <w:t>Los requisitos para recibir el bono para vivienda son:</w:t>
      </w:r>
    </w:p>
    <w:p w:rsidR="00000000" w:rsidRDefault="00000000">
      <w:pPr>
        <w:spacing w:after="240"/>
        <w:ind w:left="1134" w:hanging="567"/>
      </w:pPr>
      <w:r>
        <w:rPr>
          <w:szCs w:val="25"/>
          <w:lang w:val="es-ES_tradnl"/>
        </w:rPr>
        <w:t>a)</w:t>
      </w:r>
      <w:r>
        <w:rPr>
          <w:szCs w:val="25"/>
          <w:lang w:val="es-ES_tradnl"/>
        </w:rPr>
        <w:tab/>
        <w:t>Los ciudadanos ecuatorianos mayores de edad;</w:t>
      </w:r>
    </w:p>
    <w:p w:rsidR="00000000" w:rsidRDefault="00000000">
      <w:pPr>
        <w:spacing w:after="240"/>
        <w:ind w:left="1134" w:hanging="567"/>
      </w:pPr>
      <w:r>
        <w:rPr>
          <w:szCs w:val="25"/>
          <w:lang w:val="es-ES_tradnl"/>
        </w:rPr>
        <w:t>b)</w:t>
      </w:r>
      <w:r>
        <w:rPr>
          <w:szCs w:val="25"/>
          <w:lang w:val="es-ES_tradnl"/>
        </w:rPr>
        <w:tab/>
        <w:t>No poseer vivienda en el territorio nacional;</w:t>
      </w:r>
    </w:p>
    <w:p w:rsidR="00000000" w:rsidRDefault="00000000">
      <w:pPr>
        <w:spacing w:after="240"/>
        <w:ind w:left="1134" w:hanging="567"/>
      </w:pPr>
      <w:r>
        <w:rPr>
          <w:szCs w:val="25"/>
          <w:lang w:val="es-ES_tradnl"/>
        </w:rPr>
        <w:t>c)</w:t>
      </w:r>
      <w:r>
        <w:rPr>
          <w:szCs w:val="25"/>
          <w:lang w:val="es-ES_tradnl"/>
        </w:rPr>
        <w:tab/>
        <w:t>No obtener ingresos superiores a 6 millones de sucres</w:t>
      </w:r>
      <w:r>
        <w:rPr>
          <w:rStyle w:val="FootnoteReference"/>
          <w:szCs w:val="25"/>
          <w:lang w:val="es-ES_tradnl"/>
        </w:rPr>
        <w:footnoteReference w:id="50"/>
      </w:r>
      <w:r>
        <w:rPr>
          <w:szCs w:val="25"/>
          <w:lang w:val="es-ES_tradnl"/>
        </w:rPr>
        <w:t>;</w:t>
      </w:r>
    </w:p>
    <w:p w:rsidR="00000000" w:rsidRDefault="00000000">
      <w:pPr>
        <w:spacing w:after="240"/>
        <w:ind w:left="1134" w:hanging="567"/>
      </w:pPr>
      <w:r>
        <w:rPr>
          <w:szCs w:val="25"/>
          <w:lang w:val="es-ES_tradnl"/>
        </w:rPr>
        <w:t>d)</w:t>
      </w:r>
      <w:r>
        <w:rPr>
          <w:szCs w:val="25"/>
          <w:lang w:val="es-ES_tradnl"/>
        </w:rPr>
        <w:tab/>
        <w:t>Abrir una cuenta para vivienda en cualquiera de las instituciones financieras participantes en el Sistema de Incentivos para Vivienda (</w:t>
      </w:r>
      <w:proofErr w:type="spellStart"/>
      <w:r>
        <w:rPr>
          <w:szCs w:val="25"/>
          <w:lang w:val="es-ES_tradnl"/>
        </w:rPr>
        <w:t>SIV</w:t>
      </w:r>
      <w:proofErr w:type="spellEnd"/>
      <w:r>
        <w:rPr>
          <w:szCs w:val="25"/>
          <w:lang w:val="es-ES_tradnl"/>
        </w:rPr>
        <w:t>).</w:t>
      </w:r>
    </w:p>
    <w:p w:rsidR="00000000" w:rsidRDefault="00000000">
      <w:pPr>
        <w:spacing w:after="240"/>
      </w:pPr>
      <w:r>
        <w:rPr>
          <w:szCs w:val="25"/>
          <w:lang w:val="es-ES_tradnl"/>
        </w:rPr>
        <w:t>El Plan de vivienda ABC que se viene ejecutando hasta diciembre de 1999 es el siguiente:</w:t>
      </w:r>
    </w:p>
    <w:p w:rsidR="00000000" w:rsidRDefault="00000000">
      <w:pPr>
        <w:keepNext/>
        <w:spacing w:after="240"/>
        <w:jc w:val="center"/>
        <w:rPr>
          <w:b/>
          <w:bCs/>
          <w:szCs w:val="22"/>
          <w:lang w:val="es-ES_tradnl"/>
        </w:rPr>
      </w:pPr>
      <w:r>
        <w:rPr>
          <w:b/>
          <w:bCs/>
          <w:szCs w:val="22"/>
          <w:lang w:val="es-ES_tradnl"/>
        </w:rPr>
        <w:t>Programa de vivienda urbana nueva ABC</w:t>
      </w:r>
    </w:p>
    <w:p w:rsidR="00000000" w:rsidRDefault="00000000">
      <w:pPr>
        <w:keepNext/>
        <w:spacing w:after="240"/>
        <w:jc w:val="center"/>
        <w:rPr>
          <w:b/>
          <w:bCs/>
        </w:rPr>
      </w:pPr>
      <w:r>
        <w:rPr>
          <w:b/>
          <w:bCs/>
          <w:szCs w:val="22"/>
          <w:lang w:val="es-ES_tradnl"/>
        </w:rPr>
        <w:t>(En sucres)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5"/>
        <w:gridCol w:w="1716"/>
        <w:gridCol w:w="1794"/>
        <w:gridCol w:w="2769"/>
        <w:gridCol w:w="1391"/>
      </w:tblGrid>
      <w:tr w:rsidR="00000000">
        <w:tblPrEx>
          <w:tblCellMar>
            <w:top w:w="0" w:type="dxa"/>
            <w:bottom w:w="0" w:type="dxa"/>
          </w:tblCellMar>
        </w:tblPrEx>
        <w:tc>
          <w:tcPr>
            <w:tcW w:w="1825" w:type="dxa"/>
            <w:vAlign w:val="center"/>
          </w:tcPr>
          <w:p w:rsidR="00000000" w:rsidRDefault="00000000">
            <w:pPr>
              <w:jc w:val="center"/>
              <w:rPr>
                <w:szCs w:val="23"/>
                <w:lang w:val="es-ES_tradnl"/>
              </w:rPr>
            </w:pPr>
            <w:r>
              <w:rPr>
                <w:szCs w:val="23"/>
                <w:lang w:val="es-ES_tradnl"/>
              </w:rPr>
              <w:t>Tipo de vivienda</w:t>
            </w:r>
          </w:p>
        </w:tc>
        <w:tc>
          <w:tcPr>
            <w:tcW w:w="1716" w:type="dxa"/>
            <w:vAlign w:val="center"/>
          </w:tcPr>
          <w:p w:rsidR="00000000" w:rsidRDefault="00000000">
            <w:pPr>
              <w:jc w:val="center"/>
              <w:rPr>
                <w:szCs w:val="23"/>
                <w:lang w:val="es-ES_tradnl"/>
              </w:rPr>
            </w:pPr>
            <w:r>
              <w:rPr>
                <w:szCs w:val="23"/>
                <w:lang w:val="es-ES_tradnl"/>
              </w:rPr>
              <w:t>Precio máximo</w:t>
            </w:r>
          </w:p>
        </w:tc>
        <w:tc>
          <w:tcPr>
            <w:tcW w:w="1794" w:type="dxa"/>
            <w:vAlign w:val="center"/>
          </w:tcPr>
          <w:p w:rsidR="00000000" w:rsidRDefault="00000000">
            <w:pPr>
              <w:jc w:val="center"/>
              <w:rPr>
                <w:szCs w:val="23"/>
                <w:lang w:val="es-ES_tradnl"/>
              </w:rPr>
            </w:pPr>
            <w:r>
              <w:rPr>
                <w:szCs w:val="23"/>
                <w:lang w:val="es-ES_tradnl"/>
              </w:rPr>
              <w:t>Cuota de entrada</w:t>
            </w:r>
          </w:p>
        </w:tc>
        <w:tc>
          <w:tcPr>
            <w:tcW w:w="2769" w:type="dxa"/>
            <w:vAlign w:val="center"/>
          </w:tcPr>
          <w:p w:rsidR="00000000" w:rsidRDefault="00000000">
            <w:pPr>
              <w:jc w:val="center"/>
              <w:rPr>
                <w:szCs w:val="23"/>
                <w:lang w:val="es-ES_tradnl"/>
              </w:rPr>
            </w:pPr>
            <w:r>
              <w:rPr>
                <w:szCs w:val="23"/>
                <w:lang w:val="es-ES_tradnl"/>
              </w:rPr>
              <w:t>Monto del bono</w:t>
            </w:r>
          </w:p>
        </w:tc>
        <w:tc>
          <w:tcPr>
            <w:tcW w:w="1391" w:type="dxa"/>
            <w:vAlign w:val="center"/>
          </w:tcPr>
          <w:p w:rsidR="00000000" w:rsidRDefault="00000000">
            <w:pPr>
              <w:jc w:val="center"/>
              <w:rPr>
                <w:szCs w:val="23"/>
                <w:lang w:val="es-ES_tradnl"/>
              </w:rPr>
            </w:pPr>
            <w:r>
              <w:rPr>
                <w:szCs w:val="23"/>
                <w:lang w:val="es-ES_tradnl"/>
              </w:rPr>
              <w:t>Crédito</w:t>
            </w:r>
            <w:r>
              <w:rPr>
                <w:b/>
                <w:bCs/>
                <w:szCs w:val="23"/>
                <w:vertAlign w:val="superscript"/>
                <w:lang w:val="es-ES_tradnl"/>
              </w:rPr>
              <w:t>*</w:t>
            </w: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1</w:t>
            </w:r>
          </w:p>
        </w:tc>
        <w:tc>
          <w:tcPr>
            <w:tcW w:w="1716" w:type="dxa"/>
          </w:tcPr>
          <w:p w:rsidR="00000000" w:rsidRDefault="00000000">
            <w:pPr>
              <w:jc w:val="right"/>
              <w:rPr>
                <w:szCs w:val="23"/>
                <w:lang w:val="es-ES_tradnl"/>
              </w:rPr>
            </w:pPr>
            <w:r>
              <w:rPr>
                <w:szCs w:val="23"/>
                <w:lang w:val="es-ES_tradnl"/>
              </w:rPr>
              <w:t>38.400.000</w:t>
            </w:r>
          </w:p>
        </w:tc>
        <w:tc>
          <w:tcPr>
            <w:tcW w:w="1794" w:type="dxa"/>
          </w:tcPr>
          <w:p w:rsidR="00000000" w:rsidRDefault="00000000">
            <w:pPr>
              <w:jc w:val="right"/>
              <w:rPr>
                <w:szCs w:val="23"/>
                <w:lang w:val="es-ES_tradnl"/>
              </w:rPr>
            </w:pPr>
            <w:r>
              <w:rPr>
                <w:szCs w:val="23"/>
                <w:lang w:val="es-ES_tradnl"/>
              </w:rPr>
              <w:t>3.840.000</w:t>
            </w:r>
          </w:p>
        </w:tc>
        <w:tc>
          <w:tcPr>
            <w:tcW w:w="2769" w:type="dxa"/>
          </w:tcPr>
          <w:p w:rsidR="00000000" w:rsidRDefault="00000000">
            <w:pPr>
              <w:jc w:val="right"/>
            </w:pPr>
            <w:r>
              <w:rPr>
                <w:szCs w:val="23"/>
                <w:lang w:val="es-ES_tradnl"/>
              </w:rPr>
              <w:t>60% precio de la vivienda</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2</w:t>
            </w:r>
          </w:p>
        </w:tc>
        <w:tc>
          <w:tcPr>
            <w:tcW w:w="1716" w:type="dxa"/>
          </w:tcPr>
          <w:p w:rsidR="00000000" w:rsidRDefault="00000000">
            <w:pPr>
              <w:jc w:val="right"/>
              <w:rPr>
                <w:szCs w:val="23"/>
                <w:lang w:val="es-ES_tradnl"/>
              </w:rPr>
            </w:pPr>
            <w:r>
              <w:rPr>
                <w:szCs w:val="23"/>
                <w:lang w:val="es-ES_tradnl"/>
              </w:rPr>
              <w:t>54.000.000</w:t>
            </w:r>
          </w:p>
        </w:tc>
        <w:tc>
          <w:tcPr>
            <w:tcW w:w="1794" w:type="dxa"/>
          </w:tcPr>
          <w:p w:rsidR="00000000" w:rsidRDefault="00000000">
            <w:pPr>
              <w:jc w:val="right"/>
              <w:rPr>
                <w:szCs w:val="23"/>
                <w:lang w:val="es-ES_tradnl"/>
              </w:rPr>
            </w:pPr>
            <w:r>
              <w:rPr>
                <w:szCs w:val="23"/>
                <w:lang w:val="es-ES_tradnl"/>
              </w:rPr>
              <w:t>5.400.000</w:t>
            </w:r>
          </w:p>
        </w:tc>
        <w:tc>
          <w:tcPr>
            <w:tcW w:w="2769" w:type="dxa"/>
          </w:tcPr>
          <w:p w:rsidR="00000000" w:rsidRDefault="00000000">
            <w:pPr>
              <w:jc w:val="right"/>
            </w:pPr>
            <w:r>
              <w:rPr>
                <w:szCs w:val="23"/>
                <w:lang w:val="es-ES_tradnl"/>
              </w:rPr>
              <w:t>50% precio de la vivienda</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3</w:t>
            </w:r>
          </w:p>
        </w:tc>
        <w:tc>
          <w:tcPr>
            <w:tcW w:w="1716" w:type="dxa"/>
          </w:tcPr>
          <w:p w:rsidR="00000000" w:rsidRDefault="00000000">
            <w:pPr>
              <w:jc w:val="right"/>
              <w:rPr>
                <w:szCs w:val="23"/>
                <w:lang w:val="es-ES_tradnl"/>
              </w:rPr>
            </w:pPr>
            <w:r>
              <w:rPr>
                <w:szCs w:val="23"/>
                <w:lang w:val="es-ES_tradnl"/>
              </w:rPr>
              <w:t>66.000.000</w:t>
            </w:r>
          </w:p>
        </w:tc>
        <w:tc>
          <w:tcPr>
            <w:tcW w:w="1794" w:type="dxa"/>
          </w:tcPr>
          <w:p w:rsidR="00000000" w:rsidRDefault="00000000">
            <w:pPr>
              <w:jc w:val="right"/>
              <w:rPr>
                <w:szCs w:val="23"/>
                <w:lang w:val="es-ES_tradnl"/>
              </w:rPr>
            </w:pPr>
            <w:r>
              <w:rPr>
                <w:szCs w:val="23"/>
                <w:lang w:val="es-ES_tradnl"/>
              </w:rPr>
              <w:t>6.600.000</w:t>
            </w:r>
          </w:p>
        </w:tc>
        <w:tc>
          <w:tcPr>
            <w:tcW w:w="2769" w:type="dxa"/>
          </w:tcPr>
          <w:p w:rsidR="00000000" w:rsidRDefault="00000000">
            <w:pPr>
              <w:jc w:val="right"/>
            </w:pPr>
            <w:r>
              <w:rPr>
                <w:szCs w:val="23"/>
                <w:lang w:val="es-ES_tradnl"/>
              </w:rPr>
              <w:t>40% precio de la vivienda</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4</w:t>
            </w:r>
          </w:p>
        </w:tc>
        <w:tc>
          <w:tcPr>
            <w:tcW w:w="1716" w:type="dxa"/>
          </w:tcPr>
          <w:p w:rsidR="00000000" w:rsidRDefault="00000000">
            <w:pPr>
              <w:jc w:val="right"/>
              <w:rPr>
                <w:szCs w:val="23"/>
                <w:lang w:val="es-ES_tradnl"/>
              </w:rPr>
            </w:pPr>
            <w:r>
              <w:rPr>
                <w:szCs w:val="23"/>
                <w:lang w:val="es-ES_tradnl"/>
              </w:rPr>
              <w:t>78.000.000</w:t>
            </w:r>
          </w:p>
        </w:tc>
        <w:tc>
          <w:tcPr>
            <w:tcW w:w="1794" w:type="dxa"/>
          </w:tcPr>
          <w:p w:rsidR="00000000" w:rsidRDefault="00000000">
            <w:pPr>
              <w:jc w:val="right"/>
              <w:rPr>
                <w:szCs w:val="23"/>
                <w:lang w:val="es-ES_tradnl"/>
              </w:rPr>
            </w:pPr>
            <w:r>
              <w:rPr>
                <w:szCs w:val="23"/>
                <w:lang w:val="es-ES_tradnl"/>
              </w:rPr>
              <w:t>11.700.000</w:t>
            </w:r>
          </w:p>
        </w:tc>
        <w:tc>
          <w:tcPr>
            <w:tcW w:w="2769" w:type="dxa"/>
          </w:tcPr>
          <w:p w:rsidR="00000000" w:rsidRDefault="00000000">
            <w:pPr>
              <w:jc w:val="right"/>
            </w:pPr>
            <w:r>
              <w:rPr>
                <w:szCs w:val="23"/>
                <w:lang w:val="es-ES_tradnl"/>
              </w:rPr>
              <w:t>30% precio de la vivienda</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5</w:t>
            </w:r>
          </w:p>
        </w:tc>
        <w:tc>
          <w:tcPr>
            <w:tcW w:w="1716" w:type="dxa"/>
          </w:tcPr>
          <w:p w:rsidR="00000000" w:rsidRDefault="00000000">
            <w:pPr>
              <w:jc w:val="right"/>
              <w:rPr>
                <w:szCs w:val="23"/>
                <w:lang w:val="es-ES_tradnl"/>
              </w:rPr>
            </w:pPr>
            <w:r>
              <w:rPr>
                <w:szCs w:val="23"/>
                <w:lang w:val="es-ES_tradnl"/>
              </w:rPr>
              <w:t>90.000.000</w:t>
            </w:r>
          </w:p>
        </w:tc>
        <w:tc>
          <w:tcPr>
            <w:tcW w:w="1794" w:type="dxa"/>
          </w:tcPr>
          <w:p w:rsidR="00000000" w:rsidRDefault="00000000">
            <w:pPr>
              <w:jc w:val="right"/>
              <w:rPr>
                <w:szCs w:val="23"/>
                <w:lang w:val="es-ES_tradnl"/>
              </w:rPr>
            </w:pPr>
            <w:r>
              <w:rPr>
                <w:szCs w:val="23"/>
                <w:lang w:val="es-ES_tradnl"/>
              </w:rPr>
              <w:t>13.500.000</w:t>
            </w:r>
          </w:p>
        </w:tc>
        <w:tc>
          <w:tcPr>
            <w:tcW w:w="2769" w:type="dxa"/>
          </w:tcPr>
          <w:p w:rsidR="00000000" w:rsidRDefault="00000000">
            <w:pPr>
              <w:jc w:val="right"/>
            </w:pPr>
            <w:r>
              <w:rPr>
                <w:szCs w:val="23"/>
                <w:lang w:val="es-ES_tradnl"/>
              </w:rPr>
              <w:t>20% precio de la vivienda</w:t>
            </w:r>
          </w:p>
        </w:tc>
        <w:tc>
          <w:tcPr>
            <w:tcW w:w="1391" w:type="dxa"/>
          </w:tcPr>
          <w:p w:rsidR="00000000" w:rsidRDefault="00000000">
            <w:pPr>
              <w:jc w:val="right"/>
              <w:rPr>
                <w:szCs w:val="23"/>
                <w:lang w:val="es-ES_tradnl"/>
              </w:rPr>
            </w:pPr>
          </w:p>
        </w:tc>
      </w:tr>
      <w:tr w:rsidR="00000000">
        <w:tblPrEx>
          <w:tblCellMar>
            <w:top w:w="0" w:type="dxa"/>
            <w:bottom w:w="0" w:type="dxa"/>
          </w:tblCellMar>
        </w:tblPrEx>
        <w:tc>
          <w:tcPr>
            <w:tcW w:w="1825" w:type="dxa"/>
          </w:tcPr>
          <w:p w:rsidR="00000000" w:rsidRDefault="00000000">
            <w:pPr>
              <w:jc w:val="center"/>
              <w:rPr>
                <w:szCs w:val="23"/>
                <w:lang w:val="es-ES_tradnl"/>
              </w:rPr>
            </w:pPr>
            <w:r>
              <w:rPr>
                <w:szCs w:val="23"/>
                <w:lang w:val="es-ES_tradnl"/>
              </w:rPr>
              <w:t>6</w:t>
            </w:r>
          </w:p>
        </w:tc>
        <w:tc>
          <w:tcPr>
            <w:tcW w:w="1716" w:type="dxa"/>
          </w:tcPr>
          <w:p w:rsidR="00000000" w:rsidRDefault="00000000">
            <w:pPr>
              <w:jc w:val="right"/>
              <w:rPr>
                <w:szCs w:val="23"/>
                <w:lang w:val="es-ES_tradnl"/>
              </w:rPr>
            </w:pPr>
            <w:r>
              <w:rPr>
                <w:szCs w:val="23"/>
                <w:lang w:val="es-ES_tradnl"/>
              </w:rPr>
              <w:t>102.000.000</w:t>
            </w:r>
          </w:p>
        </w:tc>
        <w:tc>
          <w:tcPr>
            <w:tcW w:w="1794" w:type="dxa"/>
          </w:tcPr>
          <w:p w:rsidR="00000000" w:rsidRDefault="00000000">
            <w:pPr>
              <w:jc w:val="right"/>
              <w:rPr>
                <w:szCs w:val="23"/>
                <w:lang w:val="es-ES_tradnl"/>
              </w:rPr>
            </w:pPr>
            <w:r>
              <w:rPr>
                <w:szCs w:val="23"/>
                <w:lang w:val="es-ES_tradnl"/>
              </w:rPr>
              <w:t>15.300.000</w:t>
            </w:r>
          </w:p>
        </w:tc>
        <w:tc>
          <w:tcPr>
            <w:tcW w:w="2769" w:type="dxa"/>
          </w:tcPr>
          <w:p w:rsidR="00000000" w:rsidRDefault="00000000">
            <w:pPr>
              <w:jc w:val="right"/>
            </w:pPr>
            <w:r>
              <w:rPr>
                <w:szCs w:val="23"/>
                <w:lang w:val="es-ES_tradnl"/>
              </w:rPr>
              <w:t>10% precio de la vivienda</w:t>
            </w:r>
          </w:p>
        </w:tc>
        <w:tc>
          <w:tcPr>
            <w:tcW w:w="1391" w:type="dxa"/>
          </w:tcPr>
          <w:p w:rsidR="00000000" w:rsidRDefault="00000000">
            <w:pPr>
              <w:jc w:val="right"/>
              <w:rPr>
                <w:szCs w:val="23"/>
                <w:lang w:val="es-ES_tradnl"/>
              </w:rPr>
            </w:pPr>
          </w:p>
        </w:tc>
      </w:tr>
    </w:tbl>
    <w:p w:rsidR="00000000" w:rsidRDefault="00000000">
      <w:pPr>
        <w:spacing w:before="240" w:after="240"/>
      </w:pPr>
      <w:r>
        <w:rPr>
          <w:i/>
          <w:iCs/>
          <w:szCs w:val="23"/>
          <w:lang w:val="es-ES_tradnl"/>
        </w:rPr>
        <w:t>Nota</w:t>
      </w:r>
      <w:r>
        <w:rPr>
          <w:szCs w:val="23"/>
          <w:lang w:val="es-ES_tradnl"/>
        </w:rPr>
        <w:t xml:space="preserve">:  Valores </w:t>
      </w:r>
      <w:proofErr w:type="spellStart"/>
      <w:r>
        <w:rPr>
          <w:szCs w:val="23"/>
          <w:lang w:val="es-ES_tradnl"/>
        </w:rPr>
        <w:t>reajustables</w:t>
      </w:r>
      <w:proofErr w:type="spellEnd"/>
      <w:r>
        <w:rPr>
          <w:szCs w:val="23"/>
          <w:lang w:val="es-ES_tradnl"/>
        </w:rPr>
        <w:t xml:space="preserve"> periódicamente.</w:t>
      </w:r>
    </w:p>
    <w:p w:rsidR="00000000" w:rsidRDefault="00000000">
      <w:pPr>
        <w:spacing w:after="480"/>
      </w:pPr>
      <w:r>
        <w:rPr>
          <w:b/>
          <w:bCs/>
          <w:szCs w:val="23"/>
          <w:vertAlign w:val="superscript"/>
          <w:lang w:val="es-ES_tradnl"/>
        </w:rPr>
        <w:t>*</w:t>
      </w:r>
      <w:r>
        <w:rPr>
          <w:szCs w:val="23"/>
          <w:lang w:val="es-ES_tradnl"/>
        </w:rPr>
        <w:t xml:space="preserve"> El crédito le sirve para completar el precio de la vivienda que desea comprar.</w:t>
      </w:r>
    </w:p>
    <w:p w:rsidR="00000000" w:rsidRDefault="00000000">
      <w:pPr>
        <w:spacing w:after="240"/>
      </w:pPr>
      <w:r>
        <w:rPr>
          <w:szCs w:val="25"/>
          <w:lang w:val="es-ES_tradnl"/>
        </w:rPr>
        <w:t>371.</w:t>
      </w:r>
      <w:r>
        <w:rPr>
          <w:szCs w:val="25"/>
          <w:lang w:val="es-ES_tradnl"/>
        </w:rPr>
        <w:tab/>
        <w:t>El "bono para mejoramiento de vivienda urbana" se entrega directamente a una familia para mejorar, terminar, ampliar o sustituir su casa; los requisitos son:</w:t>
      </w:r>
    </w:p>
    <w:p w:rsidR="00000000" w:rsidRDefault="00000000">
      <w:pPr>
        <w:spacing w:after="240"/>
        <w:ind w:left="1134" w:hanging="567"/>
        <w:rPr>
          <w:szCs w:val="25"/>
          <w:lang w:val="es-ES_tradnl"/>
        </w:rPr>
      </w:pPr>
      <w:r>
        <w:rPr>
          <w:szCs w:val="25"/>
          <w:lang w:val="es-ES_tradnl"/>
        </w:rPr>
        <w:t>a)</w:t>
      </w:r>
      <w:r>
        <w:rPr>
          <w:szCs w:val="25"/>
          <w:lang w:val="es-ES_tradnl"/>
        </w:rPr>
        <w:tab/>
        <w:t>Ser ciudadanos ecuatorianos mayores de edad;</w:t>
      </w:r>
    </w:p>
    <w:p w:rsidR="00000000" w:rsidRDefault="00000000">
      <w:pPr>
        <w:spacing w:after="240"/>
        <w:ind w:left="1134" w:hanging="567"/>
        <w:rPr>
          <w:szCs w:val="25"/>
          <w:lang w:val="es-ES_tradnl"/>
        </w:rPr>
      </w:pPr>
      <w:r>
        <w:rPr>
          <w:szCs w:val="25"/>
          <w:lang w:val="es-ES_tradnl"/>
        </w:rPr>
        <w:t>b)</w:t>
      </w:r>
      <w:r>
        <w:rPr>
          <w:szCs w:val="25"/>
          <w:lang w:val="es-ES_tradnl"/>
        </w:rPr>
        <w:tab/>
        <w:t>Ser propietarios del inmueble donde se realizará la mejora;</w:t>
      </w:r>
    </w:p>
    <w:p w:rsidR="00000000" w:rsidRDefault="00000000">
      <w:pPr>
        <w:spacing w:after="240"/>
        <w:ind w:left="1134" w:hanging="567"/>
        <w:rPr>
          <w:szCs w:val="25"/>
          <w:lang w:val="es-ES_tradnl"/>
        </w:rPr>
      </w:pPr>
      <w:r>
        <w:rPr>
          <w:szCs w:val="25"/>
          <w:lang w:val="es-ES_tradnl"/>
        </w:rPr>
        <w:t>c)</w:t>
      </w:r>
      <w:r>
        <w:rPr>
          <w:szCs w:val="25"/>
          <w:lang w:val="es-ES_tradnl"/>
        </w:rPr>
        <w:tab/>
        <w:t>Que los ingresos familiares no superen los 3,3 millones de sucres mensuales;</w:t>
      </w:r>
    </w:p>
    <w:p w:rsidR="00000000" w:rsidRDefault="00000000">
      <w:pPr>
        <w:spacing w:after="240"/>
        <w:ind w:left="1134" w:hanging="567"/>
      </w:pPr>
      <w:r>
        <w:rPr>
          <w:szCs w:val="25"/>
          <w:lang w:val="es-ES_tradnl"/>
        </w:rPr>
        <w:t>d)</w:t>
      </w:r>
      <w:r>
        <w:rPr>
          <w:szCs w:val="25"/>
          <w:lang w:val="es-ES_tradnl"/>
        </w:rPr>
        <w:tab/>
        <w:t>Que su vivienda esté ubicada dentro del área urbana;</w:t>
      </w:r>
    </w:p>
    <w:p w:rsidR="00000000" w:rsidRDefault="00000000">
      <w:pPr>
        <w:spacing w:after="240"/>
        <w:ind w:left="1134" w:hanging="567"/>
      </w:pPr>
      <w:r>
        <w:rPr>
          <w:szCs w:val="25"/>
        </w:rPr>
        <w:t>e</w:t>
      </w:r>
      <w:r>
        <w:rPr>
          <w:szCs w:val="25"/>
          <w:lang w:val="es-ES_tradnl"/>
        </w:rPr>
        <w:t>)</w:t>
      </w:r>
      <w:r>
        <w:rPr>
          <w:szCs w:val="25"/>
          <w:lang w:val="es-ES_tradnl"/>
        </w:rPr>
        <w:tab/>
        <w:t>Que la vivienda a ser intervenida, incluido el terreno, no valga más de 60 millones de sucres.</w:t>
      </w:r>
    </w:p>
    <w:p w:rsidR="00000000" w:rsidRDefault="00000000">
      <w:pPr>
        <w:spacing w:after="240"/>
      </w:pPr>
      <w:r>
        <w:rPr>
          <w:szCs w:val="25"/>
          <w:lang w:val="es-ES_tradnl"/>
        </w:rPr>
        <w:t>372.</w:t>
      </w:r>
      <w:r>
        <w:rPr>
          <w:szCs w:val="25"/>
          <w:lang w:val="es-ES_tradnl"/>
        </w:rPr>
        <w:tab/>
        <w:t>El Plan ABC de la vivienda en el sector rural y urbano marginal consiste en:</w:t>
      </w:r>
    </w:p>
    <w:p w:rsidR="00000000" w:rsidRDefault="00000000">
      <w:pPr>
        <w:spacing w:after="240"/>
        <w:ind w:left="924" w:hanging="357"/>
      </w:pPr>
      <w:r>
        <w:rPr>
          <w:szCs w:val="25"/>
          <w:lang w:val="es-ES_tradnl"/>
        </w:rPr>
        <w:t>-</w:t>
      </w:r>
      <w:r>
        <w:rPr>
          <w:szCs w:val="25"/>
          <w:lang w:val="es-ES_tradnl"/>
        </w:rPr>
        <w:tab/>
        <w:t>A:  de ahorro, autogestión y autoconstrucción;</w:t>
      </w:r>
    </w:p>
    <w:p w:rsidR="00000000" w:rsidRDefault="00000000">
      <w:pPr>
        <w:spacing w:after="240"/>
        <w:ind w:left="924" w:hanging="357"/>
      </w:pPr>
      <w:r>
        <w:rPr>
          <w:szCs w:val="25"/>
          <w:lang w:val="es-ES_tradnl"/>
        </w:rPr>
        <w:t>-</w:t>
      </w:r>
      <w:r>
        <w:rPr>
          <w:szCs w:val="25"/>
          <w:lang w:val="es-ES_tradnl"/>
        </w:rPr>
        <w:tab/>
        <w:t>B:  de bono que otorga el Gobierno nacional para construir o mejorar la casa;</w:t>
      </w:r>
    </w:p>
    <w:p w:rsidR="00000000" w:rsidRDefault="00000000">
      <w:pPr>
        <w:ind w:left="924" w:hanging="357"/>
        <w:rPr>
          <w:szCs w:val="25"/>
          <w:lang w:val="es-ES_tradnl"/>
        </w:rPr>
      </w:pPr>
      <w:r>
        <w:rPr>
          <w:szCs w:val="25"/>
          <w:lang w:val="es-ES_tradnl"/>
        </w:rPr>
        <w:t>-</w:t>
      </w:r>
      <w:r>
        <w:rPr>
          <w:szCs w:val="25"/>
          <w:lang w:val="es-ES_tradnl"/>
        </w:rPr>
        <w:tab/>
        <w:t>C:  de la comunidad, su apoyo es fundamental igual que el de las ONG y gobiernos</w:t>
      </w:r>
    </w:p>
    <w:p w:rsidR="00000000" w:rsidRDefault="00000000">
      <w:pPr>
        <w:tabs>
          <w:tab w:val="left" w:pos="1260"/>
        </w:tabs>
        <w:spacing w:after="240"/>
        <w:ind w:left="924" w:hanging="357"/>
      </w:pPr>
      <w:r>
        <w:rPr>
          <w:szCs w:val="25"/>
          <w:lang w:val="es-ES_tradnl"/>
        </w:rPr>
        <w:tab/>
      </w:r>
      <w:r>
        <w:rPr>
          <w:szCs w:val="25"/>
          <w:lang w:val="es-ES_tradnl"/>
        </w:rPr>
        <w:tab/>
        <w:t>seccionales.</w:t>
      </w:r>
    </w:p>
    <w:p w:rsidR="00000000" w:rsidRDefault="00000000">
      <w:pPr>
        <w:spacing w:after="240"/>
      </w:pPr>
      <w:r>
        <w:rPr>
          <w:szCs w:val="25"/>
          <w:lang w:val="es-ES_tradnl"/>
        </w:rPr>
        <w:t>373.</w:t>
      </w:r>
      <w:r>
        <w:rPr>
          <w:szCs w:val="25"/>
          <w:lang w:val="es-ES_tradnl"/>
        </w:rPr>
        <w:tab/>
        <w:t>Participan las familias de sectores rurales y urbanos marginales que no posean vivienda, ONG y organismos seccionales, que apoyan el mejoramiento de las viviendas de la comunidad y sectores relacionados con la fabricación de elementos constructivos, como las microempresas.</w:t>
      </w:r>
    </w:p>
    <w:p w:rsidR="00000000" w:rsidRDefault="00000000">
      <w:pPr>
        <w:spacing w:after="240"/>
      </w:pPr>
      <w:r>
        <w:rPr>
          <w:szCs w:val="25"/>
          <w:lang w:val="es-ES_tradnl"/>
        </w:rPr>
        <w:t>374.</w:t>
      </w:r>
      <w:r>
        <w:rPr>
          <w:szCs w:val="25"/>
          <w:lang w:val="es-ES_tradnl"/>
        </w:rPr>
        <w:tab/>
        <w:t>Los postulantes con el técnico del MIDUVI diseñan la casa con materiales locales y tecnología tradicional que respondan a su hábitat y cultura.  El MIDUVI entrega un bono de hasta 5 millones de sucres para materiales y los beneficiarios realizan la construcción de sus casas con asistencia técnica del MIDUVI.</w:t>
      </w:r>
    </w:p>
    <w:p w:rsidR="00000000" w:rsidRDefault="00000000">
      <w:pPr>
        <w:spacing w:after="240"/>
        <w:rPr>
          <w:lang w:val="es-ES_tradnl"/>
        </w:rPr>
      </w:pPr>
      <w:r>
        <w:rPr>
          <w:szCs w:val="25"/>
        </w:rPr>
        <w:t>375.</w:t>
      </w:r>
      <w:r>
        <w:rPr>
          <w:szCs w:val="25"/>
        </w:rPr>
        <w:tab/>
      </w:r>
      <w:r>
        <w:rPr>
          <w:szCs w:val="25"/>
          <w:lang w:val="es-ES_tradnl"/>
        </w:rPr>
        <w:t xml:space="preserve">En el Gobierno del Sr. </w:t>
      </w:r>
      <w:proofErr w:type="spellStart"/>
      <w:r>
        <w:rPr>
          <w:szCs w:val="25"/>
          <w:lang w:val="es-ES_tradnl"/>
        </w:rPr>
        <w:t>Jamil</w:t>
      </w:r>
      <w:proofErr w:type="spellEnd"/>
      <w:r>
        <w:rPr>
          <w:szCs w:val="25"/>
          <w:lang w:val="es-ES_tradnl"/>
        </w:rPr>
        <w:t xml:space="preserve"> </w:t>
      </w:r>
      <w:proofErr w:type="spellStart"/>
      <w:r>
        <w:rPr>
          <w:szCs w:val="25"/>
          <w:lang w:val="es-ES_tradnl"/>
        </w:rPr>
        <w:t>Mahuad</w:t>
      </w:r>
      <w:proofErr w:type="spellEnd"/>
      <w:r>
        <w:rPr>
          <w:szCs w:val="25"/>
          <w:lang w:val="es-ES_tradnl"/>
        </w:rPr>
        <w:t>, en 200 se ejecutaron 56.857 proyectos habitacionales entre los que constan la construcción de viviendas nuevas y la adecuación de viviendas existentes y mejoras.</w:t>
      </w:r>
    </w:p>
    <w:p w:rsidR="00000000" w:rsidRDefault="00000000">
      <w:pPr>
        <w:spacing w:after="240"/>
        <w:jc w:val="center"/>
        <w:rPr>
          <w:b/>
          <w:bCs/>
        </w:rPr>
      </w:pPr>
      <w:r>
        <w:rPr>
          <w:b/>
          <w:bCs/>
          <w:lang w:val="es-ES_tradnl"/>
        </w:rPr>
        <w:t>Vivienda, agosto de 1998 a diciembre de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2"/>
        <w:gridCol w:w="1053"/>
        <w:gridCol w:w="1833"/>
        <w:gridCol w:w="1794"/>
        <w:gridCol w:w="975"/>
        <w:gridCol w:w="1508"/>
      </w:tblGrid>
      <w:tr w:rsidR="00000000">
        <w:tblPrEx>
          <w:tblCellMar>
            <w:top w:w="0" w:type="dxa"/>
            <w:bottom w:w="0" w:type="dxa"/>
          </w:tblCellMar>
        </w:tblPrEx>
        <w:tc>
          <w:tcPr>
            <w:tcW w:w="2332" w:type="dxa"/>
            <w:vAlign w:val="center"/>
          </w:tcPr>
          <w:p w:rsidR="00000000" w:rsidRDefault="00000000">
            <w:pPr>
              <w:jc w:val="center"/>
              <w:rPr>
                <w:szCs w:val="22"/>
                <w:lang w:val="es-ES_tradnl"/>
              </w:rPr>
            </w:pPr>
            <w:r>
              <w:rPr>
                <w:szCs w:val="22"/>
                <w:lang w:val="es-ES_tradnl"/>
              </w:rPr>
              <w:t>Regiones</w:t>
            </w:r>
          </w:p>
        </w:tc>
        <w:tc>
          <w:tcPr>
            <w:tcW w:w="1053" w:type="dxa"/>
            <w:vAlign w:val="center"/>
          </w:tcPr>
          <w:p w:rsidR="00000000" w:rsidRDefault="00000000">
            <w:pPr>
              <w:jc w:val="center"/>
              <w:rPr>
                <w:szCs w:val="22"/>
                <w:lang w:val="es-ES_tradnl"/>
              </w:rPr>
            </w:pPr>
            <w:r>
              <w:rPr>
                <w:szCs w:val="22"/>
                <w:lang w:val="es-ES_tradnl"/>
              </w:rPr>
              <w:t>Rural</w:t>
            </w:r>
          </w:p>
        </w:tc>
        <w:tc>
          <w:tcPr>
            <w:tcW w:w="1833" w:type="dxa"/>
            <w:vAlign w:val="center"/>
          </w:tcPr>
          <w:p w:rsidR="00000000" w:rsidRDefault="00000000">
            <w:pPr>
              <w:jc w:val="center"/>
              <w:rPr>
                <w:szCs w:val="22"/>
                <w:lang w:val="es-ES_tradnl"/>
              </w:rPr>
            </w:pPr>
            <w:r>
              <w:rPr>
                <w:szCs w:val="22"/>
                <w:lang w:val="es-ES_tradnl"/>
              </w:rPr>
              <w:t xml:space="preserve">Urb. marginal (Nueva </w:t>
            </w:r>
            <w:proofErr w:type="spellStart"/>
            <w:r>
              <w:rPr>
                <w:szCs w:val="22"/>
                <w:lang w:val="es-ES_tradnl"/>
              </w:rPr>
              <w:t>mejoram</w:t>
            </w:r>
            <w:proofErr w:type="spellEnd"/>
            <w:r>
              <w:rPr>
                <w:szCs w:val="22"/>
                <w:lang w:val="es-ES_tradnl"/>
              </w:rPr>
              <w:t xml:space="preserve">. </w:t>
            </w:r>
            <w:proofErr w:type="spellStart"/>
            <w:r>
              <w:rPr>
                <w:szCs w:val="22"/>
                <w:lang w:val="es-ES_tradnl"/>
              </w:rPr>
              <w:t>fem.</w:t>
            </w:r>
            <w:proofErr w:type="spellEnd"/>
            <w:r>
              <w:rPr>
                <w:szCs w:val="22"/>
                <w:lang w:val="es-ES_tradnl"/>
              </w:rPr>
              <w:t xml:space="preserve"> del niño)</w:t>
            </w:r>
          </w:p>
        </w:tc>
        <w:tc>
          <w:tcPr>
            <w:tcW w:w="1794" w:type="dxa"/>
            <w:vAlign w:val="center"/>
          </w:tcPr>
          <w:p w:rsidR="00000000" w:rsidRDefault="00000000">
            <w:pPr>
              <w:jc w:val="center"/>
              <w:rPr>
                <w:szCs w:val="22"/>
                <w:lang w:val="es-ES_tradnl"/>
              </w:rPr>
            </w:pPr>
            <w:proofErr w:type="spellStart"/>
            <w:r>
              <w:rPr>
                <w:szCs w:val="22"/>
                <w:lang w:val="es-ES_tradnl"/>
              </w:rPr>
              <w:t>SIV</w:t>
            </w:r>
            <w:proofErr w:type="spellEnd"/>
            <w:r>
              <w:rPr>
                <w:szCs w:val="22"/>
                <w:lang w:val="es-ES_tradnl"/>
              </w:rPr>
              <w:t xml:space="preserve"> - Bonos (Nueva vivienda centro histórico)</w:t>
            </w:r>
          </w:p>
        </w:tc>
        <w:tc>
          <w:tcPr>
            <w:tcW w:w="975" w:type="dxa"/>
            <w:vAlign w:val="center"/>
          </w:tcPr>
          <w:p w:rsidR="00000000" w:rsidRDefault="00000000">
            <w:pPr>
              <w:jc w:val="center"/>
              <w:rPr>
                <w:szCs w:val="22"/>
                <w:lang w:val="es-ES_tradnl"/>
              </w:rPr>
            </w:pPr>
            <w:r>
              <w:rPr>
                <w:szCs w:val="22"/>
                <w:lang w:val="es-ES_tradnl"/>
              </w:rPr>
              <w:t>BEV</w:t>
            </w:r>
          </w:p>
        </w:tc>
        <w:tc>
          <w:tcPr>
            <w:tcW w:w="1508" w:type="dxa"/>
            <w:vAlign w:val="center"/>
          </w:tcPr>
          <w:p w:rsidR="00000000" w:rsidRDefault="00000000">
            <w:pPr>
              <w:jc w:val="center"/>
              <w:rPr>
                <w:szCs w:val="22"/>
                <w:lang w:val="es-ES_tradnl"/>
              </w:rPr>
            </w:pPr>
            <w:r>
              <w:rPr>
                <w:szCs w:val="22"/>
                <w:lang w:val="es-ES_tradnl"/>
              </w:rPr>
              <w:t>Vivienda total</w:t>
            </w:r>
          </w:p>
        </w:tc>
      </w:tr>
      <w:tr w:rsidR="00000000">
        <w:tblPrEx>
          <w:tblCellMar>
            <w:top w:w="0" w:type="dxa"/>
            <w:bottom w:w="0" w:type="dxa"/>
          </w:tblCellMar>
        </w:tblPrEx>
        <w:tc>
          <w:tcPr>
            <w:tcW w:w="2332" w:type="dxa"/>
          </w:tcPr>
          <w:p w:rsidR="00000000" w:rsidRDefault="00000000">
            <w:pPr>
              <w:rPr>
                <w:szCs w:val="22"/>
                <w:lang w:val="es-ES_tradnl"/>
              </w:rPr>
            </w:pPr>
            <w:r>
              <w:rPr>
                <w:szCs w:val="22"/>
                <w:lang w:val="es-ES_tradnl"/>
              </w:rPr>
              <w:t>Región Costa</w:t>
            </w:r>
          </w:p>
        </w:tc>
        <w:tc>
          <w:tcPr>
            <w:tcW w:w="1053" w:type="dxa"/>
          </w:tcPr>
          <w:p w:rsidR="00000000" w:rsidRDefault="00000000">
            <w:pPr>
              <w:jc w:val="right"/>
              <w:rPr>
                <w:szCs w:val="22"/>
                <w:lang w:val="es-ES_tradnl"/>
              </w:rPr>
            </w:pPr>
            <w:r>
              <w:rPr>
                <w:szCs w:val="22"/>
                <w:lang w:val="es-ES_tradnl"/>
              </w:rPr>
              <w:t>1.670</w:t>
            </w:r>
          </w:p>
        </w:tc>
        <w:tc>
          <w:tcPr>
            <w:tcW w:w="1833" w:type="dxa"/>
          </w:tcPr>
          <w:p w:rsidR="00000000" w:rsidRDefault="00000000">
            <w:pPr>
              <w:jc w:val="right"/>
              <w:rPr>
                <w:szCs w:val="22"/>
                <w:lang w:val="es-ES_tradnl"/>
              </w:rPr>
            </w:pPr>
            <w:r>
              <w:rPr>
                <w:szCs w:val="22"/>
                <w:lang w:val="es-ES_tradnl"/>
              </w:rPr>
              <w:t>6.318</w:t>
            </w:r>
          </w:p>
        </w:tc>
        <w:tc>
          <w:tcPr>
            <w:tcW w:w="1794" w:type="dxa"/>
          </w:tcPr>
          <w:p w:rsidR="00000000" w:rsidRDefault="00000000">
            <w:pPr>
              <w:jc w:val="right"/>
              <w:rPr>
                <w:szCs w:val="22"/>
                <w:lang w:val="es-ES_tradnl"/>
              </w:rPr>
            </w:pPr>
            <w:r>
              <w:rPr>
                <w:szCs w:val="22"/>
                <w:lang w:val="es-ES_tradnl"/>
              </w:rPr>
              <w:t>330</w:t>
            </w:r>
          </w:p>
        </w:tc>
        <w:tc>
          <w:tcPr>
            <w:tcW w:w="975" w:type="dxa"/>
          </w:tcPr>
          <w:p w:rsidR="00000000" w:rsidRDefault="00000000">
            <w:pPr>
              <w:jc w:val="right"/>
              <w:rPr>
                <w:szCs w:val="22"/>
                <w:lang w:val="es-ES_tradnl"/>
              </w:rPr>
            </w:pPr>
            <w:r>
              <w:rPr>
                <w:szCs w:val="22"/>
                <w:lang w:val="es-ES_tradnl"/>
              </w:rPr>
              <w:t>132</w:t>
            </w:r>
          </w:p>
        </w:tc>
        <w:tc>
          <w:tcPr>
            <w:tcW w:w="1508" w:type="dxa"/>
          </w:tcPr>
          <w:p w:rsidR="00000000" w:rsidRDefault="00000000">
            <w:pPr>
              <w:jc w:val="right"/>
            </w:pPr>
            <w:r>
              <w:rPr>
                <w:szCs w:val="22"/>
                <w:lang w:val="es-ES_tradnl"/>
              </w:rPr>
              <w:t>8.450</w:t>
            </w:r>
          </w:p>
        </w:tc>
      </w:tr>
      <w:tr w:rsidR="00000000">
        <w:tblPrEx>
          <w:tblCellMar>
            <w:top w:w="0" w:type="dxa"/>
            <w:bottom w:w="0" w:type="dxa"/>
          </w:tblCellMar>
        </w:tblPrEx>
        <w:tc>
          <w:tcPr>
            <w:tcW w:w="2332" w:type="dxa"/>
          </w:tcPr>
          <w:p w:rsidR="00000000" w:rsidRDefault="00000000">
            <w:pPr>
              <w:rPr>
                <w:szCs w:val="22"/>
                <w:lang w:val="es-ES_tradnl"/>
              </w:rPr>
            </w:pPr>
            <w:r>
              <w:rPr>
                <w:szCs w:val="22"/>
                <w:lang w:val="es-ES_tradnl"/>
              </w:rPr>
              <w:t>Región Oriente</w:t>
            </w:r>
          </w:p>
        </w:tc>
        <w:tc>
          <w:tcPr>
            <w:tcW w:w="1053" w:type="dxa"/>
          </w:tcPr>
          <w:p w:rsidR="00000000" w:rsidRDefault="00000000">
            <w:pPr>
              <w:jc w:val="right"/>
              <w:rPr>
                <w:szCs w:val="22"/>
                <w:lang w:val="es-ES_tradnl"/>
              </w:rPr>
            </w:pPr>
            <w:r>
              <w:rPr>
                <w:szCs w:val="22"/>
                <w:lang w:val="es-ES_tradnl"/>
              </w:rPr>
              <w:t>681</w:t>
            </w:r>
          </w:p>
        </w:tc>
        <w:tc>
          <w:tcPr>
            <w:tcW w:w="1833" w:type="dxa"/>
          </w:tcPr>
          <w:p w:rsidR="00000000" w:rsidRDefault="00000000">
            <w:pPr>
              <w:jc w:val="right"/>
              <w:rPr>
                <w:szCs w:val="22"/>
                <w:lang w:val="es-ES_tradnl"/>
              </w:rPr>
            </w:pPr>
            <w:r>
              <w:rPr>
                <w:szCs w:val="22"/>
                <w:lang w:val="es-ES_tradnl"/>
              </w:rPr>
              <w:t>85</w:t>
            </w:r>
          </w:p>
        </w:tc>
        <w:tc>
          <w:tcPr>
            <w:tcW w:w="1794" w:type="dxa"/>
          </w:tcPr>
          <w:p w:rsidR="00000000" w:rsidRDefault="00000000">
            <w:pPr>
              <w:jc w:val="right"/>
              <w:rPr>
                <w:szCs w:val="22"/>
                <w:lang w:val="es-ES_tradnl"/>
              </w:rPr>
            </w:pPr>
            <w:r>
              <w:rPr>
                <w:szCs w:val="22"/>
                <w:lang w:val="es-ES_tradnl"/>
              </w:rPr>
              <w:t>8</w:t>
            </w:r>
          </w:p>
        </w:tc>
        <w:tc>
          <w:tcPr>
            <w:tcW w:w="975" w:type="dxa"/>
          </w:tcPr>
          <w:p w:rsidR="00000000" w:rsidRDefault="00000000">
            <w:pPr>
              <w:jc w:val="right"/>
              <w:rPr>
                <w:szCs w:val="22"/>
                <w:lang w:val="es-ES_tradnl"/>
              </w:rPr>
            </w:pPr>
            <w:r>
              <w:rPr>
                <w:szCs w:val="22"/>
                <w:lang w:val="es-ES_tradnl"/>
              </w:rPr>
              <w:t>38</w:t>
            </w:r>
          </w:p>
        </w:tc>
        <w:tc>
          <w:tcPr>
            <w:tcW w:w="1508" w:type="dxa"/>
          </w:tcPr>
          <w:p w:rsidR="00000000" w:rsidRDefault="00000000">
            <w:pPr>
              <w:jc w:val="right"/>
            </w:pPr>
            <w:r>
              <w:rPr>
                <w:szCs w:val="22"/>
                <w:lang w:val="es-ES_tradnl"/>
              </w:rPr>
              <w:t>812</w:t>
            </w:r>
          </w:p>
        </w:tc>
      </w:tr>
      <w:tr w:rsidR="00000000">
        <w:tblPrEx>
          <w:tblCellMar>
            <w:top w:w="0" w:type="dxa"/>
            <w:bottom w:w="0" w:type="dxa"/>
          </w:tblCellMar>
        </w:tblPrEx>
        <w:tc>
          <w:tcPr>
            <w:tcW w:w="2332" w:type="dxa"/>
          </w:tcPr>
          <w:p w:rsidR="00000000" w:rsidRDefault="00000000">
            <w:pPr>
              <w:rPr>
                <w:szCs w:val="22"/>
                <w:lang w:val="es-ES_tradnl"/>
              </w:rPr>
            </w:pPr>
            <w:r>
              <w:rPr>
                <w:szCs w:val="22"/>
                <w:lang w:val="es-ES_tradnl"/>
              </w:rPr>
              <w:t>Región Sierra</w:t>
            </w:r>
          </w:p>
        </w:tc>
        <w:tc>
          <w:tcPr>
            <w:tcW w:w="1053" w:type="dxa"/>
          </w:tcPr>
          <w:p w:rsidR="00000000" w:rsidRDefault="00000000">
            <w:pPr>
              <w:jc w:val="right"/>
              <w:rPr>
                <w:szCs w:val="22"/>
                <w:lang w:val="es-ES_tradnl"/>
              </w:rPr>
            </w:pPr>
            <w:r>
              <w:rPr>
                <w:szCs w:val="22"/>
                <w:lang w:val="es-ES_tradnl"/>
              </w:rPr>
              <w:t>4.289</w:t>
            </w:r>
          </w:p>
        </w:tc>
        <w:tc>
          <w:tcPr>
            <w:tcW w:w="1833" w:type="dxa"/>
          </w:tcPr>
          <w:p w:rsidR="00000000" w:rsidRDefault="00000000">
            <w:pPr>
              <w:jc w:val="right"/>
              <w:rPr>
                <w:szCs w:val="22"/>
                <w:lang w:val="es-ES_tradnl"/>
              </w:rPr>
            </w:pPr>
            <w:r>
              <w:rPr>
                <w:szCs w:val="22"/>
                <w:lang w:val="es-ES_tradnl"/>
              </w:rPr>
              <w:t>1.496</w:t>
            </w:r>
          </w:p>
        </w:tc>
        <w:tc>
          <w:tcPr>
            <w:tcW w:w="1794" w:type="dxa"/>
          </w:tcPr>
          <w:p w:rsidR="00000000" w:rsidRDefault="00000000">
            <w:pPr>
              <w:jc w:val="right"/>
              <w:rPr>
                <w:szCs w:val="22"/>
                <w:lang w:val="es-ES_tradnl"/>
              </w:rPr>
            </w:pPr>
            <w:r>
              <w:rPr>
                <w:szCs w:val="22"/>
                <w:lang w:val="es-ES_tradnl"/>
              </w:rPr>
              <w:t>3.261</w:t>
            </w:r>
          </w:p>
        </w:tc>
        <w:tc>
          <w:tcPr>
            <w:tcW w:w="975" w:type="dxa"/>
          </w:tcPr>
          <w:p w:rsidR="00000000" w:rsidRDefault="00000000">
            <w:pPr>
              <w:jc w:val="right"/>
              <w:rPr>
                <w:szCs w:val="22"/>
                <w:lang w:val="es-ES_tradnl"/>
              </w:rPr>
            </w:pPr>
            <w:r>
              <w:rPr>
                <w:szCs w:val="22"/>
                <w:lang w:val="es-ES_tradnl"/>
              </w:rPr>
              <w:t>862</w:t>
            </w:r>
          </w:p>
        </w:tc>
        <w:tc>
          <w:tcPr>
            <w:tcW w:w="1508" w:type="dxa"/>
          </w:tcPr>
          <w:p w:rsidR="00000000" w:rsidRDefault="00000000">
            <w:pPr>
              <w:jc w:val="right"/>
            </w:pPr>
            <w:r>
              <w:rPr>
                <w:szCs w:val="22"/>
                <w:lang w:val="es-ES_tradnl"/>
              </w:rPr>
              <w:t>9.908</w:t>
            </w:r>
          </w:p>
        </w:tc>
      </w:tr>
      <w:tr w:rsidR="00000000">
        <w:tblPrEx>
          <w:tblCellMar>
            <w:top w:w="0" w:type="dxa"/>
            <w:bottom w:w="0" w:type="dxa"/>
          </w:tblCellMar>
        </w:tblPrEx>
        <w:tc>
          <w:tcPr>
            <w:tcW w:w="2332" w:type="dxa"/>
          </w:tcPr>
          <w:p w:rsidR="00000000" w:rsidRDefault="00000000">
            <w:pPr>
              <w:tabs>
                <w:tab w:val="left" w:pos="273"/>
              </w:tabs>
              <w:rPr>
                <w:lang w:val="es-ES_tradnl"/>
              </w:rPr>
            </w:pPr>
            <w:r>
              <w:rPr>
                <w:lang w:val="es-ES_tradnl"/>
              </w:rPr>
              <w:tab/>
              <w:t>Total nacional</w:t>
            </w:r>
          </w:p>
        </w:tc>
        <w:tc>
          <w:tcPr>
            <w:tcW w:w="1053" w:type="dxa"/>
          </w:tcPr>
          <w:p w:rsidR="00000000" w:rsidRDefault="00000000">
            <w:pPr>
              <w:jc w:val="right"/>
              <w:rPr>
                <w:lang w:val="es-ES_tradnl"/>
              </w:rPr>
            </w:pPr>
            <w:r>
              <w:rPr>
                <w:lang w:val="es-ES_tradnl"/>
              </w:rPr>
              <w:t>6.640</w:t>
            </w:r>
          </w:p>
        </w:tc>
        <w:tc>
          <w:tcPr>
            <w:tcW w:w="1833" w:type="dxa"/>
          </w:tcPr>
          <w:p w:rsidR="00000000" w:rsidRDefault="00000000">
            <w:pPr>
              <w:jc w:val="right"/>
              <w:rPr>
                <w:lang w:val="es-ES_tradnl"/>
              </w:rPr>
            </w:pPr>
            <w:r>
              <w:rPr>
                <w:lang w:val="es-ES_tradnl"/>
              </w:rPr>
              <w:t>7.899</w:t>
            </w:r>
          </w:p>
        </w:tc>
        <w:tc>
          <w:tcPr>
            <w:tcW w:w="1794" w:type="dxa"/>
          </w:tcPr>
          <w:p w:rsidR="00000000" w:rsidRDefault="00000000">
            <w:pPr>
              <w:jc w:val="right"/>
              <w:rPr>
                <w:lang w:val="es-ES_tradnl"/>
              </w:rPr>
            </w:pPr>
            <w:r>
              <w:rPr>
                <w:lang w:val="es-ES_tradnl"/>
              </w:rPr>
              <w:t>3.599</w:t>
            </w:r>
          </w:p>
        </w:tc>
        <w:tc>
          <w:tcPr>
            <w:tcW w:w="975" w:type="dxa"/>
          </w:tcPr>
          <w:p w:rsidR="00000000" w:rsidRDefault="00000000">
            <w:pPr>
              <w:jc w:val="right"/>
              <w:rPr>
                <w:lang w:val="es-ES_tradnl"/>
              </w:rPr>
            </w:pPr>
            <w:r>
              <w:rPr>
                <w:lang w:val="es-ES_tradnl"/>
              </w:rPr>
              <w:t>1.032</w:t>
            </w:r>
          </w:p>
        </w:tc>
        <w:tc>
          <w:tcPr>
            <w:tcW w:w="1508" w:type="dxa"/>
          </w:tcPr>
          <w:p w:rsidR="00000000" w:rsidRDefault="00000000">
            <w:pPr>
              <w:jc w:val="right"/>
            </w:pPr>
            <w:r>
              <w:rPr>
                <w:lang w:val="es-ES_tradnl"/>
              </w:rPr>
              <w:t>19.170</w:t>
            </w:r>
          </w:p>
        </w:tc>
      </w:tr>
    </w:tbl>
    <w:p w:rsidR="00000000" w:rsidRDefault="00000000">
      <w:pPr>
        <w:keepNext/>
        <w:keepLines/>
        <w:spacing w:before="480" w:after="240"/>
        <w:jc w:val="center"/>
      </w:pPr>
      <w:r>
        <w:rPr>
          <w:b/>
          <w:bCs/>
          <w:lang w:val="es-ES_tradnl"/>
        </w:rPr>
        <w:t>Vivienda, enero de 1999 a diciembre de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1209"/>
        <w:gridCol w:w="1833"/>
        <w:gridCol w:w="1326"/>
        <w:gridCol w:w="741"/>
        <w:gridCol w:w="1508"/>
      </w:tblGrid>
      <w:tr w:rsidR="00000000">
        <w:tblPrEx>
          <w:tblCellMar>
            <w:top w:w="0" w:type="dxa"/>
            <w:bottom w:w="0" w:type="dxa"/>
          </w:tblCellMar>
        </w:tblPrEx>
        <w:tc>
          <w:tcPr>
            <w:tcW w:w="2878" w:type="dxa"/>
            <w:vAlign w:val="center"/>
          </w:tcPr>
          <w:p w:rsidR="00000000" w:rsidRDefault="00000000">
            <w:pPr>
              <w:keepNext/>
              <w:keepLines/>
              <w:jc w:val="center"/>
              <w:rPr>
                <w:szCs w:val="22"/>
                <w:lang w:val="es-ES_tradnl"/>
              </w:rPr>
            </w:pPr>
            <w:r>
              <w:rPr>
                <w:szCs w:val="22"/>
                <w:lang w:val="es-ES_tradnl"/>
              </w:rPr>
              <w:t>Regiones</w:t>
            </w:r>
          </w:p>
        </w:tc>
        <w:tc>
          <w:tcPr>
            <w:tcW w:w="1209" w:type="dxa"/>
            <w:vAlign w:val="center"/>
          </w:tcPr>
          <w:p w:rsidR="00000000" w:rsidRDefault="00000000">
            <w:pPr>
              <w:keepNext/>
              <w:keepLines/>
              <w:jc w:val="center"/>
              <w:rPr>
                <w:szCs w:val="22"/>
                <w:lang w:val="es-ES_tradnl"/>
              </w:rPr>
            </w:pPr>
            <w:r>
              <w:rPr>
                <w:szCs w:val="22"/>
                <w:lang w:val="es-ES_tradnl"/>
              </w:rPr>
              <w:t>Rural</w:t>
            </w:r>
            <w:r>
              <w:rPr>
                <w:b/>
                <w:bCs/>
                <w:szCs w:val="22"/>
                <w:vertAlign w:val="superscript"/>
                <w:lang w:val="es-ES_tradnl"/>
              </w:rPr>
              <w:t>*</w:t>
            </w:r>
            <w:r>
              <w:rPr>
                <w:szCs w:val="22"/>
                <w:lang w:val="es-ES_tradnl"/>
              </w:rPr>
              <w:t xml:space="preserve"> (Nueva y mejorada)</w:t>
            </w:r>
          </w:p>
        </w:tc>
        <w:tc>
          <w:tcPr>
            <w:tcW w:w="1833" w:type="dxa"/>
            <w:vAlign w:val="center"/>
          </w:tcPr>
          <w:p w:rsidR="00000000" w:rsidRDefault="00000000">
            <w:pPr>
              <w:keepNext/>
              <w:keepLines/>
              <w:jc w:val="center"/>
              <w:rPr>
                <w:szCs w:val="22"/>
                <w:lang w:val="es-ES_tradnl"/>
              </w:rPr>
            </w:pPr>
            <w:r>
              <w:rPr>
                <w:szCs w:val="22"/>
                <w:lang w:val="es-ES_tradnl"/>
              </w:rPr>
              <w:t>Urb. marginal</w:t>
            </w:r>
            <w:r>
              <w:rPr>
                <w:b/>
                <w:bCs/>
                <w:szCs w:val="22"/>
                <w:vertAlign w:val="superscript"/>
                <w:lang w:val="es-ES_tradnl"/>
              </w:rPr>
              <w:t>*</w:t>
            </w:r>
            <w:r>
              <w:rPr>
                <w:szCs w:val="22"/>
                <w:lang w:val="es-ES_tradnl"/>
              </w:rPr>
              <w:t xml:space="preserve"> (Nueva </w:t>
            </w:r>
            <w:proofErr w:type="spellStart"/>
            <w:r>
              <w:rPr>
                <w:szCs w:val="22"/>
                <w:lang w:val="es-ES_tradnl"/>
              </w:rPr>
              <w:t>mejoram</w:t>
            </w:r>
            <w:proofErr w:type="spellEnd"/>
            <w:r>
              <w:rPr>
                <w:szCs w:val="22"/>
                <w:lang w:val="es-ES_tradnl"/>
              </w:rPr>
              <w:t xml:space="preserve">. </w:t>
            </w:r>
            <w:proofErr w:type="spellStart"/>
            <w:r>
              <w:rPr>
                <w:szCs w:val="22"/>
                <w:lang w:val="es-ES_tradnl"/>
              </w:rPr>
              <w:t>fem.</w:t>
            </w:r>
            <w:proofErr w:type="spellEnd"/>
            <w:r>
              <w:rPr>
                <w:szCs w:val="22"/>
                <w:lang w:val="es-ES_tradnl"/>
              </w:rPr>
              <w:t xml:space="preserve"> del niño)</w:t>
            </w:r>
          </w:p>
        </w:tc>
        <w:tc>
          <w:tcPr>
            <w:tcW w:w="1326" w:type="dxa"/>
            <w:vAlign w:val="center"/>
          </w:tcPr>
          <w:p w:rsidR="00000000" w:rsidRDefault="00000000">
            <w:pPr>
              <w:keepNext/>
              <w:keepLines/>
              <w:jc w:val="center"/>
              <w:rPr>
                <w:szCs w:val="22"/>
                <w:lang w:val="en-US"/>
              </w:rPr>
            </w:pPr>
            <w:r>
              <w:rPr>
                <w:szCs w:val="22"/>
                <w:lang w:val="en-US"/>
              </w:rPr>
              <w:t xml:space="preserve">Urbana </w:t>
            </w:r>
            <w:proofErr w:type="spellStart"/>
            <w:r>
              <w:rPr>
                <w:szCs w:val="22"/>
                <w:lang w:val="en-US"/>
              </w:rPr>
              <w:t>SIV</w:t>
            </w:r>
            <w:proofErr w:type="spellEnd"/>
          </w:p>
        </w:tc>
        <w:tc>
          <w:tcPr>
            <w:tcW w:w="741" w:type="dxa"/>
            <w:vAlign w:val="center"/>
          </w:tcPr>
          <w:p w:rsidR="00000000" w:rsidRDefault="00000000">
            <w:pPr>
              <w:keepNext/>
              <w:keepLines/>
              <w:jc w:val="center"/>
              <w:rPr>
                <w:szCs w:val="22"/>
                <w:lang w:val="en-US"/>
              </w:rPr>
            </w:pPr>
            <w:proofErr w:type="spellStart"/>
            <w:r>
              <w:rPr>
                <w:szCs w:val="22"/>
                <w:lang w:val="en-US"/>
              </w:rPr>
              <w:t>BEV</w:t>
            </w:r>
            <w:proofErr w:type="spellEnd"/>
          </w:p>
        </w:tc>
        <w:tc>
          <w:tcPr>
            <w:tcW w:w="1508" w:type="dxa"/>
            <w:vAlign w:val="center"/>
          </w:tcPr>
          <w:p w:rsidR="00000000" w:rsidRDefault="00000000">
            <w:pPr>
              <w:keepNext/>
              <w:keepLines/>
              <w:jc w:val="center"/>
              <w:rPr>
                <w:szCs w:val="22"/>
                <w:lang w:val="es-ES_tradnl"/>
              </w:rPr>
            </w:pPr>
            <w:r>
              <w:rPr>
                <w:szCs w:val="22"/>
                <w:lang w:val="es-ES_tradnl"/>
              </w:rPr>
              <w:t>Vivienda total</w:t>
            </w:r>
          </w:p>
        </w:tc>
      </w:tr>
      <w:tr w:rsidR="00000000">
        <w:tblPrEx>
          <w:tblCellMar>
            <w:top w:w="0" w:type="dxa"/>
            <w:bottom w:w="0" w:type="dxa"/>
          </w:tblCellMar>
        </w:tblPrEx>
        <w:tc>
          <w:tcPr>
            <w:tcW w:w="2878" w:type="dxa"/>
          </w:tcPr>
          <w:p w:rsidR="00000000" w:rsidRDefault="00000000">
            <w:pPr>
              <w:keepNext/>
              <w:keepLines/>
              <w:rPr>
                <w:szCs w:val="22"/>
                <w:lang w:val="es-ES_tradnl"/>
              </w:rPr>
            </w:pPr>
            <w:r>
              <w:rPr>
                <w:szCs w:val="22"/>
                <w:lang w:val="es-ES_tradnl"/>
              </w:rPr>
              <w:t>Región Costa</w:t>
            </w:r>
          </w:p>
        </w:tc>
        <w:tc>
          <w:tcPr>
            <w:tcW w:w="1209" w:type="dxa"/>
          </w:tcPr>
          <w:p w:rsidR="00000000" w:rsidRDefault="00000000">
            <w:pPr>
              <w:keepNext/>
              <w:keepLines/>
              <w:jc w:val="right"/>
              <w:rPr>
                <w:szCs w:val="22"/>
                <w:lang w:val="es-ES_tradnl"/>
              </w:rPr>
            </w:pPr>
            <w:r>
              <w:rPr>
                <w:szCs w:val="22"/>
                <w:lang w:val="es-ES_tradnl"/>
              </w:rPr>
              <w:t>7.220</w:t>
            </w:r>
          </w:p>
        </w:tc>
        <w:tc>
          <w:tcPr>
            <w:tcW w:w="1833" w:type="dxa"/>
          </w:tcPr>
          <w:p w:rsidR="00000000" w:rsidRDefault="00000000">
            <w:pPr>
              <w:keepNext/>
              <w:keepLines/>
              <w:jc w:val="right"/>
              <w:rPr>
                <w:szCs w:val="22"/>
                <w:lang w:val="es-ES_tradnl"/>
              </w:rPr>
            </w:pPr>
            <w:r>
              <w:rPr>
                <w:szCs w:val="22"/>
                <w:lang w:val="es-ES_tradnl"/>
              </w:rPr>
              <w:t>1.786</w:t>
            </w:r>
          </w:p>
        </w:tc>
        <w:tc>
          <w:tcPr>
            <w:tcW w:w="1326" w:type="dxa"/>
          </w:tcPr>
          <w:p w:rsidR="00000000" w:rsidRDefault="00000000">
            <w:pPr>
              <w:keepNext/>
              <w:keepLines/>
              <w:jc w:val="right"/>
              <w:rPr>
                <w:szCs w:val="22"/>
                <w:lang w:val="es-ES_tradnl"/>
              </w:rPr>
            </w:pPr>
            <w:r>
              <w:rPr>
                <w:szCs w:val="22"/>
                <w:lang w:val="es-ES_tradnl"/>
              </w:rPr>
              <w:t>7.890</w:t>
            </w:r>
          </w:p>
        </w:tc>
        <w:tc>
          <w:tcPr>
            <w:tcW w:w="741" w:type="dxa"/>
          </w:tcPr>
          <w:p w:rsidR="00000000" w:rsidRDefault="00000000">
            <w:pPr>
              <w:keepNext/>
              <w:keepLines/>
              <w:jc w:val="right"/>
              <w:rPr>
                <w:szCs w:val="22"/>
                <w:lang w:val="es-ES_tradnl"/>
              </w:rPr>
            </w:pPr>
            <w:r>
              <w:rPr>
                <w:szCs w:val="22"/>
                <w:lang w:val="es-ES_tradnl"/>
              </w:rPr>
              <w:t>599</w:t>
            </w:r>
          </w:p>
        </w:tc>
        <w:tc>
          <w:tcPr>
            <w:tcW w:w="1508" w:type="dxa"/>
          </w:tcPr>
          <w:p w:rsidR="00000000" w:rsidRDefault="00000000">
            <w:pPr>
              <w:keepNext/>
              <w:keepLines/>
              <w:jc w:val="right"/>
            </w:pPr>
            <w:r>
              <w:rPr>
                <w:szCs w:val="22"/>
                <w:lang w:val="es-ES_tradnl"/>
              </w:rPr>
              <w:t>17.495</w:t>
            </w:r>
          </w:p>
        </w:tc>
      </w:tr>
      <w:tr w:rsidR="00000000">
        <w:tblPrEx>
          <w:tblCellMar>
            <w:top w:w="0" w:type="dxa"/>
            <w:bottom w:w="0" w:type="dxa"/>
          </w:tblCellMar>
        </w:tblPrEx>
        <w:tc>
          <w:tcPr>
            <w:tcW w:w="2878" w:type="dxa"/>
          </w:tcPr>
          <w:p w:rsidR="00000000" w:rsidRDefault="00000000">
            <w:pPr>
              <w:keepNext/>
              <w:keepLines/>
              <w:rPr>
                <w:szCs w:val="22"/>
                <w:lang w:val="es-ES_tradnl"/>
              </w:rPr>
            </w:pPr>
            <w:r>
              <w:rPr>
                <w:szCs w:val="22"/>
                <w:lang w:val="es-ES_tradnl"/>
              </w:rPr>
              <w:t>Región Oriente</w:t>
            </w:r>
          </w:p>
        </w:tc>
        <w:tc>
          <w:tcPr>
            <w:tcW w:w="1209" w:type="dxa"/>
          </w:tcPr>
          <w:p w:rsidR="00000000" w:rsidRDefault="00000000">
            <w:pPr>
              <w:keepNext/>
              <w:keepLines/>
              <w:jc w:val="right"/>
              <w:rPr>
                <w:szCs w:val="22"/>
                <w:lang w:val="es-ES_tradnl"/>
              </w:rPr>
            </w:pPr>
            <w:r>
              <w:rPr>
                <w:szCs w:val="22"/>
                <w:lang w:val="es-ES_tradnl"/>
              </w:rPr>
              <w:t>977</w:t>
            </w:r>
          </w:p>
        </w:tc>
        <w:tc>
          <w:tcPr>
            <w:tcW w:w="1833" w:type="dxa"/>
          </w:tcPr>
          <w:p w:rsidR="00000000" w:rsidRDefault="00000000">
            <w:pPr>
              <w:keepNext/>
              <w:keepLines/>
              <w:jc w:val="right"/>
              <w:rPr>
                <w:szCs w:val="22"/>
                <w:lang w:val="es-ES_tradnl"/>
              </w:rPr>
            </w:pPr>
            <w:r>
              <w:rPr>
                <w:szCs w:val="22"/>
                <w:lang w:val="es-ES_tradnl"/>
              </w:rPr>
              <w:t>O</w:t>
            </w:r>
          </w:p>
        </w:tc>
        <w:tc>
          <w:tcPr>
            <w:tcW w:w="1326" w:type="dxa"/>
          </w:tcPr>
          <w:p w:rsidR="00000000" w:rsidRDefault="00000000">
            <w:pPr>
              <w:keepNext/>
              <w:keepLines/>
              <w:jc w:val="right"/>
              <w:rPr>
                <w:szCs w:val="22"/>
                <w:lang w:val="es-ES_tradnl"/>
              </w:rPr>
            </w:pPr>
            <w:r>
              <w:rPr>
                <w:szCs w:val="22"/>
                <w:lang w:val="es-ES_tradnl"/>
              </w:rPr>
              <w:t>805</w:t>
            </w:r>
          </w:p>
        </w:tc>
        <w:tc>
          <w:tcPr>
            <w:tcW w:w="741" w:type="dxa"/>
          </w:tcPr>
          <w:p w:rsidR="00000000" w:rsidRDefault="00000000">
            <w:pPr>
              <w:keepNext/>
              <w:keepLines/>
              <w:jc w:val="right"/>
              <w:rPr>
                <w:szCs w:val="22"/>
                <w:lang w:val="es-ES_tradnl"/>
              </w:rPr>
            </w:pPr>
            <w:r>
              <w:rPr>
                <w:szCs w:val="22"/>
                <w:lang w:val="es-ES_tradnl"/>
              </w:rPr>
              <w:t>29</w:t>
            </w:r>
          </w:p>
        </w:tc>
        <w:tc>
          <w:tcPr>
            <w:tcW w:w="1508" w:type="dxa"/>
          </w:tcPr>
          <w:p w:rsidR="00000000" w:rsidRDefault="00000000">
            <w:pPr>
              <w:keepNext/>
              <w:keepLines/>
              <w:jc w:val="right"/>
            </w:pPr>
            <w:r>
              <w:rPr>
                <w:szCs w:val="22"/>
                <w:lang w:val="es-ES_tradnl"/>
              </w:rPr>
              <w:t>1.811</w:t>
            </w:r>
          </w:p>
        </w:tc>
      </w:tr>
      <w:tr w:rsidR="00000000">
        <w:tblPrEx>
          <w:tblCellMar>
            <w:top w:w="0" w:type="dxa"/>
            <w:bottom w:w="0" w:type="dxa"/>
          </w:tblCellMar>
        </w:tblPrEx>
        <w:tc>
          <w:tcPr>
            <w:tcW w:w="2878" w:type="dxa"/>
          </w:tcPr>
          <w:p w:rsidR="00000000" w:rsidRDefault="00000000">
            <w:pPr>
              <w:keepNext/>
              <w:keepLines/>
              <w:rPr>
                <w:szCs w:val="22"/>
                <w:lang w:val="es-ES_tradnl"/>
              </w:rPr>
            </w:pPr>
            <w:r>
              <w:rPr>
                <w:szCs w:val="22"/>
                <w:lang w:val="es-ES_tradnl"/>
              </w:rPr>
              <w:t>Región Sierra</w:t>
            </w:r>
          </w:p>
        </w:tc>
        <w:tc>
          <w:tcPr>
            <w:tcW w:w="1209" w:type="dxa"/>
          </w:tcPr>
          <w:p w:rsidR="00000000" w:rsidRDefault="00000000">
            <w:pPr>
              <w:keepNext/>
              <w:keepLines/>
              <w:jc w:val="right"/>
              <w:rPr>
                <w:szCs w:val="22"/>
                <w:lang w:val="es-ES_tradnl"/>
              </w:rPr>
            </w:pPr>
            <w:r>
              <w:rPr>
                <w:szCs w:val="22"/>
                <w:lang w:val="es-ES_tradnl"/>
              </w:rPr>
              <w:t>4.611</w:t>
            </w:r>
          </w:p>
        </w:tc>
        <w:tc>
          <w:tcPr>
            <w:tcW w:w="1833" w:type="dxa"/>
          </w:tcPr>
          <w:p w:rsidR="00000000" w:rsidRDefault="00000000">
            <w:pPr>
              <w:keepNext/>
              <w:keepLines/>
              <w:jc w:val="right"/>
              <w:rPr>
                <w:szCs w:val="22"/>
                <w:lang w:val="es-ES_tradnl"/>
              </w:rPr>
            </w:pPr>
            <w:r>
              <w:rPr>
                <w:szCs w:val="22"/>
                <w:lang w:val="es-ES_tradnl"/>
              </w:rPr>
              <w:t>456</w:t>
            </w:r>
          </w:p>
        </w:tc>
        <w:tc>
          <w:tcPr>
            <w:tcW w:w="1326" w:type="dxa"/>
          </w:tcPr>
          <w:p w:rsidR="00000000" w:rsidRDefault="00000000">
            <w:pPr>
              <w:keepNext/>
              <w:keepLines/>
              <w:jc w:val="right"/>
              <w:rPr>
                <w:szCs w:val="22"/>
                <w:lang w:val="es-ES_tradnl"/>
              </w:rPr>
            </w:pPr>
            <w:r>
              <w:rPr>
                <w:szCs w:val="22"/>
                <w:lang w:val="es-ES_tradnl"/>
              </w:rPr>
              <w:t>12.639</w:t>
            </w:r>
          </w:p>
        </w:tc>
        <w:tc>
          <w:tcPr>
            <w:tcW w:w="741" w:type="dxa"/>
          </w:tcPr>
          <w:p w:rsidR="00000000" w:rsidRDefault="00000000">
            <w:pPr>
              <w:keepNext/>
              <w:keepLines/>
              <w:jc w:val="right"/>
              <w:rPr>
                <w:szCs w:val="22"/>
                <w:lang w:val="es-ES_tradnl"/>
              </w:rPr>
            </w:pPr>
            <w:r>
              <w:rPr>
                <w:szCs w:val="22"/>
                <w:lang w:val="es-ES_tradnl"/>
              </w:rPr>
              <w:t>675</w:t>
            </w:r>
          </w:p>
        </w:tc>
        <w:tc>
          <w:tcPr>
            <w:tcW w:w="1508" w:type="dxa"/>
          </w:tcPr>
          <w:p w:rsidR="00000000" w:rsidRDefault="00000000">
            <w:pPr>
              <w:keepNext/>
              <w:keepLines/>
              <w:jc w:val="right"/>
            </w:pPr>
            <w:r>
              <w:rPr>
                <w:szCs w:val="22"/>
                <w:lang w:val="es-ES_tradnl"/>
              </w:rPr>
              <w:t>18.381</w:t>
            </w:r>
          </w:p>
        </w:tc>
      </w:tr>
      <w:tr w:rsidR="00000000">
        <w:tblPrEx>
          <w:tblCellMar>
            <w:top w:w="0" w:type="dxa"/>
            <w:bottom w:w="0" w:type="dxa"/>
          </w:tblCellMar>
        </w:tblPrEx>
        <w:tc>
          <w:tcPr>
            <w:tcW w:w="2878" w:type="dxa"/>
          </w:tcPr>
          <w:p w:rsidR="00000000" w:rsidRDefault="00000000">
            <w:pPr>
              <w:keepNext/>
              <w:keepLines/>
              <w:tabs>
                <w:tab w:val="left" w:pos="180"/>
              </w:tabs>
              <w:rPr>
                <w:lang w:val="es-ES_tradnl"/>
              </w:rPr>
            </w:pPr>
            <w:r>
              <w:rPr>
                <w:lang w:val="es-ES_tradnl"/>
              </w:rPr>
              <w:tab/>
              <w:t xml:space="preserve"> Total nacional</w:t>
            </w:r>
          </w:p>
        </w:tc>
        <w:tc>
          <w:tcPr>
            <w:tcW w:w="1209" w:type="dxa"/>
          </w:tcPr>
          <w:p w:rsidR="00000000" w:rsidRDefault="00000000">
            <w:pPr>
              <w:keepNext/>
              <w:keepLines/>
              <w:jc w:val="right"/>
              <w:rPr>
                <w:lang w:val="es-ES_tradnl"/>
              </w:rPr>
            </w:pPr>
            <w:r>
              <w:rPr>
                <w:lang w:val="es-ES_tradnl"/>
              </w:rPr>
              <w:t>12.808</w:t>
            </w:r>
          </w:p>
        </w:tc>
        <w:tc>
          <w:tcPr>
            <w:tcW w:w="1833" w:type="dxa"/>
          </w:tcPr>
          <w:p w:rsidR="00000000" w:rsidRDefault="00000000">
            <w:pPr>
              <w:keepNext/>
              <w:keepLines/>
              <w:jc w:val="right"/>
              <w:rPr>
                <w:lang w:val="es-ES_tradnl"/>
              </w:rPr>
            </w:pPr>
            <w:r>
              <w:rPr>
                <w:lang w:val="es-ES_tradnl"/>
              </w:rPr>
              <w:t>2.242</w:t>
            </w:r>
          </w:p>
        </w:tc>
        <w:tc>
          <w:tcPr>
            <w:tcW w:w="1326" w:type="dxa"/>
          </w:tcPr>
          <w:p w:rsidR="00000000" w:rsidRDefault="00000000">
            <w:pPr>
              <w:keepNext/>
              <w:keepLines/>
              <w:jc w:val="right"/>
              <w:rPr>
                <w:lang w:val="es-ES_tradnl"/>
              </w:rPr>
            </w:pPr>
            <w:r>
              <w:rPr>
                <w:lang w:val="es-ES_tradnl"/>
              </w:rPr>
              <w:t>21.334</w:t>
            </w:r>
          </w:p>
        </w:tc>
        <w:tc>
          <w:tcPr>
            <w:tcW w:w="741" w:type="dxa"/>
          </w:tcPr>
          <w:p w:rsidR="00000000" w:rsidRDefault="00000000">
            <w:pPr>
              <w:keepNext/>
              <w:keepLines/>
              <w:jc w:val="right"/>
              <w:rPr>
                <w:lang w:val="es-ES_tradnl"/>
              </w:rPr>
            </w:pPr>
            <w:r>
              <w:rPr>
                <w:lang w:val="es-ES_tradnl"/>
              </w:rPr>
              <w:t>1.303</w:t>
            </w:r>
          </w:p>
        </w:tc>
        <w:tc>
          <w:tcPr>
            <w:tcW w:w="1508" w:type="dxa"/>
          </w:tcPr>
          <w:p w:rsidR="00000000" w:rsidRDefault="00000000">
            <w:pPr>
              <w:keepNext/>
              <w:keepLines/>
              <w:jc w:val="right"/>
            </w:pPr>
            <w:r>
              <w:rPr>
                <w:lang w:val="es-ES_tradnl"/>
              </w:rPr>
              <w:t>37.687</w:t>
            </w:r>
          </w:p>
        </w:tc>
      </w:tr>
      <w:tr w:rsidR="00000000">
        <w:tblPrEx>
          <w:tblCellMar>
            <w:top w:w="0" w:type="dxa"/>
            <w:bottom w:w="0" w:type="dxa"/>
          </w:tblCellMar>
        </w:tblPrEx>
        <w:tc>
          <w:tcPr>
            <w:tcW w:w="2878" w:type="dxa"/>
          </w:tcPr>
          <w:p w:rsidR="00000000" w:rsidRDefault="00000000">
            <w:pPr>
              <w:keepNext/>
              <w:keepLines/>
              <w:tabs>
                <w:tab w:val="left" w:pos="180"/>
              </w:tabs>
              <w:rPr>
                <w:lang w:val="es-ES_tradnl"/>
              </w:rPr>
            </w:pPr>
            <w:r>
              <w:rPr>
                <w:lang w:val="es-ES_tradnl"/>
              </w:rPr>
              <w:tab/>
              <w:t xml:space="preserve"> Total período 1998</w:t>
            </w:r>
            <w:r>
              <w:rPr>
                <w:lang w:val="es-ES_tradnl"/>
              </w:rPr>
              <w:noBreakHyphen/>
              <w:t>1999</w:t>
            </w:r>
          </w:p>
        </w:tc>
        <w:tc>
          <w:tcPr>
            <w:tcW w:w="1209" w:type="dxa"/>
          </w:tcPr>
          <w:p w:rsidR="00000000" w:rsidRDefault="00000000">
            <w:pPr>
              <w:keepNext/>
              <w:keepLines/>
              <w:jc w:val="right"/>
              <w:rPr>
                <w:lang w:val="es-ES_tradnl"/>
              </w:rPr>
            </w:pPr>
            <w:r>
              <w:rPr>
                <w:lang w:val="es-ES_tradnl"/>
              </w:rPr>
              <w:t>19.448</w:t>
            </w:r>
          </w:p>
        </w:tc>
        <w:tc>
          <w:tcPr>
            <w:tcW w:w="1833" w:type="dxa"/>
          </w:tcPr>
          <w:p w:rsidR="00000000" w:rsidRDefault="00000000">
            <w:pPr>
              <w:keepNext/>
              <w:keepLines/>
              <w:jc w:val="right"/>
              <w:rPr>
                <w:lang w:val="es-ES_tradnl"/>
              </w:rPr>
            </w:pPr>
            <w:r>
              <w:rPr>
                <w:lang w:val="es-ES_tradnl"/>
              </w:rPr>
              <w:t>10.141</w:t>
            </w:r>
          </w:p>
        </w:tc>
        <w:tc>
          <w:tcPr>
            <w:tcW w:w="1326" w:type="dxa"/>
          </w:tcPr>
          <w:p w:rsidR="00000000" w:rsidRDefault="00000000">
            <w:pPr>
              <w:keepNext/>
              <w:keepLines/>
              <w:jc w:val="right"/>
              <w:rPr>
                <w:lang w:val="es-ES_tradnl"/>
              </w:rPr>
            </w:pPr>
            <w:r>
              <w:rPr>
                <w:lang w:val="es-ES_tradnl"/>
              </w:rPr>
              <w:t xml:space="preserve">24.933 </w:t>
            </w:r>
          </w:p>
        </w:tc>
        <w:tc>
          <w:tcPr>
            <w:tcW w:w="741" w:type="dxa"/>
          </w:tcPr>
          <w:p w:rsidR="00000000" w:rsidRDefault="00000000">
            <w:pPr>
              <w:keepNext/>
              <w:keepLines/>
              <w:jc w:val="right"/>
              <w:rPr>
                <w:lang w:val="es-ES_tradnl"/>
              </w:rPr>
            </w:pPr>
            <w:r>
              <w:rPr>
                <w:lang w:val="es-ES_tradnl"/>
              </w:rPr>
              <w:t>2.335</w:t>
            </w:r>
          </w:p>
        </w:tc>
        <w:tc>
          <w:tcPr>
            <w:tcW w:w="1508" w:type="dxa"/>
          </w:tcPr>
          <w:p w:rsidR="00000000" w:rsidRDefault="00000000">
            <w:pPr>
              <w:keepNext/>
              <w:keepLines/>
              <w:jc w:val="right"/>
            </w:pPr>
            <w:r>
              <w:rPr>
                <w:lang w:val="es-ES_tradnl"/>
              </w:rPr>
              <w:t>56.857</w:t>
            </w:r>
          </w:p>
        </w:tc>
      </w:tr>
    </w:tbl>
    <w:p w:rsidR="00000000" w:rsidRDefault="00000000">
      <w:pPr>
        <w:keepNext/>
        <w:keepLines/>
        <w:spacing w:before="240" w:after="240"/>
        <w:rPr>
          <w:szCs w:val="23"/>
          <w:lang w:val="es-ES_tradnl"/>
        </w:rPr>
      </w:pPr>
      <w:r>
        <w:rPr>
          <w:i/>
          <w:iCs/>
          <w:szCs w:val="23"/>
          <w:lang w:val="es-ES_tradnl"/>
        </w:rPr>
        <w:t>Fuente</w:t>
      </w:r>
      <w:r>
        <w:rPr>
          <w:szCs w:val="23"/>
          <w:lang w:val="es-ES_tradnl"/>
        </w:rPr>
        <w:t>:  Dirección de Planificación - MIDUVI.</w:t>
      </w:r>
    </w:p>
    <w:p w:rsidR="00000000" w:rsidRDefault="00000000">
      <w:pPr>
        <w:spacing w:after="480"/>
      </w:pPr>
      <w:r>
        <w:rPr>
          <w:b/>
          <w:bCs/>
          <w:szCs w:val="23"/>
          <w:vertAlign w:val="superscript"/>
          <w:lang w:val="es-ES_tradnl"/>
        </w:rPr>
        <w:t>*</w:t>
      </w:r>
      <w:r>
        <w:rPr>
          <w:szCs w:val="23"/>
          <w:lang w:val="es-ES_tradnl"/>
        </w:rPr>
        <w:t xml:space="preserve"> Bonos transferidos.</w:t>
      </w:r>
    </w:p>
    <w:p w:rsidR="00000000" w:rsidRDefault="00000000">
      <w:pPr>
        <w:spacing w:after="240"/>
      </w:pPr>
      <w:r>
        <w:rPr>
          <w:i/>
          <w:iCs/>
          <w:lang w:val="es-ES_tradnl"/>
        </w:rPr>
        <w:t>Cooperación internacional</w:t>
      </w:r>
    </w:p>
    <w:p w:rsidR="00000000" w:rsidRDefault="00000000">
      <w:pPr>
        <w:spacing w:after="240"/>
      </w:pPr>
      <w:r>
        <w:rPr>
          <w:lang w:val="es-ES_tradnl"/>
        </w:rPr>
        <w:t>376.</w:t>
      </w:r>
      <w:r>
        <w:rPr>
          <w:lang w:val="es-ES_tradnl"/>
        </w:rPr>
        <w:tab/>
        <w:t>Para mejorar el acceso de la población ecuatoriana de bajos ingresos a soluciones habitacionales, mejorar la eficiencia y equidad de las inversiones públicas en el sector e incentivar la mayor participación del sector privado, el Gobierno del Ecuador, a través del MIDUVI, con la colaboración del BID, ha decidido llevar a cabo el denominado Programa de Apoyo al Sector Vivienda.</w:t>
      </w:r>
    </w:p>
    <w:p w:rsidR="00000000" w:rsidRDefault="00000000">
      <w:pPr>
        <w:spacing w:after="240"/>
        <w:rPr>
          <w:b/>
          <w:bCs/>
        </w:rPr>
      </w:pPr>
      <w:r>
        <w:rPr>
          <w:b/>
          <w:bCs/>
          <w:szCs w:val="28"/>
          <w:lang w:val="es-ES_tradnl"/>
        </w:rPr>
        <w:t>Artículo 12</w:t>
      </w:r>
    </w:p>
    <w:p w:rsidR="00000000" w:rsidRDefault="00000000">
      <w:pPr>
        <w:spacing w:after="240"/>
      </w:pPr>
      <w:r>
        <w:rPr>
          <w:b/>
          <w:bCs/>
          <w:szCs w:val="25"/>
          <w:lang w:val="es-ES_tradnl"/>
        </w:rPr>
        <w:t>1.</w:t>
      </w:r>
      <w:r>
        <w:rPr>
          <w:b/>
          <w:bCs/>
          <w:szCs w:val="25"/>
          <w:lang w:val="es-ES_tradnl"/>
        </w:rPr>
        <w:tab/>
        <w:t>Políticas de salud</w:t>
      </w:r>
    </w:p>
    <w:p w:rsidR="00000000" w:rsidRDefault="00000000">
      <w:pPr>
        <w:spacing w:after="240"/>
      </w:pPr>
      <w:r>
        <w:rPr>
          <w:szCs w:val="25"/>
          <w:lang w:val="es-ES_tradnl"/>
        </w:rPr>
        <w:t>377.</w:t>
      </w:r>
      <w:r>
        <w:rPr>
          <w:szCs w:val="25"/>
          <w:lang w:val="es-ES_tradnl"/>
        </w:rPr>
        <w:tab/>
        <w:t>La situación actual de salud del país ha sido influenciada, especialmente en las últimas dos décadas, por un conjunto de realidades y vicisitudes que han producido un retroceso de la dinámica del proceso de salud, parte fundamental del desarrollo social y económico de nuestro país.  Podemos afirmar que existe un retroceso no porque los indicadores macro de mortalidad, morbilidad y otros sean peores que hace diez años, sino por la sencilla razón de que continúan elevados.  La cobertura y calidad de la atención no ha mejorado, la inequidad ha aumentado, la ausencia de solidaridad es más notoria.  Todo esto se ha visto agravado por la falta de una adecuada conducción del sector a diferentes niveles y por el estilo de gestión política (partidista y personalizada) con la que se ha manejado.</w:t>
      </w:r>
    </w:p>
    <w:p w:rsidR="00000000" w:rsidRDefault="00000000">
      <w:pPr>
        <w:spacing w:after="240"/>
      </w:pPr>
      <w:r>
        <w:rPr>
          <w:szCs w:val="25"/>
          <w:lang w:val="es-ES_tradnl"/>
        </w:rPr>
        <w:t>378.</w:t>
      </w:r>
      <w:r>
        <w:rPr>
          <w:szCs w:val="25"/>
          <w:lang w:val="es-ES_tradnl"/>
        </w:rPr>
        <w:tab/>
        <w:t xml:space="preserve">En la Constitución dictada por la Asamblea Constituyente en 1998 se enuncian los principios de una verdadera política de Estado en el campo de la salud:  universalidad, </w:t>
      </w:r>
      <w:proofErr w:type="spellStart"/>
      <w:r>
        <w:rPr>
          <w:szCs w:val="25"/>
          <w:lang w:val="es-ES_tradnl"/>
        </w:rPr>
        <w:t>integralidad</w:t>
      </w:r>
      <w:proofErr w:type="spellEnd"/>
      <w:r>
        <w:rPr>
          <w:szCs w:val="25"/>
          <w:lang w:val="es-ES_tradnl"/>
        </w:rPr>
        <w:t>, solidaridad, calidad y eficiencia registradas como parte sustancial de todo el nuevo proceso para un verdadero Sistema Nacional de Salud</w:t>
      </w:r>
      <w:r>
        <w:rPr>
          <w:rStyle w:val="FootnoteReference"/>
          <w:szCs w:val="25"/>
          <w:lang w:val="es-ES_tradnl"/>
        </w:rPr>
        <w:footnoteReference w:id="51"/>
      </w:r>
      <w:r>
        <w:rPr>
          <w:szCs w:val="25"/>
          <w:lang w:val="es-ES_tradnl"/>
        </w:rPr>
        <w:t>.</w:t>
      </w:r>
    </w:p>
    <w:p w:rsidR="00000000" w:rsidRDefault="00000000">
      <w:pPr>
        <w:spacing w:after="240"/>
      </w:pPr>
      <w:r>
        <w:rPr>
          <w:szCs w:val="25"/>
          <w:lang w:val="es-ES_tradnl"/>
        </w:rPr>
        <w:t>379.</w:t>
      </w:r>
      <w:r>
        <w:rPr>
          <w:szCs w:val="25"/>
          <w:lang w:val="es-ES_tradnl"/>
        </w:rPr>
        <w:tab/>
        <w:t xml:space="preserve">La evaluación de la situación de la salud que realiza el Ministerio de Salud en el denominado Plan Nacional de Salud Mental señala que las condiciones socioeconómicas que vive el país contribuyen a definir un perfil epidemiológico complejo, en el que coexisten enfermedades infectocontagiosas y parasitarias, crónicas y degenerativas, deficiencias nutricionales severas, neoplasias, accidentes de tránsito y violencia en todas sus formas.  Preocupa el recrudecimiento de la tuberculosis, expresión inequívoca de pobreza, las crecientes tasas de suicidio, especialmente de adolescentes, la presencia ya endémica del cólera y el dengue, las tasas elevadas de paludismo y el incremento de problemas </w:t>
      </w:r>
      <w:proofErr w:type="spellStart"/>
      <w:r>
        <w:rPr>
          <w:szCs w:val="25"/>
          <w:lang w:val="es-ES_tradnl"/>
        </w:rPr>
        <w:t>psicosociales</w:t>
      </w:r>
      <w:proofErr w:type="spellEnd"/>
      <w:r>
        <w:rPr>
          <w:szCs w:val="25"/>
          <w:lang w:val="es-ES_tradnl"/>
        </w:rPr>
        <w:t>, como el alcoholismo, la drogadicción, el maltrato al niño y la mujer y otros problemas de violencia</w:t>
      </w:r>
      <w:r>
        <w:rPr>
          <w:rStyle w:val="FootnoteReference"/>
          <w:szCs w:val="25"/>
          <w:lang w:val="es-ES_tradnl"/>
        </w:rPr>
        <w:footnoteReference w:id="52"/>
      </w:r>
      <w:r>
        <w:rPr>
          <w:szCs w:val="25"/>
          <w:lang w:val="es-ES_tradnl"/>
        </w:rPr>
        <w:t>.</w:t>
      </w:r>
    </w:p>
    <w:p w:rsidR="00000000" w:rsidRDefault="00000000">
      <w:pPr>
        <w:spacing w:after="240"/>
      </w:pPr>
      <w:r>
        <w:rPr>
          <w:szCs w:val="25"/>
          <w:lang w:val="es-ES_tradnl"/>
        </w:rPr>
        <w:t>380.</w:t>
      </w:r>
      <w:r>
        <w:rPr>
          <w:szCs w:val="25"/>
          <w:lang w:val="es-ES_tradnl"/>
        </w:rPr>
        <w:tab/>
        <w:t>La distribución del riesgo de enfermar y morir no es uniforme en el Ecuador, siendo el índice más alto en zonas urbanas marginales y rurales, especialmente aquellas con alta concentración de población indígena.  Por ejemplo, por cada niño que muere en la provincia del Guayas o Pichincha, fallecen tres en la provincia del Chimborazo</w:t>
      </w:r>
      <w:r>
        <w:rPr>
          <w:rStyle w:val="FootnoteReference"/>
          <w:szCs w:val="25"/>
          <w:lang w:val="es-ES_tradnl"/>
        </w:rPr>
        <w:footnoteReference w:id="53"/>
      </w:r>
      <w:r>
        <w:rPr>
          <w:szCs w:val="25"/>
          <w:lang w:val="es-ES_tradnl"/>
        </w:rPr>
        <w:t>; esta tendencia se mantiene en indicadores de morbilidad, acceso a servicios de salud, escolaridad, entre otros</w:t>
      </w:r>
      <w:r>
        <w:rPr>
          <w:rStyle w:val="FootnoteReference"/>
          <w:szCs w:val="25"/>
          <w:lang w:val="es-ES_tradnl"/>
        </w:rPr>
        <w:footnoteReference w:id="54"/>
      </w:r>
      <w:r>
        <w:rPr>
          <w:szCs w:val="25"/>
          <w:lang w:val="es-ES_tradnl"/>
        </w:rPr>
        <w:t>.</w:t>
      </w:r>
    </w:p>
    <w:p w:rsidR="00000000" w:rsidRDefault="00000000">
      <w:pPr>
        <w:spacing w:after="240"/>
      </w:pPr>
      <w:r>
        <w:rPr>
          <w:szCs w:val="25"/>
          <w:lang w:val="es-ES_tradnl"/>
        </w:rPr>
        <w:t>381.</w:t>
      </w:r>
      <w:r>
        <w:rPr>
          <w:szCs w:val="25"/>
          <w:lang w:val="es-ES_tradnl"/>
        </w:rPr>
        <w:tab/>
        <w:t xml:space="preserve">En el Plan Nacional de Salud Mental de señala que en el país es cada vez más frecuente la consulta por problemas de salud mental, particularmente por depresión, epilepsia, con sus problemas </w:t>
      </w:r>
      <w:proofErr w:type="spellStart"/>
      <w:r>
        <w:rPr>
          <w:szCs w:val="25"/>
          <w:lang w:val="es-ES_tradnl"/>
        </w:rPr>
        <w:t>psicosociales</w:t>
      </w:r>
      <w:proofErr w:type="spellEnd"/>
      <w:r>
        <w:rPr>
          <w:szCs w:val="25"/>
          <w:lang w:val="es-ES_tradnl"/>
        </w:rPr>
        <w:t>, y alcoholismo.</w:t>
      </w:r>
    </w:p>
    <w:p w:rsidR="00000000" w:rsidRDefault="00000000">
      <w:pPr>
        <w:spacing w:after="240"/>
      </w:pPr>
      <w:r>
        <w:rPr>
          <w:szCs w:val="25"/>
          <w:lang w:val="es-ES_tradnl"/>
        </w:rPr>
        <w:t>382.</w:t>
      </w:r>
      <w:r>
        <w:rPr>
          <w:szCs w:val="25"/>
          <w:lang w:val="es-ES_tradnl"/>
        </w:rPr>
        <w:tab/>
        <w:t xml:space="preserve">Estudios nacionales demuestran que hasta un 25% de las consultas por cualquier problema de salud tienen componentes </w:t>
      </w:r>
      <w:proofErr w:type="spellStart"/>
      <w:r>
        <w:rPr>
          <w:szCs w:val="25"/>
          <w:lang w:val="es-ES_tradnl"/>
        </w:rPr>
        <w:t>psicopatológicos</w:t>
      </w:r>
      <w:proofErr w:type="spellEnd"/>
      <w:r>
        <w:rPr>
          <w:szCs w:val="25"/>
          <w:lang w:val="es-ES_tradnl"/>
        </w:rPr>
        <w:t xml:space="preserve"> o requieren de alguna intervención en salud mental, porcentaje que se ve incrementado para los pacientes internados, lo cual crea una demanda creciente de atención.</w:t>
      </w:r>
    </w:p>
    <w:p w:rsidR="00000000" w:rsidRDefault="00000000">
      <w:pPr>
        <w:keepNext/>
        <w:spacing w:after="240"/>
        <w:jc w:val="center"/>
      </w:pPr>
      <w:r>
        <w:rPr>
          <w:b/>
          <w:bCs/>
        </w:rPr>
        <w:t>T</w:t>
      </w:r>
      <w:r>
        <w:rPr>
          <w:b/>
          <w:bCs/>
          <w:lang w:val="es-ES_tradnl"/>
        </w:rPr>
        <w:t xml:space="preserve">asa de incidencia anual para trastornos mentales seleccionados </w:t>
      </w:r>
      <w:r>
        <w:rPr>
          <w:b/>
          <w:bCs/>
          <w:lang w:val="es-ES_tradnl"/>
        </w:rPr>
        <w:br/>
        <w:t>en los años 1994 a 1998 en el Ecuador</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9"/>
        <w:gridCol w:w="1131"/>
        <w:gridCol w:w="1170"/>
        <w:gridCol w:w="1092"/>
        <w:gridCol w:w="1131"/>
        <w:gridCol w:w="1092"/>
        <w:gridCol w:w="1040"/>
      </w:tblGrid>
      <w:tr w:rsidR="00000000">
        <w:tblPrEx>
          <w:tblCellMar>
            <w:top w:w="0" w:type="dxa"/>
            <w:bottom w:w="0" w:type="dxa"/>
          </w:tblCellMar>
        </w:tblPrEx>
        <w:trPr>
          <w:jc w:val="right"/>
        </w:trPr>
        <w:tc>
          <w:tcPr>
            <w:tcW w:w="2839" w:type="dxa"/>
            <w:vAlign w:val="center"/>
          </w:tcPr>
          <w:p w:rsidR="00000000" w:rsidRDefault="00000000">
            <w:pPr>
              <w:jc w:val="center"/>
              <w:rPr>
                <w:lang w:val="es-ES_tradnl"/>
              </w:rPr>
            </w:pPr>
            <w:r>
              <w:rPr>
                <w:lang w:val="es-ES_tradnl"/>
              </w:rPr>
              <w:t>Problemas mentales</w:t>
            </w:r>
          </w:p>
        </w:tc>
        <w:tc>
          <w:tcPr>
            <w:tcW w:w="1131" w:type="dxa"/>
            <w:vAlign w:val="center"/>
          </w:tcPr>
          <w:p w:rsidR="00000000" w:rsidRDefault="00000000">
            <w:pPr>
              <w:jc w:val="center"/>
              <w:rPr>
                <w:lang w:val="es-ES_tradnl"/>
              </w:rPr>
            </w:pPr>
            <w:r>
              <w:rPr>
                <w:lang w:val="es-ES_tradnl"/>
              </w:rPr>
              <w:t>1994</w:t>
            </w:r>
          </w:p>
        </w:tc>
        <w:tc>
          <w:tcPr>
            <w:tcW w:w="1170" w:type="dxa"/>
            <w:vAlign w:val="center"/>
          </w:tcPr>
          <w:p w:rsidR="00000000" w:rsidRDefault="00000000">
            <w:pPr>
              <w:jc w:val="center"/>
              <w:rPr>
                <w:lang w:val="es-ES_tradnl"/>
              </w:rPr>
            </w:pPr>
            <w:r>
              <w:rPr>
                <w:lang w:val="es-ES_tradnl"/>
              </w:rPr>
              <w:t>1995</w:t>
            </w:r>
          </w:p>
        </w:tc>
        <w:tc>
          <w:tcPr>
            <w:tcW w:w="1092" w:type="dxa"/>
            <w:vAlign w:val="center"/>
          </w:tcPr>
          <w:p w:rsidR="00000000" w:rsidRDefault="00000000">
            <w:pPr>
              <w:jc w:val="center"/>
              <w:rPr>
                <w:lang w:val="es-ES_tradnl"/>
              </w:rPr>
            </w:pPr>
            <w:r>
              <w:rPr>
                <w:lang w:val="es-ES_tradnl"/>
              </w:rPr>
              <w:t>1996</w:t>
            </w:r>
          </w:p>
        </w:tc>
        <w:tc>
          <w:tcPr>
            <w:tcW w:w="1131" w:type="dxa"/>
            <w:vAlign w:val="center"/>
          </w:tcPr>
          <w:p w:rsidR="00000000" w:rsidRDefault="00000000">
            <w:pPr>
              <w:jc w:val="center"/>
              <w:rPr>
                <w:lang w:val="es-ES_tradnl"/>
              </w:rPr>
            </w:pPr>
            <w:r>
              <w:rPr>
                <w:lang w:val="es-ES_tradnl"/>
              </w:rPr>
              <w:t>1997</w:t>
            </w:r>
          </w:p>
        </w:tc>
        <w:tc>
          <w:tcPr>
            <w:tcW w:w="1092" w:type="dxa"/>
            <w:vAlign w:val="center"/>
          </w:tcPr>
          <w:p w:rsidR="00000000" w:rsidRDefault="00000000">
            <w:pPr>
              <w:jc w:val="center"/>
              <w:rPr>
                <w:lang w:val="es-ES_tradnl"/>
              </w:rPr>
            </w:pPr>
            <w:r>
              <w:rPr>
                <w:lang w:val="es-ES_tradnl"/>
              </w:rPr>
              <w:t>1998</w:t>
            </w:r>
          </w:p>
        </w:tc>
        <w:tc>
          <w:tcPr>
            <w:tcW w:w="1040" w:type="dxa"/>
            <w:vAlign w:val="center"/>
          </w:tcPr>
          <w:p w:rsidR="00000000" w:rsidRDefault="00000000">
            <w:pPr>
              <w:jc w:val="center"/>
            </w:pPr>
            <w:r>
              <w:rPr>
                <w:lang w:val="es-ES_tradnl"/>
              </w:rPr>
              <w:t>2000</w:t>
            </w:r>
          </w:p>
        </w:tc>
      </w:tr>
      <w:tr w:rsidR="00000000">
        <w:tblPrEx>
          <w:tblCellMar>
            <w:top w:w="0" w:type="dxa"/>
            <w:bottom w:w="0" w:type="dxa"/>
          </w:tblCellMar>
        </w:tblPrEx>
        <w:trPr>
          <w:jc w:val="right"/>
        </w:trPr>
        <w:tc>
          <w:tcPr>
            <w:tcW w:w="2839" w:type="dxa"/>
          </w:tcPr>
          <w:p w:rsidR="00000000" w:rsidRDefault="00000000">
            <w:pPr>
              <w:rPr>
                <w:szCs w:val="23"/>
                <w:lang w:val="es-ES_tradnl"/>
              </w:rPr>
            </w:pPr>
            <w:proofErr w:type="spellStart"/>
            <w:r>
              <w:rPr>
                <w:szCs w:val="23"/>
                <w:lang w:val="es-ES_tradnl"/>
              </w:rPr>
              <w:t>Farmacodependencia</w:t>
            </w:r>
            <w:proofErr w:type="spellEnd"/>
          </w:p>
        </w:tc>
        <w:tc>
          <w:tcPr>
            <w:tcW w:w="1131" w:type="dxa"/>
          </w:tcPr>
          <w:p w:rsidR="00000000" w:rsidRDefault="00000000">
            <w:pPr>
              <w:jc w:val="right"/>
              <w:rPr>
                <w:szCs w:val="23"/>
                <w:lang w:val="es-ES_tradnl"/>
              </w:rPr>
            </w:pPr>
            <w:r>
              <w:rPr>
                <w:szCs w:val="23"/>
                <w:lang w:val="es-ES_tradnl"/>
              </w:rPr>
              <w:t>1,69</w:t>
            </w:r>
          </w:p>
        </w:tc>
        <w:tc>
          <w:tcPr>
            <w:tcW w:w="1170" w:type="dxa"/>
          </w:tcPr>
          <w:p w:rsidR="00000000" w:rsidRDefault="00000000">
            <w:pPr>
              <w:jc w:val="right"/>
              <w:rPr>
                <w:szCs w:val="23"/>
                <w:lang w:val="es-ES_tradnl"/>
              </w:rPr>
            </w:pPr>
            <w:r>
              <w:rPr>
                <w:szCs w:val="23"/>
                <w:lang w:val="es-ES_tradnl"/>
              </w:rPr>
              <w:t>2,67</w:t>
            </w:r>
          </w:p>
        </w:tc>
        <w:tc>
          <w:tcPr>
            <w:tcW w:w="1092" w:type="dxa"/>
          </w:tcPr>
          <w:p w:rsidR="00000000" w:rsidRDefault="00000000">
            <w:pPr>
              <w:jc w:val="right"/>
              <w:rPr>
                <w:szCs w:val="23"/>
                <w:lang w:val="es-ES_tradnl"/>
              </w:rPr>
            </w:pPr>
            <w:r>
              <w:rPr>
                <w:szCs w:val="23"/>
                <w:lang w:val="es-ES_tradnl"/>
              </w:rPr>
              <w:t>2,42</w:t>
            </w:r>
          </w:p>
        </w:tc>
        <w:tc>
          <w:tcPr>
            <w:tcW w:w="1131" w:type="dxa"/>
          </w:tcPr>
          <w:p w:rsidR="00000000" w:rsidRDefault="00000000">
            <w:pPr>
              <w:jc w:val="right"/>
              <w:rPr>
                <w:szCs w:val="23"/>
                <w:lang w:val="es-ES_tradnl"/>
              </w:rPr>
            </w:pPr>
            <w:r>
              <w:rPr>
                <w:szCs w:val="23"/>
                <w:lang w:val="es-ES_tradnl"/>
              </w:rPr>
              <w:t>2,11</w:t>
            </w:r>
          </w:p>
        </w:tc>
        <w:tc>
          <w:tcPr>
            <w:tcW w:w="1092" w:type="dxa"/>
          </w:tcPr>
          <w:p w:rsidR="00000000" w:rsidRDefault="00000000">
            <w:pPr>
              <w:jc w:val="right"/>
              <w:rPr>
                <w:szCs w:val="23"/>
                <w:lang w:val="es-ES_tradnl"/>
              </w:rPr>
            </w:pPr>
            <w:r>
              <w:rPr>
                <w:szCs w:val="23"/>
                <w:lang w:val="es-ES_tradnl"/>
              </w:rPr>
              <w:t>1,87</w:t>
            </w:r>
          </w:p>
        </w:tc>
        <w:tc>
          <w:tcPr>
            <w:tcW w:w="1040" w:type="dxa"/>
          </w:tcPr>
          <w:p w:rsidR="00000000" w:rsidRDefault="00000000">
            <w:pPr>
              <w:jc w:val="right"/>
            </w:pPr>
            <w:r>
              <w:rPr>
                <w:szCs w:val="23"/>
                <w:lang w:val="es-ES_tradnl"/>
              </w:rPr>
              <w:t>2,01</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Alcoholismo</w:t>
            </w:r>
          </w:p>
        </w:tc>
        <w:tc>
          <w:tcPr>
            <w:tcW w:w="1131" w:type="dxa"/>
          </w:tcPr>
          <w:p w:rsidR="00000000" w:rsidRDefault="00000000">
            <w:pPr>
              <w:jc w:val="right"/>
              <w:rPr>
                <w:szCs w:val="23"/>
                <w:lang w:val="es-ES_tradnl"/>
              </w:rPr>
            </w:pPr>
            <w:r>
              <w:rPr>
                <w:szCs w:val="23"/>
                <w:lang w:val="es-ES_tradnl"/>
              </w:rPr>
              <w:t>23,28</w:t>
            </w:r>
          </w:p>
        </w:tc>
        <w:tc>
          <w:tcPr>
            <w:tcW w:w="1170" w:type="dxa"/>
          </w:tcPr>
          <w:p w:rsidR="00000000" w:rsidRDefault="00000000">
            <w:pPr>
              <w:jc w:val="right"/>
              <w:rPr>
                <w:szCs w:val="23"/>
                <w:lang w:val="es-ES_tradnl"/>
              </w:rPr>
            </w:pPr>
            <w:r>
              <w:rPr>
                <w:szCs w:val="23"/>
                <w:lang w:val="es-ES_tradnl"/>
              </w:rPr>
              <w:t>25,29</w:t>
            </w:r>
          </w:p>
        </w:tc>
        <w:tc>
          <w:tcPr>
            <w:tcW w:w="1092" w:type="dxa"/>
          </w:tcPr>
          <w:p w:rsidR="00000000" w:rsidRDefault="00000000">
            <w:pPr>
              <w:jc w:val="right"/>
              <w:rPr>
                <w:szCs w:val="23"/>
                <w:lang w:val="es-ES_tradnl"/>
              </w:rPr>
            </w:pPr>
            <w:r>
              <w:rPr>
                <w:szCs w:val="23"/>
                <w:lang w:val="es-ES_tradnl"/>
              </w:rPr>
              <w:t>25,81</w:t>
            </w:r>
          </w:p>
        </w:tc>
        <w:tc>
          <w:tcPr>
            <w:tcW w:w="1131" w:type="dxa"/>
          </w:tcPr>
          <w:p w:rsidR="00000000" w:rsidRDefault="00000000">
            <w:pPr>
              <w:jc w:val="right"/>
              <w:rPr>
                <w:szCs w:val="23"/>
                <w:lang w:val="es-ES_tradnl"/>
              </w:rPr>
            </w:pPr>
            <w:r>
              <w:rPr>
                <w:szCs w:val="23"/>
                <w:lang w:val="es-ES_tradnl"/>
              </w:rPr>
              <w:t>21,50</w:t>
            </w:r>
          </w:p>
        </w:tc>
        <w:tc>
          <w:tcPr>
            <w:tcW w:w="1092" w:type="dxa"/>
          </w:tcPr>
          <w:p w:rsidR="00000000" w:rsidRDefault="00000000">
            <w:pPr>
              <w:jc w:val="right"/>
              <w:rPr>
                <w:szCs w:val="23"/>
                <w:lang w:val="es-ES_tradnl"/>
              </w:rPr>
            </w:pPr>
            <w:r>
              <w:rPr>
                <w:szCs w:val="23"/>
                <w:lang w:val="es-ES_tradnl"/>
              </w:rPr>
              <w:t>18,52</w:t>
            </w:r>
          </w:p>
        </w:tc>
        <w:tc>
          <w:tcPr>
            <w:tcW w:w="1040" w:type="dxa"/>
          </w:tcPr>
          <w:p w:rsidR="00000000" w:rsidRDefault="00000000">
            <w:pPr>
              <w:jc w:val="right"/>
            </w:pPr>
            <w:r>
              <w:rPr>
                <w:szCs w:val="23"/>
                <w:lang w:val="es-ES_tradnl"/>
              </w:rPr>
              <w:t>19,82</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Depresión</w:t>
            </w:r>
          </w:p>
        </w:tc>
        <w:tc>
          <w:tcPr>
            <w:tcW w:w="1131" w:type="dxa"/>
          </w:tcPr>
          <w:p w:rsidR="00000000" w:rsidRDefault="00000000">
            <w:pPr>
              <w:jc w:val="right"/>
              <w:rPr>
                <w:szCs w:val="23"/>
                <w:lang w:val="es-ES_tradnl"/>
              </w:rPr>
            </w:pPr>
            <w:r>
              <w:rPr>
                <w:szCs w:val="23"/>
                <w:lang w:val="es-ES_tradnl"/>
              </w:rPr>
              <w:t>29,76</w:t>
            </w:r>
          </w:p>
        </w:tc>
        <w:tc>
          <w:tcPr>
            <w:tcW w:w="1170" w:type="dxa"/>
          </w:tcPr>
          <w:p w:rsidR="00000000" w:rsidRDefault="00000000">
            <w:pPr>
              <w:jc w:val="right"/>
              <w:rPr>
                <w:szCs w:val="23"/>
                <w:lang w:val="es-ES_tradnl"/>
              </w:rPr>
            </w:pPr>
            <w:r>
              <w:rPr>
                <w:szCs w:val="23"/>
                <w:lang w:val="es-ES_tradnl"/>
              </w:rPr>
              <w:t>31,89</w:t>
            </w:r>
          </w:p>
        </w:tc>
        <w:tc>
          <w:tcPr>
            <w:tcW w:w="1092" w:type="dxa"/>
          </w:tcPr>
          <w:p w:rsidR="00000000" w:rsidRDefault="00000000">
            <w:pPr>
              <w:jc w:val="right"/>
              <w:rPr>
                <w:szCs w:val="23"/>
                <w:lang w:val="es-ES_tradnl"/>
              </w:rPr>
            </w:pPr>
            <w:r>
              <w:rPr>
                <w:szCs w:val="23"/>
                <w:lang w:val="es-ES_tradnl"/>
              </w:rPr>
              <w:t>38,65</w:t>
            </w:r>
          </w:p>
        </w:tc>
        <w:tc>
          <w:tcPr>
            <w:tcW w:w="1131" w:type="dxa"/>
          </w:tcPr>
          <w:p w:rsidR="00000000" w:rsidRDefault="00000000">
            <w:pPr>
              <w:jc w:val="right"/>
              <w:rPr>
                <w:szCs w:val="23"/>
                <w:lang w:val="es-ES_tradnl"/>
              </w:rPr>
            </w:pPr>
            <w:r>
              <w:rPr>
                <w:szCs w:val="23"/>
                <w:lang w:val="es-ES_tradnl"/>
              </w:rPr>
              <w:t>31,78</w:t>
            </w:r>
          </w:p>
        </w:tc>
        <w:tc>
          <w:tcPr>
            <w:tcW w:w="1092" w:type="dxa"/>
          </w:tcPr>
          <w:p w:rsidR="00000000" w:rsidRDefault="00000000">
            <w:pPr>
              <w:jc w:val="right"/>
              <w:rPr>
                <w:szCs w:val="23"/>
                <w:lang w:val="es-ES_tradnl"/>
              </w:rPr>
            </w:pPr>
            <w:r>
              <w:rPr>
                <w:szCs w:val="23"/>
                <w:lang w:val="es-ES_tradnl"/>
              </w:rPr>
              <w:t>31,12</w:t>
            </w:r>
          </w:p>
        </w:tc>
        <w:tc>
          <w:tcPr>
            <w:tcW w:w="1040" w:type="dxa"/>
          </w:tcPr>
          <w:p w:rsidR="00000000" w:rsidRDefault="00000000">
            <w:pPr>
              <w:jc w:val="right"/>
            </w:pPr>
            <w:r>
              <w:rPr>
                <w:szCs w:val="23"/>
                <w:lang w:val="es-ES_tradnl"/>
              </w:rPr>
              <w:t>32,03</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Intento suicida</w:t>
            </w:r>
          </w:p>
        </w:tc>
        <w:tc>
          <w:tcPr>
            <w:tcW w:w="1131" w:type="dxa"/>
          </w:tcPr>
          <w:p w:rsidR="00000000" w:rsidRDefault="00000000">
            <w:pPr>
              <w:jc w:val="right"/>
              <w:rPr>
                <w:szCs w:val="23"/>
                <w:lang w:val="es-ES_tradnl"/>
              </w:rPr>
            </w:pPr>
            <w:r>
              <w:rPr>
                <w:szCs w:val="23"/>
                <w:lang w:val="es-ES_tradnl"/>
              </w:rPr>
              <w:t>6,73</w:t>
            </w:r>
          </w:p>
        </w:tc>
        <w:tc>
          <w:tcPr>
            <w:tcW w:w="1170" w:type="dxa"/>
          </w:tcPr>
          <w:p w:rsidR="00000000" w:rsidRDefault="00000000">
            <w:pPr>
              <w:jc w:val="right"/>
              <w:rPr>
                <w:szCs w:val="23"/>
                <w:lang w:val="es-ES_tradnl"/>
              </w:rPr>
            </w:pPr>
            <w:r>
              <w:rPr>
                <w:szCs w:val="23"/>
                <w:lang w:val="es-ES_tradnl"/>
              </w:rPr>
              <w:t>7,75</w:t>
            </w:r>
          </w:p>
        </w:tc>
        <w:tc>
          <w:tcPr>
            <w:tcW w:w="1092" w:type="dxa"/>
          </w:tcPr>
          <w:p w:rsidR="00000000" w:rsidRDefault="00000000">
            <w:pPr>
              <w:jc w:val="right"/>
              <w:rPr>
                <w:szCs w:val="23"/>
                <w:lang w:val="es-ES_tradnl"/>
              </w:rPr>
            </w:pPr>
            <w:r>
              <w:rPr>
                <w:szCs w:val="23"/>
                <w:lang w:val="es-ES_tradnl"/>
              </w:rPr>
              <w:t>8,80</w:t>
            </w:r>
          </w:p>
        </w:tc>
        <w:tc>
          <w:tcPr>
            <w:tcW w:w="1131" w:type="dxa"/>
          </w:tcPr>
          <w:p w:rsidR="00000000" w:rsidRDefault="00000000">
            <w:pPr>
              <w:jc w:val="right"/>
              <w:rPr>
                <w:szCs w:val="23"/>
                <w:lang w:val="es-ES_tradnl"/>
              </w:rPr>
            </w:pPr>
            <w:r>
              <w:rPr>
                <w:szCs w:val="23"/>
                <w:lang w:val="es-ES_tradnl"/>
              </w:rPr>
              <w:t>9,96</w:t>
            </w:r>
          </w:p>
        </w:tc>
        <w:tc>
          <w:tcPr>
            <w:tcW w:w="1092" w:type="dxa"/>
          </w:tcPr>
          <w:p w:rsidR="00000000" w:rsidRDefault="00000000">
            <w:pPr>
              <w:jc w:val="right"/>
              <w:rPr>
                <w:szCs w:val="23"/>
                <w:lang w:val="es-ES_tradnl"/>
              </w:rPr>
            </w:pPr>
            <w:r>
              <w:rPr>
                <w:szCs w:val="23"/>
                <w:lang w:val="es-ES_tradnl"/>
              </w:rPr>
              <w:t>9,09</w:t>
            </w:r>
          </w:p>
        </w:tc>
        <w:tc>
          <w:tcPr>
            <w:tcW w:w="1040" w:type="dxa"/>
          </w:tcPr>
          <w:p w:rsidR="00000000" w:rsidRDefault="00000000">
            <w:pPr>
              <w:jc w:val="right"/>
            </w:pPr>
            <w:r>
              <w:rPr>
                <w:szCs w:val="23"/>
                <w:lang w:val="es-ES_tradnl"/>
              </w:rPr>
              <w:t>9,89</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Suicidio consumado</w:t>
            </w:r>
          </w:p>
        </w:tc>
        <w:tc>
          <w:tcPr>
            <w:tcW w:w="1131" w:type="dxa"/>
          </w:tcPr>
          <w:p w:rsidR="00000000" w:rsidRDefault="00000000">
            <w:pPr>
              <w:jc w:val="right"/>
              <w:rPr>
                <w:szCs w:val="23"/>
                <w:lang w:val="es-ES_tradnl"/>
              </w:rPr>
            </w:pPr>
            <w:r>
              <w:rPr>
                <w:szCs w:val="23"/>
                <w:lang w:val="es-ES_tradnl"/>
              </w:rPr>
              <w:t>0,70</w:t>
            </w:r>
          </w:p>
        </w:tc>
        <w:tc>
          <w:tcPr>
            <w:tcW w:w="1170" w:type="dxa"/>
          </w:tcPr>
          <w:p w:rsidR="00000000" w:rsidRDefault="00000000">
            <w:pPr>
              <w:jc w:val="right"/>
              <w:rPr>
                <w:szCs w:val="23"/>
                <w:lang w:val="es-ES_tradnl"/>
              </w:rPr>
            </w:pPr>
            <w:r>
              <w:rPr>
                <w:szCs w:val="23"/>
                <w:lang w:val="es-ES_tradnl"/>
              </w:rPr>
              <w:t>1,00</w:t>
            </w:r>
          </w:p>
        </w:tc>
        <w:tc>
          <w:tcPr>
            <w:tcW w:w="1092" w:type="dxa"/>
          </w:tcPr>
          <w:p w:rsidR="00000000" w:rsidRDefault="00000000">
            <w:pPr>
              <w:jc w:val="right"/>
              <w:rPr>
                <w:szCs w:val="23"/>
                <w:lang w:val="es-ES_tradnl"/>
              </w:rPr>
            </w:pPr>
            <w:r>
              <w:rPr>
                <w:szCs w:val="23"/>
                <w:lang w:val="es-ES_tradnl"/>
              </w:rPr>
              <w:t>0,65</w:t>
            </w:r>
          </w:p>
        </w:tc>
        <w:tc>
          <w:tcPr>
            <w:tcW w:w="1131" w:type="dxa"/>
          </w:tcPr>
          <w:p w:rsidR="00000000" w:rsidRDefault="00000000">
            <w:pPr>
              <w:jc w:val="right"/>
              <w:rPr>
                <w:szCs w:val="23"/>
                <w:lang w:val="es-ES_tradnl"/>
              </w:rPr>
            </w:pPr>
            <w:r>
              <w:rPr>
                <w:szCs w:val="23"/>
                <w:lang w:val="es-ES_tradnl"/>
              </w:rPr>
              <w:t>0,77</w:t>
            </w:r>
          </w:p>
        </w:tc>
        <w:tc>
          <w:tcPr>
            <w:tcW w:w="1092" w:type="dxa"/>
          </w:tcPr>
          <w:p w:rsidR="00000000" w:rsidRDefault="00000000">
            <w:pPr>
              <w:jc w:val="right"/>
              <w:rPr>
                <w:szCs w:val="23"/>
                <w:lang w:val="es-ES_tradnl"/>
              </w:rPr>
            </w:pPr>
            <w:r>
              <w:rPr>
                <w:szCs w:val="23"/>
                <w:lang w:val="es-ES_tradnl"/>
              </w:rPr>
              <w:t>0,67</w:t>
            </w:r>
          </w:p>
        </w:tc>
        <w:tc>
          <w:tcPr>
            <w:tcW w:w="1040" w:type="dxa"/>
          </w:tcPr>
          <w:p w:rsidR="00000000" w:rsidRDefault="00000000">
            <w:pPr>
              <w:jc w:val="right"/>
            </w:pPr>
            <w:r>
              <w:rPr>
                <w:szCs w:val="23"/>
                <w:lang w:val="es-ES_tradnl"/>
              </w:rPr>
              <w:t>0,71</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Violencia y maltrato</w:t>
            </w:r>
          </w:p>
        </w:tc>
        <w:tc>
          <w:tcPr>
            <w:tcW w:w="1131" w:type="dxa"/>
          </w:tcPr>
          <w:p w:rsidR="00000000" w:rsidRDefault="00000000">
            <w:pPr>
              <w:jc w:val="right"/>
              <w:rPr>
                <w:szCs w:val="23"/>
                <w:lang w:val="es-ES_tradnl"/>
              </w:rPr>
            </w:pPr>
            <w:r>
              <w:rPr>
                <w:szCs w:val="23"/>
                <w:lang w:val="es-ES_tradnl"/>
              </w:rPr>
              <w:t>33,07</w:t>
            </w:r>
          </w:p>
        </w:tc>
        <w:tc>
          <w:tcPr>
            <w:tcW w:w="1170" w:type="dxa"/>
          </w:tcPr>
          <w:p w:rsidR="00000000" w:rsidRDefault="00000000">
            <w:pPr>
              <w:jc w:val="right"/>
              <w:rPr>
                <w:szCs w:val="23"/>
                <w:lang w:val="es-ES_tradnl"/>
              </w:rPr>
            </w:pPr>
            <w:r>
              <w:rPr>
                <w:szCs w:val="23"/>
                <w:lang w:val="es-ES_tradnl"/>
              </w:rPr>
              <w:t>35,12</w:t>
            </w:r>
          </w:p>
        </w:tc>
        <w:tc>
          <w:tcPr>
            <w:tcW w:w="1092" w:type="dxa"/>
          </w:tcPr>
          <w:p w:rsidR="00000000" w:rsidRDefault="00000000">
            <w:pPr>
              <w:jc w:val="right"/>
              <w:rPr>
                <w:szCs w:val="23"/>
                <w:lang w:val="es-ES_tradnl"/>
              </w:rPr>
            </w:pPr>
            <w:r>
              <w:rPr>
                <w:szCs w:val="23"/>
                <w:lang w:val="es-ES_tradnl"/>
              </w:rPr>
              <w:t>27,91</w:t>
            </w:r>
          </w:p>
        </w:tc>
        <w:tc>
          <w:tcPr>
            <w:tcW w:w="1131" w:type="dxa"/>
          </w:tcPr>
          <w:p w:rsidR="00000000" w:rsidRDefault="00000000">
            <w:pPr>
              <w:jc w:val="right"/>
              <w:rPr>
                <w:szCs w:val="23"/>
                <w:lang w:val="es-ES_tradnl"/>
              </w:rPr>
            </w:pPr>
            <w:r>
              <w:rPr>
                <w:szCs w:val="23"/>
                <w:lang w:val="es-ES_tradnl"/>
              </w:rPr>
              <w:t>33,63</w:t>
            </w:r>
          </w:p>
        </w:tc>
        <w:tc>
          <w:tcPr>
            <w:tcW w:w="1092" w:type="dxa"/>
          </w:tcPr>
          <w:p w:rsidR="00000000" w:rsidRDefault="00000000">
            <w:pPr>
              <w:jc w:val="right"/>
              <w:rPr>
                <w:szCs w:val="23"/>
                <w:lang w:val="es-ES_tradnl"/>
              </w:rPr>
            </w:pPr>
            <w:r>
              <w:rPr>
                <w:szCs w:val="23"/>
                <w:lang w:val="es-ES_tradnl"/>
              </w:rPr>
              <w:t>35,28</w:t>
            </w:r>
          </w:p>
        </w:tc>
        <w:tc>
          <w:tcPr>
            <w:tcW w:w="1040" w:type="dxa"/>
          </w:tcPr>
          <w:p w:rsidR="00000000" w:rsidRDefault="00000000">
            <w:pPr>
              <w:jc w:val="right"/>
            </w:pPr>
            <w:r>
              <w:rPr>
                <w:szCs w:val="23"/>
                <w:lang w:val="es-ES_tradnl"/>
              </w:rPr>
              <w:t>34,02</w:t>
            </w:r>
          </w:p>
        </w:tc>
      </w:tr>
      <w:tr w:rsidR="00000000">
        <w:tblPrEx>
          <w:tblCellMar>
            <w:top w:w="0" w:type="dxa"/>
            <w:bottom w:w="0" w:type="dxa"/>
          </w:tblCellMar>
        </w:tblPrEx>
        <w:trPr>
          <w:jc w:val="right"/>
        </w:trPr>
        <w:tc>
          <w:tcPr>
            <w:tcW w:w="2839" w:type="dxa"/>
          </w:tcPr>
          <w:p w:rsidR="00000000" w:rsidRDefault="00000000">
            <w:pPr>
              <w:rPr>
                <w:szCs w:val="22"/>
                <w:lang w:val="es-ES_tradnl"/>
              </w:rPr>
            </w:pPr>
            <w:r>
              <w:rPr>
                <w:szCs w:val="22"/>
                <w:lang w:val="es-ES_tradnl"/>
              </w:rPr>
              <w:t>Psicosis</w:t>
            </w:r>
          </w:p>
        </w:tc>
        <w:tc>
          <w:tcPr>
            <w:tcW w:w="1131" w:type="dxa"/>
          </w:tcPr>
          <w:p w:rsidR="00000000" w:rsidRDefault="00000000">
            <w:pPr>
              <w:jc w:val="right"/>
              <w:rPr>
                <w:szCs w:val="22"/>
                <w:lang w:val="es-ES_tradnl"/>
              </w:rPr>
            </w:pPr>
            <w:r>
              <w:rPr>
                <w:szCs w:val="22"/>
                <w:lang w:val="es-ES_tradnl"/>
              </w:rPr>
              <w:t>3,70</w:t>
            </w:r>
          </w:p>
        </w:tc>
        <w:tc>
          <w:tcPr>
            <w:tcW w:w="1170" w:type="dxa"/>
          </w:tcPr>
          <w:p w:rsidR="00000000" w:rsidRDefault="00000000">
            <w:pPr>
              <w:jc w:val="right"/>
              <w:rPr>
                <w:szCs w:val="22"/>
                <w:lang w:val="es-ES_tradnl"/>
              </w:rPr>
            </w:pPr>
            <w:r>
              <w:rPr>
                <w:szCs w:val="22"/>
                <w:lang w:val="es-ES_tradnl"/>
              </w:rPr>
              <w:t>3,72</w:t>
            </w:r>
          </w:p>
        </w:tc>
        <w:tc>
          <w:tcPr>
            <w:tcW w:w="1092" w:type="dxa"/>
          </w:tcPr>
          <w:p w:rsidR="00000000" w:rsidRDefault="00000000">
            <w:pPr>
              <w:jc w:val="right"/>
              <w:rPr>
                <w:szCs w:val="22"/>
                <w:lang w:val="es-ES_tradnl"/>
              </w:rPr>
            </w:pPr>
            <w:r>
              <w:rPr>
                <w:szCs w:val="22"/>
                <w:lang w:val="es-ES_tradnl"/>
              </w:rPr>
              <w:t>5,48</w:t>
            </w:r>
          </w:p>
        </w:tc>
        <w:tc>
          <w:tcPr>
            <w:tcW w:w="1131" w:type="dxa"/>
          </w:tcPr>
          <w:p w:rsidR="00000000" w:rsidRDefault="00000000">
            <w:pPr>
              <w:jc w:val="right"/>
              <w:rPr>
                <w:szCs w:val="22"/>
                <w:lang w:val="es-ES_tradnl"/>
              </w:rPr>
            </w:pPr>
            <w:r>
              <w:rPr>
                <w:szCs w:val="22"/>
                <w:lang w:val="es-ES_tradnl"/>
              </w:rPr>
              <w:t>5,58</w:t>
            </w:r>
          </w:p>
        </w:tc>
        <w:tc>
          <w:tcPr>
            <w:tcW w:w="1092" w:type="dxa"/>
          </w:tcPr>
          <w:p w:rsidR="00000000" w:rsidRDefault="00000000">
            <w:pPr>
              <w:jc w:val="right"/>
              <w:rPr>
                <w:szCs w:val="22"/>
                <w:lang w:val="es-ES_tradnl"/>
              </w:rPr>
            </w:pPr>
            <w:r>
              <w:rPr>
                <w:szCs w:val="22"/>
                <w:lang w:val="es-ES_tradnl"/>
              </w:rPr>
              <w:t>4,21</w:t>
            </w:r>
          </w:p>
        </w:tc>
        <w:tc>
          <w:tcPr>
            <w:tcW w:w="1040" w:type="dxa"/>
          </w:tcPr>
          <w:p w:rsidR="00000000" w:rsidRDefault="00000000">
            <w:pPr>
              <w:jc w:val="right"/>
            </w:pPr>
            <w:r>
              <w:rPr>
                <w:szCs w:val="22"/>
                <w:lang w:val="es-ES_tradnl"/>
              </w:rPr>
              <w:t>4,77</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Demencia</w:t>
            </w:r>
          </w:p>
        </w:tc>
        <w:tc>
          <w:tcPr>
            <w:tcW w:w="1131" w:type="dxa"/>
          </w:tcPr>
          <w:p w:rsidR="00000000" w:rsidRDefault="00000000">
            <w:pPr>
              <w:jc w:val="right"/>
              <w:rPr>
                <w:szCs w:val="23"/>
                <w:lang w:val="es-ES_tradnl"/>
              </w:rPr>
            </w:pPr>
            <w:r>
              <w:rPr>
                <w:szCs w:val="23"/>
                <w:lang w:val="es-ES_tradnl"/>
              </w:rPr>
              <w:t>0,98</w:t>
            </w:r>
          </w:p>
        </w:tc>
        <w:tc>
          <w:tcPr>
            <w:tcW w:w="1170" w:type="dxa"/>
          </w:tcPr>
          <w:p w:rsidR="00000000" w:rsidRDefault="00000000">
            <w:pPr>
              <w:jc w:val="right"/>
              <w:rPr>
                <w:szCs w:val="23"/>
                <w:lang w:val="es-ES_tradnl"/>
              </w:rPr>
            </w:pPr>
            <w:r>
              <w:rPr>
                <w:szCs w:val="23"/>
                <w:lang w:val="es-ES_tradnl"/>
              </w:rPr>
              <w:t>1,12</w:t>
            </w:r>
          </w:p>
        </w:tc>
        <w:tc>
          <w:tcPr>
            <w:tcW w:w="1092" w:type="dxa"/>
          </w:tcPr>
          <w:p w:rsidR="00000000" w:rsidRDefault="00000000">
            <w:pPr>
              <w:jc w:val="right"/>
              <w:rPr>
                <w:szCs w:val="23"/>
                <w:lang w:val="es-ES_tradnl"/>
              </w:rPr>
            </w:pPr>
            <w:r>
              <w:rPr>
                <w:szCs w:val="23"/>
                <w:lang w:val="es-ES_tradnl"/>
              </w:rPr>
              <w:t>1,36</w:t>
            </w:r>
          </w:p>
        </w:tc>
        <w:tc>
          <w:tcPr>
            <w:tcW w:w="1131" w:type="dxa"/>
          </w:tcPr>
          <w:p w:rsidR="00000000" w:rsidRDefault="00000000">
            <w:pPr>
              <w:jc w:val="right"/>
              <w:rPr>
                <w:szCs w:val="23"/>
                <w:lang w:val="es-ES_tradnl"/>
              </w:rPr>
            </w:pPr>
            <w:r>
              <w:rPr>
                <w:szCs w:val="23"/>
                <w:lang w:val="es-ES_tradnl"/>
              </w:rPr>
              <w:t>1,04</w:t>
            </w:r>
          </w:p>
        </w:tc>
        <w:tc>
          <w:tcPr>
            <w:tcW w:w="1092" w:type="dxa"/>
          </w:tcPr>
          <w:p w:rsidR="00000000" w:rsidRDefault="00000000">
            <w:pPr>
              <w:jc w:val="right"/>
              <w:rPr>
                <w:szCs w:val="23"/>
                <w:lang w:val="es-ES_tradnl"/>
              </w:rPr>
            </w:pPr>
            <w:r>
              <w:rPr>
                <w:szCs w:val="23"/>
                <w:lang w:val="es-ES_tradnl"/>
              </w:rPr>
              <w:t>0,72</w:t>
            </w:r>
          </w:p>
        </w:tc>
        <w:tc>
          <w:tcPr>
            <w:tcW w:w="1040" w:type="dxa"/>
          </w:tcPr>
          <w:p w:rsidR="00000000" w:rsidRDefault="00000000">
            <w:pPr>
              <w:jc w:val="right"/>
            </w:pPr>
            <w:r>
              <w:rPr>
                <w:szCs w:val="23"/>
                <w:lang w:val="es-ES_tradnl"/>
              </w:rPr>
              <w:t>0,89</w:t>
            </w:r>
          </w:p>
        </w:tc>
      </w:tr>
      <w:tr w:rsidR="00000000">
        <w:tblPrEx>
          <w:tblCellMar>
            <w:top w:w="0" w:type="dxa"/>
            <w:bottom w:w="0" w:type="dxa"/>
          </w:tblCellMar>
        </w:tblPrEx>
        <w:trPr>
          <w:jc w:val="right"/>
        </w:trPr>
        <w:tc>
          <w:tcPr>
            <w:tcW w:w="2839" w:type="dxa"/>
          </w:tcPr>
          <w:p w:rsidR="00000000" w:rsidRDefault="00000000">
            <w:pPr>
              <w:rPr>
                <w:szCs w:val="23"/>
                <w:lang w:val="es-ES_tradnl"/>
              </w:rPr>
            </w:pPr>
            <w:r>
              <w:rPr>
                <w:szCs w:val="23"/>
                <w:lang w:val="es-ES_tradnl"/>
              </w:rPr>
              <w:t>Retardo mental</w:t>
            </w:r>
          </w:p>
        </w:tc>
        <w:tc>
          <w:tcPr>
            <w:tcW w:w="1131" w:type="dxa"/>
          </w:tcPr>
          <w:p w:rsidR="00000000" w:rsidRDefault="00000000">
            <w:pPr>
              <w:jc w:val="right"/>
              <w:rPr>
                <w:szCs w:val="23"/>
                <w:lang w:val="es-ES_tradnl"/>
              </w:rPr>
            </w:pPr>
            <w:r>
              <w:rPr>
                <w:szCs w:val="23"/>
                <w:lang w:val="es-ES_tradnl"/>
              </w:rPr>
              <w:t>4,58</w:t>
            </w:r>
          </w:p>
        </w:tc>
        <w:tc>
          <w:tcPr>
            <w:tcW w:w="1170" w:type="dxa"/>
          </w:tcPr>
          <w:p w:rsidR="00000000" w:rsidRDefault="00000000">
            <w:pPr>
              <w:jc w:val="right"/>
              <w:rPr>
                <w:szCs w:val="23"/>
                <w:lang w:val="es-ES_tradnl"/>
              </w:rPr>
            </w:pPr>
            <w:r>
              <w:rPr>
                <w:szCs w:val="23"/>
                <w:lang w:val="es-ES_tradnl"/>
              </w:rPr>
              <w:t>4,66</w:t>
            </w:r>
          </w:p>
        </w:tc>
        <w:tc>
          <w:tcPr>
            <w:tcW w:w="1092" w:type="dxa"/>
          </w:tcPr>
          <w:p w:rsidR="00000000" w:rsidRDefault="00000000">
            <w:pPr>
              <w:jc w:val="right"/>
              <w:rPr>
                <w:szCs w:val="23"/>
                <w:lang w:val="es-ES_tradnl"/>
              </w:rPr>
            </w:pPr>
            <w:r>
              <w:rPr>
                <w:szCs w:val="23"/>
                <w:lang w:val="es-ES_tradnl"/>
              </w:rPr>
              <w:t>5,75</w:t>
            </w:r>
          </w:p>
        </w:tc>
        <w:tc>
          <w:tcPr>
            <w:tcW w:w="1131" w:type="dxa"/>
          </w:tcPr>
          <w:p w:rsidR="00000000" w:rsidRDefault="00000000">
            <w:pPr>
              <w:jc w:val="right"/>
              <w:rPr>
                <w:szCs w:val="23"/>
                <w:lang w:val="es-ES_tradnl"/>
              </w:rPr>
            </w:pPr>
            <w:r>
              <w:rPr>
                <w:szCs w:val="23"/>
                <w:lang w:val="es-ES_tradnl"/>
              </w:rPr>
              <w:t>4,49</w:t>
            </w:r>
          </w:p>
        </w:tc>
        <w:tc>
          <w:tcPr>
            <w:tcW w:w="1092" w:type="dxa"/>
          </w:tcPr>
          <w:p w:rsidR="00000000" w:rsidRDefault="00000000">
            <w:pPr>
              <w:jc w:val="right"/>
              <w:rPr>
                <w:szCs w:val="23"/>
                <w:lang w:val="es-ES_tradnl"/>
              </w:rPr>
            </w:pPr>
            <w:r>
              <w:rPr>
                <w:szCs w:val="23"/>
                <w:lang w:val="es-ES_tradnl"/>
              </w:rPr>
              <w:t>4,67</w:t>
            </w:r>
          </w:p>
        </w:tc>
        <w:tc>
          <w:tcPr>
            <w:tcW w:w="1040" w:type="dxa"/>
          </w:tcPr>
          <w:p w:rsidR="00000000" w:rsidRDefault="00000000">
            <w:pPr>
              <w:jc w:val="right"/>
            </w:pPr>
            <w:r>
              <w:rPr>
                <w:szCs w:val="23"/>
                <w:lang w:val="es-ES_tradnl"/>
              </w:rPr>
              <w:t>4,87</w:t>
            </w:r>
          </w:p>
        </w:tc>
      </w:tr>
      <w:tr w:rsidR="00000000">
        <w:tblPrEx>
          <w:tblCellMar>
            <w:top w:w="0" w:type="dxa"/>
            <w:bottom w:w="0" w:type="dxa"/>
          </w:tblCellMar>
        </w:tblPrEx>
        <w:trPr>
          <w:jc w:val="right"/>
        </w:trPr>
        <w:tc>
          <w:tcPr>
            <w:tcW w:w="2839" w:type="dxa"/>
          </w:tcPr>
          <w:p w:rsidR="00000000" w:rsidRDefault="00000000">
            <w:pPr>
              <w:rPr>
                <w:szCs w:val="22"/>
                <w:lang w:val="es-ES_tradnl"/>
              </w:rPr>
            </w:pPr>
            <w:r>
              <w:rPr>
                <w:szCs w:val="22"/>
                <w:lang w:val="es-ES_tradnl"/>
              </w:rPr>
              <w:t>Epilepsia</w:t>
            </w:r>
          </w:p>
        </w:tc>
        <w:tc>
          <w:tcPr>
            <w:tcW w:w="1131" w:type="dxa"/>
          </w:tcPr>
          <w:p w:rsidR="00000000" w:rsidRDefault="00000000">
            <w:pPr>
              <w:jc w:val="right"/>
              <w:rPr>
                <w:szCs w:val="22"/>
                <w:lang w:val="es-ES_tradnl"/>
              </w:rPr>
            </w:pPr>
            <w:r>
              <w:rPr>
                <w:szCs w:val="22"/>
                <w:lang w:val="es-ES_tradnl"/>
              </w:rPr>
              <w:t>25,78</w:t>
            </w:r>
          </w:p>
        </w:tc>
        <w:tc>
          <w:tcPr>
            <w:tcW w:w="1170" w:type="dxa"/>
          </w:tcPr>
          <w:p w:rsidR="00000000" w:rsidRDefault="00000000">
            <w:pPr>
              <w:jc w:val="right"/>
              <w:rPr>
                <w:szCs w:val="22"/>
                <w:lang w:val="es-ES_tradnl"/>
              </w:rPr>
            </w:pPr>
            <w:r>
              <w:rPr>
                <w:szCs w:val="22"/>
                <w:lang w:val="es-ES_tradnl"/>
              </w:rPr>
              <w:t>29,90</w:t>
            </w:r>
          </w:p>
        </w:tc>
        <w:tc>
          <w:tcPr>
            <w:tcW w:w="1092" w:type="dxa"/>
          </w:tcPr>
          <w:p w:rsidR="00000000" w:rsidRDefault="00000000">
            <w:pPr>
              <w:jc w:val="right"/>
              <w:rPr>
                <w:szCs w:val="22"/>
                <w:lang w:val="es-ES_tradnl"/>
              </w:rPr>
            </w:pPr>
            <w:r>
              <w:rPr>
                <w:szCs w:val="22"/>
                <w:lang w:val="es-ES_tradnl"/>
              </w:rPr>
              <w:t>33,43</w:t>
            </w:r>
          </w:p>
        </w:tc>
        <w:tc>
          <w:tcPr>
            <w:tcW w:w="1131" w:type="dxa"/>
          </w:tcPr>
          <w:p w:rsidR="00000000" w:rsidRDefault="00000000">
            <w:pPr>
              <w:jc w:val="right"/>
              <w:rPr>
                <w:szCs w:val="22"/>
                <w:lang w:val="es-ES_tradnl"/>
              </w:rPr>
            </w:pPr>
            <w:r>
              <w:rPr>
                <w:szCs w:val="22"/>
                <w:lang w:val="es-ES_tradnl"/>
              </w:rPr>
              <w:t>23,07</w:t>
            </w:r>
          </w:p>
        </w:tc>
        <w:tc>
          <w:tcPr>
            <w:tcW w:w="1092" w:type="dxa"/>
          </w:tcPr>
          <w:p w:rsidR="00000000" w:rsidRDefault="00000000">
            <w:pPr>
              <w:jc w:val="right"/>
              <w:rPr>
                <w:szCs w:val="22"/>
                <w:lang w:val="es-ES_tradnl"/>
              </w:rPr>
            </w:pPr>
            <w:r>
              <w:rPr>
                <w:szCs w:val="22"/>
                <w:lang w:val="es-ES_tradnl"/>
              </w:rPr>
              <w:t>23,24</w:t>
            </w:r>
          </w:p>
        </w:tc>
        <w:tc>
          <w:tcPr>
            <w:tcW w:w="1040" w:type="dxa"/>
          </w:tcPr>
          <w:p w:rsidR="00000000" w:rsidRDefault="00000000">
            <w:pPr>
              <w:jc w:val="right"/>
            </w:pPr>
            <w:r>
              <w:rPr>
                <w:szCs w:val="22"/>
                <w:lang w:val="es-ES_tradnl"/>
              </w:rPr>
              <w:t>23,22</w:t>
            </w:r>
          </w:p>
        </w:tc>
      </w:tr>
    </w:tbl>
    <w:p w:rsidR="00000000" w:rsidRDefault="00000000">
      <w:pPr>
        <w:spacing w:before="240" w:after="200"/>
      </w:pPr>
      <w:r>
        <w:rPr>
          <w:i/>
          <w:iCs/>
          <w:szCs w:val="23"/>
          <w:lang w:val="es-ES_tradnl"/>
        </w:rPr>
        <w:t>Fuente</w:t>
      </w:r>
      <w:r>
        <w:rPr>
          <w:szCs w:val="23"/>
          <w:lang w:val="es-ES_tradnl"/>
        </w:rPr>
        <w:t>:  Dirección Nacional de Epidemiología - MSP, 1998-2000.</w:t>
      </w:r>
    </w:p>
    <w:p w:rsidR="00000000" w:rsidRDefault="00000000">
      <w:r>
        <w:rPr>
          <w:i/>
          <w:iCs/>
          <w:szCs w:val="23"/>
          <w:lang w:val="es-ES_tradnl"/>
        </w:rPr>
        <w:t>Nota</w:t>
      </w:r>
      <w:r>
        <w:rPr>
          <w:szCs w:val="23"/>
          <w:lang w:val="es-ES_tradnl"/>
        </w:rPr>
        <w:t>:  Tasas por 100.000 habitantes.</w:t>
      </w:r>
    </w:p>
    <w:p w:rsidR="00000000" w:rsidRDefault="00000000">
      <w:pPr>
        <w:spacing w:after="240"/>
      </w:pPr>
      <w:r>
        <w:rPr>
          <w:szCs w:val="25"/>
          <w:lang w:val="es-ES_tradnl"/>
        </w:rPr>
        <w:t>383.</w:t>
      </w:r>
      <w:r>
        <w:rPr>
          <w:szCs w:val="25"/>
          <w:lang w:val="es-ES_tradnl"/>
        </w:rPr>
        <w:tab/>
        <w:t>A partir de los reportes del sistema nacional de vigilancia epidemiológica del Ministerio de Salud Pública y tomando en consideración los equipos de salud, se tienen dificultades para identificar los problemas de salud mental.  Se puede tener la siguiente apreciación de los problemas de salud mental sujetos a vigilancia:</w:t>
      </w:r>
    </w:p>
    <w:p w:rsidR="00000000" w:rsidRDefault="00000000">
      <w:pPr>
        <w:spacing w:after="240"/>
        <w:ind w:left="1134" w:hanging="567"/>
      </w:pPr>
      <w:r>
        <w:rPr>
          <w:szCs w:val="25"/>
          <w:lang w:val="es-ES_tradnl"/>
        </w:rPr>
        <w:t>a)</w:t>
      </w:r>
      <w:r>
        <w:rPr>
          <w:szCs w:val="25"/>
          <w:lang w:val="es-ES_tradnl"/>
        </w:rPr>
        <w:tab/>
        <w:t xml:space="preserve">El perfil epidemiológico de la salud mental en el Ecuador se caracteriza por un creciente incremento de patologías desencadenadas por conflictos </w:t>
      </w:r>
      <w:proofErr w:type="spellStart"/>
      <w:r>
        <w:rPr>
          <w:szCs w:val="25"/>
          <w:lang w:val="es-ES_tradnl"/>
        </w:rPr>
        <w:t>psicosociales</w:t>
      </w:r>
      <w:proofErr w:type="spellEnd"/>
      <w:r>
        <w:rPr>
          <w:szCs w:val="25"/>
          <w:lang w:val="es-ES_tradnl"/>
        </w:rPr>
        <w:t xml:space="preserve"> tales como:  violencia con todas sus formas de expresión (niños, mujeres, homicidios, pandillas juveniles), depresión y suicidio, trastornos asociados al estrés, alcoholismo y </w:t>
      </w:r>
      <w:proofErr w:type="spellStart"/>
      <w:r>
        <w:rPr>
          <w:szCs w:val="25"/>
          <w:lang w:val="es-ES_tradnl"/>
        </w:rPr>
        <w:t>farmacodependencia</w:t>
      </w:r>
      <w:proofErr w:type="spellEnd"/>
      <w:r>
        <w:rPr>
          <w:szCs w:val="25"/>
          <w:lang w:val="es-ES_tradnl"/>
        </w:rPr>
        <w:t>.</w:t>
      </w:r>
    </w:p>
    <w:p w:rsidR="00000000" w:rsidRDefault="00000000">
      <w:pPr>
        <w:spacing w:after="240"/>
        <w:ind w:left="1134" w:hanging="567"/>
      </w:pPr>
      <w:r>
        <w:rPr>
          <w:szCs w:val="25"/>
          <w:lang w:val="es-ES_tradnl"/>
        </w:rPr>
        <w:t>b)</w:t>
      </w:r>
      <w:r>
        <w:rPr>
          <w:szCs w:val="25"/>
          <w:lang w:val="es-ES_tradnl"/>
        </w:rPr>
        <w:tab/>
        <w:t xml:space="preserve">Persistencia elevada de patologías asociadas a lesiones orgánicas como epilepsia y retardo mental e incremento paulatino de las demencias.  Hay </w:t>
      </w:r>
      <w:proofErr w:type="spellStart"/>
      <w:r>
        <w:rPr>
          <w:szCs w:val="25"/>
          <w:lang w:val="es-ES_tradnl"/>
        </w:rPr>
        <w:t>prevalencia</w:t>
      </w:r>
      <w:proofErr w:type="spellEnd"/>
      <w:r>
        <w:rPr>
          <w:szCs w:val="25"/>
          <w:lang w:val="es-ES_tradnl"/>
        </w:rPr>
        <w:t xml:space="preserve"> dentro de rasgos internacionalmente similares de enfermedades psiquiátricas clásicas:  esquizofrenia, psicosis afectivas y otras psicosis.</w:t>
      </w:r>
    </w:p>
    <w:p w:rsidR="00000000" w:rsidRDefault="00000000">
      <w:pPr>
        <w:spacing w:after="240"/>
      </w:pPr>
      <w:r>
        <w:rPr>
          <w:szCs w:val="25"/>
          <w:lang w:val="es-ES_tradnl"/>
        </w:rPr>
        <w:t>384.</w:t>
      </w:r>
      <w:r>
        <w:rPr>
          <w:szCs w:val="25"/>
          <w:lang w:val="es-ES_tradnl"/>
        </w:rPr>
        <w:tab/>
        <w:t>Como ha sido demostrado en estudios epidemiológicos, los perfiles de salud-enfermedad guardan estrecha relación con los procesos sociales, de modo que cuando hay crisis sociopolítica y económica, empobrecimiento de la población, inestabilidad política, desempleo, concomitantemente hay un grave impacto sobre la salud de la población.  De ahí cabe suponer que los cambios ocurridos en el país en los últimos diez años, y particularmente en los últimos dos, han afectado gravemente la condición de la población, incidiendo desfavorablemente en la salud de la misma.  Por lo tanto, si en la actualidad hay una grave carencia de recursos especializados y deficiencias en la capacitación de los equipos de salud en el ámbito primario, mucho más grave será en los años siguientes.  Organismos internacionales recomiendan incrementar para el año 2000 el número de profesionales dedicados al cuidado y recuperación de la salud mental, ya que debido a los cambios demográficos el número total de casos de esquizofrenia en las sociedades de bajos ingresos aumentará en un 45%, los trastornos efectivos se duplicarán y la violencia social tendrá un curso ascendente de impredecibles consecuencias</w:t>
      </w:r>
      <w:r>
        <w:rPr>
          <w:rStyle w:val="FootnoteReference"/>
          <w:szCs w:val="25"/>
          <w:lang w:val="es-ES_tradnl"/>
        </w:rPr>
        <w:footnoteReference w:id="55"/>
      </w:r>
      <w:r>
        <w:rPr>
          <w:szCs w:val="25"/>
          <w:lang w:val="es-ES_tradnl"/>
        </w:rPr>
        <w:t>.</w:t>
      </w:r>
    </w:p>
    <w:p w:rsidR="00000000" w:rsidRDefault="00000000">
      <w:pPr>
        <w:spacing w:after="240"/>
      </w:pPr>
      <w:r>
        <w:rPr>
          <w:b/>
          <w:bCs/>
          <w:szCs w:val="25"/>
          <w:lang w:val="es-ES_tradnl"/>
        </w:rPr>
        <w:t>Atención primaria de la salud</w:t>
      </w:r>
    </w:p>
    <w:p w:rsidR="00000000" w:rsidRDefault="00000000">
      <w:pPr>
        <w:spacing w:after="240"/>
      </w:pPr>
      <w:r>
        <w:rPr>
          <w:szCs w:val="25"/>
          <w:lang w:val="es-ES_tradnl"/>
        </w:rPr>
        <w:t>385.</w:t>
      </w:r>
      <w:r>
        <w:rPr>
          <w:szCs w:val="25"/>
          <w:lang w:val="es-ES_tradnl"/>
        </w:rPr>
        <w:tab/>
        <w:t>El Ministerio de Salud Pública señala la salud como base del desarrollo humano sostenible y por lo tanto como prioridad política del Gobierno nacional.  La salud es una responsabilidad pública, a la par que un derecho y un deber ciudadano, se la concibe de manera integral, resultante de acciones intersectoriales relativas a la promoción y la atención médica, conforme a los principios de equidad, universalidad, solidaridad y calidad.</w:t>
      </w:r>
    </w:p>
    <w:p w:rsidR="00000000" w:rsidRDefault="00000000">
      <w:pPr>
        <w:spacing w:after="240"/>
        <w:rPr>
          <w:szCs w:val="25"/>
          <w:lang w:val="es-ES_tradnl"/>
        </w:rPr>
      </w:pPr>
      <w:r>
        <w:rPr>
          <w:szCs w:val="25"/>
          <w:lang w:val="es-ES_tradnl"/>
        </w:rPr>
        <w:t>386.</w:t>
      </w:r>
      <w:r>
        <w:rPr>
          <w:szCs w:val="25"/>
          <w:lang w:val="es-ES_tradnl"/>
        </w:rPr>
        <w:tab/>
        <w:t xml:space="preserve">Se postula como visión de una sociedad saludable el que todas las personas, sin discriminación alguna, logren su bienestar físico, emocional y social; vivan en un entorno familiar y social que favorezca su desarrollo y un ambiente libre de contaminación; tengan una alimentación y nutrición adecuadas y accedan a comunicación y educación para la salud y a servicios médicos de calidad.  </w:t>
      </w:r>
    </w:p>
    <w:p w:rsidR="00000000" w:rsidRDefault="00000000">
      <w:pPr>
        <w:spacing w:after="240"/>
      </w:pPr>
      <w:r>
        <w:rPr>
          <w:szCs w:val="25"/>
          <w:lang w:val="es-ES_tradnl"/>
        </w:rPr>
        <w:t>387.</w:t>
      </w:r>
      <w:r>
        <w:rPr>
          <w:szCs w:val="25"/>
          <w:lang w:val="es-ES_tradnl"/>
        </w:rPr>
        <w:tab/>
        <w:t xml:space="preserve">Para alcanzar los propósitos antes señalados se proponen algunas estrategias generales, </w:t>
      </w:r>
      <w:r>
        <w:t>a saber</w:t>
      </w:r>
      <w:r>
        <w:rPr>
          <w:szCs w:val="25"/>
          <w:lang w:val="es-ES_tradnl"/>
        </w:rPr>
        <w:t>:</w:t>
      </w:r>
    </w:p>
    <w:p w:rsidR="00000000" w:rsidRDefault="00000000">
      <w:pPr>
        <w:spacing w:after="240"/>
        <w:ind w:left="1134" w:hanging="567"/>
      </w:pPr>
      <w:r>
        <w:rPr>
          <w:szCs w:val="25"/>
          <w:lang w:val="es-ES_tradnl"/>
        </w:rPr>
        <w:t>a)</w:t>
      </w:r>
      <w:r>
        <w:rPr>
          <w:szCs w:val="25"/>
          <w:lang w:val="es-ES_tradnl"/>
        </w:rPr>
        <w:tab/>
        <w:t>Valoración política de lo social y de la salud y de la incorporación en la estrategia general de desarrollo económico social del país;</w:t>
      </w:r>
    </w:p>
    <w:p w:rsidR="00000000" w:rsidRDefault="00000000">
      <w:pPr>
        <w:spacing w:after="240"/>
        <w:ind w:left="1134" w:hanging="567"/>
      </w:pPr>
      <w:r>
        <w:rPr>
          <w:szCs w:val="25"/>
          <w:lang w:val="es-ES_tradnl"/>
        </w:rPr>
        <w:t>b)</w:t>
      </w:r>
      <w:r>
        <w:rPr>
          <w:szCs w:val="25"/>
          <w:lang w:val="es-ES_tradnl"/>
        </w:rPr>
        <w:tab/>
        <w:t xml:space="preserve">Impulso a los procesos de reforma del sector salud, considerando las políticas que han logrado consenso y las propuestas que han mostrado </w:t>
      </w:r>
      <w:proofErr w:type="spellStart"/>
      <w:r>
        <w:rPr>
          <w:szCs w:val="25"/>
          <w:lang w:val="es-ES_tradnl"/>
        </w:rPr>
        <w:t>sustentabilidad</w:t>
      </w:r>
      <w:proofErr w:type="spellEnd"/>
      <w:r>
        <w:rPr>
          <w:szCs w:val="25"/>
          <w:lang w:val="es-ES_tradnl"/>
        </w:rPr>
        <w:t xml:space="preserve"> técnica y financiera;</w:t>
      </w:r>
    </w:p>
    <w:p w:rsidR="00000000" w:rsidRDefault="00000000">
      <w:pPr>
        <w:spacing w:after="240"/>
        <w:ind w:left="1134" w:hanging="567"/>
      </w:pPr>
      <w:r>
        <w:rPr>
          <w:szCs w:val="25"/>
        </w:rPr>
        <w:t>c)</w:t>
      </w:r>
      <w:r>
        <w:rPr>
          <w:szCs w:val="25"/>
        </w:rPr>
        <w:tab/>
      </w:r>
      <w:r>
        <w:rPr>
          <w:szCs w:val="25"/>
          <w:lang w:val="es-ES_tradnl"/>
        </w:rPr>
        <w:t xml:space="preserve">Fortalecimiento del nuevo papel rector del Estado, que impulse modelos de salud para integrar la promoción con la atención médica en los niveles:  personal, familiar y comunitario; y que ofrezca </w:t>
      </w:r>
      <w:proofErr w:type="spellStart"/>
      <w:r>
        <w:rPr>
          <w:szCs w:val="25"/>
          <w:lang w:val="es-ES_tradnl"/>
        </w:rPr>
        <w:t>sustentabilidad</w:t>
      </w:r>
      <w:proofErr w:type="spellEnd"/>
      <w:r>
        <w:rPr>
          <w:szCs w:val="25"/>
          <w:lang w:val="es-ES_tradnl"/>
        </w:rPr>
        <w:t xml:space="preserve"> social, política y económica;</w:t>
      </w:r>
    </w:p>
    <w:p w:rsidR="00000000" w:rsidRDefault="00000000">
      <w:pPr>
        <w:spacing w:after="240"/>
        <w:ind w:left="1134" w:hanging="567"/>
      </w:pPr>
      <w:r>
        <w:rPr>
          <w:szCs w:val="25"/>
          <w:lang w:val="es-ES_tradnl"/>
        </w:rPr>
        <w:t>d)</w:t>
      </w:r>
      <w:r>
        <w:rPr>
          <w:szCs w:val="25"/>
          <w:lang w:val="es-ES_tradnl"/>
        </w:rPr>
        <w:tab/>
        <w:t>Gestión descentralizada, desconcentrada y participativa;</w:t>
      </w:r>
    </w:p>
    <w:p w:rsidR="00000000" w:rsidRDefault="00000000">
      <w:pPr>
        <w:spacing w:after="240"/>
        <w:ind w:left="1134" w:hanging="567"/>
      </w:pPr>
      <w:r>
        <w:rPr>
          <w:szCs w:val="25"/>
          <w:lang w:val="es-ES_tradnl"/>
        </w:rPr>
        <w:t>e)</w:t>
      </w:r>
      <w:r>
        <w:rPr>
          <w:szCs w:val="25"/>
          <w:lang w:val="es-ES_tradnl"/>
        </w:rPr>
        <w:tab/>
        <w:t>Organización del Sistema Nacional de Salud que permita optimizar los esfuerzos y recursos para mejorar la cobertura y calidad de los servicios.</w:t>
      </w:r>
    </w:p>
    <w:p w:rsidR="00000000" w:rsidRDefault="00000000">
      <w:pPr>
        <w:spacing w:after="240"/>
      </w:pPr>
      <w:r>
        <w:rPr>
          <w:i/>
          <w:iCs/>
          <w:szCs w:val="25"/>
          <w:lang w:val="es-ES_tradnl"/>
        </w:rPr>
        <w:t>Presupuesto para la salud</w:t>
      </w:r>
    </w:p>
    <w:p w:rsidR="00000000" w:rsidRDefault="00000000">
      <w:pPr>
        <w:spacing w:after="200"/>
      </w:pPr>
      <w:r>
        <w:rPr>
          <w:szCs w:val="25"/>
          <w:lang w:val="es-ES_tradnl"/>
        </w:rPr>
        <w:t>388.</w:t>
      </w:r>
      <w:r>
        <w:rPr>
          <w:szCs w:val="25"/>
          <w:lang w:val="es-ES_tradnl"/>
        </w:rPr>
        <w:tab/>
        <w:t>Los presupuestos para la atención de la salud han sido históricamente insuficientes frente a las necesidades y hay una tendencia a su estancamiento e inclusive decrecimiento en la última década.</w:t>
      </w:r>
    </w:p>
    <w:p w:rsidR="00000000" w:rsidRDefault="00000000">
      <w:pPr>
        <w:spacing w:after="200"/>
      </w:pPr>
      <w:r>
        <w:rPr>
          <w:szCs w:val="25"/>
        </w:rPr>
        <w:t>389.</w:t>
      </w:r>
      <w:r>
        <w:rPr>
          <w:szCs w:val="25"/>
        </w:rPr>
        <w:tab/>
      </w:r>
      <w:r>
        <w:rPr>
          <w:szCs w:val="25"/>
          <w:lang w:val="es-ES_tradnl"/>
        </w:rPr>
        <w:t>Al analizar la composición de los recursos asignados en el Presupuesto General del Estado para el sector salud se observa que para el año 1998 alcanzó los 972.400 millones de sucres.  Este monto representó el 4,71% del gasto total y, en relación del PIB, representa el 0,91%.  La asignación destinada para salud no llega ni al 1% del PIB, lo que demuestra claramente que para los gobiernos, la inversión en salud sigue siendo considerada como un gasto, mas no como una inversión, olvidando que un pueblo sano es un pueblo productivo y que el incremento de la producción es lo que permitirá un desarrollo sostenido de la economía del país y, por ende, un progreso para todos los ecuatorianos.</w:t>
      </w:r>
    </w:p>
    <w:p w:rsidR="00000000" w:rsidRDefault="00000000">
      <w:pPr>
        <w:spacing w:after="200"/>
      </w:pPr>
      <w:r>
        <w:rPr>
          <w:szCs w:val="25"/>
          <w:lang w:val="es-ES_tradnl"/>
        </w:rPr>
        <w:t>390.</w:t>
      </w:r>
      <w:r>
        <w:rPr>
          <w:szCs w:val="25"/>
          <w:lang w:val="es-ES_tradnl"/>
        </w:rPr>
        <w:tab/>
        <w:t>Durante el período 1990-1998 el gasto en salud reduce su participación en el PIB, que sufre una caída del 1,20% en 1990 a 0,91% en 1998, y en el porcentaje del total del presupuesto del 8,16 al 4,71% en este mismo período con excepción del año 1996.</w:t>
      </w:r>
    </w:p>
    <w:p w:rsidR="00000000" w:rsidRDefault="00000000">
      <w:pPr>
        <w:spacing w:after="200"/>
        <w:jc w:val="center"/>
        <w:rPr>
          <w:b/>
          <w:bCs/>
          <w:lang w:val="es-ES_tradnl"/>
        </w:rPr>
      </w:pPr>
      <w:r>
        <w:rPr>
          <w:b/>
          <w:bCs/>
          <w:lang w:val="es-ES_tradnl"/>
        </w:rPr>
        <w:t>Gasto efectivo destinado al sector salud 1990-1998</w:t>
      </w:r>
    </w:p>
    <w:p w:rsidR="00000000" w:rsidRDefault="00000000">
      <w:pPr>
        <w:spacing w:after="200"/>
        <w:jc w:val="center"/>
        <w:rPr>
          <w:b/>
          <w:bCs/>
          <w:lang w:val="es-ES_tradnl"/>
        </w:rPr>
      </w:pPr>
      <w:r>
        <w:rPr>
          <w:b/>
          <w:bCs/>
          <w:lang w:val="es-ES_tradnl"/>
        </w:rPr>
        <w:t>(En miles de millones de sucres, porcentaje del PIB)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702"/>
        <w:gridCol w:w="741"/>
        <w:gridCol w:w="741"/>
        <w:gridCol w:w="702"/>
        <w:gridCol w:w="702"/>
        <w:gridCol w:w="780"/>
        <w:gridCol w:w="741"/>
        <w:gridCol w:w="741"/>
        <w:gridCol w:w="767"/>
      </w:tblGrid>
      <w:tr w:rsidR="00000000">
        <w:tblPrEx>
          <w:tblCellMar>
            <w:top w:w="0" w:type="dxa"/>
            <w:bottom w:w="0" w:type="dxa"/>
          </w:tblCellMar>
        </w:tblPrEx>
        <w:tc>
          <w:tcPr>
            <w:tcW w:w="2878" w:type="dxa"/>
            <w:vAlign w:val="center"/>
          </w:tcPr>
          <w:p w:rsidR="00000000" w:rsidRDefault="00000000">
            <w:pPr>
              <w:jc w:val="center"/>
              <w:rPr>
                <w:lang w:val="es-ES_tradnl"/>
              </w:rPr>
            </w:pPr>
            <w:r>
              <w:rPr>
                <w:lang w:val="es-ES_tradnl"/>
              </w:rPr>
              <w:t>Sector salud</w:t>
            </w:r>
          </w:p>
        </w:tc>
        <w:tc>
          <w:tcPr>
            <w:tcW w:w="702" w:type="dxa"/>
            <w:vAlign w:val="center"/>
          </w:tcPr>
          <w:p w:rsidR="00000000" w:rsidRDefault="00000000">
            <w:pPr>
              <w:jc w:val="center"/>
              <w:rPr>
                <w:lang w:val="es-ES_tradnl"/>
              </w:rPr>
            </w:pPr>
            <w:r>
              <w:rPr>
                <w:lang w:val="es-ES_tradnl"/>
              </w:rPr>
              <w:t>1990</w:t>
            </w:r>
          </w:p>
        </w:tc>
        <w:tc>
          <w:tcPr>
            <w:tcW w:w="741" w:type="dxa"/>
            <w:vAlign w:val="center"/>
          </w:tcPr>
          <w:p w:rsidR="00000000" w:rsidRDefault="00000000">
            <w:pPr>
              <w:jc w:val="center"/>
              <w:rPr>
                <w:lang w:val="es-ES_tradnl"/>
              </w:rPr>
            </w:pPr>
            <w:r>
              <w:rPr>
                <w:lang w:val="es-ES_tradnl"/>
              </w:rPr>
              <w:t>1991</w:t>
            </w:r>
          </w:p>
        </w:tc>
        <w:tc>
          <w:tcPr>
            <w:tcW w:w="741" w:type="dxa"/>
            <w:vAlign w:val="center"/>
          </w:tcPr>
          <w:p w:rsidR="00000000" w:rsidRDefault="00000000">
            <w:pPr>
              <w:jc w:val="center"/>
              <w:rPr>
                <w:lang w:val="es-ES_tradnl"/>
              </w:rPr>
            </w:pPr>
            <w:r>
              <w:rPr>
                <w:lang w:val="es-ES_tradnl"/>
              </w:rPr>
              <w:t>1992</w:t>
            </w:r>
          </w:p>
        </w:tc>
        <w:tc>
          <w:tcPr>
            <w:tcW w:w="702" w:type="dxa"/>
            <w:vAlign w:val="center"/>
          </w:tcPr>
          <w:p w:rsidR="00000000" w:rsidRDefault="00000000">
            <w:pPr>
              <w:jc w:val="center"/>
              <w:rPr>
                <w:lang w:val="es-ES_tradnl"/>
              </w:rPr>
            </w:pPr>
            <w:r>
              <w:rPr>
                <w:lang w:val="es-ES_tradnl"/>
              </w:rPr>
              <w:t>1993</w:t>
            </w:r>
          </w:p>
        </w:tc>
        <w:tc>
          <w:tcPr>
            <w:tcW w:w="702" w:type="dxa"/>
            <w:vAlign w:val="center"/>
          </w:tcPr>
          <w:p w:rsidR="00000000" w:rsidRDefault="00000000">
            <w:pPr>
              <w:jc w:val="center"/>
              <w:rPr>
                <w:lang w:val="es-ES_tradnl"/>
              </w:rPr>
            </w:pPr>
            <w:r>
              <w:rPr>
                <w:lang w:val="es-ES_tradnl"/>
              </w:rPr>
              <w:t>1994</w:t>
            </w:r>
          </w:p>
        </w:tc>
        <w:tc>
          <w:tcPr>
            <w:tcW w:w="780" w:type="dxa"/>
            <w:vAlign w:val="center"/>
          </w:tcPr>
          <w:p w:rsidR="00000000" w:rsidRDefault="00000000">
            <w:pPr>
              <w:jc w:val="center"/>
              <w:rPr>
                <w:lang w:val="es-ES_tradnl"/>
              </w:rPr>
            </w:pPr>
            <w:r>
              <w:rPr>
                <w:lang w:val="es-ES_tradnl"/>
              </w:rPr>
              <w:t>1995</w:t>
            </w:r>
          </w:p>
        </w:tc>
        <w:tc>
          <w:tcPr>
            <w:tcW w:w="741" w:type="dxa"/>
            <w:vAlign w:val="center"/>
          </w:tcPr>
          <w:p w:rsidR="00000000" w:rsidRDefault="00000000">
            <w:pPr>
              <w:jc w:val="center"/>
              <w:rPr>
                <w:lang w:val="es-ES_tradnl"/>
              </w:rPr>
            </w:pPr>
            <w:r>
              <w:rPr>
                <w:lang w:val="es-ES_tradnl"/>
              </w:rPr>
              <w:t>1996*</w:t>
            </w:r>
          </w:p>
        </w:tc>
        <w:tc>
          <w:tcPr>
            <w:tcW w:w="741" w:type="dxa"/>
            <w:vAlign w:val="center"/>
          </w:tcPr>
          <w:p w:rsidR="00000000" w:rsidRDefault="00000000">
            <w:pPr>
              <w:jc w:val="center"/>
              <w:rPr>
                <w:lang w:val="es-ES_tradnl"/>
              </w:rPr>
            </w:pPr>
            <w:r>
              <w:rPr>
                <w:lang w:val="es-ES_tradnl"/>
              </w:rPr>
              <w:t>1997*</w:t>
            </w:r>
          </w:p>
        </w:tc>
        <w:tc>
          <w:tcPr>
            <w:tcW w:w="767" w:type="dxa"/>
            <w:vAlign w:val="center"/>
          </w:tcPr>
          <w:p w:rsidR="00000000" w:rsidRDefault="00000000">
            <w:pPr>
              <w:jc w:val="center"/>
              <w:rPr>
                <w:lang w:val="es-ES_tradnl"/>
              </w:rPr>
            </w:pPr>
            <w:r>
              <w:rPr>
                <w:lang w:val="es-ES_tradnl"/>
              </w:rPr>
              <w:t>1998*</w:t>
            </w:r>
          </w:p>
        </w:tc>
      </w:tr>
      <w:tr w:rsidR="00000000">
        <w:tblPrEx>
          <w:tblCellMar>
            <w:top w:w="0" w:type="dxa"/>
            <w:bottom w:w="0" w:type="dxa"/>
          </w:tblCellMar>
        </w:tblPrEx>
        <w:tc>
          <w:tcPr>
            <w:tcW w:w="2878" w:type="dxa"/>
          </w:tcPr>
          <w:p w:rsidR="00000000" w:rsidRDefault="00000000">
            <w:pPr>
              <w:rPr>
                <w:lang w:val="es-ES_tradnl"/>
              </w:rPr>
            </w:pPr>
            <w:r>
              <w:rPr>
                <w:lang w:val="es-ES_tradnl"/>
              </w:rPr>
              <w:t>Sucres</w:t>
            </w:r>
          </w:p>
        </w:tc>
        <w:tc>
          <w:tcPr>
            <w:tcW w:w="702" w:type="dxa"/>
          </w:tcPr>
          <w:p w:rsidR="00000000" w:rsidRDefault="00000000">
            <w:pPr>
              <w:jc w:val="right"/>
              <w:rPr>
                <w:lang w:val="es-ES_tradnl"/>
              </w:rPr>
            </w:pPr>
            <w:r>
              <w:rPr>
                <w:lang w:val="es-ES_tradnl"/>
              </w:rPr>
              <w:t>98,5</w:t>
            </w:r>
          </w:p>
        </w:tc>
        <w:tc>
          <w:tcPr>
            <w:tcW w:w="741" w:type="dxa"/>
          </w:tcPr>
          <w:p w:rsidR="00000000" w:rsidRDefault="00000000">
            <w:pPr>
              <w:jc w:val="right"/>
              <w:rPr>
                <w:lang w:val="es-ES_tradnl"/>
              </w:rPr>
            </w:pPr>
            <w:r>
              <w:rPr>
                <w:lang w:val="es-ES_tradnl"/>
              </w:rPr>
              <w:t>110,0</w:t>
            </w:r>
          </w:p>
        </w:tc>
        <w:tc>
          <w:tcPr>
            <w:tcW w:w="741" w:type="dxa"/>
          </w:tcPr>
          <w:p w:rsidR="00000000" w:rsidRDefault="00000000">
            <w:pPr>
              <w:jc w:val="right"/>
              <w:rPr>
                <w:lang w:val="es-ES_tradnl"/>
              </w:rPr>
            </w:pPr>
            <w:r>
              <w:rPr>
                <w:lang w:val="es-ES_tradnl"/>
              </w:rPr>
              <w:t>200,4</w:t>
            </w:r>
          </w:p>
        </w:tc>
        <w:tc>
          <w:tcPr>
            <w:tcW w:w="702" w:type="dxa"/>
          </w:tcPr>
          <w:p w:rsidR="00000000" w:rsidRDefault="00000000">
            <w:pPr>
              <w:jc w:val="right"/>
              <w:rPr>
                <w:lang w:val="es-ES_tradnl"/>
              </w:rPr>
            </w:pPr>
            <w:r>
              <w:rPr>
                <w:lang w:val="es-ES_tradnl"/>
              </w:rPr>
              <w:t>207,3</w:t>
            </w:r>
          </w:p>
        </w:tc>
        <w:tc>
          <w:tcPr>
            <w:tcW w:w="702" w:type="dxa"/>
          </w:tcPr>
          <w:p w:rsidR="00000000" w:rsidRDefault="00000000">
            <w:pPr>
              <w:jc w:val="right"/>
              <w:rPr>
                <w:lang w:val="es-ES_tradnl"/>
              </w:rPr>
            </w:pPr>
            <w:r>
              <w:rPr>
                <w:lang w:val="es-ES_tradnl"/>
              </w:rPr>
              <w:t>279,2</w:t>
            </w:r>
          </w:p>
        </w:tc>
        <w:tc>
          <w:tcPr>
            <w:tcW w:w="780" w:type="dxa"/>
          </w:tcPr>
          <w:p w:rsidR="00000000" w:rsidRDefault="00000000">
            <w:pPr>
              <w:jc w:val="right"/>
              <w:rPr>
                <w:lang w:val="es-ES_tradnl"/>
              </w:rPr>
            </w:pPr>
            <w:r>
              <w:rPr>
                <w:lang w:val="es-ES_tradnl"/>
              </w:rPr>
              <w:t>497,2</w:t>
            </w:r>
          </w:p>
        </w:tc>
        <w:tc>
          <w:tcPr>
            <w:tcW w:w="741" w:type="dxa"/>
          </w:tcPr>
          <w:p w:rsidR="00000000" w:rsidRDefault="00000000">
            <w:pPr>
              <w:jc w:val="right"/>
              <w:rPr>
                <w:lang w:val="es-ES_tradnl"/>
              </w:rPr>
            </w:pPr>
            <w:r>
              <w:rPr>
                <w:lang w:val="es-ES_tradnl"/>
              </w:rPr>
              <w:t>627,6</w:t>
            </w:r>
          </w:p>
        </w:tc>
        <w:tc>
          <w:tcPr>
            <w:tcW w:w="741" w:type="dxa"/>
          </w:tcPr>
          <w:p w:rsidR="00000000" w:rsidRDefault="00000000">
            <w:pPr>
              <w:jc w:val="right"/>
              <w:rPr>
                <w:lang w:val="es-ES_tradnl"/>
              </w:rPr>
            </w:pPr>
            <w:r>
              <w:rPr>
                <w:lang w:val="es-ES_tradnl"/>
              </w:rPr>
              <w:t>735,4</w:t>
            </w:r>
          </w:p>
        </w:tc>
        <w:tc>
          <w:tcPr>
            <w:tcW w:w="767" w:type="dxa"/>
          </w:tcPr>
          <w:p w:rsidR="00000000" w:rsidRDefault="00000000">
            <w:pPr>
              <w:jc w:val="right"/>
              <w:rPr>
                <w:lang w:val="es-ES_tradnl"/>
              </w:rPr>
            </w:pPr>
            <w:r>
              <w:rPr>
                <w:lang w:val="es-ES_tradnl"/>
              </w:rPr>
              <w:t>972,4</w:t>
            </w:r>
          </w:p>
        </w:tc>
      </w:tr>
      <w:tr w:rsidR="00000000">
        <w:tblPrEx>
          <w:tblCellMar>
            <w:top w:w="0" w:type="dxa"/>
            <w:bottom w:w="0" w:type="dxa"/>
          </w:tblCellMar>
        </w:tblPrEx>
        <w:tc>
          <w:tcPr>
            <w:tcW w:w="2878" w:type="dxa"/>
          </w:tcPr>
          <w:p w:rsidR="00000000" w:rsidRDefault="00000000">
            <w:pPr>
              <w:rPr>
                <w:lang w:val="es-ES_tradnl"/>
              </w:rPr>
            </w:pPr>
            <w:r>
              <w:rPr>
                <w:lang w:val="es-ES_tradnl"/>
              </w:rPr>
              <w:t>Porcentaje PIB sucres</w:t>
            </w:r>
          </w:p>
        </w:tc>
        <w:tc>
          <w:tcPr>
            <w:tcW w:w="702" w:type="dxa"/>
          </w:tcPr>
          <w:p w:rsidR="00000000" w:rsidRDefault="00000000">
            <w:pPr>
              <w:jc w:val="right"/>
              <w:rPr>
                <w:lang w:val="es-ES_tradnl"/>
              </w:rPr>
            </w:pPr>
            <w:r>
              <w:rPr>
                <w:lang w:val="es-ES_tradnl"/>
              </w:rPr>
              <w:t>1,20</w:t>
            </w:r>
          </w:p>
        </w:tc>
        <w:tc>
          <w:tcPr>
            <w:tcW w:w="741" w:type="dxa"/>
          </w:tcPr>
          <w:p w:rsidR="00000000" w:rsidRDefault="00000000">
            <w:pPr>
              <w:jc w:val="right"/>
              <w:rPr>
                <w:lang w:val="es-ES_tradnl"/>
              </w:rPr>
            </w:pPr>
            <w:r>
              <w:rPr>
                <w:lang w:val="es-ES_tradnl"/>
              </w:rPr>
              <w:t>0,89</w:t>
            </w:r>
          </w:p>
        </w:tc>
        <w:tc>
          <w:tcPr>
            <w:tcW w:w="741" w:type="dxa"/>
          </w:tcPr>
          <w:p w:rsidR="00000000" w:rsidRDefault="00000000">
            <w:pPr>
              <w:jc w:val="right"/>
              <w:rPr>
                <w:lang w:val="es-ES_tradnl"/>
              </w:rPr>
            </w:pPr>
            <w:r>
              <w:rPr>
                <w:lang w:val="es-ES_tradnl"/>
              </w:rPr>
              <w:t>1,03</w:t>
            </w:r>
          </w:p>
        </w:tc>
        <w:tc>
          <w:tcPr>
            <w:tcW w:w="702" w:type="dxa"/>
          </w:tcPr>
          <w:p w:rsidR="00000000" w:rsidRDefault="00000000">
            <w:pPr>
              <w:jc w:val="right"/>
              <w:rPr>
                <w:lang w:val="es-ES_tradnl"/>
              </w:rPr>
            </w:pPr>
            <w:r>
              <w:rPr>
                <w:lang w:val="es-ES_tradnl"/>
              </w:rPr>
              <w:t>0,76</w:t>
            </w:r>
          </w:p>
        </w:tc>
        <w:tc>
          <w:tcPr>
            <w:tcW w:w="702" w:type="dxa"/>
          </w:tcPr>
          <w:p w:rsidR="00000000" w:rsidRDefault="00000000">
            <w:pPr>
              <w:jc w:val="right"/>
              <w:rPr>
                <w:lang w:val="es-ES_tradnl"/>
              </w:rPr>
            </w:pPr>
            <w:r>
              <w:rPr>
                <w:lang w:val="es-ES_tradnl"/>
              </w:rPr>
              <w:t>0,77</w:t>
            </w:r>
          </w:p>
        </w:tc>
        <w:tc>
          <w:tcPr>
            <w:tcW w:w="780" w:type="dxa"/>
          </w:tcPr>
          <w:p w:rsidR="00000000" w:rsidRDefault="00000000">
            <w:pPr>
              <w:jc w:val="right"/>
              <w:rPr>
                <w:lang w:val="es-ES_tradnl"/>
              </w:rPr>
            </w:pPr>
            <w:r>
              <w:rPr>
                <w:lang w:val="es-ES_tradnl"/>
              </w:rPr>
              <w:t>1,08</w:t>
            </w:r>
          </w:p>
        </w:tc>
        <w:tc>
          <w:tcPr>
            <w:tcW w:w="741" w:type="dxa"/>
          </w:tcPr>
          <w:p w:rsidR="00000000" w:rsidRDefault="00000000">
            <w:pPr>
              <w:jc w:val="right"/>
              <w:rPr>
                <w:lang w:val="es-ES_tradnl"/>
              </w:rPr>
            </w:pPr>
            <w:r>
              <w:rPr>
                <w:lang w:val="es-ES_tradnl"/>
              </w:rPr>
              <w:t>1,03</w:t>
            </w:r>
          </w:p>
        </w:tc>
        <w:tc>
          <w:tcPr>
            <w:tcW w:w="741" w:type="dxa"/>
          </w:tcPr>
          <w:p w:rsidR="00000000" w:rsidRDefault="00000000">
            <w:pPr>
              <w:jc w:val="right"/>
              <w:rPr>
                <w:lang w:val="es-ES_tradnl"/>
              </w:rPr>
            </w:pPr>
            <w:r>
              <w:rPr>
                <w:lang w:val="es-ES_tradnl"/>
              </w:rPr>
              <w:t>0,93</w:t>
            </w:r>
          </w:p>
        </w:tc>
        <w:tc>
          <w:tcPr>
            <w:tcW w:w="767" w:type="dxa"/>
          </w:tcPr>
          <w:p w:rsidR="00000000" w:rsidRDefault="00000000">
            <w:pPr>
              <w:jc w:val="right"/>
              <w:rPr>
                <w:lang w:val="es-ES_tradnl"/>
              </w:rPr>
            </w:pPr>
            <w:r>
              <w:rPr>
                <w:lang w:val="es-ES_tradnl"/>
              </w:rPr>
              <w:t>0,91</w:t>
            </w:r>
          </w:p>
        </w:tc>
      </w:tr>
      <w:tr w:rsidR="00000000">
        <w:tblPrEx>
          <w:tblCellMar>
            <w:top w:w="0" w:type="dxa"/>
            <w:bottom w:w="0" w:type="dxa"/>
          </w:tblCellMar>
        </w:tblPrEx>
        <w:tc>
          <w:tcPr>
            <w:tcW w:w="2878" w:type="dxa"/>
            <w:tcBorders>
              <w:bottom w:val="single" w:sz="4" w:space="0" w:color="auto"/>
            </w:tcBorders>
          </w:tcPr>
          <w:p w:rsidR="00000000" w:rsidRDefault="00000000">
            <w:pPr>
              <w:rPr>
                <w:lang w:val="es-ES_tradnl"/>
              </w:rPr>
            </w:pPr>
            <w:r>
              <w:rPr>
                <w:lang w:val="es-ES_tradnl"/>
              </w:rPr>
              <w:t>Porcentaje gasto total</w:t>
            </w:r>
          </w:p>
        </w:tc>
        <w:tc>
          <w:tcPr>
            <w:tcW w:w="702" w:type="dxa"/>
            <w:tcBorders>
              <w:bottom w:val="single" w:sz="4" w:space="0" w:color="auto"/>
            </w:tcBorders>
          </w:tcPr>
          <w:p w:rsidR="00000000" w:rsidRDefault="00000000">
            <w:pPr>
              <w:jc w:val="right"/>
              <w:rPr>
                <w:lang w:val="es-ES_tradnl"/>
              </w:rPr>
            </w:pPr>
            <w:r>
              <w:rPr>
                <w:lang w:val="es-ES_tradnl"/>
              </w:rPr>
              <w:t>8,16</w:t>
            </w:r>
          </w:p>
        </w:tc>
        <w:tc>
          <w:tcPr>
            <w:tcW w:w="741" w:type="dxa"/>
            <w:tcBorders>
              <w:bottom w:val="single" w:sz="4" w:space="0" w:color="auto"/>
            </w:tcBorders>
          </w:tcPr>
          <w:p w:rsidR="00000000" w:rsidRDefault="00000000">
            <w:pPr>
              <w:jc w:val="right"/>
              <w:rPr>
                <w:lang w:val="es-ES_tradnl"/>
              </w:rPr>
            </w:pPr>
            <w:r>
              <w:rPr>
                <w:lang w:val="es-ES_tradnl"/>
              </w:rPr>
              <w:t>6,69</w:t>
            </w:r>
          </w:p>
        </w:tc>
        <w:tc>
          <w:tcPr>
            <w:tcW w:w="741" w:type="dxa"/>
            <w:tcBorders>
              <w:bottom w:val="single" w:sz="4" w:space="0" w:color="auto"/>
            </w:tcBorders>
          </w:tcPr>
          <w:p w:rsidR="00000000" w:rsidRDefault="00000000">
            <w:pPr>
              <w:jc w:val="right"/>
              <w:rPr>
                <w:lang w:val="es-ES_tradnl"/>
              </w:rPr>
            </w:pPr>
            <w:r>
              <w:rPr>
                <w:lang w:val="es-ES_tradnl"/>
              </w:rPr>
              <w:t>7,87</w:t>
            </w:r>
          </w:p>
        </w:tc>
        <w:tc>
          <w:tcPr>
            <w:tcW w:w="702" w:type="dxa"/>
            <w:tcBorders>
              <w:bottom w:val="single" w:sz="4" w:space="0" w:color="auto"/>
            </w:tcBorders>
          </w:tcPr>
          <w:p w:rsidR="00000000" w:rsidRDefault="00000000">
            <w:pPr>
              <w:jc w:val="right"/>
              <w:rPr>
                <w:lang w:val="es-ES_tradnl"/>
              </w:rPr>
            </w:pPr>
            <w:r>
              <w:rPr>
                <w:lang w:val="es-ES_tradnl"/>
              </w:rPr>
              <w:t>5,51</w:t>
            </w:r>
          </w:p>
        </w:tc>
        <w:tc>
          <w:tcPr>
            <w:tcW w:w="702" w:type="dxa"/>
            <w:tcBorders>
              <w:bottom w:val="single" w:sz="4" w:space="0" w:color="auto"/>
            </w:tcBorders>
          </w:tcPr>
          <w:p w:rsidR="00000000" w:rsidRDefault="00000000">
            <w:pPr>
              <w:jc w:val="right"/>
              <w:rPr>
                <w:lang w:val="es-ES_tradnl"/>
              </w:rPr>
            </w:pPr>
            <w:r>
              <w:rPr>
                <w:lang w:val="es-ES_tradnl"/>
              </w:rPr>
              <w:t>5,05</w:t>
            </w:r>
          </w:p>
        </w:tc>
        <w:tc>
          <w:tcPr>
            <w:tcW w:w="780" w:type="dxa"/>
            <w:tcBorders>
              <w:bottom w:val="single" w:sz="4" w:space="0" w:color="auto"/>
            </w:tcBorders>
          </w:tcPr>
          <w:p w:rsidR="00000000" w:rsidRDefault="00000000">
            <w:pPr>
              <w:jc w:val="right"/>
              <w:rPr>
                <w:lang w:val="es-ES_tradnl"/>
              </w:rPr>
            </w:pPr>
            <w:r>
              <w:rPr>
                <w:lang w:val="es-ES_tradnl"/>
              </w:rPr>
              <w:t>5,88</w:t>
            </w:r>
          </w:p>
        </w:tc>
        <w:tc>
          <w:tcPr>
            <w:tcW w:w="741" w:type="dxa"/>
            <w:tcBorders>
              <w:bottom w:val="single" w:sz="4" w:space="0" w:color="auto"/>
            </w:tcBorders>
          </w:tcPr>
          <w:p w:rsidR="00000000" w:rsidRDefault="00000000">
            <w:pPr>
              <w:jc w:val="right"/>
              <w:rPr>
                <w:lang w:val="es-ES_tradnl"/>
              </w:rPr>
            </w:pPr>
            <w:r>
              <w:rPr>
                <w:lang w:val="es-ES_tradnl"/>
              </w:rPr>
              <w:t>7,62</w:t>
            </w:r>
          </w:p>
        </w:tc>
        <w:tc>
          <w:tcPr>
            <w:tcW w:w="741" w:type="dxa"/>
            <w:tcBorders>
              <w:bottom w:val="single" w:sz="4" w:space="0" w:color="auto"/>
            </w:tcBorders>
          </w:tcPr>
          <w:p w:rsidR="00000000" w:rsidRDefault="00000000">
            <w:pPr>
              <w:jc w:val="right"/>
              <w:rPr>
                <w:lang w:val="es-ES_tradnl"/>
              </w:rPr>
            </w:pPr>
            <w:r>
              <w:rPr>
                <w:lang w:val="es-ES_tradnl"/>
              </w:rPr>
              <w:t>7,44</w:t>
            </w:r>
          </w:p>
        </w:tc>
        <w:tc>
          <w:tcPr>
            <w:tcW w:w="767" w:type="dxa"/>
            <w:tcBorders>
              <w:bottom w:val="single" w:sz="4" w:space="0" w:color="auto"/>
            </w:tcBorders>
          </w:tcPr>
          <w:p w:rsidR="00000000" w:rsidRDefault="00000000">
            <w:pPr>
              <w:jc w:val="right"/>
              <w:rPr>
                <w:lang w:val="es-ES_tradnl"/>
              </w:rPr>
            </w:pPr>
            <w:r>
              <w:rPr>
                <w:lang w:val="es-ES_tradnl"/>
              </w:rPr>
              <w:t>4,71</w:t>
            </w:r>
          </w:p>
        </w:tc>
      </w:tr>
      <w:tr w:rsidR="00000000">
        <w:tblPrEx>
          <w:tblCellMar>
            <w:top w:w="0" w:type="dxa"/>
            <w:bottom w:w="0" w:type="dxa"/>
          </w:tblCellMar>
        </w:tblPrEx>
        <w:trPr>
          <w:cantSplit/>
        </w:trPr>
        <w:tc>
          <w:tcPr>
            <w:tcW w:w="9495" w:type="dxa"/>
            <w:gridSpan w:val="10"/>
            <w:tcBorders>
              <w:top w:val="single" w:sz="4" w:space="0" w:color="auto"/>
              <w:left w:val="nil"/>
              <w:bottom w:val="nil"/>
              <w:right w:val="nil"/>
            </w:tcBorders>
          </w:tcPr>
          <w:p w:rsidR="00000000" w:rsidRDefault="00000000">
            <w:pPr>
              <w:spacing w:before="120" w:after="200"/>
              <w:rPr>
                <w:lang w:val="es-ES_tradnl"/>
              </w:rPr>
            </w:pPr>
            <w:r>
              <w:rPr>
                <w:i/>
                <w:iCs/>
                <w:lang w:val="es-ES_tradnl"/>
              </w:rPr>
              <w:t>Fuente:</w:t>
            </w:r>
            <w:r>
              <w:rPr>
                <w:lang w:val="es-ES_tradnl"/>
              </w:rPr>
              <w:t xml:space="preserve">  Ministerio de Finanzas y Crédito Público.</w:t>
            </w:r>
          </w:p>
          <w:p w:rsidR="00000000" w:rsidRDefault="00000000">
            <w:pPr>
              <w:rPr>
                <w:lang w:val="es-ES_tradnl"/>
              </w:rPr>
            </w:pPr>
            <w:r>
              <w:rPr>
                <w:lang w:val="es-ES_tradnl"/>
              </w:rPr>
              <w:t>* Datos provisionales.</w:t>
            </w:r>
          </w:p>
        </w:tc>
      </w:tr>
    </w:tbl>
    <w:p w:rsidR="00000000" w:rsidRDefault="00000000">
      <w:pPr>
        <w:shd w:val="clear" w:color="auto" w:fill="FFFFFF"/>
        <w:spacing w:before="480" w:after="240"/>
      </w:pPr>
      <w:r>
        <w:rPr>
          <w:lang w:val="es-ES_tradnl"/>
        </w:rPr>
        <w:t>391.</w:t>
      </w:r>
      <w:r>
        <w:rPr>
          <w:lang w:val="es-ES_tradnl"/>
        </w:rPr>
        <w:tab/>
      </w:r>
      <w:r>
        <w:rPr>
          <w:color w:val="000000"/>
          <w:szCs w:val="25"/>
          <w:lang w:val="es-ES_tradnl"/>
        </w:rPr>
        <w:t>Al mirar en detalle cuáles fueron los sectores del Gobierno que redujeron su nivel de gastos en los últimos dos semestres (2002) se observa que la situación se repite en educación, salud y obras públicas.  La inversión pública en vialidad, sumada al adecuado funcionamiento de la mayor parte de concesiones viales en el país, han permitido recuperar una buena parte de la red vial que se encontraba en muy mal estado de mantenimiento.  Esto permitirá que se reduzca el gasto en obras públicas y un mayor impacto político.  No obstante, el grueso del gasto en educación y salud son remuneraciones, por lo que la reducción del gasto debe reflejar más bien atrasos en el pago de los mismos.  Esta situación es insostenible en el tiempo y conducirá a una intensificación de conflictos laborales.</w:t>
      </w:r>
    </w:p>
    <w:p w:rsidR="00000000" w:rsidRDefault="00000000">
      <w:pPr>
        <w:shd w:val="clear" w:color="auto" w:fill="FFFFFF"/>
        <w:spacing w:after="240"/>
        <w:rPr>
          <w:i/>
          <w:iCs/>
        </w:rPr>
      </w:pPr>
      <w:r>
        <w:rPr>
          <w:i/>
          <w:iCs/>
          <w:color w:val="000000"/>
          <w:szCs w:val="25"/>
          <w:lang w:val="es-ES_tradnl"/>
        </w:rPr>
        <w:t>Tasa de mortalidad infantil</w:t>
      </w:r>
    </w:p>
    <w:p w:rsidR="00000000" w:rsidRDefault="00000000">
      <w:pPr>
        <w:shd w:val="clear" w:color="auto" w:fill="FFFFFF"/>
        <w:spacing w:after="240"/>
      </w:pPr>
      <w:r>
        <w:rPr>
          <w:color w:val="000000"/>
          <w:szCs w:val="25"/>
          <w:lang w:val="es-ES_tradnl"/>
        </w:rPr>
        <w:t>392.</w:t>
      </w:r>
      <w:r>
        <w:rPr>
          <w:color w:val="000000"/>
          <w:szCs w:val="25"/>
          <w:lang w:val="es-ES_tradnl"/>
        </w:rPr>
        <w:tab/>
        <w:t xml:space="preserve">La encuesta </w:t>
      </w:r>
      <w:proofErr w:type="spellStart"/>
      <w:r>
        <w:rPr>
          <w:color w:val="000000"/>
          <w:szCs w:val="25"/>
          <w:lang w:val="es-ES_tradnl"/>
        </w:rPr>
        <w:t>ENDEMAIN</w:t>
      </w:r>
      <w:proofErr w:type="spellEnd"/>
      <w:r>
        <w:rPr>
          <w:color w:val="000000"/>
          <w:szCs w:val="25"/>
          <w:lang w:val="es-ES_tradnl"/>
        </w:rPr>
        <w:t xml:space="preserve">-94 señala que la mortalidad infantil ecuatoriana registra una tendencia decreciente; al comparar la encuesta </w:t>
      </w:r>
      <w:proofErr w:type="spellStart"/>
      <w:r>
        <w:rPr>
          <w:color w:val="000000"/>
          <w:szCs w:val="25"/>
          <w:lang w:val="es-ES_tradnl"/>
        </w:rPr>
        <w:t>ENDESA</w:t>
      </w:r>
      <w:proofErr w:type="spellEnd"/>
      <w:r>
        <w:rPr>
          <w:color w:val="000000"/>
          <w:szCs w:val="25"/>
          <w:lang w:val="es-ES_tradnl"/>
        </w:rPr>
        <w:t>-87, en la que para el quinquenio 1982</w:t>
      </w:r>
      <w:r>
        <w:rPr>
          <w:color w:val="000000"/>
          <w:szCs w:val="25"/>
          <w:lang w:val="es-ES_tradnl"/>
        </w:rPr>
        <w:noBreakHyphen/>
        <w:t>1987 se registra una tasa de 58%</w:t>
      </w:r>
      <w:r>
        <w:rPr>
          <w:b/>
          <w:color w:val="000000"/>
          <w:sz w:val="14"/>
          <w:szCs w:val="25"/>
          <w:lang w:val="es-ES_tradnl"/>
        </w:rPr>
        <w:t>0</w:t>
      </w:r>
      <w:r>
        <w:rPr>
          <w:color w:val="000000"/>
          <w:szCs w:val="25"/>
          <w:lang w:val="es-ES_tradnl"/>
        </w:rPr>
        <w:t xml:space="preserve"> y la </w:t>
      </w:r>
      <w:proofErr w:type="spellStart"/>
      <w:r>
        <w:rPr>
          <w:color w:val="000000"/>
          <w:szCs w:val="25"/>
          <w:lang w:val="es-ES_tradnl"/>
        </w:rPr>
        <w:t>ENDEMAIN</w:t>
      </w:r>
      <w:proofErr w:type="spellEnd"/>
      <w:r>
        <w:rPr>
          <w:color w:val="000000"/>
          <w:szCs w:val="25"/>
          <w:lang w:val="es-ES_tradnl"/>
        </w:rPr>
        <w:t>-94 la cual sitúa el nivel en 40%</w:t>
      </w:r>
      <w:r>
        <w:rPr>
          <w:b/>
          <w:color w:val="000000"/>
          <w:sz w:val="14"/>
          <w:szCs w:val="25"/>
          <w:lang w:val="es-ES_tradnl"/>
        </w:rPr>
        <w:t>0</w:t>
      </w:r>
      <w:r>
        <w:rPr>
          <w:color w:val="000000"/>
          <w:szCs w:val="25"/>
          <w:lang w:val="es-ES_tradnl"/>
        </w:rPr>
        <w:t>, se observa una disminución en la tasa de mortalidad infantil, a pesar de lo cual, el último nivel registrado continúa siendo alto.  La estadística indica que en los promedios de muertes infantiles por 1.000 nacidos vivos se ha operado un descenso del 31% en el decurso de siete años</w:t>
      </w:r>
      <w:r>
        <w:rPr>
          <w:rStyle w:val="FootnoteReference"/>
          <w:color w:val="000000"/>
          <w:szCs w:val="25"/>
          <w:lang w:val="es-ES_tradnl"/>
        </w:rPr>
        <w:footnoteReference w:id="56"/>
      </w:r>
      <w:r>
        <w:rPr>
          <w:color w:val="000000"/>
          <w:szCs w:val="25"/>
          <w:lang w:val="es-ES_tradnl"/>
        </w:rPr>
        <w:t>.</w:t>
      </w:r>
    </w:p>
    <w:p w:rsidR="00000000" w:rsidRDefault="00000000">
      <w:pPr>
        <w:shd w:val="clear" w:color="auto" w:fill="FFFFFF"/>
        <w:spacing w:after="240"/>
      </w:pPr>
      <w:r>
        <w:rPr>
          <w:color w:val="000000"/>
          <w:szCs w:val="25"/>
          <w:lang w:val="es-ES_tradnl"/>
        </w:rPr>
        <w:t>393.</w:t>
      </w:r>
      <w:r>
        <w:rPr>
          <w:color w:val="000000"/>
          <w:szCs w:val="25"/>
          <w:lang w:val="es-ES_tradnl"/>
        </w:rPr>
        <w:tab/>
        <w:t xml:space="preserve">Para 1999 la mortalidad infantil del Ecuador según la </w:t>
      </w:r>
      <w:proofErr w:type="spellStart"/>
      <w:r>
        <w:rPr>
          <w:color w:val="000000"/>
          <w:szCs w:val="25"/>
          <w:lang w:val="es-ES_tradnl"/>
        </w:rPr>
        <w:t>ENDEMAIN</w:t>
      </w:r>
      <w:proofErr w:type="spellEnd"/>
      <w:r>
        <w:rPr>
          <w:color w:val="000000"/>
          <w:szCs w:val="25"/>
          <w:lang w:val="es-ES_tradnl"/>
        </w:rPr>
        <w:t>-99 es de 30 defunciones por cada 1.000 nacimientos:  la mortalidad infantil urbana es de 22 por cada 1.000 nacidos vivos, ligeramente más de la mitad de la mortalidad rural (40%</w:t>
      </w:r>
      <w:r>
        <w:rPr>
          <w:b/>
          <w:color w:val="000000"/>
          <w:sz w:val="14"/>
          <w:szCs w:val="25"/>
          <w:lang w:val="es-ES_tradnl"/>
        </w:rPr>
        <w:t>0</w:t>
      </w:r>
      <w:r>
        <w:rPr>
          <w:color w:val="000000"/>
          <w:szCs w:val="25"/>
          <w:lang w:val="es-ES_tradnl"/>
        </w:rPr>
        <w:t>).</w:t>
      </w:r>
    </w:p>
    <w:p w:rsidR="00000000" w:rsidRDefault="00000000">
      <w:pPr>
        <w:shd w:val="clear" w:color="auto" w:fill="FFFFFF"/>
        <w:spacing w:after="240"/>
      </w:pPr>
      <w:r>
        <w:rPr>
          <w:color w:val="000000"/>
          <w:szCs w:val="25"/>
          <w:lang w:val="es-ES_tradnl"/>
        </w:rPr>
        <w:t>394.</w:t>
      </w:r>
      <w:r>
        <w:rPr>
          <w:color w:val="000000"/>
          <w:szCs w:val="25"/>
          <w:lang w:val="es-ES_tradnl"/>
        </w:rPr>
        <w:tab/>
        <w:t>Para el año 2000 ese nivel de mortalidad se reduce a 27 defunciones por cada 1.000 nacidos vivos, según la División de Estadística del Ministerio de Salud Pública, cabe señalar que en este caso no se han incluido para el cálculo las inscripciones tardías de los nacidos vivos.</w:t>
      </w:r>
    </w:p>
    <w:p w:rsidR="00000000" w:rsidRDefault="00000000">
      <w:pPr>
        <w:spacing w:after="240"/>
        <w:rPr>
          <w:color w:val="000000"/>
          <w:szCs w:val="25"/>
          <w:lang w:val="es-ES_tradnl"/>
        </w:rPr>
      </w:pPr>
      <w:r>
        <w:rPr>
          <w:color w:val="000000"/>
          <w:szCs w:val="25"/>
          <w:lang w:val="es-ES_tradnl"/>
        </w:rPr>
        <w:t>395.</w:t>
      </w:r>
      <w:r>
        <w:rPr>
          <w:color w:val="000000"/>
          <w:szCs w:val="25"/>
          <w:lang w:val="es-ES_tradnl"/>
        </w:rPr>
        <w:tab/>
        <w:t>La concentración de la mortalidad infantil urbana, 68% en neonatal, comparada con el 60% en el área rural, está influenciada por el diferente grado de desarrollo de los dos contextos.</w:t>
      </w:r>
    </w:p>
    <w:p w:rsidR="00000000" w:rsidRDefault="00000000">
      <w:pPr>
        <w:shd w:val="clear" w:color="auto" w:fill="FFFFFF"/>
        <w:spacing w:after="240"/>
      </w:pPr>
      <w:r>
        <w:rPr>
          <w:color w:val="000000"/>
          <w:szCs w:val="25"/>
          <w:lang w:val="es-ES_tradnl"/>
        </w:rPr>
        <w:t>396.</w:t>
      </w:r>
      <w:r>
        <w:rPr>
          <w:color w:val="000000"/>
          <w:szCs w:val="25"/>
          <w:lang w:val="es-ES_tradnl"/>
        </w:rPr>
        <w:tab/>
        <w:t>Este aspecto se refleja en los indicadores de mortalidad infantil, casi cuatro veces menores en las zonas urbanas y en el registro de la mortalidad (0 a 4 años), más del doble en las zonas rurales.</w:t>
      </w:r>
    </w:p>
    <w:p w:rsidR="00000000" w:rsidRDefault="00000000">
      <w:pPr>
        <w:spacing w:after="240"/>
        <w:rPr>
          <w:color w:val="000000"/>
          <w:szCs w:val="25"/>
          <w:lang w:val="es-ES_tradnl"/>
        </w:rPr>
      </w:pPr>
      <w:r>
        <w:rPr>
          <w:color w:val="000000"/>
          <w:szCs w:val="25"/>
          <w:lang w:val="es-ES_tradnl"/>
        </w:rPr>
        <w:t>397.</w:t>
      </w:r>
      <w:r>
        <w:rPr>
          <w:color w:val="000000"/>
          <w:szCs w:val="25"/>
          <w:lang w:val="es-ES_tradnl"/>
        </w:rPr>
        <w:tab/>
        <w:t>La mortalidad infantil en la Costa (25%</w:t>
      </w:r>
      <w:r>
        <w:rPr>
          <w:b/>
          <w:color w:val="000000"/>
          <w:sz w:val="14"/>
          <w:szCs w:val="25"/>
          <w:lang w:val="es-ES_tradnl"/>
        </w:rPr>
        <w:t>0</w:t>
      </w:r>
      <w:r>
        <w:rPr>
          <w:color w:val="000000"/>
          <w:szCs w:val="25"/>
          <w:lang w:val="es-ES_tradnl"/>
        </w:rPr>
        <w:t>) es menor que la de la Sierra y Amazonía (34 y 38%</w:t>
      </w:r>
      <w:r>
        <w:rPr>
          <w:b/>
          <w:color w:val="000000"/>
          <w:sz w:val="14"/>
          <w:szCs w:val="25"/>
          <w:lang w:val="es-ES_tradnl"/>
        </w:rPr>
        <w:t>0</w:t>
      </w:r>
      <w:r>
        <w:rPr>
          <w:color w:val="000000"/>
          <w:szCs w:val="25"/>
          <w:lang w:val="es-ES_tradnl"/>
        </w:rPr>
        <w:t>), en la encuesta no se reportaron casos de fallecimientos de menores de un año en la región Insular, situación abalizada por las estadísticas vitales que registran tres defunciones para el año 1997</w:t>
      </w:r>
      <w:r>
        <w:rPr>
          <w:rStyle w:val="FootnoteReference"/>
          <w:color w:val="000000"/>
          <w:szCs w:val="25"/>
          <w:lang w:val="es-ES_tradnl"/>
        </w:rPr>
        <w:footnoteReference w:id="57"/>
      </w:r>
      <w:r>
        <w:rPr>
          <w:color w:val="000000"/>
          <w:szCs w:val="25"/>
          <w:lang w:val="es-ES_tradnl"/>
        </w:rPr>
        <w:t>.</w:t>
      </w:r>
    </w:p>
    <w:p w:rsidR="00000000" w:rsidRDefault="00000000">
      <w:pPr>
        <w:keepNext/>
        <w:keepLines/>
        <w:spacing w:after="240"/>
        <w:jc w:val="center"/>
        <w:rPr>
          <w:b/>
          <w:bCs/>
          <w:color w:val="000000"/>
          <w:w w:val="104"/>
          <w:lang w:val="es-ES_tradnl"/>
        </w:rPr>
      </w:pPr>
      <w:r>
        <w:rPr>
          <w:b/>
          <w:bCs/>
          <w:color w:val="000000"/>
          <w:spacing w:val="-6"/>
          <w:w w:val="104"/>
          <w:lang w:val="es-ES_tradnl"/>
        </w:rPr>
        <w:t xml:space="preserve">Tasas de mortalidad infantil y de la niñez </w:t>
      </w:r>
      <w:r>
        <w:rPr>
          <w:b/>
          <w:bCs/>
          <w:color w:val="000000"/>
          <w:w w:val="104"/>
          <w:lang w:val="es-ES_tradnl"/>
        </w:rPr>
        <w:t>según varias encuestas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6"/>
        <w:gridCol w:w="1404"/>
        <w:gridCol w:w="1365"/>
        <w:gridCol w:w="1287"/>
        <w:gridCol w:w="1209"/>
        <w:gridCol w:w="1274"/>
      </w:tblGrid>
      <w:tr w:rsidR="00000000">
        <w:tblPrEx>
          <w:tblCellMar>
            <w:top w:w="0" w:type="dxa"/>
            <w:bottom w:w="0" w:type="dxa"/>
          </w:tblCellMar>
        </w:tblPrEx>
        <w:tc>
          <w:tcPr>
            <w:tcW w:w="2956" w:type="dxa"/>
            <w:vAlign w:val="center"/>
          </w:tcPr>
          <w:p w:rsidR="00000000" w:rsidRDefault="00000000">
            <w:pPr>
              <w:keepNext/>
              <w:keepLines/>
              <w:jc w:val="center"/>
              <w:rPr>
                <w:lang w:val="es-ES_tradnl"/>
              </w:rPr>
            </w:pPr>
            <w:r>
              <w:rPr>
                <w:lang w:val="es-ES_tradnl"/>
              </w:rPr>
              <w:t>Encuestas</w:t>
            </w:r>
          </w:p>
        </w:tc>
        <w:tc>
          <w:tcPr>
            <w:tcW w:w="1404" w:type="dxa"/>
            <w:vAlign w:val="center"/>
          </w:tcPr>
          <w:p w:rsidR="00000000" w:rsidRDefault="00000000">
            <w:pPr>
              <w:keepNext/>
              <w:keepLines/>
              <w:jc w:val="center"/>
              <w:rPr>
                <w:lang w:val="es-ES_tradnl"/>
              </w:rPr>
            </w:pPr>
            <w:r>
              <w:rPr>
                <w:lang w:val="es-ES_tradnl"/>
              </w:rPr>
              <w:t>Mortalidad neonatal</w:t>
            </w:r>
          </w:p>
        </w:tc>
        <w:tc>
          <w:tcPr>
            <w:tcW w:w="1365" w:type="dxa"/>
            <w:vAlign w:val="center"/>
          </w:tcPr>
          <w:p w:rsidR="00000000" w:rsidRDefault="00000000">
            <w:pPr>
              <w:keepNext/>
              <w:keepLines/>
              <w:jc w:val="center"/>
              <w:rPr>
                <w:lang w:val="es-ES_tradnl"/>
              </w:rPr>
            </w:pPr>
            <w:r>
              <w:rPr>
                <w:lang w:val="es-ES_tradnl"/>
              </w:rPr>
              <w:t xml:space="preserve">Mortalidad </w:t>
            </w:r>
            <w:proofErr w:type="spellStart"/>
            <w:r>
              <w:rPr>
                <w:lang w:val="es-ES_tradnl"/>
              </w:rPr>
              <w:t>postneonatal</w:t>
            </w:r>
            <w:proofErr w:type="spellEnd"/>
          </w:p>
        </w:tc>
        <w:tc>
          <w:tcPr>
            <w:tcW w:w="1287" w:type="dxa"/>
            <w:vAlign w:val="center"/>
          </w:tcPr>
          <w:p w:rsidR="00000000" w:rsidRDefault="00000000">
            <w:pPr>
              <w:keepNext/>
              <w:keepLines/>
              <w:jc w:val="center"/>
              <w:rPr>
                <w:lang w:val="es-ES_tradnl"/>
              </w:rPr>
            </w:pPr>
            <w:r>
              <w:rPr>
                <w:lang w:val="es-ES_tradnl"/>
              </w:rPr>
              <w:t>Mortalidad infantil</w:t>
            </w:r>
          </w:p>
        </w:tc>
        <w:tc>
          <w:tcPr>
            <w:tcW w:w="1209" w:type="dxa"/>
            <w:vAlign w:val="center"/>
          </w:tcPr>
          <w:p w:rsidR="00000000" w:rsidRDefault="00000000">
            <w:pPr>
              <w:keepNext/>
              <w:keepLines/>
              <w:jc w:val="center"/>
              <w:rPr>
                <w:lang w:val="es-ES_tradnl"/>
              </w:rPr>
            </w:pPr>
            <w:r>
              <w:rPr>
                <w:lang w:val="es-ES_tradnl"/>
              </w:rPr>
              <w:t>Mortalidad en la niñez</w:t>
            </w:r>
          </w:p>
        </w:tc>
        <w:tc>
          <w:tcPr>
            <w:tcW w:w="1274" w:type="dxa"/>
            <w:vAlign w:val="center"/>
          </w:tcPr>
          <w:p w:rsidR="00000000" w:rsidRDefault="00000000">
            <w:pPr>
              <w:keepNext/>
              <w:keepLines/>
              <w:jc w:val="center"/>
              <w:rPr>
                <w:lang w:val="es-ES_tradnl"/>
              </w:rPr>
            </w:pPr>
            <w:r>
              <w:rPr>
                <w:lang w:val="es-ES_tradnl"/>
              </w:rPr>
              <w:t>Mortalidad en menores de 5 años</w:t>
            </w:r>
          </w:p>
        </w:tc>
      </w:tr>
      <w:tr w:rsidR="00000000">
        <w:tblPrEx>
          <w:tblCellMar>
            <w:top w:w="0" w:type="dxa"/>
            <w:bottom w:w="0" w:type="dxa"/>
          </w:tblCellMar>
        </w:tblPrEx>
        <w:tc>
          <w:tcPr>
            <w:tcW w:w="2956" w:type="dxa"/>
          </w:tcPr>
          <w:p w:rsidR="00000000" w:rsidRDefault="00000000">
            <w:pPr>
              <w:keepNext/>
              <w:keepLines/>
              <w:rPr>
                <w:lang w:val="fr-CH"/>
              </w:rPr>
            </w:pPr>
            <w:proofErr w:type="spellStart"/>
            <w:r>
              <w:rPr>
                <w:lang w:val="fr-CH"/>
              </w:rPr>
              <w:t>ENDESA</w:t>
            </w:r>
            <w:proofErr w:type="spellEnd"/>
            <w:r>
              <w:rPr>
                <w:lang w:val="fr-CH"/>
              </w:rPr>
              <w:t xml:space="preserve"> (82-87)</w:t>
            </w:r>
          </w:p>
        </w:tc>
        <w:tc>
          <w:tcPr>
            <w:tcW w:w="1404" w:type="dxa"/>
          </w:tcPr>
          <w:p w:rsidR="00000000" w:rsidRDefault="00000000">
            <w:pPr>
              <w:keepNext/>
              <w:keepLines/>
              <w:jc w:val="right"/>
              <w:rPr>
                <w:lang w:val="fr-CH"/>
              </w:rPr>
            </w:pPr>
            <w:r>
              <w:rPr>
                <w:lang w:val="fr-CH"/>
              </w:rPr>
              <w:t>36</w:t>
            </w:r>
          </w:p>
        </w:tc>
        <w:tc>
          <w:tcPr>
            <w:tcW w:w="1365" w:type="dxa"/>
          </w:tcPr>
          <w:p w:rsidR="00000000" w:rsidRDefault="00000000">
            <w:pPr>
              <w:keepNext/>
              <w:keepLines/>
              <w:jc w:val="right"/>
              <w:rPr>
                <w:lang w:val="fr-CH"/>
              </w:rPr>
            </w:pPr>
            <w:r>
              <w:rPr>
                <w:lang w:val="fr-CH"/>
              </w:rPr>
              <w:t>22</w:t>
            </w:r>
          </w:p>
        </w:tc>
        <w:tc>
          <w:tcPr>
            <w:tcW w:w="1287" w:type="dxa"/>
          </w:tcPr>
          <w:p w:rsidR="00000000" w:rsidRDefault="00000000">
            <w:pPr>
              <w:keepNext/>
              <w:keepLines/>
              <w:jc w:val="right"/>
              <w:rPr>
                <w:lang w:val="fr-CH"/>
              </w:rPr>
            </w:pPr>
            <w:r>
              <w:rPr>
                <w:lang w:val="fr-CH"/>
              </w:rPr>
              <w:t>58</w:t>
            </w:r>
          </w:p>
        </w:tc>
        <w:tc>
          <w:tcPr>
            <w:tcW w:w="1209" w:type="dxa"/>
          </w:tcPr>
          <w:p w:rsidR="00000000" w:rsidRDefault="00000000">
            <w:pPr>
              <w:keepNext/>
              <w:keepLines/>
              <w:jc w:val="right"/>
              <w:rPr>
                <w:lang w:val="fr-CH"/>
              </w:rPr>
            </w:pPr>
            <w:r>
              <w:rPr>
                <w:lang w:val="fr-CH"/>
              </w:rPr>
              <w:t>25</w:t>
            </w:r>
          </w:p>
        </w:tc>
        <w:tc>
          <w:tcPr>
            <w:tcW w:w="1274" w:type="dxa"/>
          </w:tcPr>
          <w:p w:rsidR="00000000" w:rsidRDefault="00000000">
            <w:pPr>
              <w:keepNext/>
              <w:keepLines/>
              <w:jc w:val="right"/>
              <w:rPr>
                <w:lang w:val="fr-CH"/>
              </w:rPr>
            </w:pPr>
            <w:r>
              <w:rPr>
                <w:lang w:val="fr-CH"/>
              </w:rPr>
              <w:t>82</w:t>
            </w:r>
          </w:p>
        </w:tc>
      </w:tr>
      <w:tr w:rsidR="00000000">
        <w:tblPrEx>
          <w:tblCellMar>
            <w:top w:w="0" w:type="dxa"/>
            <w:bottom w:w="0" w:type="dxa"/>
          </w:tblCellMar>
        </w:tblPrEx>
        <w:tc>
          <w:tcPr>
            <w:tcW w:w="2956" w:type="dxa"/>
          </w:tcPr>
          <w:p w:rsidR="00000000" w:rsidRDefault="00000000">
            <w:pPr>
              <w:keepNext/>
              <w:keepLines/>
              <w:rPr>
                <w:lang w:val="fr-CH"/>
              </w:rPr>
            </w:pPr>
            <w:proofErr w:type="spellStart"/>
            <w:r>
              <w:rPr>
                <w:lang w:val="fr-CH"/>
              </w:rPr>
              <w:t>ENDEMAIN-89</w:t>
            </w:r>
            <w:proofErr w:type="spellEnd"/>
            <w:r>
              <w:rPr>
                <w:lang w:val="fr-CH"/>
              </w:rPr>
              <w:t xml:space="preserve"> (87)*</w:t>
            </w:r>
          </w:p>
        </w:tc>
        <w:tc>
          <w:tcPr>
            <w:tcW w:w="1404" w:type="dxa"/>
          </w:tcPr>
          <w:p w:rsidR="00000000" w:rsidRDefault="00000000">
            <w:pPr>
              <w:keepNext/>
              <w:keepLines/>
              <w:jc w:val="right"/>
              <w:rPr>
                <w:lang w:val="fr-CH"/>
              </w:rPr>
            </w:pPr>
          </w:p>
        </w:tc>
        <w:tc>
          <w:tcPr>
            <w:tcW w:w="1365" w:type="dxa"/>
          </w:tcPr>
          <w:p w:rsidR="00000000" w:rsidRDefault="00000000">
            <w:pPr>
              <w:keepNext/>
              <w:keepLines/>
              <w:jc w:val="right"/>
              <w:rPr>
                <w:lang w:val="fr-CH"/>
              </w:rPr>
            </w:pPr>
          </w:p>
        </w:tc>
        <w:tc>
          <w:tcPr>
            <w:tcW w:w="1287" w:type="dxa"/>
          </w:tcPr>
          <w:p w:rsidR="00000000" w:rsidRDefault="00000000">
            <w:pPr>
              <w:keepNext/>
              <w:keepLines/>
              <w:jc w:val="right"/>
              <w:rPr>
                <w:lang w:val="fr-CH"/>
              </w:rPr>
            </w:pPr>
            <w:r>
              <w:rPr>
                <w:lang w:val="fr-CH"/>
              </w:rPr>
              <w:t>53</w:t>
            </w:r>
          </w:p>
        </w:tc>
        <w:tc>
          <w:tcPr>
            <w:tcW w:w="1209" w:type="dxa"/>
          </w:tcPr>
          <w:p w:rsidR="00000000" w:rsidRDefault="00000000">
            <w:pPr>
              <w:keepNext/>
              <w:keepLines/>
              <w:jc w:val="right"/>
              <w:rPr>
                <w:lang w:val="fr-CH"/>
              </w:rPr>
            </w:pPr>
            <w:r>
              <w:rPr>
                <w:lang w:val="fr-CH"/>
              </w:rPr>
              <w:t>17</w:t>
            </w:r>
          </w:p>
        </w:tc>
        <w:tc>
          <w:tcPr>
            <w:tcW w:w="1274" w:type="dxa"/>
          </w:tcPr>
          <w:p w:rsidR="00000000" w:rsidRDefault="00000000">
            <w:pPr>
              <w:keepNext/>
              <w:keepLines/>
              <w:jc w:val="right"/>
              <w:rPr>
                <w:lang w:val="fr-CH"/>
              </w:rPr>
            </w:pPr>
            <w:r>
              <w:rPr>
                <w:lang w:val="fr-CH"/>
              </w:rPr>
              <w:t>70</w:t>
            </w:r>
          </w:p>
        </w:tc>
      </w:tr>
      <w:tr w:rsidR="00000000">
        <w:tblPrEx>
          <w:tblCellMar>
            <w:top w:w="0" w:type="dxa"/>
            <w:bottom w:w="0" w:type="dxa"/>
          </w:tblCellMar>
        </w:tblPrEx>
        <w:tc>
          <w:tcPr>
            <w:tcW w:w="2956" w:type="dxa"/>
          </w:tcPr>
          <w:p w:rsidR="00000000" w:rsidRDefault="00000000">
            <w:pPr>
              <w:rPr>
                <w:lang w:val="fr-CH"/>
              </w:rPr>
            </w:pPr>
            <w:proofErr w:type="spellStart"/>
            <w:r>
              <w:rPr>
                <w:lang w:val="fr-CH"/>
              </w:rPr>
              <w:t>ENDEMAIN-94</w:t>
            </w:r>
            <w:proofErr w:type="spellEnd"/>
            <w:r>
              <w:rPr>
                <w:lang w:val="fr-CH"/>
              </w:rPr>
              <w:t xml:space="preserve"> (89-94)</w:t>
            </w:r>
          </w:p>
        </w:tc>
        <w:tc>
          <w:tcPr>
            <w:tcW w:w="1404" w:type="dxa"/>
          </w:tcPr>
          <w:p w:rsidR="00000000" w:rsidRDefault="00000000">
            <w:pPr>
              <w:jc w:val="right"/>
              <w:rPr>
                <w:lang w:val="fr-CH"/>
              </w:rPr>
            </w:pPr>
            <w:r>
              <w:rPr>
                <w:lang w:val="fr-CH"/>
              </w:rPr>
              <w:t>22</w:t>
            </w:r>
          </w:p>
        </w:tc>
        <w:tc>
          <w:tcPr>
            <w:tcW w:w="1365" w:type="dxa"/>
          </w:tcPr>
          <w:p w:rsidR="00000000" w:rsidRDefault="00000000">
            <w:pPr>
              <w:jc w:val="right"/>
              <w:rPr>
                <w:lang w:val="fr-CH"/>
              </w:rPr>
            </w:pPr>
            <w:r>
              <w:rPr>
                <w:lang w:val="fr-CH"/>
              </w:rPr>
              <w:t>18</w:t>
            </w:r>
          </w:p>
        </w:tc>
        <w:tc>
          <w:tcPr>
            <w:tcW w:w="1287" w:type="dxa"/>
          </w:tcPr>
          <w:p w:rsidR="00000000" w:rsidRDefault="00000000">
            <w:pPr>
              <w:jc w:val="right"/>
              <w:rPr>
                <w:lang w:val="fr-CH"/>
              </w:rPr>
            </w:pPr>
            <w:r>
              <w:rPr>
                <w:lang w:val="fr-CH"/>
              </w:rPr>
              <w:t>40</w:t>
            </w:r>
          </w:p>
        </w:tc>
        <w:tc>
          <w:tcPr>
            <w:tcW w:w="1209" w:type="dxa"/>
          </w:tcPr>
          <w:p w:rsidR="00000000" w:rsidRDefault="00000000">
            <w:pPr>
              <w:jc w:val="right"/>
              <w:rPr>
                <w:lang w:val="fr-CH"/>
              </w:rPr>
            </w:pPr>
            <w:r>
              <w:rPr>
                <w:lang w:val="fr-CH"/>
              </w:rPr>
              <w:t>12</w:t>
            </w:r>
          </w:p>
        </w:tc>
        <w:tc>
          <w:tcPr>
            <w:tcW w:w="1274" w:type="dxa"/>
          </w:tcPr>
          <w:p w:rsidR="00000000" w:rsidRDefault="00000000">
            <w:pPr>
              <w:jc w:val="right"/>
              <w:rPr>
                <w:lang w:val="fr-CH"/>
              </w:rPr>
            </w:pPr>
            <w:r>
              <w:rPr>
                <w:lang w:val="fr-CH"/>
              </w:rPr>
              <w:t>51</w:t>
            </w:r>
          </w:p>
        </w:tc>
      </w:tr>
      <w:tr w:rsidR="00000000">
        <w:tblPrEx>
          <w:tblCellMar>
            <w:top w:w="0" w:type="dxa"/>
            <w:bottom w:w="0" w:type="dxa"/>
          </w:tblCellMar>
        </w:tblPrEx>
        <w:tc>
          <w:tcPr>
            <w:tcW w:w="2956" w:type="dxa"/>
            <w:tcBorders>
              <w:bottom w:val="single" w:sz="4" w:space="0" w:color="auto"/>
            </w:tcBorders>
          </w:tcPr>
          <w:p w:rsidR="00000000" w:rsidRDefault="00000000">
            <w:pPr>
              <w:rPr>
                <w:lang w:val="fr-CH"/>
              </w:rPr>
            </w:pPr>
            <w:proofErr w:type="spellStart"/>
            <w:r>
              <w:rPr>
                <w:lang w:val="fr-CH"/>
              </w:rPr>
              <w:t>ENDEMAIN-99</w:t>
            </w:r>
            <w:proofErr w:type="spellEnd"/>
          </w:p>
        </w:tc>
        <w:tc>
          <w:tcPr>
            <w:tcW w:w="1404" w:type="dxa"/>
            <w:tcBorders>
              <w:bottom w:val="single" w:sz="4" w:space="0" w:color="auto"/>
            </w:tcBorders>
          </w:tcPr>
          <w:p w:rsidR="00000000" w:rsidRDefault="00000000">
            <w:pPr>
              <w:jc w:val="right"/>
              <w:rPr>
                <w:lang w:val="fr-CH"/>
              </w:rPr>
            </w:pPr>
            <w:r>
              <w:rPr>
                <w:lang w:val="fr-CH"/>
              </w:rPr>
              <w:t>19</w:t>
            </w:r>
          </w:p>
        </w:tc>
        <w:tc>
          <w:tcPr>
            <w:tcW w:w="1365" w:type="dxa"/>
            <w:tcBorders>
              <w:bottom w:val="single" w:sz="4" w:space="0" w:color="auto"/>
            </w:tcBorders>
          </w:tcPr>
          <w:p w:rsidR="00000000" w:rsidRDefault="00000000">
            <w:pPr>
              <w:jc w:val="right"/>
              <w:rPr>
                <w:lang w:val="fr-CH"/>
              </w:rPr>
            </w:pPr>
            <w:r>
              <w:rPr>
                <w:lang w:val="fr-CH"/>
              </w:rPr>
              <w:t>11</w:t>
            </w:r>
          </w:p>
        </w:tc>
        <w:tc>
          <w:tcPr>
            <w:tcW w:w="1287" w:type="dxa"/>
            <w:tcBorders>
              <w:bottom w:val="single" w:sz="4" w:space="0" w:color="auto"/>
            </w:tcBorders>
          </w:tcPr>
          <w:p w:rsidR="00000000" w:rsidRDefault="00000000">
            <w:pPr>
              <w:jc w:val="right"/>
              <w:rPr>
                <w:lang w:val="fr-CH"/>
              </w:rPr>
            </w:pPr>
            <w:r>
              <w:rPr>
                <w:lang w:val="fr-CH"/>
              </w:rPr>
              <w:t>30</w:t>
            </w:r>
          </w:p>
        </w:tc>
        <w:tc>
          <w:tcPr>
            <w:tcW w:w="1209" w:type="dxa"/>
            <w:tcBorders>
              <w:bottom w:val="single" w:sz="4" w:space="0" w:color="auto"/>
            </w:tcBorders>
          </w:tcPr>
          <w:p w:rsidR="00000000" w:rsidRDefault="00000000">
            <w:pPr>
              <w:jc w:val="right"/>
              <w:rPr>
                <w:lang w:val="fr-CH"/>
              </w:rPr>
            </w:pPr>
            <w:r>
              <w:rPr>
                <w:lang w:val="fr-CH"/>
              </w:rPr>
              <w:t>9</w:t>
            </w:r>
          </w:p>
        </w:tc>
        <w:tc>
          <w:tcPr>
            <w:tcW w:w="1274" w:type="dxa"/>
            <w:tcBorders>
              <w:bottom w:val="single" w:sz="4" w:space="0" w:color="auto"/>
            </w:tcBorders>
          </w:tcPr>
          <w:p w:rsidR="00000000" w:rsidRDefault="00000000">
            <w:pPr>
              <w:jc w:val="right"/>
              <w:rPr>
                <w:lang w:val="fr-CH"/>
              </w:rPr>
            </w:pPr>
            <w:r>
              <w:rPr>
                <w:lang w:val="fr-CH"/>
              </w:rPr>
              <w:t>39</w:t>
            </w:r>
          </w:p>
        </w:tc>
      </w:tr>
      <w:tr w:rsidR="00000000">
        <w:tblPrEx>
          <w:tblCellMar>
            <w:top w:w="0" w:type="dxa"/>
            <w:bottom w:w="0" w:type="dxa"/>
          </w:tblCellMar>
        </w:tblPrEx>
        <w:trPr>
          <w:cantSplit/>
        </w:trPr>
        <w:tc>
          <w:tcPr>
            <w:tcW w:w="9495" w:type="dxa"/>
            <w:gridSpan w:val="6"/>
            <w:tcBorders>
              <w:top w:val="single" w:sz="4" w:space="0" w:color="auto"/>
              <w:left w:val="nil"/>
              <w:bottom w:val="nil"/>
              <w:right w:val="nil"/>
            </w:tcBorders>
          </w:tcPr>
          <w:p w:rsidR="00000000" w:rsidRDefault="00000000">
            <w:pPr>
              <w:spacing w:before="240" w:after="240"/>
              <w:rPr>
                <w:lang w:val="fr-CH"/>
              </w:rPr>
            </w:pPr>
            <w:proofErr w:type="spellStart"/>
            <w:r>
              <w:rPr>
                <w:i/>
                <w:iCs/>
                <w:lang w:val="fr-CH"/>
              </w:rPr>
              <w:t>Fuente</w:t>
            </w:r>
            <w:proofErr w:type="spellEnd"/>
            <w:r>
              <w:rPr>
                <w:i/>
                <w:iCs/>
                <w:lang w:val="fr-CH"/>
              </w:rPr>
              <w:t>:</w:t>
            </w:r>
            <w:r>
              <w:rPr>
                <w:lang w:val="fr-CH"/>
              </w:rPr>
              <w:t xml:space="preserve">  </w:t>
            </w:r>
            <w:proofErr w:type="spellStart"/>
            <w:r>
              <w:rPr>
                <w:lang w:val="fr-CH"/>
              </w:rPr>
              <w:t>ENDEMAIN-94</w:t>
            </w:r>
            <w:proofErr w:type="spellEnd"/>
            <w:r>
              <w:rPr>
                <w:lang w:val="fr-CH"/>
              </w:rPr>
              <w:t xml:space="preserve">, </w:t>
            </w:r>
            <w:proofErr w:type="spellStart"/>
            <w:r>
              <w:rPr>
                <w:lang w:val="fr-CH"/>
              </w:rPr>
              <w:t>ENDEMAIN-99</w:t>
            </w:r>
            <w:proofErr w:type="spellEnd"/>
            <w:r>
              <w:rPr>
                <w:lang w:val="fr-CH"/>
              </w:rPr>
              <w:t>.</w:t>
            </w:r>
          </w:p>
          <w:p w:rsidR="00000000" w:rsidRDefault="00000000">
            <w:pPr>
              <w:rPr>
                <w:lang w:val="es-ES_tradnl"/>
              </w:rPr>
            </w:pPr>
            <w:r>
              <w:rPr>
                <w:lang w:val="es-ES_tradnl"/>
              </w:rPr>
              <w:t>* Método indirecto 1989.</w:t>
            </w:r>
          </w:p>
        </w:tc>
      </w:tr>
    </w:tbl>
    <w:p w:rsidR="00000000" w:rsidRDefault="00000000">
      <w:pPr>
        <w:spacing w:before="480" w:after="240"/>
        <w:rPr>
          <w:color w:val="000000"/>
          <w:szCs w:val="25"/>
          <w:lang w:val="es-ES_tradnl"/>
        </w:rPr>
      </w:pPr>
      <w:r>
        <w:rPr>
          <w:lang w:val="es-ES_tradnl"/>
        </w:rPr>
        <w:t>398.</w:t>
      </w:r>
      <w:r>
        <w:rPr>
          <w:lang w:val="es-ES_tradnl"/>
        </w:rPr>
        <w:tab/>
      </w:r>
      <w:r>
        <w:rPr>
          <w:color w:val="000000"/>
          <w:szCs w:val="25"/>
          <w:lang w:val="es-ES_tradnl"/>
        </w:rPr>
        <w:t xml:space="preserve">Según la Encuesta de </w:t>
      </w:r>
      <w:proofErr w:type="spellStart"/>
      <w:r>
        <w:rPr>
          <w:color w:val="000000"/>
          <w:szCs w:val="25"/>
          <w:lang w:val="es-ES_tradnl"/>
        </w:rPr>
        <w:t>ENDEMAIN</w:t>
      </w:r>
      <w:proofErr w:type="spellEnd"/>
      <w:r>
        <w:rPr>
          <w:color w:val="000000"/>
          <w:szCs w:val="25"/>
          <w:lang w:val="es-ES_tradnl"/>
        </w:rPr>
        <w:t>-94, la mortalidad infantil urbana es de 30 por cada 1.000 nacidos vivos, un poco más de la mitad de la rural, la cual llega a un nivel de 52 por 1.000 nacidos vivos.  Asimismo, la mayor concentración de defunciones en el período neonatal en el área urbana, 60% de las muertes infantiles, comparada con el 54%</w:t>
      </w:r>
      <w:r>
        <w:rPr>
          <w:i/>
          <w:iCs/>
          <w:color w:val="000000"/>
          <w:szCs w:val="25"/>
          <w:lang w:val="es-ES_tradnl"/>
        </w:rPr>
        <w:t xml:space="preserve"> </w:t>
      </w:r>
      <w:r>
        <w:rPr>
          <w:color w:val="000000"/>
          <w:szCs w:val="25"/>
          <w:lang w:val="es-ES_tradnl"/>
        </w:rPr>
        <w:t>en la rural, es fiel reflejo de las condiciones imperantes en los lugares y entornos de estos dos contextos</w:t>
      </w:r>
      <w:r>
        <w:rPr>
          <w:rStyle w:val="FootnoteReference"/>
          <w:color w:val="000000"/>
          <w:szCs w:val="25"/>
          <w:lang w:val="es-ES_tradnl"/>
        </w:rPr>
        <w:footnoteReference w:id="58"/>
      </w:r>
      <w:r>
        <w:rPr>
          <w:color w:val="000000"/>
          <w:szCs w:val="25"/>
          <w:lang w:val="es-ES_tradnl"/>
        </w:rPr>
        <w:t>.</w:t>
      </w:r>
    </w:p>
    <w:p w:rsidR="00000000" w:rsidRDefault="00000000">
      <w:pPr>
        <w:spacing w:after="240"/>
        <w:jc w:val="center"/>
        <w:rPr>
          <w:b/>
          <w:bCs/>
          <w:lang w:val="es-ES_tradnl"/>
        </w:rPr>
      </w:pPr>
      <w:r>
        <w:rPr>
          <w:b/>
          <w:bCs/>
          <w:lang w:val="es-ES_tradnl"/>
        </w:rPr>
        <w:t>Tasas de mortalidad infantil y en la niñez</w:t>
      </w:r>
    </w:p>
    <w:p w:rsidR="00000000" w:rsidRDefault="00000000">
      <w:pPr>
        <w:spacing w:after="240"/>
        <w:jc w:val="center"/>
        <w:rPr>
          <w:lang w:val="es-ES_tradnl"/>
        </w:rPr>
      </w:pPr>
      <w:r>
        <w:rPr>
          <w:b/>
          <w:bCs/>
          <w:lang w:val="es-ES_tradnl"/>
        </w:rPr>
        <w:t>(Encuesta 1989-1994)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6"/>
        <w:gridCol w:w="1365"/>
        <w:gridCol w:w="1443"/>
        <w:gridCol w:w="1599"/>
        <w:gridCol w:w="1482"/>
        <w:gridCol w:w="1430"/>
      </w:tblGrid>
      <w:tr w:rsidR="00000000">
        <w:tblPrEx>
          <w:tblCellMar>
            <w:top w:w="0" w:type="dxa"/>
            <w:bottom w:w="0" w:type="dxa"/>
          </w:tblCellMar>
        </w:tblPrEx>
        <w:trPr>
          <w:cantSplit/>
        </w:trPr>
        <w:tc>
          <w:tcPr>
            <w:tcW w:w="2176" w:type="dxa"/>
            <w:vMerge w:val="restart"/>
            <w:vAlign w:val="center"/>
          </w:tcPr>
          <w:p w:rsidR="00000000" w:rsidRDefault="00000000">
            <w:pPr>
              <w:jc w:val="center"/>
              <w:rPr>
                <w:lang w:val="es-ES_tradnl"/>
              </w:rPr>
            </w:pPr>
          </w:p>
        </w:tc>
        <w:tc>
          <w:tcPr>
            <w:tcW w:w="4407" w:type="dxa"/>
            <w:gridSpan w:val="3"/>
            <w:vAlign w:val="center"/>
          </w:tcPr>
          <w:p w:rsidR="00000000" w:rsidRDefault="00000000">
            <w:pPr>
              <w:jc w:val="center"/>
              <w:rPr>
                <w:lang w:val="es-ES_tradnl"/>
              </w:rPr>
            </w:pPr>
            <w:r>
              <w:rPr>
                <w:lang w:val="es-ES_tradnl"/>
              </w:rPr>
              <w:t>Infantil</w:t>
            </w:r>
          </w:p>
        </w:tc>
        <w:tc>
          <w:tcPr>
            <w:tcW w:w="1482" w:type="dxa"/>
            <w:vMerge w:val="restart"/>
            <w:vAlign w:val="center"/>
          </w:tcPr>
          <w:p w:rsidR="00000000" w:rsidRDefault="00000000">
            <w:pPr>
              <w:jc w:val="center"/>
              <w:rPr>
                <w:lang w:val="es-ES_tradnl"/>
              </w:rPr>
            </w:pPr>
            <w:r>
              <w:rPr>
                <w:lang w:val="es-ES_tradnl"/>
              </w:rPr>
              <w:t>En la niñez</w:t>
            </w:r>
            <w:r>
              <w:rPr>
                <w:lang w:val="es-ES_tradnl"/>
              </w:rPr>
              <w:br/>
              <w:t>(1 a 4 años)</w:t>
            </w:r>
          </w:p>
        </w:tc>
        <w:tc>
          <w:tcPr>
            <w:tcW w:w="1430" w:type="dxa"/>
            <w:vMerge w:val="restart"/>
            <w:vAlign w:val="center"/>
          </w:tcPr>
          <w:p w:rsidR="00000000" w:rsidRDefault="00000000">
            <w:pPr>
              <w:jc w:val="center"/>
              <w:rPr>
                <w:lang w:val="es-ES_tradnl"/>
              </w:rPr>
            </w:pPr>
            <w:r>
              <w:rPr>
                <w:lang w:val="es-ES_tradnl"/>
              </w:rPr>
              <w:t>Total</w:t>
            </w:r>
            <w:r>
              <w:rPr>
                <w:lang w:val="es-ES_tradnl"/>
              </w:rPr>
              <w:br/>
              <w:t>(0 a 4 años)</w:t>
            </w:r>
          </w:p>
        </w:tc>
      </w:tr>
      <w:tr w:rsidR="00000000">
        <w:tblPrEx>
          <w:tblCellMar>
            <w:top w:w="0" w:type="dxa"/>
            <w:bottom w:w="0" w:type="dxa"/>
          </w:tblCellMar>
        </w:tblPrEx>
        <w:trPr>
          <w:cantSplit/>
        </w:trPr>
        <w:tc>
          <w:tcPr>
            <w:tcW w:w="2176" w:type="dxa"/>
            <w:vMerge/>
          </w:tcPr>
          <w:p w:rsidR="00000000" w:rsidRDefault="00000000">
            <w:pPr>
              <w:rPr>
                <w:lang w:val="es-ES_tradnl"/>
              </w:rPr>
            </w:pPr>
          </w:p>
        </w:tc>
        <w:tc>
          <w:tcPr>
            <w:tcW w:w="1365" w:type="dxa"/>
            <w:vAlign w:val="center"/>
          </w:tcPr>
          <w:p w:rsidR="00000000" w:rsidRDefault="00000000">
            <w:pPr>
              <w:jc w:val="center"/>
              <w:rPr>
                <w:lang w:val="es-ES_tradnl"/>
              </w:rPr>
            </w:pPr>
            <w:r>
              <w:rPr>
                <w:lang w:val="es-ES_tradnl"/>
              </w:rPr>
              <w:t>Total</w:t>
            </w:r>
          </w:p>
        </w:tc>
        <w:tc>
          <w:tcPr>
            <w:tcW w:w="1443" w:type="dxa"/>
            <w:vAlign w:val="center"/>
          </w:tcPr>
          <w:p w:rsidR="00000000" w:rsidRDefault="00000000">
            <w:pPr>
              <w:jc w:val="center"/>
              <w:rPr>
                <w:lang w:val="es-ES_tradnl"/>
              </w:rPr>
            </w:pPr>
            <w:r>
              <w:rPr>
                <w:lang w:val="es-ES_tradnl"/>
              </w:rPr>
              <w:t>Neonatal</w:t>
            </w:r>
          </w:p>
        </w:tc>
        <w:tc>
          <w:tcPr>
            <w:tcW w:w="1599" w:type="dxa"/>
            <w:vAlign w:val="center"/>
          </w:tcPr>
          <w:p w:rsidR="00000000" w:rsidRDefault="00000000">
            <w:pPr>
              <w:jc w:val="center"/>
              <w:rPr>
                <w:lang w:val="es-ES_tradnl"/>
              </w:rPr>
            </w:pPr>
            <w:proofErr w:type="spellStart"/>
            <w:r>
              <w:rPr>
                <w:lang w:val="es-ES_tradnl"/>
              </w:rPr>
              <w:t>Postneonatal</w:t>
            </w:r>
            <w:proofErr w:type="spellEnd"/>
          </w:p>
        </w:tc>
        <w:tc>
          <w:tcPr>
            <w:tcW w:w="1482" w:type="dxa"/>
            <w:vMerge/>
          </w:tcPr>
          <w:p w:rsidR="00000000" w:rsidRDefault="00000000">
            <w:pPr>
              <w:rPr>
                <w:lang w:val="es-ES_tradnl"/>
              </w:rPr>
            </w:pPr>
          </w:p>
        </w:tc>
        <w:tc>
          <w:tcPr>
            <w:tcW w:w="1430" w:type="dxa"/>
            <w:vMerge/>
          </w:tcPr>
          <w:p w:rsidR="00000000" w:rsidRDefault="00000000">
            <w:pPr>
              <w:rPr>
                <w:lang w:val="es-ES_tradnl"/>
              </w:rPr>
            </w:pPr>
          </w:p>
        </w:tc>
      </w:tr>
      <w:tr w:rsidR="00000000">
        <w:tblPrEx>
          <w:tblCellMar>
            <w:top w:w="0" w:type="dxa"/>
            <w:bottom w:w="0" w:type="dxa"/>
          </w:tblCellMar>
        </w:tblPrEx>
        <w:tc>
          <w:tcPr>
            <w:tcW w:w="2176" w:type="dxa"/>
          </w:tcPr>
          <w:p w:rsidR="00000000" w:rsidRDefault="00000000">
            <w:pPr>
              <w:rPr>
                <w:lang w:val="es-ES_tradnl"/>
              </w:rPr>
            </w:pPr>
            <w:r>
              <w:rPr>
                <w:lang w:val="es-ES_tradnl"/>
              </w:rPr>
              <w:t>Total</w:t>
            </w:r>
          </w:p>
        </w:tc>
        <w:tc>
          <w:tcPr>
            <w:tcW w:w="1365" w:type="dxa"/>
          </w:tcPr>
          <w:p w:rsidR="00000000" w:rsidRDefault="00000000">
            <w:pPr>
              <w:jc w:val="right"/>
              <w:rPr>
                <w:lang w:val="es-ES_tradnl"/>
              </w:rPr>
            </w:pPr>
            <w:r>
              <w:rPr>
                <w:lang w:val="es-ES_tradnl"/>
              </w:rPr>
              <w:t>40</w:t>
            </w:r>
          </w:p>
        </w:tc>
        <w:tc>
          <w:tcPr>
            <w:tcW w:w="1443" w:type="dxa"/>
          </w:tcPr>
          <w:p w:rsidR="00000000" w:rsidRDefault="00000000">
            <w:pPr>
              <w:jc w:val="right"/>
              <w:rPr>
                <w:lang w:val="es-ES_tradnl"/>
              </w:rPr>
            </w:pPr>
            <w:r>
              <w:rPr>
                <w:lang w:val="es-ES_tradnl"/>
              </w:rPr>
              <w:t>22</w:t>
            </w:r>
          </w:p>
        </w:tc>
        <w:tc>
          <w:tcPr>
            <w:tcW w:w="1599" w:type="dxa"/>
          </w:tcPr>
          <w:p w:rsidR="00000000" w:rsidRDefault="00000000">
            <w:pPr>
              <w:jc w:val="right"/>
              <w:rPr>
                <w:lang w:val="es-ES_tradnl"/>
              </w:rPr>
            </w:pPr>
            <w:r>
              <w:rPr>
                <w:lang w:val="es-ES_tradnl"/>
              </w:rPr>
              <w:t>18</w:t>
            </w:r>
          </w:p>
        </w:tc>
        <w:tc>
          <w:tcPr>
            <w:tcW w:w="1482" w:type="dxa"/>
          </w:tcPr>
          <w:p w:rsidR="00000000" w:rsidRDefault="00000000">
            <w:pPr>
              <w:jc w:val="right"/>
              <w:rPr>
                <w:lang w:val="es-ES_tradnl"/>
              </w:rPr>
            </w:pPr>
            <w:r>
              <w:rPr>
                <w:lang w:val="es-ES_tradnl"/>
              </w:rPr>
              <w:t>12</w:t>
            </w:r>
          </w:p>
        </w:tc>
        <w:tc>
          <w:tcPr>
            <w:tcW w:w="1430" w:type="dxa"/>
          </w:tcPr>
          <w:p w:rsidR="00000000" w:rsidRDefault="00000000">
            <w:pPr>
              <w:jc w:val="right"/>
              <w:rPr>
                <w:lang w:val="es-ES_tradnl"/>
              </w:rPr>
            </w:pPr>
            <w:r>
              <w:rPr>
                <w:lang w:val="es-ES_tradnl"/>
              </w:rPr>
              <w:t>51</w:t>
            </w:r>
          </w:p>
        </w:tc>
      </w:tr>
      <w:tr w:rsidR="00000000">
        <w:tblPrEx>
          <w:tblCellMar>
            <w:top w:w="0" w:type="dxa"/>
            <w:bottom w:w="0" w:type="dxa"/>
          </w:tblCellMar>
        </w:tblPrEx>
        <w:tc>
          <w:tcPr>
            <w:tcW w:w="2176" w:type="dxa"/>
          </w:tcPr>
          <w:p w:rsidR="00000000" w:rsidRDefault="00000000">
            <w:pPr>
              <w:rPr>
                <w:lang w:val="es-ES_tradnl"/>
              </w:rPr>
            </w:pPr>
            <w:r>
              <w:rPr>
                <w:lang w:val="es-ES_tradnl"/>
              </w:rPr>
              <w:t>Área urbana</w:t>
            </w:r>
          </w:p>
        </w:tc>
        <w:tc>
          <w:tcPr>
            <w:tcW w:w="1365" w:type="dxa"/>
          </w:tcPr>
          <w:p w:rsidR="00000000" w:rsidRDefault="00000000">
            <w:pPr>
              <w:jc w:val="right"/>
              <w:rPr>
                <w:lang w:val="es-ES_tradnl"/>
              </w:rPr>
            </w:pPr>
            <w:r>
              <w:rPr>
                <w:lang w:val="es-ES_tradnl"/>
              </w:rPr>
              <w:t>30</w:t>
            </w:r>
          </w:p>
        </w:tc>
        <w:tc>
          <w:tcPr>
            <w:tcW w:w="1443" w:type="dxa"/>
          </w:tcPr>
          <w:p w:rsidR="00000000" w:rsidRDefault="00000000">
            <w:pPr>
              <w:jc w:val="right"/>
              <w:rPr>
                <w:lang w:val="es-ES_tradnl"/>
              </w:rPr>
            </w:pPr>
            <w:r>
              <w:rPr>
                <w:lang w:val="es-ES_tradnl"/>
              </w:rPr>
              <w:t>18</w:t>
            </w:r>
          </w:p>
        </w:tc>
        <w:tc>
          <w:tcPr>
            <w:tcW w:w="1599" w:type="dxa"/>
          </w:tcPr>
          <w:p w:rsidR="00000000" w:rsidRDefault="00000000">
            <w:pPr>
              <w:jc w:val="right"/>
              <w:rPr>
                <w:lang w:val="es-ES_tradnl"/>
              </w:rPr>
            </w:pPr>
            <w:r>
              <w:rPr>
                <w:lang w:val="es-ES_tradnl"/>
              </w:rPr>
              <w:t>12</w:t>
            </w:r>
          </w:p>
        </w:tc>
        <w:tc>
          <w:tcPr>
            <w:tcW w:w="1482" w:type="dxa"/>
          </w:tcPr>
          <w:p w:rsidR="00000000" w:rsidRDefault="00000000">
            <w:pPr>
              <w:jc w:val="right"/>
              <w:rPr>
                <w:lang w:val="es-ES_tradnl"/>
              </w:rPr>
            </w:pPr>
            <w:r>
              <w:rPr>
                <w:lang w:val="es-ES_tradnl"/>
              </w:rPr>
              <w:t>7</w:t>
            </w:r>
          </w:p>
        </w:tc>
        <w:tc>
          <w:tcPr>
            <w:tcW w:w="1430" w:type="dxa"/>
          </w:tcPr>
          <w:p w:rsidR="00000000" w:rsidRDefault="00000000">
            <w:pPr>
              <w:jc w:val="right"/>
              <w:rPr>
                <w:lang w:val="es-ES_tradnl"/>
              </w:rPr>
            </w:pPr>
            <w:r>
              <w:rPr>
                <w:lang w:val="es-ES_tradnl"/>
              </w:rPr>
              <w:t>35</w:t>
            </w:r>
          </w:p>
        </w:tc>
      </w:tr>
      <w:tr w:rsidR="00000000">
        <w:tblPrEx>
          <w:tblCellMar>
            <w:top w:w="0" w:type="dxa"/>
            <w:bottom w:w="0" w:type="dxa"/>
          </w:tblCellMar>
        </w:tblPrEx>
        <w:tc>
          <w:tcPr>
            <w:tcW w:w="2176" w:type="dxa"/>
            <w:tcBorders>
              <w:bottom w:val="single" w:sz="4" w:space="0" w:color="auto"/>
            </w:tcBorders>
          </w:tcPr>
          <w:p w:rsidR="00000000" w:rsidRDefault="00000000">
            <w:pPr>
              <w:rPr>
                <w:lang w:val="es-ES_tradnl"/>
              </w:rPr>
            </w:pPr>
            <w:r>
              <w:rPr>
                <w:lang w:val="es-ES_tradnl"/>
              </w:rPr>
              <w:t>Área rural</w:t>
            </w:r>
          </w:p>
        </w:tc>
        <w:tc>
          <w:tcPr>
            <w:tcW w:w="1365" w:type="dxa"/>
            <w:tcBorders>
              <w:bottom w:val="single" w:sz="4" w:space="0" w:color="auto"/>
            </w:tcBorders>
          </w:tcPr>
          <w:p w:rsidR="00000000" w:rsidRDefault="00000000">
            <w:pPr>
              <w:jc w:val="right"/>
              <w:rPr>
                <w:lang w:val="es-ES_tradnl"/>
              </w:rPr>
            </w:pPr>
            <w:r>
              <w:rPr>
                <w:lang w:val="es-ES_tradnl"/>
              </w:rPr>
              <w:t>52</w:t>
            </w:r>
          </w:p>
        </w:tc>
        <w:tc>
          <w:tcPr>
            <w:tcW w:w="1443" w:type="dxa"/>
            <w:tcBorders>
              <w:bottom w:val="single" w:sz="4" w:space="0" w:color="auto"/>
            </w:tcBorders>
          </w:tcPr>
          <w:p w:rsidR="00000000" w:rsidRDefault="00000000">
            <w:pPr>
              <w:jc w:val="right"/>
              <w:rPr>
                <w:lang w:val="es-ES_tradnl"/>
              </w:rPr>
            </w:pPr>
            <w:r>
              <w:rPr>
                <w:lang w:val="es-ES_tradnl"/>
              </w:rPr>
              <w:t>28</w:t>
            </w:r>
          </w:p>
        </w:tc>
        <w:tc>
          <w:tcPr>
            <w:tcW w:w="1599" w:type="dxa"/>
            <w:tcBorders>
              <w:bottom w:val="single" w:sz="4" w:space="0" w:color="auto"/>
            </w:tcBorders>
          </w:tcPr>
          <w:p w:rsidR="00000000" w:rsidRDefault="00000000">
            <w:pPr>
              <w:jc w:val="right"/>
              <w:rPr>
                <w:lang w:val="es-ES_tradnl"/>
              </w:rPr>
            </w:pPr>
            <w:r>
              <w:rPr>
                <w:lang w:val="es-ES_tradnl"/>
              </w:rPr>
              <w:t>24</w:t>
            </w:r>
          </w:p>
        </w:tc>
        <w:tc>
          <w:tcPr>
            <w:tcW w:w="1482" w:type="dxa"/>
            <w:tcBorders>
              <w:bottom w:val="single" w:sz="4" w:space="0" w:color="auto"/>
            </w:tcBorders>
          </w:tcPr>
          <w:p w:rsidR="00000000" w:rsidRDefault="00000000">
            <w:pPr>
              <w:jc w:val="right"/>
              <w:rPr>
                <w:lang w:val="es-ES_tradnl"/>
              </w:rPr>
            </w:pPr>
            <w:r>
              <w:rPr>
                <w:lang w:val="es-ES_tradnl"/>
              </w:rPr>
              <w:t>16</w:t>
            </w:r>
          </w:p>
        </w:tc>
        <w:tc>
          <w:tcPr>
            <w:tcW w:w="1430" w:type="dxa"/>
            <w:tcBorders>
              <w:bottom w:val="single" w:sz="4" w:space="0" w:color="auto"/>
            </w:tcBorders>
          </w:tcPr>
          <w:p w:rsidR="00000000" w:rsidRDefault="00000000">
            <w:pPr>
              <w:jc w:val="right"/>
              <w:rPr>
                <w:lang w:val="es-ES_tradnl"/>
              </w:rPr>
            </w:pPr>
            <w:r>
              <w:rPr>
                <w:lang w:val="es-ES_tradnl"/>
              </w:rPr>
              <w:t>67</w:t>
            </w:r>
          </w:p>
        </w:tc>
      </w:tr>
      <w:tr w:rsidR="00000000">
        <w:tblPrEx>
          <w:tblCellMar>
            <w:top w:w="0" w:type="dxa"/>
            <w:bottom w:w="0" w:type="dxa"/>
          </w:tblCellMar>
        </w:tblPrEx>
        <w:trPr>
          <w:cantSplit/>
        </w:trPr>
        <w:tc>
          <w:tcPr>
            <w:tcW w:w="9495" w:type="dxa"/>
            <w:gridSpan w:val="6"/>
            <w:tcBorders>
              <w:top w:val="single" w:sz="4" w:space="0" w:color="auto"/>
              <w:left w:val="nil"/>
              <w:bottom w:val="nil"/>
              <w:right w:val="nil"/>
            </w:tcBorders>
          </w:tcPr>
          <w:p w:rsidR="00000000" w:rsidRDefault="00000000">
            <w:pPr>
              <w:spacing w:before="240"/>
              <w:rPr>
                <w:lang w:val="es-ES_tradnl"/>
              </w:rPr>
            </w:pPr>
            <w:r>
              <w:rPr>
                <w:i/>
                <w:iCs/>
                <w:lang w:val="es-ES_tradnl"/>
              </w:rPr>
              <w:t>Fuente:</w:t>
            </w:r>
            <w:r>
              <w:rPr>
                <w:lang w:val="es-ES_tradnl"/>
              </w:rPr>
              <w:t xml:space="preserve">  </w:t>
            </w:r>
            <w:proofErr w:type="spellStart"/>
            <w:r>
              <w:rPr>
                <w:lang w:val="es-ES_tradnl"/>
              </w:rPr>
              <w:t>ENDEMAIN</w:t>
            </w:r>
            <w:proofErr w:type="spellEnd"/>
            <w:r>
              <w:rPr>
                <w:lang w:val="es-ES_tradnl"/>
              </w:rPr>
              <w:t>-94.</w:t>
            </w:r>
          </w:p>
        </w:tc>
      </w:tr>
    </w:tbl>
    <w:p w:rsidR="00000000" w:rsidRDefault="00000000">
      <w:pPr>
        <w:keepNext/>
        <w:spacing w:before="480" w:after="240"/>
        <w:jc w:val="center"/>
        <w:rPr>
          <w:b/>
          <w:bCs/>
          <w:lang w:val="es-ES_tradnl"/>
        </w:rPr>
      </w:pPr>
      <w:r>
        <w:rPr>
          <w:b/>
          <w:bCs/>
          <w:lang w:val="es-ES_tradnl"/>
        </w:rPr>
        <w:t>Tasas de mortalidad infantil y en la niñez</w:t>
      </w:r>
    </w:p>
    <w:p w:rsidR="00000000" w:rsidRDefault="00000000">
      <w:pPr>
        <w:keepNext/>
        <w:spacing w:after="240"/>
        <w:jc w:val="center"/>
        <w:rPr>
          <w:lang w:val="es-ES_tradnl"/>
        </w:rPr>
      </w:pPr>
      <w:r>
        <w:rPr>
          <w:b/>
          <w:bCs/>
          <w:lang w:val="es-ES_tradnl"/>
        </w:rPr>
        <w:t>(Encuesta 1994-1999)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3"/>
        <w:gridCol w:w="663"/>
        <w:gridCol w:w="702"/>
        <w:gridCol w:w="624"/>
        <w:gridCol w:w="741"/>
        <w:gridCol w:w="663"/>
        <w:gridCol w:w="741"/>
        <w:gridCol w:w="676"/>
        <w:gridCol w:w="728"/>
        <w:gridCol w:w="623"/>
        <w:gridCol w:w="651"/>
      </w:tblGrid>
      <w:tr w:rsidR="00000000">
        <w:tblPrEx>
          <w:tblCellMar>
            <w:top w:w="0" w:type="dxa"/>
            <w:bottom w:w="0" w:type="dxa"/>
          </w:tblCellMar>
        </w:tblPrEx>
        <w:trPr>
          <w:cantSplit/>
          <w:tblHeader/>
        </w:trPr>
        <w:tc>
          <w:tcPr>
            <w:tcW w:w="2683" w:type="dxa"/>
            <w:vMerge w:val="restart"/>
          </w:tcPr>
          <w:p w:rsidR="00000000" w:rsidRDefault="00000000">
            <w:pPr>
              <w:rPr>
                <w:lang w:val="es-ES_tradnl"/>
              </w:rPr>
            </w:pPr>
          </w:p>
        </w:tc>
        <w:tc>
          <w:tcPr>
            <w:tcW w:w="1365" w:type="dxa"/>
            <w:gridSpan w:val="2"/>
            <w:vMerge w:val="restart"/>
            <w:vAlign w:val="center"/>
          </w:tcPr>
          <w:p w:rsidR="00000000" w:rsidRDefault="00000000">
            <w:pPr>
              <w:jc w:val="center"/>
              <w:rPr>
                <w:lang w:val="es-ES_tradnl"/>
              </w:rPr>
            </w:pPr>
            <w:r>
              <w:rPr>
                <w:lang w:val="es-ES_tradnl"/>
              </w:rPr>
              <w:t>Total</w:t>
            </w:r>
          </w:p>
        </w:tc>
        <w:tc>
          <w:tcPr>
            <w:tcW w:w="2769" w:type="dxa"/>
            <w:gridSpan w:val="4"/>
            <w:vAlign w:val="center"/>
          </w:tcPr>
          <w:p w:rsidR="00000000" w:rsidRDefault="00000000">
            <w:pPr>
              <w:jc w:val="center"/>
              <w:rPr>
                <w:lang w:val="es-ES_tradnl"/>
              </w:rPr>
            </w:pPr>
            <w:r>
              <w:rPr>
                <w:lang w:val="es-ES_tradnl"/>
              </w:rPr>
              <w:t>Infantil</w:t>
            </w:r>
          </w:p>
        </w:tc>
        <w:tc>
          <w:tcPr>
            <w:tcW w:w="1404" w:type="dxa"/>
            <w:gridSpan w:val="2"/>
            <w:vMerge w:val="restart"/>
            <w:vAlign w:val="center"/>
          </w:tcPr>
          <w:p w:rsidR="00000000" w:rsidRDefault="00000000">
            <w:pPr>
              <w:jc w:val="center"/>
              <w:rPr>
                <w:lang w:val="es-ES_tradnl"/>
              </w:rPr>
            </w:pPr>
            <w:r>
              <w:rPr>
                <w:lang w:val="es-ES_tradnl"/>
              </w:rPr>
              <w:t>En la niñez</w:t>
            </w:r>
            <w:r>
              <w:rPr>
                <w:lang w:val="es-ES_tradnl"/>
              </w:rPr>
              <w:br/>
              <w:t>(1 a 4 años)</w:t>
            </w:r>
          </w:p>
        </w:tc>
        <w:tc>
          <w:tcPr>
            <w:tcW w:w="1274" w:type="dxa"/>
            <w:gridSpan w:val="2"/>
            <w:vMerge w:val="restart"/>
            <w:vAlign w:val="center"/>
          </w:tcPr>
          <w:p w:rsidR="00000000" w:rsidRDefault="00000000">
            <w:pPr>
              <w:jc w:val="center"/>
              <w:rPr>
                <w:lang w:val="es-ES_tradnl"/>
              </w:rPr>
            </w:pPr>
            <w:r>
              <w:rPr>
                <w:lang w:val="es-ES_tradnl"/>
              </w:rPr>
              <w:t>Total</w:t>
            </w:r>
            <w:r>
              <w:rPr>
                <w:lang w:val="es-ES_tradnl"/>
              </w:rPr>
              <w:br/>
              <w:t>(0 a 4 años)</w:t>
            </w:r>
          </w:p>
        </w:tc>
      </w:tr>
      <w:tr w:rsidR="00000000">
        <w:tblPrEx>
          <w:tblCellMar>
            <w:top w:w="0" w:type="dxa"/>
            <w:bottom w:w="0" w:type="dxa"/>
          </w:tblCellMar>
        </w:tblPrEx>
        <w:trPr>
          <w:cantSplit/>
          <w:tblHeader/>
        </w:trPr>
        <w:tc>
          <w:tcPr>
            <w:tcW w:w="2683" w:type="dxa"/>
            <w:vMerge/>
          </w:tcPr>
          <w:p w:rsidR="00000000" w:rsidRDefault="00000000">
            <w:pPr>
              <w:rPr>
                <w:lang w:val="es-ES_tradnl"/>
              </w:rPr>
            </w:pPr>
          </w:p>
        </w:tc>
        <w:tc>
          <w:tcPr>
            <w:tcW w:w="1365" w:type="dxa"/>
            <w:gridSpan w:val="2"/>
            <w:vMerge/>
            <w:vAlign w:val="center"/>
          </w:tcPr>
          <w:p w:rsidR="00000000" w:rsidRDefault="00000000">
            <w:pPr>
              <w:jc w:val="center"/>
              <w:rPr>
                <w:lang w:val="es-ES_tradnl"/>
              </w:rPr>
            </w:pPr>
          </w:p>
        </w:tc>
        <w:tc>
          <w:tcPr>
            <w:tcW w:w="1365" w:type="dxa"/>
            <w:gridSpan w:val="2"/>
            <w:vAlign w:val="center"/>
          </w:tcPr>
          <w:p w:rsidR="00000000" w:rsidRDefault="00000000">
            <w:pPr>
              <w:jc w:val="center"/>
              <w:rPr>
                <w:lang w:val="es-ES_tradnl"/>
              </w:rPr>
            </w:pPr>
            <w:r>
              <w:rPr>
                <w:lang w:val="es-ES_tradnl"/>
              </w:rPr>
              <w:t>Neonatal</w:t>
            </w:r>
          </w:p>
        </w:tc>
        <w:tc>
          <w:tcPr>
            <w:tcW w:w="1404" w:type="dxa"/>
            <w:gridSpan w:val="2"/>
            <w:vAlign w:val="center"/>
          </w:tcPr>
          <w:p w:rsidR="00000000" w:rsidRDefault="00000000">
            <w:pPr>
              <w:jc w:val="center"/>
              <w:rPr>
                <w:lang w:val="es-ES_tradnl"/>
              </w:rPr>
            </w:pPr>
            <w:proofErr w:type="spellStart"/>
            <w:r>
              <w:rPr>
                <w:lang w:val="es-ES_tradnl"/>
              </w:rPr>
              <w:t>Postneonatal</w:t>
            </w:r>
            <w:proofErr w:type="spellEnd"/>
          </w:p>
        </w:tc>
        <w:tc>
          <w:tcPr>
            <w:tcW w:w="1404" w:type="dxa"/>
            <w:gridSpan w:val="2"/>
            <w:vMerge/>
            <w:vAlign w:val="center"/>
          </w:tcPr>
          <w:p w:rsidR="00000000" w:rsidRDefault="00000000">
            <w:pPr>
              <w:jc w:val="center"/>
              <w:rPr>
                <w:lang w:val="es-ES_tradnl"/>
              </w:rPr>
            </w:pPr>
          </w:p>
        </w:tc>
        <w:tc>
          <w:tcPr>
            <w:tcW w:w="1274" w:type="dxa"/>
            <w:gridSpan w:val="2"/>
            <w:vMerge/>
            <w:vAlign w:val="center"/>
          </w:tcPr>
          <w:p w:rsidR="00000000" w:rsidRDefault="00000000">
            <w:pPr>
              <w:jc w:val="center"/>
              <w:rPr>
                <w:lang w:val="es-ES_tradnl"/>
              </w:rPr>
            </w:pPr>
          </w:p>
        </w:tc>
      </w:tr>
      <w:tr w:rsidR="00000000">
        <w:tblPrEx>
          <w:tblCellMar>
            <w:top w:w="0" w:type="dxa"/>
            <w:bottom w:w="0" w:type="dxa"/>
          </w:tblCellMar>
        </w:tblPrEx>
        <w:trPr>
          <w:cantSplit/>
          <w:tblHeader/>
        </w:trPr>
        <w:tc>
          <w:tcPr>
            <w:tcW w:w="2683" w:type="dxa"/>
            <w:vMerge/>
          </w:tcPr>
          <w:p w:rsidR="00000000" w:rsidRDefault="00000000">
            <w:pPr>
              <w:rPr>
                <w:lang w:val="es-ES_tradnl"/>
              </w:rPr>
            </w:pPr>
          </w:p>
        </w:tc>
        <w:tc>
          <w:tcPr>
            <w:tcW w:w="663" w:type="dxa"/>
            <w:vAlign w:val="center"/>
          </w:tcPr>
          <w:p w:rsidR="00000000" w:rsidRDefault="00000000">
            <w:pPr>
              <w:jc w:val="center"/>
              <w:rPr>
                <w:lang w:val="es-ES_tradnl"/>
              </w:rPr>
            </w:pPr>
            <w:r>
              <w:rPr>
                <w:lang w:val="es-ES_tradnl"/>
              </w:rPr>
              <w:t>1994</w:t>
            </w:r>
          </w:p>
        </w:tc>
        <w:tc>
          <w:tcPr>
            <w:tcW w:w="702" w:type="dxa"/>
            <w:vAlign w:val="center"/>
          </w:tcPr>
          <w:p w:rsidR="00000000" w:rsidRDefault="00000000">
            <w:pPr>
              <w:jc w:val="center"/>
              <w:rPr>
                <w:lang w:val="es-ES_tradnl"/>
              </w:rPr>
            </w:pPr>
            <w:r>
              <w:rPr>
                <w:lang w:val="es-ES_tradnl"/>
              </w:rPr>
              <w:t>1999</w:t>
            </w:r>
          </w:p>
        </w:tc>
        <w:tc>
          <w:tcPr>
            <w:tcW w:w="624" w:type="dxa"/>
            <w:vAlign w:val="center"/>
          </w:tcPr>
          <w:p w:rsidR="00000000" w:rsidRDefault="00000000">
            <w:pPr>
              <w:jc w:val="center"/>
              <w:rPr>
                <w:lang w:val="es-ES_tradnl"/>
              </w:rPr>
            </w:pPr>
            <w:r>
              <w:rPr>
                <w:lang w:val="es-ES_tradnl"/>
              </w:rPr>
              <w:t>1994</w:t>
            </w:r>
          </w:p>
        </w:tc>
        <w:tc>
          <w:tcPr>
            <w:tcW w:w="741" w:type="dxa"/>
            <w:vAlign w:val="center"/>
          </w:tcPr>
          <w:p w:rsidR="00000000" w:rsidRDefault="00000000">
            <w:pPr>
              <w:jc w:val="center"/>
              <w:rPr>
                <w:lang w:val="es-ES_tradnl"/>
              </w:rPr>
            </w:pPr>
            <w:r>
              <w:rPr>
                <w:lang w:val="es-ES_tradnl"/>
              </w:rPr>
              <w:t>1999</w:t>
            </w:r>
          </w:p>
        </w:tc>
        <w:tc>
          <w:tcPr>
            <w:tcW w:w="663" w:type="dxa"/>
            <w:vAlign w:val="center"/>
          </w:tcPr>
          <w:p w:rsidR="00000000" w:rsidRDefault="00000000">
            <w:pPr>
              <w:jc w:val="center"/>
              <w:rPr>
                <w:lang w:val="es-ES_tradnl"/>
              </w:rPr>
            </w:pPr>
            <w:r>
              <w:rPr>
                <w:lang w:val="es-ES_tradnl"/>
              </w:rPr>
              <w:t>1994</w:t>
            </w:r>
          </w:p>
        </w:tc>
        <w:tc>
          <w:tcPr>
            <w:tcW w:w="741" w:type="dxa"/>
            <w:vAlign w:val="center"/>
          </w:tcPr>
          <w:p w:rsidR="00000000" w:rsidRDefault="00000000">
            <w:pPr>
              <w:jc w:val="center"/>
              <w:rPr>
                <w:lang w:val="es-ES_tradnl"/>
              </w:rPr>
            </w:pPr>
            <w:r>
              <w:rPr>
                <w:lang w:val="es-ES_tradnl"/>
              </w:rPr>
              <w:t>1999</w:t>
            </w:r>
          </w:p>
        </w:tc>
        <w:tc>
          <w:tcPr>
            <w:tcW w:w="676" w:type="dxa"/>
            <w:vAlign w:val="center"/>
          </w:tcPr>
          <w:p w:rsidR="00000000" w:rsidRDefault="00000000">
            <w:pPr>
              <w:jc w:val="center"/>
              <w:rPr>
                <w:lang w:val="es-ES_tradnl"/>
              </w:rPr>
            </w:pPr>
            <w:r>
              <w:rPr>
                <w:lang w:val="es-ES_tradnl"/>
              </w:rPr>
              <w:t>1994</w:t>
            </w:r>
          </w:p>
        </w:tc>
        <w:tc>
          <w:tcPr>
            <w:tcW w:w="728" w:type="dxa"/>
            <w:vAlign w:val="center"/>
          </w:tcPr>
          <w:p w:rsidR="00000000" w:rsidRDefault="00000000">
            <w:pPr>
              <w:jc w:val="center"/>
              <w:rPr>
                <w:lang w:val="es-ES_tradnl"/>
              </w:rPr>
            </w:pPr>
            <w:r>
              <w:rPr>
                <w:lang w:val="es-ES_tradnl"/>
              </w:rPr>
              <w:t>1999</w:t>
            </w:r>
          </w:p>
        </w:tc>
        <w:tc>
          <w:tcPr>
            <w:tcW w:w="623" w:type="dxa"/>
            <w:vAlign w:val="center"/>
          </w:tcPr>
          <w:p w:rsidR="00000000" w:rsidRDefault="00000000">
            <w:pPr>
              <w:jc w:val="center"/>
              <w:rPr>
                <w:lang w:val="es-ES_tradnl"/>
              </w:rPr>
            </w:pPr>
            <w:r>
              <w:rPr>
                <w:lang w:val="es-ES_tradnl"/>
              </w:rPr>
              <w:t>1994</w:t>
            </w:r>
          </w:p>
        </w:tc>
        <w:tc>
          <w:tcPr>
            <w:tcW w:w="651" w:type="dxa"/>
            <w:vAlign w:val="center"/>
          </w:tcPr>
          <w:p w:rsidR="00000000" w:rsidRDefault="00000000">
            <w:pPr>
              <w:jc w:val="center"/>
              <w:rPr>
                <w:lang w:val="es-ES_tradnl"/>
              </w:rPr>
            </w:pPr>
            <w:r>
              <w:rPr>
                <w:lang w:val="es-ES_tradnl"/>
              </w:rPr>
              <w:t>1999</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Total</w:t>
            </w:r>
          </w:p>
        </w:tc>
        <w:tc>
          <w:tcPr>
            <w:tcW w:w="663" w:type="dxa"/>
          </w:tcPr>
          <w:p w:rsidR="00000000" w:rsidRDefault="00000000">
            <w:pPr>
              <w:jc w:val="right"/>
              <w:rPr>
                <w:lang w:val="es-ES_tradnl"/>
              </w:rPr>
            </w:pPr>
            <w:r>
              <w:rPr>
                <w:lang w:val="es-ES_tradnl"/>
              </w:rPr>
              <w:t>40</w:t>
            </w:r>
          </w:p>
        </w:tc>
        <w:tc>
          <w:tcPr>
            <w:tcW w:w="702" w:type="dxa"/>
          </w:tcPr>
          <w:p w:rsidR="00000000" w:rsidRDefault="00000000">
            <w:pPr>
              <w:jc w:val="right"/>
              <w:rPr>
                <w:lang w:val="es-ES_tradnl"/>
              </w:rPr>
            </w:pPr>
            <w:r>
              <w:rPr>
                <w:lang w:val="es-ES_tradnl"/>
              </w:rPr>
              <w:t>30</w:t>
            </w:r>
          </w:p>
        </w:tc>
        <w:tc>
          <w:tcPr>
            <w:tcW w:w="624" w:type="dxa"/>
          </w:tcPr>
          <w:p w:rsidR="00000000" w:rsidRDefault="00000000">
            <w:pPr>
              <w:jc w:val="right"/>
              <w:rPr>
                <w:lang w:val="es-ES_tradnl"/>
              </w:rPr>
            </w:pPr>
            <w:r>
              <w:rPr>
                <w:lang w:val="es-ES_tradnl"/>
              </w:rPr>
              <w:t>22</w:t>
            </w:r>
          </w:p>
        </w:tc>
        <w:tc>
          <w:tcPr>
            <w:tcW w:w="741" w:type="dxa"/>
          </w:tcPr>
          <w:p w:rsidR="00000000" w:rsidRDefault="00000000">
            <w:pPr>
              <w:jc w:val="right"/>
              <w:rPr>
                <w:lang w:val="es-ES_tradnl"/>
              </w:rPr>
            </w:pPr>
            <w:r>
              <w:rPr>
                <w:lang w:val="es-ES_tradnl"/>
              </w:rPr>
              <w:t>19</w:t>
            </w:r>
          </w:p>
        </w:tc>
        <w:tc>
          <w:tcPr>
            <w:tcW w:w="663" w:type="dxa"/>
          </w:tcPr>
          <w:p w:rsidR="00000000" w:rsidRDefault="00000000">
            <w:pPr>
              <w:jc w:val="right"/>
              <w:rPr>
                <w:lang w:val="es-ES_tradnl"/>
              </w:rPr>
            </w:pPr>
            <w:r>
              <w:rPr>
                <w:lang w:val="es-ES_tradnl"/>
              </w:rPr>
              <w:t>18</w:t>
            </w:r>
          </w:p>
        </w:tc>
        <w:tc>
          <w:tcPr>
            <w:tcW w:w="741" w:type="dxa"/>
          </w:tcPr>
          <w:p w:rsidR="00000000" w:rsidRDefault="00000000">
            <w:pPr>
              <w:jc w:val="right"/>
              <w:rPr>
                <w:lang w:val="es-ES_tradnl"/>
              </w:rPr>
            </w:pPr>
            <w:r>
              <w:rPr>
                <w:lang w:val="es-ES_tradnl"/>
              </w:rPr>
              <w:t>11</w:t>
            </w:r>
          </w:p>
        </w:tc>
        <w:tc>
          <w:tcPr>
            <w:tcW w:w="676" w:type="dxa"/>
          </w:tcPr>
          <w:p w:rsidR="00000000" w:rsidRDefault="00000000">
            <w:pPr>
              <w:jc w:val="right"/>
              <w:rPr>
                <w:lang w:val="es-ES_tradnl"/>
              </w:rPr>
            </w:pPr>
            <w:r>
              <w:rPr>
                <w:lang w:val="es-ES_tradnl"/>
              </w:rPr>
              <w:t>12</w:t>
            </w:r>
          </w:p>
        </w:tc>
        <w:tc>
          <w:tcPr>
            <w:tcW w:w="728" w:type="dxa"/>
          </w:tcPr>
          <w:p w:rsidR="00000000" w:rsidRDefault="00000000">
            <w:pPr>
              <w:jc w:val="right"/>
              <w:rPr>
                <w:lang w:val="es-ES_tradnl"/>
              </w:rPr>
            </w:pPr>
            <w:r>
              <w:rPr>
                <w:lang w:val="es-ES_tradnl"/>
              </w:rPr>
              <w:t>9</w:t>
            </w:r>
          </w:p>
        </w:tc>
        <w:tc>
          <w:tcPr>
            <w:tcW w:w="623" w:type="dxa"/>
          </w:tcPr>
          <w:p w:rsidR="00000000" w:rsidRDefault="00000000">
            <w:pPr>
              <w:jc w:val="right"/>
              <w:rPr>
                <w:lang w:val="es-ES_tradnl"/>
              </w:rPr>
            </w:pPr>
            <w:r>
              <w:rPr>
                <w:lang w:val="es-ES_tradnl"/>
              </w:rPr>
              <w:t>51</w:t>
            </w:r>
          </w:p>
        </w:tc>
        <w:tc>
          <w:tcPr>
            <w:tcW w:w="651" w:type="dxa"/>
          </w:tcPr>
          <w:p w:rsidR="00000000" w:rsidRDefault="00000000">
            <w:pPr>
              <w:jc w:val="right"/>
              <w:rPr>
                <w:lang w:val="es-ES_tradnl"/>
              </w:rPr>
            </w:pPr>
            <w:r>
              <w:rPr>
                <w:lang w:val="es-ES_tradnl"/>
              </w:rPr>
              <w:t>37</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Área</w:t>
            </w:r>
          </w:p>
        </w:tc>
        <w:tc>
          <w:tcPr>
            <w:tcW w:w="663" w:type="dxa"/>
          </w:tcPr>
          <w:p w:rsidR="00000000" w:rsidRDefault="00000000">
            <w:pPr>
              <w:jc w:val="right"/>
              <w:rPr>
                <w:lang w:val="es-ES_tradnl"/>
              </w:rPr>
            </w:pPr>
          </w:p>
        </w:tc>
        <w:tc>
          <w:tcPr>
            <w:tcW w:w="702" w:type="dxa"/>
          </w:tcPr>
          <w:p w:rsidR="00000000" w:rsidRDefault="00000000">
            <w:pPr>
              <w:jc w:val="right"/>
              <w:rPr>
                <w:lang w:val="es-ES_tradnl"/>
              </w:rPr>
            </w:pPr>
          </w:p>
        </w:tc>
        <w:tc>
          <w:tcPr>
            <w:tcW w:w="624" w:type="dxa"/>
          </w:tcPr>
          <w:p w:rsidR="00000000" w:rsidRDefault="00000000">
            <w:pPr>
              <w:jc w:val="right"/>
              <w:rPr>
                <w:lang w:val="es-ES_tradnl"/>
              </w:rPr>
            </w:pPr>
          </w:p>
        </w:tc>
        <w:tc>
          <w:tcPr>
            <w:tcW w:w="741" w:type="dxa"/>
          </w:tcPr>
          <w:p w:rsidR="00000000" w:rsidRDefault="00000000">
            <w:pPr>
              <w:jc w:val="right"/>
              <w:rPr>
                <w:lang w:val="es-ES_tradnl"/>
              </w:rPr>
            </w:pPr>
          </w:p>
        </w:tc>
        <w:tc>
          <w:tcPr>
            <w:tcW w:w="663" w:type="dxa"/>
          </w:tcPr>
          <w:p w:rsidR="00000000" w:rsidRDefault="00000000">
            <w:pPr>
              <w:jc w:val="right"/>
              <w:rPr>
                <w:lang w:val="es-ES_tradnl"/>
              </w:rPr>
            </w:pPr>
          </w:p>
        </w:tc>
        <w:tc>
          <w:tcPr>
            <w:tcW w:w="741" w:type="dxa"/>
          </w:tcPr>
          <w:p w:rsidR="00000000" w:rsidRDefault="00000000">
            <w:pPr>
              <w:jc w:val="right"/>
              <w:rPr>
                <w:lang w:val="es-ES_tradnl"/>
              </w:rPr>
            </w:pPr>
          </w:p>
        </w:tc>
        <w:tc>
          <w:tcPr>
            <w:tcW w:w="676" w:type="dxa"/>
          </w:tcPr>
          <w:p w:rsidR="00000000" w:rsidRDefault="00000000">
            <w:pPr>
              <w:jc w:val="right"/>
              <w:rPr>
                <w:lang w:val="es-ES_tradnl"/>
              </w:rPr>
            </w:pPr>
          </w:p>
        </w:tc>
        <w:tc>
          <w:tcPr>
            <w:tcW w:w="728" w:type="dxa"/>
          </w:tcPr>
          <w:p w:rsidR="00000000" w:rsidRDefault="00000000">
            <w:pPr>
              <w:jc w:val="right"/>
              <w:rPr>
                <w:lang w:val="es-ES_tradnl"/>
              </w:rPr>
            </w:pPr>
          </w:p>
        </w:tc>
        <w:tc>
          <w:tcPr>
            <w:tcW w:w="623" w:type="dxa"/>
          </w:tcPr>
          <w:p w:rsidR="00000000" w:rsidRDefault="00000000">
            <w:pPr>
              <w:jc w:val="right"/>
              <w:rPr>
                <w:lang w:val="es-ES_tradnl"/>
              </w:rPr>
            </w:pPr>
          </w:p>
        </w:tc>
        <w:tc>
          <w:tcPr>
            <w:tcW w:w="651" w:type="dxa"/>
          </w:tcPr>
          <w:p w:rsidR="00000000" w:rsidRDefault="00000000">
            <w:pPr>
              <w:jc w:val="right"/>
              <w:rPr>
                <w:lang w:val="es-ES_tradnl"/>
              </w:rPr>
            </w:pP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Urbana</w:t>
            </w:r>
          </w:p>
        </w:tc>
        <w:tc>
          <w:tcPr>
            <w:tcW w:w="663" w:type="dxa"/>
          </w:tcPr>
          <w:p w:rsidR="00000000" w:rsidRDefault="00000000">
            <w:pPr>
              <w:jc w:val="right"/>
              <w:rPr>
                <w:lang w:val="es-ES_tradnl"/>
              </w:rPr>
            </w:pPr>
            <w:r>
              <w:rPr>
                <w:lang w:val="es-ES_tradnl"/>
              </w:rPr>
              <w:t>30</w:t>
            </w:r>
          </w:p>
        </w:tc>
        <w:tc>
          <w:tcPr>
            <w:tcW w:w="702" w:type="dxa"/>
          </w:tcPr>
          <w:p w:rsidR="00000000" w:rsidRDefault="00000000">
            <w:pPr>
              <w:jc w:val="right"/>
              <w:rPr>
                <w:lang w:val="es-ES_tradnl"/>
              </w:rPr>
            </w:pPr>
            <w:r>
              <w:rPr>
                <w:lang w:val="es-ES_tradnl"/>
              </w:rPr>
              <w:t>22</w:t>
            </w:r>
          </w:p>
        </w:tc>
        <w:tc>
          <w:tcPr>
            <w:tcW w:w="624" w:type="dxa"/>
          </w:tcPr>
          <w:p w:rsidR="00000000" w:rsidRDefault="00000000">
            <w:pPr>
              <w:jc w:val="right"/>
              <w:rPr>
                <w:lang w:val="es-ES_tradnl"/>
              </w:rPr>
            </w:pPr>
            <w:r>
              <w:rPr>
                <w:lang w:val="es-ES_tradnl"/>
              </w:rPr>
              <w:t>18</w:t>
            </w:r>
          </w:p>
        </w:tc>
        <w:tc>
          <w:tcPr>
            <w:tcW w:w="741" w:type="dxa"/>
          </w:tcPr>
          <w:p w:rsidR="00000000" w:rsidRDefault="00000000">
            <w:pPr>
              <w:jc w:val="right"/>
              <w:rPr>
                <w:lang w:val="es-ES_tradnl"/>
              </w:rPr>
            </w:pPr>
            <w:r>
              <w:rPr>
                <w:lang w:val="es-ES_tradnl"/>
              </w:rPr>
              <w:t>15</w:t>
            </w:r>
          </w:p>
        </w:tc>
        <w:tc>
          <w:tcPr>
            <w:tcW w:w="663" w:type="dxa"/>
          </w:tcPr>
          <w:p w:rsidR="00000000" w:rsidRDefault="00000000">
            <w:pPr>
              <w:jc w:val="right"/>
              <w:rPr>
                <w:lang w:val="es-ES_tradnl"/>
              </w:rPr>
            </w:pPr>
            <w:r>
              <w:rPr>
                <w:lang w:val="es-ES_tradnl"/>
              </w:rPr>
              <w:t>12</w:t>
            </w:r>
          </w:p>
        </w:tc>
        <w:tc>
          <w:tcPr>
            <w:tcW w:w="741" w:type="dxa"/>
          </w:tcPr>
          <w:p w:rsidR="00000000" w:rsidRDefault="00000000">
            <w:pPr>
              <w:jc w:val="right"/>
              <w:rPr>
                <w:lang w:val="es-ES_tradnl"/>
              </w:rPr>
            </w:pPr>
            <w:r>
              <w:rPr>
                <w:lang w:val="es-ES_tradnl"/>
              </w:rPr>
              <w:t>7</w:t>
            </w:r>
          </w:p>
        </w:tc>
        <w:tc>
          <w:tcPr>
            <w:tcW w:w="676" w:type="dxa"/>
          </w:tcPr>
          <w:p w:rsidR="00000000" w:rsidRDefault="00000000">
            <w:pPr>
              <w:jc w:val="right"/>
              <w:rPr>
                <w:lang w:val="es-ES_tradnl"/>
              </w:rPr>
            </w:pPr>
            <w:r>
              <w:rPr>
                <w:lang w:val="es-ES_tradnl"/>
              </w:rPr>
              <w:t>7</w:t>
            </w:r>
          </w:p>
        </w:tc>
        <w:tc>
          <w:tcPr>
            <w:tcW w:w="728" w:type="dxa"/>
          </w:tcPr>
          <w:p w:rsidR="00000000" w:rsidRDefault="00000000">
            <w:pPr>
              <w:jc w:val="right"/>
              <w:rPr>
                <w:lang w:val="es-ES_tradnl"/>
              </w:rPr>
            </w:pPr>
            <w:r>
              <w:rPr>
                <w:lang w:val="es-ES_tradnl"/>
              </w:rPr>
              <w:t>3</w:t>
            </w:r>
          </w:p>
        </w:tc>
        <w:tc>
          <w:tcPr>
            <w:tcW w:w="623" w:type="dxa"/>
          </w:tcPr>
          <w:p w:rsidR="00000000" w:rsidRDefault="00000000">
            <w:pPr>
              <w:jc w:val="right"/>
              <w:rPr>
                <w:lang w:val="es-ES_tradnl"/>
              </w:rPr>
            </w:pPr>
            <w:r>
              <w:rPr>
                <w:lang w:val="es-ES_tradnl"/>
              </w:rPr>
              <w:t>35</w:t>
            </w:r>
          </w:p>
        </w:tc>
        <w:tc>
          <w:tcPr>
            <w:tcW w:w="651" w:type="dxa"/>
          </w:tcPr>
          <w:p w:rsidR="00000000" w:rsidRDefault="00000000">
            <w:pPr>
              <w:jc w:val="right"/>
              <w:rPr>
                <w:lang w:val="es-ES_tradnl"/>
              </w:rPr>
            </w:pPr>
            <w:r>
              <w:rPr>
                <w:lang w:val="es-ES_tradnl"/>
              </w:rPr>
              <w:t>25</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Rural</w:t>
            </w:r>
          </w:p>
        </w:tc>
        <w:tc>
          <w:tcPr>
            <w:tcW w:w="663" w:type="dxa"/>
          </w:tcPr>
          <w:p w:rsidR="00000000" w:rsidRDefault="00000000">
            <w:pPr>
              <w:jc w:val="right"/>
              <w:rPr>
                <w:lang w:val="es-ES_tradnl"/>
              </w:rPr>
            </w:pPr>
            <w:r>
              <w:rPr>
                <w:lang w:val="es-ES_tradnl"/>
              </w:rPr>
              <w:t>52</w:t>
            </w:r>
          </w:p>
        </w:tc>
        <w:tc>
          <w:tcPr>
            <w:tcW w:w="702" w:type="dxa"/>
          </w:tcPr>
          <w:p w:rsidR="00000000" w:rsidRDefault="00000000">
            <w:pPr>
              <w:jc w:val="right"/>
              <w:rPr>
                <w:lang w:val="es-ES_tradnl"/>
              </w:rPr>
            </w:pPr>
            <w:r>
              <w:rPr>
                <w:lang w:val="es-ES_tradnl"/>
              </w:rPr>
              <w:t>40</w:t>
            </w:r>
          </w:p>
        </w:tc>
        <w:tc>
          <w:tcPr>
            <w:tcW w:w="624" w:type="dxa"/>
          </w:tcPr>
          <w:p w:rsidR="00000000" w:rsidRDefault="00000000">
            <w:pPr>
              <w:jc w:val="right"/>
              <w:rPr>
                <w:lang w:val="es-ES_tradnl"/>
              </w:rPr>
            </w:pPr>
            <w:r>
              <w:rPr>
                <w:lang w:val="es-ES_tradnl"/>
              </w:rPr>
              <w:t>28</w:t>
            </w:r>
          </w:p>
        </w:tc>
        <w:tc>
          <w:tcPr>
            <w:tcW w:w="741" w:type="dxa"/>
          </w:tcPr>
          <w:p w:rsidR="00000000" w:rsidRDefault="00000000">
            <w:pPr>
              <w:jc w:val="right"/>
              <w:rPr>
                <w:lang w:val="es-ES_tradnl"/>
              </w:rPr>
            </w:pPr>
            <w:r>
              <w:rPr>
                <w:lang w:val="es-ES_tradnl"/>
              </w:rPr>
              <w:t>24</w:t>
            </w:r>
          </w:p>
        </w:tc>
        <w:tc>
          <w:tcPr>
            <w:tcW w:w="663" w:type="dxa"/>
          </w:tcPr>
          <w:p w:rsidR="00000000" w:rsidRDefault="00000000">
            <w:pPr>
              <w:jc w:val="right"/>
              <w:rPr>
                <w:lang w:val="es-ES_tradnl"/>
              </w:rPr>
            </w:pPr>
            <w:r>
              <w:rPr>
                <w:lang w:val="es-ES_tradnl"/>
              </w:rPr>
              <w:t>24</w:t>
            </w:r>
          </w:p>
        </w:tc>
        <w:tc>
          <w:tcPr>
            <w:tcW w:w="741" w:type="dxa"/>
          </w:tcPr>
          <w:p w:rsidR="00000000" w:rsidRDefault="00000000">
            <w:pPr>
              <w:jc w:val="right"/>
              <w:rPr>
                <w:lang w:val="es-ES_tradnl"/>
              </w:rPr>
            </w:pPr>
            <w:r>
              <w:rPr>
                <w:lang w:val="es-ES_tradnl"/>
              </w:rPr>
              <w:t>16</w:t>
            </w:r>
          </w:p>
        </w:tc>
        <w:tc>
          <w:tcPr>
            <w:tcW w:w="676" w:type="dxa"/>
          </w:tcPr>
          <w:p w:rsidR="00000000" w:rsidRDefault="00000000">
            <w:pPr>
              <w:jc w:val="right"/>
              <w:rPr>
                <w:lang w:val="es-ES_tradnl"/>
              </w:rPr>
            </w:pPr>
            <w:r>
              <w:rPr>
                <w:lang w:val="es-ES_tradnl"/>
              </w:rPr>
              <w:t>16</w:t>
            </w:r>
          </w:p>
        </w:tc>
        <w:tc>
          <w:tcPr>
            <w:tcW w:w="728" w:type="dxa"/>
          </w:tcPr>
          <w:p w:rsidR="00000000" w:rsidRDefault="00000000">
            <w:pPr>
              <w:jc w:val="right"/>
              <w:rPr>
                <w:lang w:val="es-ES_tradnl"/>
              </w:rPr>
            </w:pPr>
            <w:r>
              <w:rPr>
                <w:lang w:val="es-ES_tradnl"/>
              </w:rPr>
              <w:t>12</w:t>
            </w:r>
          </w:p>
        </w:tc>
        <w:tc>
          <w:tcPr>
            <w:tcW w:w="623" w:type="dxa"/>
          </w:tcPr>
          <w:p w:rsidR="00000000" w:rsidRDefault="00000000">
            <w:pPr>
              <w:jc w:val="right"/>
              <w:rPr>
                <w:lang w:val="es-ES_tradnl"/>
              </w:rPr>
            </w:pPr>
            <w:r>
              <w:rPr>
                <w:lang w:val="es-ES_tradnl"/>
              </w:rPr>
              <w:t>67</w:t>
            </w:r>
          </w:p>
        </w:tc>
        <w:tc>
          <w:tcPr>
            <w:tcW w:w="651" w:type="dxa"/>
          </w:tcPr>
          <w:p w:rsidR="00000000" w:rsidRDefault="00000000">
            <w:pPr>
              <w:jc w:val="right"/>
              <w:rPr>
                <w:lang w:val="es-ES_tradnl"/>
              </w:rPr>
            </w:pPr>
            <w:r>
              <w:rPr>
                <w:lang w:val="es-ES_tradnl"/>
              </w:rPr>
              <w:t>52</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Región</w:t>
            </w:r>
          </w:p>
        </w:tc>
        <w:tc>
          <w:tcPr>
            <w:tcW w:w="663" w:type="dxa"/>
          </w:tcPr>
          <w:p w:rsidR="00000000" w:rsidRDefault="00000000">
            <w:pPr>
              <w:jc w:val="right"/>
              <w:rPr>
                <w:lang w:val="es-ES_tradnl"/>
              </w:rPr>
            </w:pPr>
          </w:p>
        </w:tc>
        <w:tc>
          <w:tcPr>
            <w:tcW w:w="702" w:type="dxa"/>
          </w:tcPr>
          <w:p w:rsidR="00000000" w:rsidRDefault="00000000">
            <w:pPr>
              <w:jc w:val="right"/>
              <w:rPr>
                <w:lang w:val="es-ES_tradnl"/>
              </w:rPr>
            </w:pPr>
          </w:p>
        </w:tc>
        <w:tc>
          <w:tcPr>
            <w:tcW w:w="624" w:type="dxa"/>
          </w:tcPr>
          <w:p w:rsidR="00000000" w:rsidRDefault="00000000">
            <w:pPr>
              <w:jc w:val="right"/>
              <w:rPr>
                <w:lang w:val="es-ES_tradnl"/>
              </w:rPr>
            </w:pPr>
          </w:p>
        </w:tc>
        <w:tc>
          <w:tcPr>
            <w:tcW w:w="741" w:type="dxa"/>
          </w:tcPr>
          <w:p w:rsidR="00000000" w:rsidRDefault="00000000">
            <w:pPr>
              <w:jc w:val="right"/>
              <w:rPr>
                <w:lang w:val="es-ES_tradnl"/>
              </w:rPr>
            </w:pPr>
          </w:p>
        </w:tc>
        <w:tc>
          <w:tcPr>
            <w:tcW w:w="663" w:type="dxa"/>
          </w:tcPr>
          <w:p w:rsidR="00000000" w:rsidRDefault="00000000">
            <w:pPr>
              <w:jc w:val="right"/>
              <w:rPr>
                <w:lang w:val="es-ES_tradnl"/>
              </w:rPr>
            </w:pPr>
          </w:p>
        </w:tc>
        <w:tc>
          <w:tcPr>
            <w:tcW w:w="741" w:type="dxa"/>
          </w:tcPr>
          <w:p w:rsidR="00000000" w:rsidRDefault="00000000">
            <w:pPr>
              <w:jc w:val="right"/>
              <w:rPr>
                <w:lang w:val="es-ES_tradnl"/>
              </w:rPr>
            </w:pPr>
          </w:p>
        </w:tc>
        <w:tc>
          <w:tcPr>
            <w:tcW w:w="676" w:type="dxa"/>
          </w:tcPr>
          <w:p w:rsidR="00000000" w:rsidRDefault="00000000">
            <w:pPr>
              <w:jc w:val="right"/>
              <w:rPr>
                <w:lang w:val="es-ES_tradnl"/>
              </w:rPr>
            </w:pPr>
          </w:p>
        </w:tc>
        <w:tc>
          <w:tcPr>
            <w:tcW w:w="728" w:type="dxa"/>
          </w:tcPr>
          <w:p w:rsidR="00000000" w:rsidRDefault="00000000">
            <w:pPr>
              <w:jc w:val="right"/>
              <w:rPr>
                <w:lang w:val="es-ES_tradnl"/>
              </w:rPr>
            </w:pPr>
          </w:p>
        </w:tc>
        <w:tc>
          <w:tcPr>
            <w:tcW w:w="623" w:type="dxa"/>
          </w:tcPr>
          <w:p w:rsidR="00000000" w:rsidRDefault="00000000">
            <w:pPr>
              <w:jc w:val="right"/>
              <w:rPr>
                <w:lang w:val="es-ES_tradnl"/>
              </w:rPr>
            </w:pPr>
          </w:p>
        </w:tc>
        <w:tc>
          <w:tcPr>
            <w:tcW w:w="651" w:type="dxa"/>
          </w:tcPr>
          <w:p w:rsidR="00000000" w:rsidRDefault="00000000">
            <w:pPr>
              <w:jc w:val="right"/>
              <w:rPr>
                <w:lang w:val="es-ES_tradnl"/>
              </w:rPr>
            </w:pP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Costa</w:t>
            </w:r>
          </w:p>
        </w:tc>
        <w:tc>
          <w:tcPr>
            <w:tcW w:w="663" w:type="dxa"/>
          </w:tcPr>
          <w:p w:rsidR="00000000" w:rsidRDefault="00000000">
            <w:pPr>
              <w:jc w:val="right"/>
              <w:rPr>
                <w:lang w:val="es-ES_tradnl"/>
              </w:rPr>
            </w:pPr>
            <w:r>
              <w:rPr>
                <w:lang w:val="es-ES_tradnl"/>
              </w:rPr>
              <w:t>32</w:t>
            </w:r>
          </w:p>
        </w:tc>
        <w:tc>
          <w:tcPr>
            <w:tcW w:w="702" w:type="dxa"/>
          </w:tcPr>
          <w:p w:rsidR="00000000" w:rsidRDefault="00000000">
            <w:pPr>
              <w:jc w:val="right"/>
              <w:rPr>
                <w:lang w:val="es-ES_tradnl"/>
              </w:rPr>
            </w:pPr>
            <w:r>
              <w:rPr>
                <w:lang w:val="es-ES_tradnl"/>
              </w:rPr>
              <w:t>25</w:t>
            </w:r>
          </w:p>
        </w:tc>
        <w:tc>
          <w:tcPr>
            <w:tcW w:w="624" w:type="dxa"/>
          </w:tcPr>
          <w:p w:rsidR="00000000" w:rsidRDefault="00000000">
            <w:pPr>
              <w:jc w:val="right"/>
              <w:rPr>
                <w:lang w:val="es-ES_tradnl"/>
              </w:rPr>
            </w:pPr>
            <w:r>
              <w:rPr>
                <w:lang w:val="es-ES_tradnl"/>
              </w:rPr>
              <w:t>19</w:t>
            </w:r>
          </w:p>
        </w:tc>
        <w:tc>
          <w:tcPr>
            <w:tcW w:w="741" w:type="dxa"/>
          </w:tcPr>
          <w:p w:rsidR="00000000" w:rsidRDefault="00000000">
            <w:pPr>
              <w:jc w:val="right"/>
              <w:rPr>
                <w:lang w:val="es-ES_tradnl"/>
              </w:rPr>
            </w:pPr>
            <w:r>
              <w:rPr>
                <w:lang w:val="es-ES_tradnl"/>
              </w:rPr>
              <w:t>16</w:t>
            </w:r>
          </w:p>
        </w:tc>
        <w:tc>
          <w:tcPr>
            <w:tcW w:w="663" w:type="dxa"/>
          </w:tcPr>
          <w:p w:rsidR="00000000" w:rsidRDefault="00000000">
            <w:pPr>
              <w:jc w:val="right"/>
              <w:rPr>
                <w:lang w:val="es-ES_tradnl"/>
              </w:rPr>
            </w:pPr>
            <w:r>
              <w:rPr>
                <w:lang w:val="es-ES_tradnl"/>
              </w:rPr>
              <w:t>13</w:t>
            </w:r>
          </w:p>
        </w:tc>
        <w:tc>
          <w:tcPr>
            <w:tcW w:w="741" w:type="dxa"/>
          </w:tcPr>
          <w:p w:rsidR="00000000" w:rsidRDefault="00000000">
            <w:pPr>
              <w:jc w:val="right"/>
              <w:rPr>
                <w:lang w:val="es-ES_tradnl"/>
              </w:rPr>
            </w:pPr>
            <w:r>
              <w:rPr>
                <w:lang w:val="es-ES_tradnl"/>
              </w:rPr>
              <w:t>9</w:t>
            </w:r>
          </w:p>
        </w:tc>
        <w:tc>
          <w:tcPr>
            <w:tcW w:w="676" w:type="dxa"/>
          </w:tcPr>
          <w:p w:rsidR="00000000" w:rsidRDefault="00000000">
            <w:pPr>
              <w:jc w:val="right"/>
              <w:rPr>
                <w:lang w:val="es-ES_tradnl"/>
              </w:rPr>
            </w:pPr>
            <w:r>
              <w:rPr>
                <w:lang w:val="es-ES_tradnl"/>
              </w:rPr>
              <w:t>7</w:t>
            </w:r>
          </w:p>
        </w:tc>
        <w:tc>
          <w:tcPr>
            <w:tcW w:w="728" w:type="dxa"/>
          </w:tcPr>
          <w:p w:rsidR="00000000" w:rsidRDefault="00000000">
            <w:pPr>
              <w:jc w:val="right"/>
              <w:rPr>
                <w:lang w:val="es-ES_tradnl"/>
              </w:rPr>
            </w:pPr>
            <w:r>
              <w:rPr>
                <w:lang w:val="es-ES_tradnl"/>
              </w:rPr>
              <w:t>4</w:t>
            </w:r>
          </w:p>
        </w:tc>
        <w:tc>
          <w:tcPr>
            <w:tcW w:w="623" w:type="dxa"/>
          </w:tcPr>
          <w:p w:rsidR="00000000" w:rsidRDefault="00000000">
            <w:pPr>
              <w:jc w:val="right"/>
              <w:rPr>
                <w:lang w:val="es-ES_tradnl"/>
              </w:rPr>
            </w:pPr>
            <w:r>
              <w:rPr>
                <w:lang w:val="es-ES_tradnl"/>
              </w:rPr>
              <w:t>38</w:t>
            </w:r>
          </w:p>
        </w:tc>
        <w:tc>
          <w:tcPr>
            <w:tcW w:w="651" w:type="dxa"/>
          </w:tcPr>
          <w:p w:rsidR="00000000" w:rsidRDefault="00000000">
            <w:pPr>
              <w:jc w:val="right"/>
              <w:rPr>
                <w:lang w:val="es-ES_tradnl"/>
              </w:rPr>
            </w:pPr>
            <w:r>
              <w:rPr>
                <w:lang w:val="es-ES_tradnl"/>
              </w:rPr>
              <w:t>29</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Sierra</w:t>
            </w:r>
          </w:p>
        </w:tc>
        <w:tc>
          <w:tcPr>
            <w:tcW w:w="663" w:type="dxa"/>
          </w:tcPr>
          <w:p w:rsidR="00000000" w:rsidRDefault="00000000">
            <w:pPr>
              <w:jc w:val="right"/>
              <w:rPr>
                <w:lang w:val="es-ES_tradnl"/>
              </w:rPr>
            </w:pPr>
            <w:r>
              <w:rPr>
                <w:lang w:val="es-ES_tradnl"/>
              </w:rPr>
              <w:t>47</w:t>
            </w:r>
          </w:p>
        </w:tc>
        <w:tc>
          <w:tcPr>
            <w:tcW w:w="702" w:type="dxa"/>
          </w:tcPr>
          <w:p w:rsidR="00000000" w:rsidRDefault="00000000">
            <w:pPr>
              <w:jc w:val="right"/>
              <w:rPr>
                <w:lang w:val="es-ES_tradnl"/>
              </w:rPr>
            </w:pPr>
            <w:r>
              <w:rPr>
                <w:lang w:val="es-ES_tradnl"/>
              </w:rPr>
              <w:t>34</w:t>
            </w:r>
          </w:p>
        </w:tc>
        <w:tc>
          <w:tcPr>
            <w:tcW w:w="624" w:type="dxa"/>
          </w:tcPr>
          <w:p w:rsidR="00000000" w:rsidRDefault="00000000">
            <w:pPr>
              <w:jc w:val="right"/>
              <w:rPr>
                <w:lang w:val="es-ES_tradnl"/>
              </w:rPr>
            </w:pPr>
            <w:r>
              <w:rPr>
                <w:lang w:val="es-ES_tradnl"/>
              </w:rPr>
              <w:t>25</w:t>
            </w:r>
          </w:p>
        </w:tc>
        <w:tc>
          <w:tcPr>
            <w:tcW w:w="741" w:type="dxa"/>
          </w:tcPr>
          <w:p w:rsidR="00000000" w:rsidRDefault="00000000">
            <w:pPr>
              <w:jc w:val="right"/>
              <w:rPr>
                <w:lang w:val="es-ES_tradnl"/>
              </w:rPr>
            </w:pPr>
            <w:r>
              <w:rPr>
                <w:lang w:val="es-ES_tradnl"/>
              </w:rPr>
              <w:t>21</w:t>
            </w:r>
          </w:p>
        </w:tc>
        <w:tc>
          <w:tcPr>
            <w:tcW w:w="663" w:type="dxa"/>
          </w:tcPr>
          <w:p w:rsidR="00000000" w:rsidRDefault="00000000">
            <w:pPr>
              <w:jc w:val="right"/>
              <w:rPr>
                <w:lang w:val="es-ES_tradnl"/>
              </w:rPr>
            </w:pPr>
            <w:r>
              <w:rPr>
                <w:lang w:val="es-ES_tradnl"/>
              </w:rPr>
              <w:t>22</w:t>
            </w:r>
          </w:p>
        </w:tc>
        <w:tc>
          <w:tcPr>
            <w:tcW w:w="741" w:type="dxa"/>
          </w:tcPr>
          <w:p w:rsidR="00000000" w:rsidRDefault="00000000">
            <w:pPr>
              <w:jc w:val="right"/>
              <w:rPr>
                <w:lang w:val="es-ES_tradnl"/>
              </w:rPr>
            </w:pPr>
            <w:r>
              <w:rPr>
                <w:lang w:val="es-ES_tradnl"/>
              </w:rPr>
              <w:t>13</w:t>
            </w:r>
          </w:p>
        </w:tc>
        <w:tc>
          <w:tcPr>
            <w:tcW w:w="676" w:type="dxa"/>
          </w:tcPr>
          <w:p w:rsidR="00000000" w:rsidRDefault="00000000">
            <w:pPr>
              <w:jc w:val="right"/>
              <w:rPr>
                <w:lang w:val="es-ES_tradnl"/>
              </w:rPr>
            </w:pPr>
            <w:r>
              <w:rPr>
                <w:lang w:val="es-ES_tradnl"/>
              </w:rPr>
              <w:t>16</w:t>
            </w:r>
          </w:p>
        </w:tc>
        <w:tc>
          <w:tcPr>
            <w:tcW w:w="728" w:type="dxa"/>
          </w:tcPr>
          <w:p w:rsidR="00000000" w:rsidRDefault="00000000">
            <w:pPr>
              <w:jc w:val="right"/>
              <w:rPr>
                <w:lang w:val="es-ES_tradnl"/>
              </w:rPr>
            </w:pPr>
            <w:r>
              <w:rPr>
                <w:lang w:val="es-ES_tradnl"/>
              </w:rPr>
              <w:t>10</w:t>
            </w:r>
          </w:p>
        </w:tc>
        <w:tc>
          <w:tcPr>
            <w:tcW w:w="623" w:type="dxa"/>
          </w:tcPr>
          <w:p w:rsidR="00000000" w:rsidRDefault="00000000">
            <w:pPr>
              <w:jc w:val="right"/>
              <w:rPr>
                <w:lang w:val="es-ES_tradnl"/>
              </w:rPr>
            </w:pPr>
            <w:r>
              <w:rPr>
                <w:lang w:val="es-ES_tradnl"/>
              </w:rPr>
              <w:t>63</w:t>
            </w:r>
          </w:p>
        </w:tc>
        <w:tc>
          <w:tcPr>
            <w:tcW w:w="651" w:type="dxa"/>
          </w:tcPr>
          <w:p w:rsidR="00000000" w:rsidRDefault="00000000">
            <w:pPr>
              <w:jc w:val="right"/>
              <w:rPr>
                <w:lang w:val="es-ES_tradnl"/>
              </w:rPr>
            </w:pPr>
            <w:r>
              <w:rPr>
                <w:lang w:val="es-ES_tradnl"/>
              </w:rPr>
              <w:t>44</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Instrucción</w:t>
            </w:r>
          </w:p>
        </w:tc>
        <w:tc>
          <w:tcPr>
            <w:tcW w:w="663" w:type="dxa"/>
          </w:tcPr>
          <w:p w:rsidR="00000000" w:rsidRDefault="00000000">
            <w:pPr>
              <w:jc w:val="right"/>
              <w:rPr>
                <w:lang w:val="es-ES_tradnl"/>
              </w:rPr>
            </w:pPr>
          </w:p>
        </w:tc>
        <w:tc>
          <w:tcPr>
            <w:tcW w:w="702" w:type="dxa"/>
          </w:tcPr>
          <w:p w:rsidR="00000000" w:rsidRDefault="00000000">
            <w:pPr>
              <w:jc w:val="right"/>
              <w:rPr>
                <w:lang w:val="es-ES_tradnl"/>
              </w:rPr>
            </w:pPr>
          </w:p>
        </w:tc>
        <w:tc>
          <w:tcPr>
            <w:tcW w:w="624" w:type="dxa"/>
          </w:tcPr>
          <w:p w:rsidR="00000000" w:rsidRDefault="00000000">
            <w:pPr>
              <w:jc w:val="right"/>
              <w:rPr>
                <w:lang w:val="es-ES_tradnl"/>
              </w:rPr>
            </w:pPr>
          </w:p>
        </w:tc>
        <w:tc>
          <w:tcPr>
            <w:tcW w:w="741" w:type="dxa"/>
          </w:tcPr>
          <w:p w:rsidR="00000000" w:rsidRDefault="00000000">
            <w:pPr>
              <w:jc w:val="right"/>
              <w:rPr>
                <w:lang w:val="es-ES_tradnl"/>
              </w:rPr>
            </w:pPr>
          </w:p>
        </w:tc>
        <w:tc>
          <w:tcPr>
            <w:tcW w:w="663" w:type="dxa"/>
          </w:tcPr>
          <w:p w:rsidR="00000000" w:rsidRDefault="00000000">
            <w:pPr>
              <w:jc w:val="right"/>
              <w:rPr>
                <w:lang w:val="es-ES_tradnl"/>
              </w:rPr>
            </w:pPr>
          </w:p>
        </w:tc>
        <w:tc>
          <w:tcPr>
            <w:tcW w:w="741" w:type="dxa"/>
          </w:tcPr>
          <w:p w:rsidR="00000000" w:rsidRDefault="00000000">
            <w:pPr>
              <w:jc w:val="right"/>
              <w:rPr>
                <w:lang w:val="es-ES_tradnl"/>
              </w:rPr>
            </w:pPr>
          </w:p>
        </w:tc>
        <w:tc>
          <w:tcPr>
            <w:tcW w:w="676" w:type="dxa"/>
          </w:tcPr>
          <w:p w:rsidR="00000000" w:rsidRDefault="00000000">
            <w:pPr>
              <w:jc w:val="right"/>
              <w:rPr>
                <w:lang w:val="es-ES_tradnl"/>
              </w:rPr>
            </w:pPr>
          </w:p>
        </w:tc>
        <w:tc>
          <w:tcPr>
            <w:tcW w:w="728" w:type="dxa"/>
          </w:tcPr>
          <w:p w:rsidR="00000000" w:rsidRDefault="00000000">
            <w:pPr>
              <w:jc w:val="right"/>
              <w:rPr>
                <w:lang w:val="es-ES_tradnl"/>
              </w:rPr>
            </w:pPr>
          </w:p>
        </w:tc>
        <w:tc>
          <w:tcPr>
            <w:tcW w:w="623" w:type="dxa"/>
          </w:tcPr>
          <w:p w:rsidR="00000000" w:rsidRDefault="00000000">
            <w:pPr>
              <w:jc w:val="right"/>
              <w:rPr>
                <w:lang w:val="es-ES_tradnl"/>
              </w:rPr>
            </w:pPr>
          </w:p>
        </w:tc>
        <w:tc>
          <w:tcPr>
            <w:tcW w:w="651" w:type="dxa"/>
          </w:tcPr>
          <w:p w:rsidR="00000000" w:rsidRDefault="00000000">
            <w:pPr>
              <w:jc w:val="right"/>
              <w:rPr>
                <w:lang w:val="es-ES_tradnl"/>
              </w:rPr>
            </w:pP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Ninguna</w:t>
            </w:r>
          </w:p>
        </w:tc>
        <w:tc>
          <w:tcPr>
            <w:tcW w:w="663" w:type="dxa"/>
          </w:tcPr>
          <w:p w:rsidR="00000000" w:rsidRDefault="00000000">
            <w:pPr>
              <w:jc w:val="right"/>
              <w:rPr>
                <w:lang w:val="es-ES_tradnl"/>
              </w:rPr>
            </w:pPr>
            <w:r>
              <w:rPr>
                <w:lang w:val="es-ES_tradnl"/>
              </w:rPr>
              <w:t>79</w:t>
            </w:r>
          </w:p>
        </w:tc>
        <w:tc>
          <w:tcPr>
            <w:tcW w:w="702" w:type="dxa"/>
          </w:tcPr>
          <w:p w:rsidR="00000000" w:rsidRDefault="00000000">
            <w:pPr>
              <w:jc w:val="right"/>
              <w:rPr>
                <w:lang w:val="es-ES_tradnl"/>
              </w:rPr>
            </w:pPr>
            <w:r>
              <w:rPr>
                <w:lang w:val="es-ES_tradnl"/>
              </w:rPr>
              <w:t>50</w:t>
            </w:r>
          </w:p>
        </w:tc>
        <w:tc>
          <w:tcPr>
            <w:tcW w:w="624" w:type="dxa"/>
          </w:tcPr>
          <w:p w:rsidR="00000000" w:rsidRDefault="00000000">
            <w:pPr>
              <w:jc w:val="right"/>
              <w:rPr>
                <w:lang w:val="es-ES_tradnl"/>
              </w:rPr>
            </w:pPr>
            <w:r>
              <w:rPr>
                <w:lang w:val="es-ES_tradnl"/>
              </w:rPr>
              <w:t>41</w:t>
            </w:r>
          </w:p>
        </w:tc>
        <w:tc>
          <w:tcPr>
            <w:tcW w:w="741" w:type="dxa"/>
          </w:tcPr>
          <w:p w:rsidR="00000000" w:rsidRDefault="00000000">
            <w:pPr>
              <w:jc w:val="right"/>
              <w:rPr>
                <w:lang w:val="es-ES_tradnl"/>
              </w:rPr>
            </w:pPr>
            <w:r>
              <w:rPr>
                <w:lang w:val="es-ES_tradnl"/>
              </w:rPr>
              <w:t>23</w:t>
            </w:r>
          </w:p>
        </w:tc>
        <w:tc>
          <w:tcPr>
            <w:tcW w:w="663" w:type="dxa"/>
          </w:tcPr>
          <w:p w:rsidR="00000000" w:rsidRDefault="00000000">
            <w:pPr>
              <w:jc w:val="right"/>
              <w:rPr>
                <w:lang w:val="es-ES_tradnl"/>
              </w:rPr>
            </w:pPr>
            <w:r>
              <w:rPr>
                <w:lang w:val="es-ES_tradnl"/>
              </w:rPr>
              <w:t>38</w:t>
            </w:r>
          </w:p>
        </w:tc>
        <w:tc>
          <w:tcPr>
            <w:tcW w:w="741" w:type="dxa"/>
          </w:tcPr>
          <w:p w:rsidR="00000000" w:rsidRDefault="00000000">
            <w:pPr>
              <w:jc w:val="right"/>
              <w:rPr>
                <w:lang w:val="es-ES_tradnl"/>
              </w:rPr>
            </w:pPr>
            <w:r>
              <w:rPr>
                <w:lang w:val="es-ES_tradnl"/>
              </w:rPr>
              <w:t>27</w:t>
            </w:r>
          </w:p>
        </w:tc>
        <w:tc>
          <w:tcPr>
            <w:tcW w:w="676" w:type="dxa"/>
          </w:tcPr>
          <w:p w:rsidR="00000000" w:rsidRDefault="00000000">
            <w:pPr>
              <w:jc w:val="right"/>
              <w:rPr>
                <w:lang w:val="es-ES_tradnl"/>
              </w:rPr>
            </w:pPr>
            <w:r>
              <w:rPr>
                <w:lang w:val="es-ES_tradnl"/>
              </w:rPr>
              <w:t>23</w:t>
            </w:r>
          </w:p>
        </w:tc>
        <w:tc>
          <w:tcPr>
            <w:tcW w:w="728" w:type="dxa"/>
          </w:tcPr>
          <w:p w:rsidR="00000000" w:rsidRDefault="00000000">
            <w:pPr>
              <w:jc w:val="right"/>
              <w:rPr>
                <w:lang w:val="es-ES_tradnl"/>
              </w:rPr>
            </w:pPr>
            <w:r>
              <w:rPr>
                <w:lang w:val="es-ES_tradnl"/>
              </w:rPr>
              <w:t>14</w:t>
            </w:r>
          </w:p>
        </w:tc>
        <w:tc>
          <w:tcPr>
            <w:tcW w:w="623" w:type="dxa"/>
          </w:tcPr>
          <w:p w:rsidR="00000000" w:rsidRDefault="00000000">
            <w:pPr>
              <w:jc w:val="right"/>
              <w:rPr>
                <w:lang w:val="es-ES_tradnl"/>
              </w:rPr>
            </w:pPr>
            <w:r>
              <w:rPr>
                <w:lang w:val="es-ES_tradnl"/>
              </w:rPr>
              <w:t>101</w:t>
            </w:r>
          </w:p>
        </w:tc>
        <w:tc>
          <w:tcPr>
            <w:tcW w:w="651" w:type="dxa"/>
          </w:tcPr>
          <w:p w:rsidR="00000000" w:rsidRDefault="00000000">
            <w:pPr>
              <w:jc w:val="right"/>
              <w:rPr>
                <w:lang w:val="es-ES_tradnl"/>
              </w:rPr>
            </w:pPr>
            <w:r>
              <w:rPr>
                <w:lang w:val="es-ES_tradnl"/>
              </w:rPr>
              <w:t>64</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Primaria</w:t>
            </w:r>
          </w:p>
        </w:tc>
        <w:tc>
          <w:tcPr>
            <w:tcW w:w="663" w:type="dxa"/>
          </w:tcPr>
          <w:p w:rsidR="00000000" w:rsidRDefault="00000000">
            <w:pPr>
              <w:jc w:val="right"/>
              <w:rPr>
                <w:lang w:val="es-ES_tradnl"/>
              </w:rPr>
            </w:pPr>
            <w:r>
              <w:rPr>
                <w:lang w:val="es-ES_tradnl"/>
              </w:rPr>
              <w:t>44</w:t>
            </w:r>
          </w:p>
        </w:tc>
        <w:tc>
          <w:tcPr>
            <w:tcW w:w="702" w:type="dxa"/>
          </w:tcPr>
          <w:p w:rsidR="00000000" w:rsidRDefault="00000000">
            <w:pPr>
              <w:jc w:val="right"/>
              <w:rPr>
                <w:lang w:val="es-ES_tradnl"/>
              </w:rPr>
            </w:pPr>
            <w:r>
              <w:rPr>
                <w:lang w:val="es-ES_tradnl"/>
              </w:rPr>
              <w:t>35</w:t>
            </w:r>
          </w:p>
        </w:tc>
        <w:tc>
          <w:tcPr>
            <w:tcW w:w="624" w:type="dxa"/>
          </w:tcPr>
          <w:p w:rsidR="00000000" w:rsidRDefault="00000000">
            <w:pPr>
              <w:jc w:val="right"/>
              <w:rPr>
                <w:lang w:val="es-ES_tradnl"/>
              </w:rPr>
            </w:pPr>
            <w:r>
              <w:rPr>
                <w:lang w:val="es-ES_tradnl"/>
              </w:rPr>
              <w:t>24</w:t>
            </w:r>
          </w:p>
        </w:tc>
        <w:tc>
          <w:tcPr>
            <w:tcW w:w="741" w:type="dxa"/>
          </w:tcPr>
          <w:p w:rsidR="00000000" w:rsidRDefault="00000000">
            <w:pPr>
              <w:jc w:val="right"/>
              <w:rPr>
                <w:lang w:val="es-ES_tradnl"/>
              </w:rPr>
            </w:pPr>
            <w:r>
              <w:rPr>
                <w:lang w:val="es-ES_tradnl"/>
              </w:rPr>
              <w:t>20</w:t>
            </w:r>
          </w:p>
        </w:tc>
        <w:tc>
          <w:tcPr>
            <w:tcW w:w="663" w:type="dxa"/>
          </w:tcPr>
          <w:p w:rsidR="00000000" w:rsidRDefault="00000000">
            <w:pPr>
              <w:jc w:val="right"/>
              <w:rPr>
                <w:lang w:val="es-ES_tradnl"/>
              </w:rPr>
            </w:pPr>
            <w:r>
              <w:rPr>
                <w:lang w:val="es-ES_tradnl"/>
              </w:rPr>
              <w:t>20</w:t>
            </w:r>
          </w:p>
        </w:tc>
        <w:tc>
          <w:tcPr>
            <w:tcW w:w="741" w:type="dxa"/>
          </w:tcPr>
          <w:p w:rsidR="00000000" w:rsidRDefault="00000000">
            <w:pPr>
              <w:jc w:val="right"/>
              <w:rPr>
                <w:lang w:val="es-ES_tradnl"/>
              </w:rPr>
            </w:pPr>
            <w:r>
              <w:rPr>
                <w:lang w:val="es-ES_tradnl"/>
              </w:rPr>
              <w:t>15</w:t>
            </w:r>
          </w:p>
        </w:tc>
        <w:tc>
          <w:tcPr>
            <w:tcW w:w="676" w:type="dxa"/>
          </w:tcPr>
          <w:p w:rsidR="00000000" w:rsidRDefault="00000000">
            <w:pPr>
              <w:jc w:val="right"/>
              <w:rPr>
                <w:lang w:val="es-ES_tradnl"/>
              </w:rPr>
            </w:pPr>
            <w:r>
              <w:rPr>
                <w:lang w:val="es-ES_tradnl"/>
              </w:rPr>
              <w:t>16</w:t>
            </w:r>
          </w:p>
        </w:tc>
        <w:tc>
          <w:tcPr>
            <w:tcW w:w="728" w:type="dxa"/>
          </w:tcPr>
          <w:p w:rsidR="00000000" w:rsidRDefault="00000000">
            <w:pPr>
              <w:jc w:val="right"/>
              <w:rPr>
                <w:lang w:val="es-ES_tradnl"/>
              </w:rPr>
            </w:pPr>
            <w:r>
              <w:rPr>
                <w:lang w:val="es-ES_tradnl"/>
              </w:rPr>
              <w:t>10</w:t>
            </w:r>
          </w:p>
        </w:tc>
        <w:tc>
          <w:tcPr>
            <w:tcW w:w="623" w:type="dxa"/>
          </w:tcPr>
          <w:p w:rsidR="00000000" w:rsidRDefault="00000000">
            <w:pPr>
              <w:jc w:val="right"/>
              <w:rPr>
                <w:lang w:val="es-ES_tradnl"/>
              </w:rPr>
            </w:pPr>
            <w:r>
              <w:rPr>
                <w:lang w:val="es-ES_tradnl"/>
              </w:rPr>
              <w:t>59</w:t>
            </w:r>
          </w:p>
        </w:tc>
        <w:tc>
          <w:tcPr>
            <w:tcW w:w="651" w:type="dxa"/>
          </w:tcPr>
          <w:p w:rsidR="00000000" w:rsidRDefault="00000000">
            <w:pPr>
              <w:jc w:val="right"/>
              <w:rPr>
                <w:lang w:val="es-ES_tradnl"/>
              </w:rPr>
            </w:pPr>
            <w:r>
              <w:rPr>
                <w:lang w:val="es-ES_tradnl"/>
              </w:rPr>
              <w:t>44</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Secundaria</w:t>
            </w:r>
          </w:p>
        </w:tc>
        <w:tc>
          <w:tcPr>
            <w:tcW w:w="663" w:type="dxa"/>
          </w:tcPr>
          <w:p w:rsidR="00000000" w:rsidRDefault="00000000">
            <w:pPr>
              <w:jc w:val="right"/>
              <w:rPr>
                <w:lang w:val="es-ES_tradnl"/>
              </w:rPr>
            </w:pPr>
            <w:r>
              <w:rPr>
                <w:lang w:val="es-ES_tradnl"/>
              </w:rPr>
              <w:t>31</w:t>
            </w:r>
          </w:p>
        </w:tc>
        <w:tc>
          <w:tcPr>
            <w:tcW w:w="702" w:type="dxa"/>
          </w:tcPr>
          <w:p w:rsidR="00000000" w:rsidRDefault="00000000">
            <w:pPr>
              <w:jc w:val="right"/>
              <w:rPr>
                <w:lang w:val="es-ES_tradnl"/>
              </w:rPr>
            </w:pPr>
            <w:r>
              <w:rPr>
                <w:lang w:val="es-ES_tradnl"/>
              </w:rPr>
              <w:t>25</w:t>
            </w:r>
          </w:p>
        </w:tc>
        <w:tc>
          <w:tcPr>
            <w:tcW w:w="624" w:type="dxa"/>
          </w:tcPr>
          <w:p w:rsidR="00000000" w:rsidRDefault="00000000">
            <w:pPr>
              <w:jc w:val="right"/>
              <w:rPr>
                <w:lang w:val="es-ES_tradnl"/>
              </w:rPr>
            </w:pPr>
            <w:r>
              <w:rPr>
                <w:lang w:val="es-ES_tradnl"/>
              </w:rPr>
              <w:t>20</w:t>
            </w:r>
          </w:p>
        </w:tc>
        <w:tc>
          <w:tcPr>
            <w:tcW w:w="741" w:type="dxa"/>
          </w:tcPr>
          <w:p w:rsidR="00000000" w:rsidRDefault="00000000">
            <w:pPr>
              <w:jc w:val="right"/>
              <w:rPr>
                <w:lang w:val="es-ES_tradnl"/>
              </w:rPr>
            </w:pPr>
            <w:r>
              <w:rPr>
                <w:lang w:val="es-ES_tradnl"/>
              </w:rPr>
              <w:t>19</w:t>
            </w:r>
          </w:p>
        </w:tc>
        <w:tc>
          <w:tcPr>
            <w:tcW w:w="663" w:type="dxa"/>
          </w:tcPr>
          <w:p w:rsidR="00000000" w:rsidRDefault="00000000">
            <w:pPr>
              <w:jc w:val="right"/>
              <w:rPr>
                <w:lang w:val="es-ES_tradnl"/>
              </w:rPr>
            </w:pPr>
            <w:r>
              <w:rPr>
                <w:lang w:val="es-ES_tradnl"/>
              </w:rPr>
              <w:t>11</w:t>
            </w:r>
          </w:p>
        </w:tc>
        <w:tc>
          <w:tcPr>
            <w:tcW w:w="741" w:type="dxa"/>
          </w:tcPr>
          <w:p w:rsidR="00000000" w:rsidRDefault="00000000">
            <w:pPr>
              <w:jc w:val="right"/>
              <w:rPr>
                <w:lang w:val="es-ES_tradnl"/>
              </w:rPr>
            </w:pPr>
            <w:r>
              <w:rPr>
                <w:lang w:val="es-ES_tradnl"/>
              </w:rPr>
              <w:t>5</w:t>
            </w:r>
          </w:p>
        </w:tc>
        <w:tc>
          <w:tcPr>
            <w:tcW w:w="676" w:type="dxa"/>
          </w:tcPr>
          <w:p w:rsidR="00000000" w:rsidRDefault="00000000">
            <w:pPr>
              <w:jc w:val="right"/>
              <w:rPr>
                <w:lang w:val="es-ES_tradnl"/>
              </w:rPr>
            </w:pPr>
            <w:r>
              <w:rPr>
                <w:lang w:val="es-ES_tradnl"/>
              </w:rPr>
              <w:t>3</w:t>
            </w:r>
          </w:p>
        </w:tc>
        <w:tc>
          <w:tcPr>
            <w:tcW w:w="728" w:type="dxa"/>
          </w:tcPr>
          <w:p w:rsidR="00000000" w:rsidRDefault="00000000">
            <w:pPr>
              <w:jc w:val="right"/>
              <w:rPr>
                <w:lang w:val="es-ES_tradnl"/>
              </w:rPr>
            </w:pPr>
            <w:r>
              <w:rPr>
                <w:lang w:val="es-ES_tradnl"/>
              </w:rPr>
              <w:t>5</w:t>
            </w:r>
          </w:p>
        </w:tc>
        <w:tc>
          <w:tcPr>
            <w:tcW w:w="623" w:type="dxa"/>
          </w:tcPr>
          <w:p w:rsidR="00000000" w:rsidRDefault="00000000">
            <w:pPr>
              <w:jc w:val="right"/>
              <w:rPr>
                <w:lang w:val="es-ES_tradnl"/>
              </w:rPr>
            </w:pPr>
            <w:r>
              <w:rPr>
                <w:lang w:val="es-ES_tradnl"/>
              </w:rPr>
              <w:t>34</w:t>
            </w:r>
          </w:p>
        </w:tc>
        <w:tc>
          <w:tcPr>
            <w:tcW w:w="651" w:type="dxa"/>
          </w:tcPr>
          <w:p w:rsidR="00000000" w:rsidRDefault="00000000">
            <w:pPr>
              <w:jc w:val="right"/>
              <w:rPr>
                <w:lang w:val="es-ES_tradnl"/>
              </w:rPr>
            </w:pPr>
            <w:r>
              <w:rPr>
                <w:lang w:val="es-ES_tradnl"/>
              </w:rPr>
              <w:t>30</w:t>
            </w:r>
          </w:p>
        </w:tc>
      </w:tr>
      <w:tr w:rsidR="00000000">
        <w:tblPrEx>
          <w:tblCellMar>
            <w:top w:w="0" w:type="dxa"/>
            <w:bottom w:w="0" w:type="dxa"/>
          </w:tblCellMar>
        </w:tblPrEx>
        <w:tc>
          <w:tcPr>
            <w:tcW w:w="2683" w:type="dxa"/>
          </w:tcPr>
          <w:p w:rsidR="00000000" w:rsidRDefault="00000000">
            <w:pPr>
              <w:tabs>
                <w:tab w:val="left" w:pos="234"/>
              </w:tabs>
              <w:rPr>
                <w:lang w:val="es-ES_tradnl"/>
              </w:rPr>
            </w:pPr>
            <w:r>
              <w:rPr>
                <w:lang w:val="es-ES_tradnl"/>
              </w:rPr>
              <w:tab/>
              <w:t xml:space="preserve">Universidad </w:t>
            </w:r>
            <w:proofErr w:type="spellStart"/>
            <w:r>
              <w:rPr>
                <w:lang w:val="es-ES_tradnl"/>
              </w:rPr>
              <w:t>posgrado</w:t>
            </w:r>
            <w:proofErr w:type="spellEnd"/>
          </w:p>
        </w:tc>
        <w:tc>
          <w:tcPr>
            <w:tcW w:w="663" w:type="dxa"/>
          </w:tcPr>
          <w:p w:rsidR="00000000" w:rsidRDefault="00000000">
            <w:pPr>
              <w:jc w:val="right"/>
              <w:rPr>
                <w:lang w:val="es-ES_tradnl"/>
              </w:rPr>
            </w:pPr>
            <w:r>
              <w:rPr>
                <w:lang w:val="es-ES_tradnl"/>
              </w:rPr>
              <w:t>11</w:t>
            </w:r>
          </w:p>
        </w:tc>
        <w:tc>
          <w:tcPr>
            <w:tcW w:w="702" w:type="dxa"/>
          </w:tcPr>
          <w:p w:rsidR="00000000" w:rsidRDefault="00000000">
            <w:pPr>
              <w:jc w:val="right"/>
              <w:rPr>
                <w:lang w:val="es-ES_tradnl"/>
              </w:rPr>
            </w:pPr>
            <w:r>
              <w:rPr>
                <w:lang w:val="es-ES_tradnl"/>
              </w:rPr>
              <w:t>11</w:t>
            </w:r>
          </w:p>
        </w:tc>
        <w:tc>
          <w:tcPr>
            <w:tcW w:w="624" w:type="dxa"/>
          </w:tcPr>
          <w:p w:rsidR="00000000" w:rsidRDefault="00000000">
            <w:pPr>
              <w:jc w:val="right"/>
              <w:rPr>
                <w:lang w:val="es-ES_tradnl"/>
              </w:rPr>
            </w:pPr>
            <w:r>
              <w:rPr>
                <w:lang w:val="es-ES_tradnl"/>
              </w:rPr>
              <w:t>7</w:t>
            </w:r>
          </w:p>
        </w:tc>
        <w:tc>
          <w:tcPr>
            <w:tcW w:w="741" w:type="dxa"/>
          </w:tcPr>
          <w:p w:rsidR="00000000" w:rsidRDefault="00000000">
            <w:pPr>
              <w:jc w:val="right"/>
              <w:rPr>
                <w:lang w:val="es-ES_tradnl"/>
              </w:rPr>
            </w:pPr>
            <w:r>
              <w:rPr>
                <w:lang w:val="es-ES_tradnl"/>
              </w:rPr>
              <w:t>9</w:t>
            </w:r>
          </w:p>
        </w:tc>
        <w:tc>
          <w:tcPr>
            <w:tcW w:w="663" w:type="dxa"/>
          </w:tcPr>
          <w:p w:rsidR="00000000" w:rsidRDefault="00000000">
            <w:pPr>
              <w:jc w:val="right"/>
              <w:rPr>
                <w:lang w:val="es-ES_tradnl"/>
              </w:rPr>
            </w:pPr>
            <w:r>
              <w:rPr>
                <w:lang w:val="es-ES_tradnl"/>
              </w:rPr>
              <w:t>4</w:t>
            </w:r>
          </w:p>
        </w:tc>
        <w:tc>
          <w:tcPr>
            <w:tcW w:w="741" w:type="dxa"/>
          </w:tcPr>
          <w:p w:rsidR="00000000" w:rsidRDefault="00000000">
            <w:pPr>
              <w:jc w:val="right"/>
              <w:rPr>
                <w:lang w:val="es-ES_tradnl"/>
              </w:rPr>
            </w:pPr>
            <w:r>
              <w:rPr>
                <w:lang w:val="es-ES_tradnl"/>
              </w:rPr>
              <w:t>1</w:t>
            </w:r>
          </w:p>
        </w:tc>
        <w:tc>
          <w:tcPr>
            <w:tcW w:w="676" w:type="dxa"/>
          </w:tcPr>
          <w:p w:rsidR="00000000" w:rsidRDefault="00000000">
            <w:pPr>
              <w:jc w:val="right"/>
              <w:rPr>
                <w:lang w:val="es-ES_tradnl"/>
              </w:rPr>
            </w:pPr>
            <w:r>
              <w:rPr>
                <w:lang w:val="es-ES_tradnl"/>
              </w:rPr>
              <w:t>1</w:t>
            </w:r>
          </w:p>
        </w:tc>
        <w:tc>
          <w:tcPr>
            <w:tcW w:w="728" w:type="dxa"/>
          </w:tcPr>
          <w:p w:rsidR="00000000" w:rsidRDefault="00000000">
            <w:pPr>
              <w:jc w:val="right"/>
              <w:rPr>
                <w:lang w:val="es-ES_tradnl"/>
              </w:rPr>
            </w:pPr>
            <w:r>
              <w:rPr>
                <w:lang w:val="es-ES_tradnl"/>
              </w:rPr>
              <w:t>1</w:t>
            </w:r>
          </w:p>
        </w:tc>
        <w:tc>
          <w:tcPr>
            <w:tcW w:w="623" w:type="dxa"/>
          </w:tcPr>
          <w:p w:rsidR="00000000" w:rsidRDefault="00000000">
            <w:pPr>
              <w:jc w:val="right"/>
              <w:rPr>
                <w:lang w:val="es-ES_tradnl"/>
              </w:rPr>
            </w:pPr>
            <w:r>
              <w:rPr>
                <w:lang w:val="es-ES_tradnl"/>
              </w:rPr>
              <w:t>13</w:t>
            </w:r>
          </w:p>
        </w:tc>
        <w:tc>
          <w:tcPr>
            <w:tcW w:w="651" w:type="dxa"/>
          </w:tcPr>
          <w:p w:rsidR="00000000" w:rsidRDefault="00000000">
            <w:pPr>
              <w:jc w:val="right"/>
              <w:rPr>
                <w:lang w:val="es-ES_tradnl"/>
              </w:rPr>
            </w:pPr>
            <w:r>
              <w:rPr>
                <w:lang w:val="es-ES_tradnl"/>
              </w:rPr>
              <w:t>12</w:t>
            </w:r>
          </w:p>
        </w:tc>
      </w:tr>
    </w:tbl>
    <w:p w:rsidR="00000000" w:rsidRDefault="00000000">
      <w:pPr>
        <w:shd w:val="clear" w:color="auto" w:fill="FFFFFF"/>
        <w:spacing w:before="480" w:after="240"/>
      </w:pPr>
      <w:r>
        <w:rPr>
          <w:lang w:val="es-ES_tradnl"/>
        </w:rPr>
        <w:t>399.</w:t>
      </w:r>
      <w:r>
        <w:rPr>
          <w:lang w:val="es-ES_tradnl"/>
        </w:rPr>
        <w:tab/>
      </w:r>
      <w:r>
        <w:rPr>
          <w:color w:val="000000"/>
          <w:szCs w:val="25"/>
          <w:lang w:val="es-ES_tradnl"/>
        </w:rPr>
        <w:t>El nivel general de la mortalidad infantil ha disminuido un 25%, al pasar de una tasa de 40 a otra de 30%</w:t>
      </w:r>
      <w:r>
        <w:rPr>
          <w:b/>
          <w:color w:val="000000"/>
          <w:sz w:val="14"/>
          <w:szCs w:val="25"/>
          <w:lang w:val="es-ES_tradnl"/>
        </w:rPr>
        <w:t>0</w:t>
      </w:r>
      <w:r>
        <w:rPr>
          <w:color w:val="000000"/>
          <w:szCs w:val="25"/>
          <w:lang w:val="es-ES_tradnl"/>
        </w:rPr>
        <w:t xml:space="preserve">, es decir en promedio cada año del último quinquenio se ha disminuido cinco puntos porcentuales.  El descenso mayor ha acontecido en la mortalidad </w:t>
      </w:r>
      <w:proofErr w:type="spellStart"/>
      <w:r>
        <w:rPr>
          <w:color w:val="000000"/>
          <w:szCs w:val="25"/>
          <w:lang w:val="es-ES_tradnl"/>
        </w:rPr>
        <w:t>postneonatal</w:t>
      </w:r>
      <w:proofErr w:type="spellEnd"/>
      <w:r>
        <w:rPr>
          <w:color w:val="000000"/>
          <w:szCs w:val="25"/>
          <w:lang w:val="es-ES_tradnl"/>
        </w:rPr>
        <w:t>, la que se ha mermado en un 39%.</w:t>
      </w:r>
    </w:p>
    <w:p w:rsidR="00000000" w:rsidRDefault="00000000">
      <w:pPr>
        <w:shd w:val="clear" w:color="auto" w:fill="FFFFFF"/>
        <w:spacing w:after="240"/>
        <w:rPr>
          <w:color w:val="000000"/>
          <w:szCs w:val="25"/>
          <w:lang w:val="es-ES_tradnl"/>
        </w:rPr>
      </w:pPr>
      <w:r>
        <w:rPr>
          <w:color w:val="000000"/>
          <w:szCs w:val="25"/>
          <w:lang w:val="es-ES_tradnl"/>
        </w:rPr>
        <w:t>400.</w:t>
      </w:r>
      <w:r>
        <w:rPr>
          <w:color w:val="000000"/>
          <w:szCs w:val="25"/>
          <w:lang w:val="es-ES_tradnl"/>
        </w:rPr>
        <w:tab/>
        <w:t xml:space="preserve">En la Costa las muertes infantiles </w:t>
      </w:r>
      <w:proofErr w:type="spellStart"/>
      <w:r>
        <w:rPr>
          <w:color w:val="000000"/>
          <w:szCs w:val="25"/>
          <w:lang w:val="es-ES_tradnl"/>
        </w:rPr>
        <w:t>postneonatales</w:t>
      </w:r>
      <w:proofErr w:type="spellEnd"/>
      <w:r>
        <w:rPr>
          <w:color w:val="000000"/>
          <w:szCs w:val="25"/>
          <w:lang w:val="es-ES_tradnl"/>
        </w:rPr>
        <w:t xml:space="preserve"> representan el 36% del total.  Van aumentando en la Sierra 38% y en la Amazonía 47%, indicativo de que las campañas de salud en estas áreas resultan necesarias y podrían dar como resultado bajas importantes en estos niveles.</w:t>
      </w:r>
    </w:p>
    <w:p w:rsidR="00000000" w:rsidRDefault="00000000">
      <w:pPr>
        <w:shd w:val="clear" w:color="auto" w:fill="FFFFFF"/>
        <w:spacing w:after="240"/>
      </w:pPr>
      <w:r>
        <w:rPr>
          <w:color w:val="000000"/>
          <w:szCs w:val="25"/>
          <w:lang w:val="es-ES_tradnl"/>
        </w:rPr>
        <w:t>401.</w:t>
      </w:r>
      <w:r>
        <w:rPr>
          <w:color w:val="000000"/>
          <w:szCs w:val="25"/>
          <w:lang w:val="es-ES_tradnl"/>
        </w:rPr>
        <w:tab/>
        <w:t>La educación es un factor determinante en los niveles de la mortalidad infantil.  La educación mejora la actitud y la práctica positiva de salud e higiene.  Los hijos de madres sin ninguna instrucción tienen una mortalidad infantil (52%</w:t>
      </w:r>
      <w:r>
        <w:rPr>
          <w:b/>
          <w:color w:val="000000"/>
          <w:sz w:val="14"/>
          <w:szCs w:val="25"/>
          <w:lang w:val="es-ES_tradnl"/>
        </w:rPr>
        <w:t>0</w:t>
      </w:r>
      <w:r>
        <w:rPr>
          <w:color w:val="000000"/>
          <w:szCs w:val="25"/>
          <w:lang w:val="es-ES_tradnl"/>
        </w:rPr>
        <w:t>) dos veces mayor a la de hijos con madres con instrucción secundaria (26%</w:t>
      </w:r>
      <w:r>
        <w:rPr>
          <w:b/>
          <w:color w:val="000000"/>
          <w:sz w:val="14"/>
          <w:szCs w:val="25"/>
          <w:lang w:val="es-ES_tradnl"/>
        </w:rPr>
        <w:t>0</w:t>
      </w:r>
      <w:r>
        <w:rPr>
          <w:color w:val="000000"/>
          <w:szCs w:val="25"/>
          <w:lang w:val="es-ES_tradnl"/>
        </w:rPr>
        <w:t>), el nivel de la mortalidad disminuye a medida que avanza</w:t>
      </w:r>
      <w:r>
        <w:rPr>
          <w:i/>
          <w:iCs/>
          <w:color w:val="000000"/>
          <w:szCs w:val="25"/>
          <w:lang w:val="es-ES_tradnl"/>
        </w:rPr>
        <w:t xml:space="preserve"> </w:t>
      </w:r>
      <w:r>
        <w:rPr>
          <w:color w:val="000000"/>
          <w:szCs w:val="25"/>
          <w:lang w:val="es-ES_tradnl"/>
        </w:rPr>
        <w:t>el nivel educativo, tendencia que se cumple para todos los casos, destacándose en la mortalidad de 0 a 4 años en el que el diferencial es seis veces mayor, entre los niveles; ninguno y el superior y o postgrado.</w:t>
      </w:r>
    </w:p>
    <w:p w:rsidR="00000000" w:rsidRDefault="00000000">
      <w:pPr>
        <w:shd w:val="clear" w:color="auto" w:fill="FFFFFF"/>
        <w:spacing w:after="240"/>
        <w:rPr>
          <w:color w:val="000000"/>
          <w:szCs w:val="25"/>
          <w:lang w:val="es-ES_tradnl"/>
        </w:rPr>
      </w:pPr>
      <w:r>
        <w:rPr>
          <w:color w:val="000000"/>
          <w:szCs w:val="25"/>
          <w:lang w:val="es-ES_tradnl"/>
        </w:rPr>
        <w:t>402.</w:t>
      </w:r>
      <w:r>
        <w:rPr>
          <w:color w:val="000000"/>
          <w:szCs w:val="25"/>
          <w:lang w:val="es-ES_tradnl"/>
        </w:rPr>
        <w:tab/>
        <w:t>Según fuente del Ministerio de Salud Pública en 1998 se tienen los siguientes indicadores respecto a mortalidad infantil:</w:t>
      </w:r>
    </w:p>
    <w:p w:rsidR="00000000" w:rsidRDefault="00000000">
      <w:pPr>
        <w:keepNext/>
        <w:keepLines/>
        <w:shd w:val="clear" w:color="auto" w:fill="FFFFFF"/>
        <w:spacing w:after="240"/>
        <w:ind w:left="10"/>
        <w:jc w:val="center"/>
      </w:pPr>
      <w:r>
        <w:rPr>
          <w:b/>
          <w:bCs/>
        </w:rPr>
        <w:t>Indicadores demográficos 1998</w:t>
      </w:r>
      <w:r>
        <w:rPr>
          <w:b/>
          <w:bCs/>
        </w:rPr>
        <w:br/>
        <w:t>(Ministerio de Salud Pública)</w:t>
      </w:r>
    </w:p>
    <w:tbl>
      <w:tblPr>
        <w:tblW w:w="0" w:type="auto"/>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2"/>
        <w:gridCol w:w="1090"/>
      </w:tblGrid>
      <w:tr w:rsidR="00000000">
        <w:tblPrEx>
          <w:tblCellMar>
            <w:top w:w="0" w:type="dxa"/>
            <w:bottom w:w="0" w:type="dxa"/>
          </w:tblCellMar>
        </w:tblPrEx>
        <w:trPr>
          <w:jc w:val="center"/>
        </w:trPr>
        <w:tc>
          <w:tcPr>
            <w:tcW w:w="4742" w:type="dxa"/>
          </w:tcPr>
          <w:p w:rsidR="00000000" w:rsidRDefault="00000000">
            <w:r>
              <w:t>Tasa de mortalidad infantil*</w:t>
            </w:r>
          </w:p>
        </w:tc>
        <w:tc>
          <w:tcPr>
            <w:tcW w:w="1090" w:type="dxa"/>
          </w:tcPr>
          <w:p w:rsidR="00000000" w:rsidRDefault="00000000">
            <w:pPr>
              <w:jc w:val="right"/>
            </w:pPr>
            <w:r>
              <w:t>32,2</w:t>
            </w:r>
          </w:p>
        </w:tc>
      </w:tr>
      <w:tr w:rsidR="00000000">
        <w:tblPrEx>
          <w:tblCellMar>
            <w:top w:w="0" w:type="dxa"/>
            <w:bottom w:w="0" w:type="dxa"/>
          </w:tblCellMar>
        </w:tblPrEx>
        <w:trPr>
          <w:jc w:val="center"/>
        </w:trPr>
        <w:tc>
          <w:tcPr>
            <w:tcW w:w="4742" w:type="dxa"/>
          </w:tcPr>
          <w:p w:rsidR="00000000" w:rsidRDefault="00000000">
            <w:r>
              <w:t>Tasa de mortalidad neonatal*</w:t>
            </w:r>
          </w:p>
        </w:tc>
        <w:tc>
          <w:tcPr>
            <w:tcW w:w="1090" w:type="dxa"/>
          </w:tcPr>
          <w:p w:rsidR="00000000" w:rsidRDefault="00000000">
            <w:pPr>
              <w:jc w:val="right"/>
            </w:pPr>
            <w:r>
              <w:t>14,5</w:t>
            </w:r>
          </w:p>
        </w:tc>
      </w:tr>
      <w:tr w:rsidR="00000000">
        <w:tblPrEx>
          <w:tblCellMar>
            <w:top w:w="0" w:type="dxa"/>
            <w:bottom w:w="0" w:type="dxa"/>
          </w:tblCellMar>
        </w:tblPrEx>
        <w:trPr>
          <w:jc w:val="center"/>
        </w:trPr>
        <w:tc>
          <w:tcPr>
            <w:tcW w:w="4742" w:type="dxa"/>
          </w:tcPr>
          <w:p w:rsidR="00000000" w:rsidRDefault="00000000">
            <w:r>
              <w:t xml:space="preserve">Tasa de mortalidad </w:t>
            </w:r>
            <w:proofErr w:type="spellStart"/>
            <w:r>
              <w:t>postneonatal</w:t>
            </w:r>
            <w:proofErr w:type="spellEnd"/>
            <w:r>
              <w:t>*</w:t>
            </w:r>
          </w:p>
        </w:tc>
        <w:tc>
          <w:tcPr>
            <w:tcW w:w="1090" w:type="dxa"/>
          </w:tcPr>
          <w:p w:rsidR="00000000" w:rsidRDefault="00000000">
            <w:pPr>
              <w:jc w:val="right"/>
            </w:pPr>
            <w:r>
              <w:t>17,7</w:t>
            </w:r>
          </w:p>
        </w:tc>
      </w:tr>
      <w:tr w:rsidR="00000000">
        <w:tblPrEx>
          <w:tblCellMar>
            <w:top w:w="0" w:type="dxa"/>
            <w:bottom w:w="0" w:type="dxa"/>
          </w:tblCellMar>
        </w:tblPrEx>
        <w:trPr>
          <w:jc w:val="center"/>
        </w:trPr>
        <w:tc>
          <w:tcPr>
            <w:tcW w:w="4742" w:type="dxa"/>
            <w:tcBorders>
              <w:bottom w:val="single" w:sz="4" w:space="0" w:color="auto"/>
            </w:tcBorders>
          </w:tcPr>
          <w:p w:rsidR="00000000" w:rsidRDefault="00000000">
            <w:r>
              <w:t xml:space="preserve">Tasa de mortalidad </w:t>
            </w:r>
            <w:proofErr w:type="spellStart"/>
            <w:r>
              <w:t>perinatal</w:t>
            </w:r>
            <w:proofErr w:type="spellEnd"/>
            <w:r>
              <w:t>*</w:t>
            </w:r>
          </w:p>
        </w:tc>
        <w:tc>
          <w:tcPr>
            <w:tcW w:w="1090" w:type="dxa"/>
            <w:tcBorders>
              <w:bottom w:val="single" w:sz="4" w:space="0" w:color="auto"/>
            </w:tcBorders>
          </w:tcPr>
          <w:p w:rsidR="00000000" w:rsidRDefault="00000000">
            <w:pPr>
              <w:jc w:val="right"/>
            </w:pPr>
            <w:r>
              <w:t>19,7</w:t>
            </w:r>
          </w:p>
        </w:tc>
      </w:tr>
      <w:tr w:rsidR="00000000">
        <w:tblPrEx>
          <w:tblCellMar>
            <w:top w:w="0" w:type="dxa"/>
            <w:bottom w:w="0" w:type="dxa"/>
          </w:tblCellMar>
        </w:tblPrEx>
        <w:trPr>
          <w:cantSplit/>
          <w:jc w:val="center"/>
        </w:trPr>
        <w:tc>
          <w:tcPr>
            <w:tcW w:w="5832" w:type="dxa"/>
            <w:gridSpan w:val="2"/>
            <w:tcBorders>
              <w:top w:val="single" w:sz="4" w:space="0" w:color="auto"/>
              <w:left w:val="nil"/>
              <w:bottom w:val="nil"/>
              <w:right w:val="nil"/>
            </w:tcBorders>
          </w:tcPr>
          <w:p w:rsidR="00000000" w:rsidRDefault="00000000">
            <w:pPr>
              <w:spacing w:before="240"/>
            </w:pPr>
            <w:r>
              <w:t>*Tasa por 1.000 nacidos vivos.</w:t>
            </w:r>
          </w:p>
        </w:tc>
      </w:tr>
    </w:tbl>
    <w:p w:rsidR="00000000" w:rsidRDefault="00000000">
      <w:pPr>
        <w:keepNext/>
        <w:shd w:val="clear" w:color="auto" w:fill="FFFFFF"/>
        <w:spacing w:before="480" w:after="240"/>
        <w:rPr>
          <w:i/>
          <w:iCs/>
        </w:rPr>
      </w:pPr>
      <w:r>
        <w:rPr>
          <w:i/>
          <w:iCs/>
        </w:rPr>
        <w:t>Servicio de agua potable</w:t>
      </w:r>
    </w:p>
    <w:p w:rsidR="00000000" w:rsidRDefault="00000000">
      <w:pPr>
        <w:shd w:val="clear" w:color="auto" w:fill="FFFFFF"/>
        <w:spacing w:after="240"/>
      </w:pPr>
      <w:r>
        <w:rPr>
          <w:color w:val="000000"/>
          <w:szCs w:val="25"/>
          <w:lang w:val="es-ES_tradnl"/>
        </w:rPr>
        <w:t>403.</w:t>
      </w:r>
      <w:r>
        <w:rPr>
          <w:color w:val="000000"/>
          <w:szCs w:val="25"/>
          <w:lang w:val="es-ES_tradnl"/>
        </w:rPr>
        <w:tab/>
        <w:t>La forma más fiable de acceso al agua potable es a través de la red pública ya que, en general, se supone que es agua tratada y apta para el consumo humano.  En el ámbito nacional, acceden a este servicio de agua potable el 73% de la población urbana y el 32,5% de la población rural.</w:t>
      </w:r>
    </w:p>
    <w:p w:rsidR="00000000" w:rsidRDefault="00000000">
      <w:pPr>
        <w:shd w:val="clear" w:color="auto" w:fill="FFFFFF"/>
        <w:spacing w:after="240"/>
      </w:pPr>
      <w:r>
        <w:rPr>
          <w:color w:val="000000"/>
          <w:szCs w:val="25"/>
          <w:lang w:val="es-ES_tradnl"/>
        </w:rPr>
        <w:t>404.</w:t>
      </w:r>
      <w:r>
        <w:rPr>
          <w:color w:val="000000"/>
          <w:szCs w:val="25"/>
          <w:lang w:val="es-ES_tradnl"/>
        </w:rPr>
        <w:tab/>
        <w:t>En la gran mayoría de las ciudades, especialmente en ciudades pequeñas, existen serios problemas en el suministro continuo del servicio por deficiencias en la infraestructura física existente; en los procesos de operación y mantenimiento, también se producen situaciones de racionamiento e intermitencia que afectan a los usuarios.</w:t>
      </w:r>
    </w:p>
    <w:p w:rsidR="00000000" w:rsidRDefault="00000000">
      <w:pPr>
        <w:shd w:val="clear" w:color="auto" w:fill="FFFFFF"/>
        <w:spacing w:after="240"/>
      </w:pPr>
      <w:r>
        <w:rPr>
          <w:color w:val="000000"/>
          <w:szCs w:val="25"/>
          <w:lang w:val="es-ES_tradnl"/>
        </w:rPr>
        <w:t>405.</w:t>
      </w:r>
      <w:r>
        <w:rPr>
          <w:color w:val="000000"/>
          <w:szCs w:val="25"/>
          <w:lang w:val="es-ES_tradnl"/>
        </w:rPr>
        <w:tab/>
        <w:t>En muchos sistemas de abastecimiento de agua potable se presentan graves deficiencias técnicas en los procesos de tratamiento, ello determina una baja calidad física, química y bacteriológica de las aguas suministradas.  Existe además, mucho descuido en los procesos de desinfección.  Por otro lado, los recursos técnicos y económicos para las labores de operación y mantenimiento son limitados.</w:t>
      </w:r>
    </w:p>
    <w:p w:rsidR="00000000" w:rsidRDefault="00000000">
      <w:pPr>
        <w:shd w:val="clear" w:color="auto" w:fill="FFFFFF"/>
        <w:spacing w:after="240"/>
      </w:pPr>
      <w:r>
        <w:rPr>
          <w:color w:val="000000"/>
          <w:szCs w:val="25"/>
          <w:lang w:val="es-ES_tradnl"/>
        </w:rPr>
        <w:t>406.</w:t>
      </w:r>
      <w:r>
        <w:rPr>
          <w:color w:val="000000"/>
          <w:szCs w:val="25"/>
          <w:lang w:val="es-ES_tradnl"/>
        </w:rPr>
        <w:tab/>
        <w:t>La gestión de servicios básicos en el Ecuador es de responsabilidad municipal, en lo que a su administración y operación se refiere.</w:t>
      </w:r>
    </w:p>
    <w:p w:rsidR="00000000" w:rsidRDefault="00000000">
      <w:pPr>
        <w:shd w:val="clear" w:color="auto" w:fill="FFFFFF"/>
        <w:spacing w:after="240"/>
      </w:pPr>
      <w:r>
        <w:rPr>
          <w:color w:val="000000"/>
          <w:szCs w:val="25"/>
          <w:lang w:val="es-ES_tradnl"/>
        </w:rPr>
        <w:t>407.</w:t>
      </w:r>
      <w:r>
        <w:rPr>
          <w:color w:val="000000"/>
          <w:szCs w:val="25"/>
          <w:lang w:val="es-ES_tradnl"/>
        </w:rPr>
        <w:tab/>
        <w:t>De los 214 municipios existentes en el país, 12 cuentan con empresas municipales para el manejo del servicio.</w:t>
      </w:r>
    </w:p>
    <w:p w:rsidR="00000000" w:rsidRDefault="00000000">
      <w:pPr>
        <w:shd w:val="clear" w:color="auto" w:fill="FFFFFF"/>
        <w:spacing w:after="240"/>
      </w:pPr>
      <w:r>
        <w:rPr>
          <w:color w:val="000000"/>
          <w:szCs w:val="25"/>
          <w:lang w:val="es-ES_tradnl"/>
        </w:rPr>
        <w:t>408.</w:t>
      </w:r>
      <w:r>
        <w:rPr>
          <w:color w:val="000000"/>
          <w:szCs w:val="25"/>
          <w:lang w:val="es-ES_tradnl"/>
        </w:rPr>
        <w:tab/>
        <w:t>En la zona rural las Juntas Administradoras de Agua Potable (</w:t>
      </w:r>
      <w:proofErr w:type="spellStart"/>
      <w:r>
        <w:rPr>
          <w:color w:val="000000"/>
          <w:szCs w:val="25"/>
          <w:lang w:val="es-ES_tradnl"/>
        </w:rPr>
        <w:t>JAAP</w:t>
      </w:r>
      <w:proofErr w:type="spellEnd"/>
      <w:r>
        <w:rPr>
          <w:color w:val="000000"/>
          <w:szCs w:val="25"/>
          <w:lang w:val="es-ES_tradnl"/>
        </w:rPr>
        <w:t xml:space="preserve">) son las encargadas de la administración, operación y mantenimiento de los sistemas de agua potable.  Se cuenta con aproximadamente 3.000 </w:t>
      </w:r>
      <w:proofErr w:type="spellStart"/>
      <w:r>
        <w:rPr>
          <w:color w:val="000000"/>
          <w:szCs w:val="25"/>
          <w:lang w:val="es-ES_tradnl"/>
        </w:rPr>
        <w:t>JAAP</w:t>
      </w:r>
      <w:proofErr w:type="spellEnd"/>
      <w:r>
        <w:rPr>
          <w:color w:val="000000"/>
          <w:szCs w:val="25"/>
          <w:lang w:val="es-ES_tradnl"/>
        </w:rPr>
        <w:t>.</w:t>
      </w:r>
    </w:p>
    <w:p w:rsidR="00000000" w:rsidRDefault="00000000">
      <w:pPr>
        <w:shd w:val="clear" w:color="auto" w:fill="FFFFFF"/>
        <w:spacing w:after="240"/>
      </w:pPr>
      <w:r>
        <w:rPr>
          <w:color w:val="000000"/>
          <w:szCs w:val="25"/>
          <w:lang w:val="es-ES_tradnl"/>
        </w:rPr>
        <w:t>409.</w:t>
      </w:r>
      <w:r>
        <w:rPr>
          <w:color w:val="000000"/>
          <w:szCs w:val="25"/>
          <w:lang w:val="es-ES_tradnl"/>
        </w:rPr>
        <w:tab/>
        <w:t xml:space="preserve">Los aspectos críticos del sector agua potable y saneamiento son analizados y evaluados íntegramente, por el Ministerio de Desarrollo Urbano y Vivienda (MIDUVI) y el Consejo de Modernización del Estado (CONAM) a través del Proyecto </w:t>
      </w:r>
      <w:proofErr w:type="spellStart"/>
      <w:r>
        <w:rPr>
          <w:color w:val="000000"/>
          <w:szCs w:val="25"/>
          <w:lang w:val="es-ES_tradnl"/>
        </w:rPr>
        <w:t>MOSTA</w:t>
      </w:r>
      <w:proofErr w:type="spellEnd"/>
      <w:r>
        <w:rPr>
          <w:color w:val="000000"/>
          <w:szCs w:val="25"/>
          <w:lang w:val="es-ES_tradnl"/>
        </w:rPr>
        <w:t xml:space="preserve"> y en sus aspectos técnicos, sociales, financieros e institucionales.  Sobre esta base se han proyectado, para el mediano y largo plazo, las políticas nacionales de desarrollo del sector para superar el déficit de cobertura y mejorar las condiciones de prestación de estos servicios.</w:t>
      </w:r>
    </w:p>
    <w:p w:rsidR="00000000" w:rsidRDefault="00000000">
      <w:pPr>
        <w:shd w:val="clear" w:color="auto" w:fill="FFFFFF"/>
        <w:spacing w:after="240"/>
        <w:rPr>
          <w:color w:val="000000"/>
          <w:szCs w:val="25"/>
          <w:lang w:val="es-ES_tradnl"/>
        </w:rPr>
      </w:pPr>
      <w:r>
        <w:rPr>
          <w:color w:val="000000"/>
          <w:szCs w:val="25"/>
          <w:lang w:val="es-ES_tradnl"/>
        </w:rPr>
        <w:t>410.</w:t>
      </w:r>
      <w:r>
        <w:rPr>
          <w:color w:val="000000"/>
          <w:szCs w:val="25"/>
          <w:lang w:val="es-ES_tradnl"/>
        </w:rPr>
        <w:tab/>
        <w:t>El MIDUVI pretende mejorar la calidad de vida de los habitantes en las zonas urbanas y rurales del país a través del Programa Nacional de Agua y Saneamiento en Comunidades Rurales y Pequeños Municipios (</w:t>
      </w:r>
      <w:proofErr w:type="spellStart"/>
      <w:r>
        <w:rPr>
          <w:color w:val="000000"/>
          <w:szCs w:val="25"/>
          <w:lang w:val="es-ES_tradnl"/>
        </w:rPr>
        <w:t>PRAGUAS</w:t>
      </w:r>
      <w:proofErr w:type="spellEnd"/>
      <w:r>
        <w:rPr>
          <w:color w:val="000000"/>
          <w:szCs w:val="25"/>
          <w:lang w:val="es-ES_tradnl"/>
        </w:rPr>
        <w:t>), que se propone aumentar las coberturas, introducir modelos de gestión que sean aplicables para la prestación de los servicios sostenibles en los municipios.</w:t>
      </w:r>
    </w:p>
    <w:p w:rsidR="00000000" w:rsidRDefault="00000000">
      <w:pPr>
        <w:shd w:val="clear" w:color="auto" w:fill="FFFFFF"/>
        <w:spacing w:after="240"/>
      </w:pPr>
      <w:r>
        <w:rPr>
          <w:color w:val="000000"/>
          <w:szCs w:val="25"/>
          <w:lang w:val="es-ES_tradnl"/>
        </w:rPr>
        <w:t>411.</w:t>
      </w:r>
      <w:r>
        <w:rPr>
          <w:color w:val="000000"/>
          <w:szCs w:val="25"/>
          <w:lang w:val="es-ES_tradnl"/>
        </w:rPr>
        <w:tab/>
        <w:t>El programa consta de tres niveles:</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 xml:space="preserve">Aumentar la cobertura de agua potable en el ámbito rural y en las cabeceras </w:t>
      </w:r>
      <w:proofErr w:type="spellStart"/>
      <w:r>
        <w:rPr>
          <w:color w:val="000000"/>
          <w:szCs w:val="25"/>
          <w:lang w:val="es-ES_tradnl"/>
        </w:rPr>
        <w:t>cantonales</w:t>
      </w:r>
      <w:proofErr w:type="spellEnd"/>
      <w:r>
        <w:rPr>
          <w:color w:val="000000"/>
          <w:szCs w:val="25"/>
          <w:lang w:val="es-ES_tradnl"/>
        </w:rPr>
        <w:t xml:space="preserve"> de municipios menores de 10.000 habitantes.  La provisión de agua tendrá una calidad apta para el consumo humano, desarrollando las acciones a fin de lograr la </w:t>
      </w:r>
      <w:proofErr w:type="spellStart"/>
      <w:r>
        <w:rPr>
          <w:color w:val="000000"/>
          <w:szCs w:val="25"/>
          <w:lang w:val="es-ES_tradnl"/>
        </w:rPr>
        <w:t>sostenibilidad</w:t>
      </w:r>
      <w:proofErr w:type="spellEnd"/>
      <w:r>
        <w:rPr>
          <w:color w:val="000000"/>
          <w:szCs w:val="25"/>
          <w:lang w:val="es-ES_tradnl"/>
        </w:rPr>
        <w:t xml:space="preserve"> del servicio.</w:t>
      </w:r>
    </w:p>
    <w:p w:rsidR="00000000" w:rsidRDefault="00000000">
      <w:pPr>
        <w:shd w:val="clear" w:color="auto" w:fill="FFFFFF"/>
        <w:spacing w:after="240"/>
        <w:ind w:left="1134" w:hanging="567"/>
      </w:pPr>
      <w:r>
        <w:rPr>
          <w:color w:val="000000"/>
          <w:szCs w:val="25"/>
          <w:lang w:val="es-ES_tradnl"/>
        </w:rPr>
        <w:t>b)</w:t>
      </w:r>
      <w:r>
        <w:rPr>
          <w:color w:val="000000"/>
          <w:szCs w:val="25"/>
          <w:lang w:val="es-ES_tradnl"/>
        </w:rPr>
        <w:tab/>
        <w:t xml:space="preserve">Generar la capacidad en los municipios y </w:t>
      </w:r>
      <w:proofErr w:type="spellStart"/>
      <w:r>
        <w:rPr>
          <w:color w:val="000000"/>
          <w:szCs w:val="25"/>
          <w:lang w:val="es-ES_tradnl"/>
        </w:rPr>
        <w:t>JAAP</w:t>
      </w:r>
      <w:proofErr w:type="spellEnd"/>
      <w:r>
        <w:rPr>
          <w:color w:val="000000"/>
          <w:szCs w:val="25"/>
          <w:lang w:val="es-ES_tradnl"/>
        </w:rPr>
        <w:t xml:space="preserve"> para que gestionen el servicio eficientemente, con un enfoque que permita cubrir los aspectos administrativo, operativo, comercial, de planificación, financiero y de atención al cliente.</w:t>
      </w:r>
    </w:p>
    <w:p w:rsidR="00000000" w:rsidRDefault="00000000">
      <w:pPr>
        <w:spacing w:after="240"/>
        <w:ind w:left="1134" w:hanging="567"/>
        <w:rPr>
          <w:color w:val="000000"/>
          <w:szCs w:val="25"/>
          <w:lang w:val="es-ES_tradnl"/>
        </w:rPr>
      </w:pPr>
      <w:r>
        <w:rPr>
          <w:color w:val="000000"/>
          <w:szCs w:val="25"/>
          <w:lang w:val="es-ES_tradnl"/>
        </w:rPr>
        <w:t>c)</w:t>
      </w:r>
      <w:r>
        <w:rPr>
          <w:color w:val="000000"/>
          <w:szCs w:val="25"/>
          <w:lang w:val="es-ES_tradnl"/>
        </w:rPr>
        <w:tab/>
        <w:t>En las instituciones del sector, se definió el ordenamiento institucional, estableciendo los papeles de cada uno de los actores en el marco establecido por el proceso de descentralización del Estado.</w:t>
      </w:r>
    </w:p>
    <w:p w:rsidR="00000000" w:rsidRDefault="00000000">
      <w:pPr>
        <w:shd w:val="clear" w:color="auto" w:fill="FFFFFF"/>
        <w:spacing w:after="240"/>
        <w:rPr>
          <w:color w:val="000000"/>
          <w:lang w:val="es-ES_tradnl"/>
        </w:rPr>
      </w:pPr>
      <w:r>
        <w:rPr>
          <w:lang w:val="es-ES_tradnl"/>
        </w:rPr>
        <w:t>412.</w:t>
      </w:r>
      <w:r>
        <w:rPr>
          <w:lang w:val="es-ES_tradnl"/>
        </w:rPr>
        <w:tab/>
      </w:r>
      <w:r>
        <w:rPr>
          <w:color w:val="000000"/>
          <w:lang w:val="es-ES_tradnl"/>
        </w:rPr>
        <w:t>Este programa será financiado con recursos provenientes del Banco Mundial.</w:t>
      </w:r>
    </w:p>
    <w:p w:rsidR="00000000" w:rsidRDefault="00000000">
      <w:pPr>
        <w:shd w:val="clear" w:color="auto" w:fill="FFFFFF"/>
        <w:spacing w:after="240"/>
        <w:rPr>
          <w:b/>
          <w:bCs/>
        </w:rPr>
      </w:pPr>
      <w:r>
        <w:rPr>
          <w:b/>
          <w:bCs/>
          <w:color w:val="000000"/>
          <w:lang w:val="es-ES_tradnl"/>
        </w:rPr>
        <w:t>Tratamiento de aguas servidas</w:t>
      </w:r>
    </w:p>
    <w:p w:rsidR="00000000" w:rsidRDefault="00000000">
      <w:pPr>
        <w:shd w:val="clear" w:color="auto" w:fill="FFFFFF"/>
        <w:spacing w:after="240"/>
      </w:pPr>
      <w:r>
        <w:rPr>
          <w:color w:val="000000"/>
          <w:lang w:val="es-ES_tradnl"/>
        </w:rPr>
        <w:t>413.</w:t>
      </w:r>
      <w:r>
        <w:rPr>
          <w:color w:val="000000"/>
          <w:lang w:val="es-ES_tradnl"/>
        </w:rPr>
        <w:tab/>
        <w:t>En el ámbito nacional, el 53% de hogares urbanos se encuentran conectados a la red del sistema de alcantarillado; en la zona rural, solamente el 11%.  Las aguas residuales no son tratadas, determinando serios problemas de contaminación cuando se vierten directamente a los cuerpos de agua.</w:t>
      </w:r>
    </w:p>
    <w:p w:rsidR="00000000" w:rsidRDefault="00000000">
      <w:pPr>
        <w:shd w:val="clear" w:color="auto" w:fill="FFFFFF"/>
        <w:spacing w:after="240"/>
      </w:pPr>
      <w:r>
        <w:rPr>
          <w:color w:val="000000"/>
          <w:lang w:val="es-ES_tradnl"/>
        </w:rPr>
        <w:t>414.</w:t>
      </w:r>
      <w:r>
        <w:rPr>
          <w:color w:val="000000"/>
          <w:lang w:val="es-ES_tradnl"/>
        </w:rPr>
        <w:tab/>
        <w:t>Los sistemas construidos de alcantarillado separado tienen serios problemas de transporte de aguas combinadas (pluviales y sanitarias) y se otorga poca importancia a las actividades de mantenimiento preventivo.</w:t>
      </w:r>
    </w:p>
    <w:p w:rsidR="00000000" w:rsidRDefault="00000000">
      <w:pPr>
        <w:shd w:val="clear" w:color="auto" w:fill="FFFFFF"/>
        <w:spacing w:after="240"/>
      </w:pPr>
      <w:r>
        <w:rPr>
          <w:color w:val="000000"/>
          <w:lang w:val="es-ES_tradnl"/>
        </w:rPr>
        <w:t>415.</w:t>
      </w:r>
      <w:r>
        <w:rPr>
          <w:color w:val="000000"/>
          <w:lang w:val="es-ES_tradnl"/>
        </w:rPr>
        <w:tab/>
        <w:t>En el ámbito nacional, el 31% de viviendas urbanas y el 20% de viviendas rurales utilizan pozo ciego para la eliminación de excretas.</w:t>
      </w:r>
    </w:p>
    <w:p w:rsidR="00000000" w:rsidRDefault="00000000">
      <w:pPr>
        <w:shd w:val="clear" w:color="auto" w:fill="FFFFFF"/>
        <w:spacing w:after="240"/>
      </w:pPr>
      <w:r>
        <w:rPr>
          <w:color w:val="000000"/>
          <w:lang w:val="es-ES_tradnl"/>
        </w:rPr>
        <w:t>416.</w:t>
      </w:r>
      <w:r>
        <w:rPr>
          <w:color w:val="000000"/>
          <w:lang w:val="es-ES_tradnl"/>
        </w:rPr>
        <w:tab/>
        <w:t>El Programa de Manejo Integral de Desechos Sólidos en Pequeños y Medianos Municipios (</w:t>
      </w:r>
      <w:proofErr w:type="spellStart"/>
      <w:r>
        <w:rPr>
          <w:color w:val="000000"/>
          <w:lang w:val="es-ES_tradnl"/>
        </w:rPr>
        <w:t>PROMIDES</w:t>
      </w:r>
      <w:proofErr w:type="spellEnd"/>
      <w:r>
        <w:rPr>
          <w:color w:val="000000"/>
          <w:lang w:val="es-ES_tradnl"/>
        </w:rPr>
        <w:t>) tiene como objetivo aplicar alternativas de gestión de servicios rentables que generen empleo.  Este programa será financiado con recursos del PATRA que provienen del Banco Mundial.</w:t>
      </w:r>
    </w:p>
    <w:p w:rsidR="00000000" w:rsidRDefault="00000000">
      <w:pPr>
        <w:shd w:val="clear" w:color="auto" w:fill="FFFFFF"/>
        <w:spacing w:after="240"/>
      </w:pPr>
      <w:r>
        <w:rPr>
          <w:color w:val="000000"/>
          <w:lang w:val="es-ES_tradnl"/>
        </w:rPr>
        <w:t>417.</w:t>
      </w:r>
      <w:r>
        <w:rPr>
          <w:color w:val="000000"/>
          <w:lang w:val="es-ES_tradnl"/>
        </w:rPr>
        <w:tab/>
        <w:t>La propuesta de ley se la viene realizando con el financiamiento de recursos provenientes del BID.</w:t>
      </w:r>
    </w:p>
    <w:p w:rsidR="00000000" w:rsidRDefault="00000000">
      <w:pPr>
        <w:shd w:val="clear" w:color="auto" w:fill="FFFFFF"/>
        <w:spacing w:after="240"/>
      </w:pPr>
      <w:r>
        <w:rPr>
          <w:color w:val="000000"/>
          <w:lang w:val="es-ES_tradnl"/>
        </w:rPr>
        <w:t>418.</w:t>
      </w:r>
      <w:r>
        <w:rPr>
          <w:color w:val="000000"/>
          <w:lang w:val="es-ES_tradnl"/>
        </w:rPr>
        <w:tab/>
        <w:t>Los programas de inmunizaciones impulsados por el Ministerio de Salud Pública han contribuido a que la población tome conciencia sobre una mayor cultura sanitaria en el país, que permita el cumplimiento de las metas propuestas por las autoridades de mantener altos niveles de inmunización y la reducción de los factores de riesgo en la salud de los niños disminuyendo los índices de mortalidad infantil por causa de enfermedades prevenibles.</w:t>
      </w:r>
    </w:p>
    <w:p w:rsidR="00000000" w:rsidRDefault="00000000">
      <w:pPr>
        <w:spacing w:after="240"/>
        <w:rPr>
          <w:color w:val="000000"/>
          <w:lang w:val="es-ES_tradnl"/>
        </w:rPr>
      </w:pPr>
      <w:r>
        <w:rPr>
          <w:color w:val="000000"/>
          <w:lang w:val="es-ES_tradnl"/>
        </w:rPr>
        <w:t>419.</w:t>
      </w:r>
      <w:r>
        <w:rPr>
          <w:color w:val="000000"/>
          <w:lang w:val="es-ES_tradnl"/>
        </w:rPr>
        <w:tab/>
        <w:t xml:space="preserve">La cobertura de la dosis contra la tuberculosis </w:t>
      </w:r>
      <w:proofErr w:type="spellStart"/>
      <w:r>
        <w:rPr>
          <w:color w:val="000000"/>
          <w:lang w:val="es-ES_tradnl"/>
        </w:rPr>
        <w:t>BCG</w:t>
      </w:r>
      <w:proofErr w:type="spellEnd"/>
      <w:r>
        <w:rPr>
          <w:color w:val="000000"/>
          <w:lang w:val="es-ES_tradnl"/>
        </w:rPr>
        <w:t xml:space="preserve"> es la que tiene un mayor éxito en estos años.  Las campañas de inmunización con vacuna </w:t>
      </w:r>
      <w:proofErr w:type="spellStart"/>
      <w:r>
        <w:rPr>
          <w:color w:val="000000"/>
          <w:lang w:val="es-ES_tradnl"/>
        </w:rPr>
        <w:t>DTP</w:t>
      </w:r>
      <w:proofErr w:type="spellEnd"/>
      <w:r>
        <w:rPr>
          <w:color w:val="000000"/>
          <w:lang w:val="es-ES_tradnl"/>
        </w:rPr>
        <w:t xml:space="preserve"> son de las más deterioradas en el país.</w:t>
      </w:r>
    </w:p>
    <w:p w:rsidR="00000000" w:rsidRDefault="00000000">
      <w:pPr>
        <w:keepNext/>
        <w:keepLines/>
        <w:spacing w:after="240"/>
        <w:jc w:val="center"/>
        <w:rPr>
          <w:b/>
          <w:bCs/>
          <w:color w:val="000000"/>
          <w:lang w:val="es-ES_tradnl"/>
        </w:rPr>
      </w:pPr>
      <w:r>
        <w:rPr>
          <w:b/>
          <w:bCs/>
          <w:color w:val="000000"/>
          <w:lang w:val="es-ES_tradnl"/>
        </w:rPr>
        <w:t>Cobertura de vacunación a nivel nacional y por área,</w:t>
      </w:r>
      <w:r>
        <w:rPr>
          <w:b/>
          <w:bCs/>
          <w:color w:val="000000"/>
          <w:lang w:val="es-ES_tradnl"/>
        </w:rPr>
        <w:br/>
        <w:t>en menores de 1 y 5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0"/>
        <w:gridCol w:w="1172"/>
        <w:gridCol w:w="1159"/>
        <w:gridCol w:w="1080"/>
        <w:gridCol w:w="63"/>
        <w:gridCol w:w="1172"/>
        <w:gridCol w:w="1159"/>
        <w:gridCol w:w="1038"/>
        <w:gridCol w:w="105"/>
      </w:tblGrid>
      <w:tr w:rsidR="00000000">
        <w:tblPrEx>
          <w:tblCellMar>
            <w:top w:w="0" w:type="dxa"/>
            <w:bottom w:w="0" w:type="dxa"/>
          </w:tblCellMar>
        </w:tblPrEx>
        <w:trPr>
          <w:cantSplit/>
          <w:tblHeader/>
          <w:jc w:val="center"/>
        </w:trPr>
        <w:tc>
          <w:tcPr>
            <w:tcW w:w="1380" w:type="dxa"/>
            <w:tcBorders>
              <w:bottom w:val="single" w:sz="4" w:space="0" w:color="auto"/>
            </w:tcBorders>
            <w:vAlign w:val="center"/>
          </w:tcPr>
          <w:p w:rsidR="00000000" w:rsidRDefault="00000000">
            <w:pPr>
              <w:keepNext/>
              <w:keepLines/>
              <w:jc w:val="center"/>
              <w:rPr>
                <w:lang w:val="es-ES_tradnl"/>
              </w:rPr>
            </w:pPr>
            <w:r>
              <w:rPr>
                <w:lang w:val="es-ES_tradnl"/>
              </w:rPr>
              <w:t>Año</w:t>
            </w:r>
          </w:p>
        </w:tc>
        <w:tc>
          <w:tcPr>
            <w:tcW w:w="3474" w:type="dxa"/>
            <w:gridSpan w:val="4"/>
            <w:vAlign w:val="center"/>
          </w:tcPr>
          <w:p w:rsidR="00000000" w:rsidRDefault="00000000">
            <w:pPr>
              <w:keepNext/>
              <w:keepLines/>
              <w:jc w:val="center"/>
              <w:rPr>
                <w:lang w:val="es-ES_tradnl"/>
              </w:rPr>
            </w:pPr>
            <w:r>
              <w:rPr>
                <w:lang w:val="es-ES_tradnl"/>
              </w:rPr>
              <w:t>Tuberculosis (</w:t>
            </w:r>
            <w:proofErr w:type="spellStart"/>
            <w:r>
              <w:rPr>
                <w:lang w:val="es-ES_tradnl"/>
              </w:rPr>
              <w:t>BCG</w:t>
            </w:r>
            <w:proofErr w:type="spellEnd"/>
            <w:r>
              <w:rPr>
                <w:lang w:val="es-ES_tradnl"/>
              </w:rPr>
              <w:t>)</w:t>
            </w:r>
          </w:p>
        </w:tc>
        <w:tc>
          <w:tcPr>
            <w:tcW w:w="3474" w:type="dxa"/>
            <w:gridSpan w:val="4"/>
            <w:vAlign w:val="center"/>
          </w:tcPr>
          <w:p w:rsidR="00000000" w:rsidRDefault="00000000">
            <w:pPr>
              <w:keepNext/>
              <w:keepLines/>
              <w:jc w:val="center"/>
              <w:rPr>
                <w:lang w:val="es-ES_tradnl"/>
              </w:rPr>
            </w:pPr>
            <w:r>
              <w:rPr>
                <w:lang w:val="es-ES_tradnl"/>
              </w:rPr>
              <w:t>Difteria, tos ferina y tétanos (</w:t>
            </w:r>
            <w:proofErr w:type="spellStart"/>
            <w:r>
              <w:rPr>
                <w:lang w:val="es-ES_tradnl"/>
              </w:rPr>
              <w:t>DPT</w:t>
            </w:r>
            <w:proofErr w:type="spellEnd"/>
            <w:r>
              <w:rPr>
                <w:lang w:val="es-ES_tradnl"/>
              </w:rPr>
              <w:t>)</w:t>
            </w:r>
          </w:p>
        </w:tc>
      </w:tr>
      <w:tr w:rsidR="00000000">
        <w:tblPrEx>
          <w:tblCellMar>
            <w:top w:w="0" w:type="dxa"/>
            <w:bottom w:w="0" w:type="dxa"/>
          </w:tblCellMar>
        </w:tblPrEx>
        <w:trPr>
          <w:cantSplit/>
          <w:jc w:val="center"/>
        </w:trPr>
        <w:tc>
          <w:tcPr>
            <w:tcW w:w="1380" w:type="dxa"/>
            <w:vMerge w:val="restart"/>
            <w:tcBorders>
              <w:top w:val="single" w:sz="4" w:space="0" w:color="auto"/>
            </w:tcBorders>
            <w:vAlign w:val="center"/>
          </w:tcPr>
          <w:p w:rsidR="00000000" w:rsidRDefault="00000000">
            <w:pPr>
              <w:keepNext/>
              <w:keepLines/>
              <w:jc w:val="center"/>
              <w:rPr>
                <w:lang w:val="es-ES_tradnl"/>
              </w:rPr>
            </w:pPr>
          </w:p>
        </w:tc>
        <w:tc>
          <w:tcPr>
            <w:tcW w:w="6948" w:type="dxa"/>
            <w:gridSpan w:val="8"/>
            <w:vAlign w:val="center"/>
          </w:tcPr>
          <w:p w:rsidR="00000000" w:rsidRDefault="00000000">
            <w:pPr>
              <w:keepNext/>
              <w:keepLines/>
              <w:jc w:val="center"/>
              <w:rPr>
                <w:lang w:val="es-ES_tradnl"/>
              </w:rPr>
            </w:pPr>
            <w:r>
              <w:rPr>
                <w:lang w:val="es-ES_tradnl"/>
              </w:rPr>
              <w:t>Menores de 1 año</w:t>
            </w:r>
          </w:p>
        </w:tc>
      </w:tr>
      <w:tr w:rsidR="00000000">
        <w:tblPrEx>
          <w:tblCellMar>
            <w:top w:w="0" w:type="dxa"/>
            <w:bottom w:w="0" w:type="dxa"/>
          </w:tblCellMar>
        </w:tblPrEx>
        <w:trPr>
          <w:cantSplit/>
          <w:jc w:val="center"/>
        </w:trPr>
        <w:tc>
          <w:tcPr>
            <w:tcW w:w="1380" w:type="dxa"/>
            <w:vMerge/>
            <w:vAlign w:val="center"/>
          </w:tcPr>
          <w:p w:rsidR="00000000" w:rsidRDefault="00000000">
            <w:pPr>
              <w:keepNext/>
              <w:keepLines/>
              <w:jc w:val="center"/>
              <w:rPr>
                <w:lang w:val="es-ES_tradnl"/>
              </w:rPr>
            </w:pPr>
          </w:p>
        </w:tc>
        <w:tc>
          <w:tcPr>
            <w:tcW w:w="1172" w:type="dxa"/>
            <w:vAlign w:val="center"/>
          </w:tcPr>
          <w:p w:rsidR="00000000" w:rsidRDefault="00000000">
            <w:pPr>
              <w:keepNext/>
              <w:keepLines/>
              <w:jc w:val="center"/>
              <w:rPr>
                <w:lang w:val="es-ES_tradnl"/>
              </w:rPr>
            </w:pPr>
            <w:r>
              <w:rPr>
                <w:lang w:val="es-ES_tradnl"/>
              </w:rPr>
              <w:t>Nacional</w:t>
            </w:r>
          </w:p>
        </w:tc>
        <w:tc>
          <w:tcPr>
            <w:tcW w:w="1159" w:type="dxa"/>
            <w:vAlign w:val="center"/>
          </w:tcPr>
          <w:p w:rsidR="00000000" w:rsidRDefault="00000000">
            <w:pPr>
              <w:keepNext/>
              <w:keepLines/>
              <w:jc w:val="center"/>
              <w:rPr>
                <w:lang w:val="es-ES_tradnl"/>
              </w:rPr>
            </w:pPr>
            <w:r>
              <w:rPr>
                <w:lang w:val="es-ES_tradnl"/>
              </w:rPr>
              <w:t>Urbano</w:t>
            </w:r>
          </w:p>
        </w:tc>
        <w:tc>
          <w:tcPr>
            <w:tcW w:w="1143" w:type="dxa"/>
            <w:gridSpan w:val="2"/>
            <w:vAlign w:val="center"/>
          </w:tcPr>
          <w:p w:rsidR="00000000" w:rsidRDefault="00000000">
            <w:pPr>
              <w:keepNext/>
              <w:keepLines/>
              <w:jc w:val="center"/>
              <w:rPr>
                <w:lang w:val="es-ES_tradnl"/>
              </w:rPr>
            </w:pPr>
            <w:r>
              <w:rPr>
                <w:lang w:val="es-ES_tradnl"/>
              </w:rPr>
              <w:t>Rural</w:t>
            </w:r>
          </w:p>
        </w:tc>
        <w:tc>
          <w:tcPr>
            <w:tcW w:w="1172" w:type="dxa"/>
            <w:vAlign w:val="center"/>
          </w:tcPr>
          <w:p w:rsidR="00000000" w:rsidRDefault="00000000">
            <w:pPr>
              <w:keepNext/>
              <w:keepLines/>
              <w:jc w:val="center"/>
              <w:rPr>
                <w:lang w:val="es-ES_tradnl"/>
              </w:rPr>
            </w:pPr>
            <w:r>
              <w:rPr>
                <w:lang w:val="es-ES_tradnl"/>
              </w:rPr>
              <w:t>Nacional</w:t>
            </w:r>
          </w:p>
        </w:tc>
        <w:tc>
          <w:tcPr>
            <w:tcW w:w="1159" w:type="dxa"/>
            <w:vAlign w:val="center"/>
          </w:tcPr>
          <w:p w:rsidR="00000000" w:rsidRDefault="00000000">
            <w:pPr>
              <w:keepNext/>
              <w:keepLines/>
              <w:jc w:val="center"/>
              <w:rPr>
                <w:lang w:val="es-ES_tradnl"/>
              </w:rPr>
            </w:pPr>
            <w:r>
              <w:rPr>
                <w:lang w:val="es-ES_tradnl"/>
              </w:rPr>
              <w:t>Urbano</w:t>
            </w:r>
          </w:p>
        </w:tc>
        <w:tc>
          <w:tcPr>
            <w:tcW w:w="1143" w:type="dxa"/>
            <w:gridSpan w:val="2"/>
            <w:vAlign w:val="center"/>
          </w:tcPr>
          <w:p w:rsidR="00000000" w:rsidRDefault="00000000">
            <w:pPr>
              <w:keepNext/>
              <w:keepLines/>
              <w:jc w:val="center"/>
              <w:rPr>
                <w:lang w:val="es-ES_tradnl"/>
              </w:rPr>
            </w:pPr>
            <w:r>
              <w:rPr>
                <w:lang w:val="es-ES_tradnl"/>
              </w:rPr>
              <w:t>Rural</w:t>
            </w:r>
          </w:p>
        </w:tc>
      </w:tr>
      <w:tr w:rsidR="00000000">
        <w:tblPrEx>
          <w:tblCellMar>
            <w:top w:w="0" w:type="dxa"/>
            <w:bottom w:w="0" w:type="dxa"/>
          </w:tblCellMar>
        </w:tblPrEx>
        <w:trPr>
          <w:gridAfter w:val="1"/>
          <w:wAfter w:w="105" w:type="dxa"/>
          <w:jc w:val="center"/>
        </w:trPr>
        <w:tc>
          <w:tcPr>
            <w:tcW w:w="1380" w:type="dxa"/>
          </w:tcPr>
          <w:p w:rsidR="00000000" w:rsidRDefault="00000000">
            <w:pPr>
              <w:keepNext/>
              <w:keepLines/>
              <w:rPr>
                <w:lang w:val="es-ES_tradnl"/>
              </w:rPr>
            </w:pPr>
            <w:r>
              <w:rPr>
                <w:lang w:val="es-ES_tradnl"/>
              </w:rPr>
              <w:t>1994</w:t>
            </w:r>
          </w:p>
        </w:tc>
        <w:tc>
          <w:tcPr>
            <w:tcW w:w="1172" w:type="dxa"/>
          </w:tcPr>
          <w:p w:rsidR="00000000" w:rsidRDefault="00000000">
            <w:pPr>
              <w:keepNext/>
              <w:keepLines/>
              <w:jc w:val="right"/>
              <w:rPr>
                <w:lang w:val="es-ES_tradnl"/>
              </w:rPr>
            </w:pPr>
            <w:r>
              <w:rPr>
                <w:lang w:val="es-ES_tradnl"/>
              </w:rPr>
              <w:t>91,4</w:t>
            </w:r>
          </w:p>
        </w:tc>
        <w:tc>
          <w:tcPr>
            <w:tcW w:w="1159" w:type="dxa"/>
          </w:tcPr>
          <w:p w:rsidR="00000000" w:rsidRDefault="00000000">
            <w:pPr>
              <w:keepNext/>
              <w:keepLines/>
              <w:jc w:val="right"/>
              <w:rPr>
                <w:lang w:val="es-ES_tradnl"/>
              </w:rPr>
            </w:pPr>
            <w:r>
              <w:rPr>
                <w:lang w:val="es-ES_tradnl"/>
              </w:rPr>
              <w:t>94,6</w:t>
            </w:r>
          </w:p>
        </w:tc>
        <w:tc>
          <w:tcPr>
            <w:tcW w:w="1080" w:type="dxa"/>
          </w:tcPr>
          <w:p w:rsidR="00000000" w:rsidRDefault="00000000">
            <w:pPr>
              <w:keepNext/>
              <w:keepLines/>
              <w:jc w:val="right"/>
              <w:rPr>
                <w:lang w:val="es-ES_tradnl"/>
              </w:rPr>
            </w:pPr>
            <w:r>
              <w:rPr>
                <w:lang w:val="es-ES_tradnl"/>
              </w:rPr>
              <w:t>87,6</w:t>
            </w:r>
          </w:p>
        </w:tc>
        <w:tc>
          <w:tcPr>
            <w:tcW w:w="1235" w:type="dxa"/>
            <w:gridSpan w:val="2"/>
          </w:tcPr>
          <w:p w:rsidR="00000000" w:rsidRDefault="00000000">
            <w:pPr>
              <w:keepNext/>
              <w:keepLines/>
              <w:jc w:val="right"/>
              <w:rPr>
                <w:lang w:val="es-ES_tradnl"/>
              </w:rPr>
            </w:pPr>
            <w:r>
              <w:rPr>
                <w:lang w:val="es-ES_tradnl"/>
              </w:rPr>
              <w:t>50,6</w:t>
            </w:r>
          </w:p>
        </w:tc>
        <w:tc>
          <w:tcPr>
            <w:tcW w:w="1159" w:type="dxa"/>
          </w:tcPr>
          <w:p w:rsidR="00000000" w:rsidRDefault="00000000">
            <w:pPr>
              <w:keepNext/>
              <w:keepLines/>
              <w:jc w:val="right"/>
              <w:rPr>
                <w:lang w:val="es-ES_tradnl"/>
              </w:rPr>
            </w:pPr>
            <w:r>
              <w:rPr>
                <w:lang w:val="es-ES_tradnl"/>
              </w:rPr>
              <w:t>55,3</w:t>
            </w:r>
          </w:p>
        </w:tc>
        <w:tc>
          <w:tcPr>
            <w:tcW w:w="1038" w:type="dxa"/>
          </w:tcPr>
          <w:p w:rsidR="00000000" w:rsidRDefault="00000000">
            <w:pPr>
              <w:keepNext/>
              <w:keepLines/>
              <w:jc w:val="right"/>
              <w:rPr>
                <w:lang w:val="es-ES_tradnl"/>
              </w:rPr>
            </w:pPr>
            <w:r>
              <w:rPr>
                <w:lang w:val="es-ES_tradnl"/>
              </w:rPr>
              <w:t>45,0</w:t>
            </w:r>
          </w:p>
        </w:tc>
      </w:tr>
      <w:tr w:rsidR="00000000">
        <w:tblPrEx>
          <w:tblCellMar>
            <w:top w:w="0" w:type="dxa"/>
            <w:bottom w:w="0" w:type="dxa"/>
          </w:tblCellMar>
        </w:tblPrEx>
        <w:trPr>
          <w:gridAfter w:val="1"/>
          <w:wAfter w:w="105" w:type="dxa"/>
          <w:jc w:val="center"/>
        </w:trPr>
        <w:tc>
          <w:tcPr>
            <w:tcW w:w="1380" w:type="dxa"/>
          </w:tcPr>
          <w:p w:rsidR="00000000" w:rsidRDefault="00000000">
            <w:pPr>
              <w:keepNext/>
              <w:keepLines/>
              <w:rPr>
                <w:lang w:val="es-ES_tradnl"/>
              </w:rPr>
            </w:pPr>
            <w:r>
              <w:rPr>
                <w:lang w:val="es-ES_tradnl"/>
              </w:rPr>
              <w:t>1995</w:t>
            </w:r>
          </w:p>
        </w:tc>
        <w:tc>
          <w:tcPr>
            <w:tcW w:w="1172" w:type="dxa"/>
          </w:tcPr>
          <w:p w:rsidR="00000000" w:rsidRDefault="00000000">
            <w:pPr>
              <w:keepNext/>
              <w:keepLines/>
              <w:jc w:val="right"/>
              <w:rPr>
                <w:lang w:val="es-ES_tradnl"/>
              </w:rPr>
            </w:pPr>
            <w:r>
              <w:rPr>
                <w:lang w:val="es-ES_tradnl"/>
              </w:rPr>
              <w:t>89,5</w:t>
            </w:r>
          </w:p>
        </w:tc>
        <w:tc>
          <w:tcPr>
            <w:tcW w:w="1159" w:type="dxa"/>
          </w:tcPr>
          <w:p w:rsidR="00000000" w:rsidRDefault="00000000">
            <w:pPr>
              <w:keepNext/>
              <w:keepLines/>
              <w:jc w:val="right"/>
              <w:rPr>
                <w:lang w:val="es-ES_tradnl"/>
              </w:rPr>
            </w:pPr>
            <w:r>
              <w:rPr>
                <w:lang w:val="es-ES_tradnl"/>
              </w:rPr>
              <w:t>95,2</w:t>
            </w:r>
          </w:p>
        </w:tc>
        <w:tc>
          <w:tcPr>
            <w:tcW w:w="1080" w:type="dxa"/>
          </w:tcPr>
          <w:p w:rsidR="00000000" w:rsidRDefault="00000000">
            <w:pPr>
              <w:keepNext/>
              <w:keepLines/>
              <w:jc w:val="right"/>
              <w:rPr>
                <w:lang w:val="es-ES_tradnl"/>
              </w:rPr>
            </w:pPr>
            <w:r>
              <w:rPr>
                <w:lang w:val="es-ES_tradnl"/>
              </w:rPr>
              <w:t>81,8</w:t>
            </w:r>
          </w:p>
        </w:tc>
        <w:tc>
          <w:tcPr>
            <w:tcW w:w="1235" w:type="dxa"/>
            <w:gridSpan w:val="2"/>
          </w:tcPr>
          <w:p w:rsidR="00000000" w:rsidRDefault="00000000">
            <w:pPr>
              <w:keepNext/>
              <w:keepLines/>
              <w:jc w:val="right"/>
              <w:rPr>
                <w:lang w:val="es-ES_tradnl"/>
              </w:rPr>
            </w:pPr>
            <w:r>
              <w:rPr>
                <w:lang w:val="es-ES_tradnl"/>
              </w:rPr>
              <w:t>45,8</w:t>
            </w:r>
          </w:p>
        </w:tc>
        <w:tc>
          <w:tcPr>
            <w:tcW w:w="1159" w:type="dxa"/>
          </w:tcPr>
          <w:p w:rsidR="00000000" w:rsidRDefault="00000000">
            <w:pPr>
              <w:keepNext/>
              <w:keepLines/>
              <w:jc w:val="right"/>
              <w:rPr>
                <w:lang w:val="es-ES_tradnl"/>
              </w:rPr>
            </w:pPr>
            <w:r>
              <w:rPr>
                <w:lang w:val="es-ES_tradnl"/>
              </w:rPr>
              <w:t>48,8</w:t>
            </w:r>
          </w:p>
        </w:tc>
        <w:tc>
          <w:tcPr>
            <w:tcW w:w="1038" w:type="dxa"/>
          </w:tcPr>
          <w:p w:rsidR="00000000" w:rsidRDefault="00000000">
            <w:pPr>
              <w:keepNext/>
              <w:keepLines/>
              <w:jc w:val="right"/>
              <w:rPr>
                <w:lang w:val="es-ES_tradnl"/>
              </w:rPr>
            </w:pPr>
            <w:r>
              <w:rPr>
                <w:lang w:val="es-ES_tradnl"/>
              </w:rPr>
              <w:t>41,6</w:t>
            </w:r>
          </w:p>
        </w:tc>
      </w:tr>
      <w:tr w:rsidR="00000000">
        <w:tblPrEx>
          <w:tblCellMar>
            <w:top w:w="0" w:type="dxa"/>
            <w:bottom w:w="0" w:type="dxa"/>
          </w:tblCellMar>
        </w:tblPrEx>
        <w:trPr>
          <w:gridAfter w:val="1"/>
          <w:wAfter w:w="105" w:type="dxa"/>
          <w:jc w:val="center"/>
        </w:trPr>
        <w:tc>
          <w:tcPr>
            <w:tcW w:w="1380" w:type="dxa"/>
          </w:tcPr>
          <w:p w:rsidR="00000000" w:rsidRDefault="00000000">
            <w:pPr>
              <w:keepNext/>
              <w:keepLines/>
              <w:rPr>
                <w:lang w:val="es-ES_tradnl"/>
              </w:rPr>
            </w:pPr>
            <w:r>
              <w:rPr>
                <w:lang w:val="es-ES_tradnl"/>
              </w:rPr>
              <w:t>1998</w:t>
            </w:r>
          </w:p>
        </w:tc>
        <w:tc>
          <w:tcPr>
            <w:tcW w:w="1172" w:type="dxa"/>
          </w:tcPr>
          <w:p w:rsidR="00000000" w:rsidRDefault="00000000">
            <w:pPr>
              <w:keepNext/>
              <w:keepLines/>
              <w:jc w:val="right"/>
              <w:rPr>
                <w:lang w:val="es-ES_tradnl"/>
              </w:rPr>
            </w:pPr>
            <w:r>
              <w:rPr>
                <w:lang w:val="es-ES_tradnl"/>
              </w:rPr>
              <w:t>81,8</w:t>
            </w:r>
          </w:p>
        </w:tc>
        <w:tc>
          <w:tcPr>
            <w:tcW w:w="1159" w:type="dxa"/>
          </w:tcPr>
          <w:p w:rsidR="00000000" w:rsidRDefault="00000000">
            <w:pPr>
              <w:keepNext/>
              <w:keepLines/>
              <w:jc w:val="right"/>
              <w:rPr>
                <w:lang w:val="es-ES_tradnl"/>
              </w:rPr>
            </w:pPr>
            <w:r>
              <w:rPr>
                <w:lang w:val="es-ES_tradnl"/>
              </w:rPr>
              <w:t>79,6</w:t>
            </w:r>
          </w:p>
        </w:tc>
        <w:tc>
          <w:tcPr>
            <w:tcW w:w="1080" w:type="dxa"/>
          </w:tcPr>
          <w:p w:rsidR="00000000" w:rsidRDefault="00000000">
            <w:pPr>
              <w:keepNext/>
              <w:keepLines/>
              <w:jc w:val="right"/>
              <w:rPr>
                <w:lang w:val="es-ES_tradnl"/>
              </w:rPr>
            </w:pPr>
            <w:r>
              <w:rPr>
                <w:lang w:val="es-ES_tradnl"/>
              </w:rPr>
              <w:t>85,4</w:t>
            </w:r>
          </w:p>
        </w:tc>
        <w:tc>
          <w:tcPr>
            <w:tcW w:w="1235" w:type="dxa"/>
            <w:gridSpan w:val="2"/>
          </w:tcPr>
          <w:p w:rsidR="00000000" w:rsidRDefault="00000000">
            <w:pPr>
              <w:keepNext/>
              <w:keepLines/>
              <w:jc w:val="right"/>
              <w:rPr>
                <w:lang w:val="es-ES_tradnl"/>
              </w:rPr>
            </w:pPr>
            <w:r>
              <w:rPr>
                <w:lang w:val="es-ES_tradnl"/>
              </w:rPr>
              <w:t>58,3</w:t>
            </w:r>
          </w:p>
        </w:tc>
        <w:tc>
          <w:tcPr>
            <w:tcW w:w="1159" w:type="dxa"/>
          </w:tcPr>
          <w:p w:rsidR="00000000" w:rsidRDefault="00000000">
            <w:pPr>
              <w:keepNext/>
              <w:keepLines/>
              <w:jc w:val="right"/>
              <w:rPr>
                <w:lang w:val="es-ES_tradnl"/>
              </w:rPr>
            </w:pPr>
            <w:r>
              <w:rPr>
                <w:lang w:val="es-ES_tradnl"/>
              </w:rPr>
              <w:t>59,4</w:t>
            </w:r>
          </w:p>
        </w:tc>
        <w:tc>
          <w:tcPr>
            <w:tcW w:w="1038" w:type="dxa"/>
          </w:tcPr>
          <w:p w:rsidR="00000000" w:rsidRDefault="00000000">
            <w:pPr>
              <w:keepNext/>
              <w:keepLines/>
              <w:jc w:val="right"/>
              <w:rPr>
                <w:lang w:val="es-ES_tradnl"/>
              </w:rPr>
            </w:pPr>
            <w:r>
              <w:rPr>
                <w:lang w:val="es-ES_tradnl"/>
              </w:rPr>
              <w:t>56,9</w:t>
            </w:r>
          </w:p>
        </w:tc>
      </w:tr>
      <w:tr w:rsidR="00000000">
        <w:tblPrEx>
          <w:tblCellMar>
            <w:top w:w="0" w:type="dxa"/>
            <w:bottom w:w="0" w:type="dxa"/>
          </w:tblCellMar>
        </w:tblPrEx>
        <w:trPr>
          <w:gridAfter w:val="1"/>
          <w:wAfter w:w="105" w:type="dxa"/>
          <w:jc w:val="center"/>
        </w:trPr>
        <w:tc>
          <w:tcPr>
            <w:tcW w:w="1380" w:type="dxa"/>
          </w:tcPr>
          <w:p w:rsidR="00000000" w:rsidRDefault="00000000">
            <w:pPr>
              <w:keepNext/>
              <w:keepLines/>
              <w:rPr>
                <w:lang w:val="es-ES_tradnl"/>
              </w:rPr>
            </w:pPr>
            <w:r>
              <w:rPr>
                <w:lang w:val="es-ES_tradnl"/>
              </w:rPr>
              <w:t>1999</w:t>
            </w:r>
          </w:p>
        </w:tc>
        <w:tc>
          <w:tcPr>
            <w:tcW w:w="1172" w:type="dxa"/>
          </w:tcPr>
          <w:p w:rsidR="00000000" w:rsidRDefault="00000000">
            <w:pPr>
              <w:keepNext/>
              <w:keepLines/>
              <w:jc w:val="right"/>
              <w:rPr>
                <w:lang w:val="es-ES_tradnl"/>
              </w:rPr>
            </w:pPr>
            <w:r>
              <w:rPr>
                <w:lang w:val="es-ES_tradnl"/>
              </w:rPr>
              <w:t>89,8</w:t>
            </w:r>
          </w:p>
        </w:tc>
        <w:tc>
          <w:tcPr>
            <w:tcW w:w="1159" w:type="dxa"/>
          </w:tcPr>
          <w:p w:rsidR="00000000" w:rsidRDefault="00000000">
            <w:pPr>
              <w:keepNext/>
              <w:keepLines/>
              <w:jc w:val="right"/>
              <w:rPr>
                <w:lang w:val="es-ES_tradnl"/>
              </w:rPr>
            </w:pPr>
            <w:r>
              <w:rPr>
                <w:lang w:val="es-ES_tradnl"/>
              </w:rPr>
              <w:t>91,8</w:t>
            </w:r>
          </w:p>
        </w:tc>
        <w:tc>
          <w:tcPr>
            <w:tcW w:w="1080" w:type="dxa"/>
          </w:tcPr>
          <w:p w:rsidR="00000000" w:rsidRDefault="00000000">
            <w:pPr>
              <w:keepNext/>
              <w:keepLines/>
              <w:jc w:val="right"/>
              <w:rPr>
                <w:lang w:val="es-ES_tradnl"/>
              </w:rPr>
            </w:pPr>
            <w:r>
              <w:rPr>
                <w:lang w:val="es-ES_tradnl"/>
              </w:rPr>
              <w:t>87,7</w:t>
            </w:r>
          </w:p>
        </w:tc>
        <w:tc>
          <w:tcPr>
            <w:tcW w:w="1235" w:type="dxa"/>
            <w:gridSpan w:val="2"/>
          </w:tcPr>
          <w:p w:rsidR="00000000" w:rsidRDefault="00000000">
            <w:pPr>
              <w:keepNext/>
              <w:keepLines/>
              <w:jc w:val="right"/>
              <w:rPr>
                <w:lang w:val="es-ES_tradnl"/>
              </w:rPr>
            </w:pPr>
            <w:r>
              <w:rPr>
                <w:lang w:val="es-ES_tradnl"/>
              </w:rPr>
              <w:t>57,6</w:t>
            </w:r>
          </w:p>
        </w:tc>
        <w:tc>
          <w:tcPr>
            <w:tcW w:w="1159" w:type="dxa"/>
          </w:tcPr>
          <w:p w:rsidR="00000000" w:rsidRDefault="00000000">
            <w:pPr>
              <w:keepNext/>
              <w:keepLines/>
              <w:jc w:val="right"/>
              <w:rPr>
                <w:lang w:val="es-ES_tradnl"/>
              </w:rPr>
            </w:pPr>
            <w:r>
              <w:rPr>
                <w:lang w:val="es-ES_tradnl"/>
              </w:rPr>
              <w:t>61,6</w:t>
            </w:r>
          </w:p>
        </w:tc>
        <w:tc>
          <w:tcPr>
            <w:tcW w:w="1038" w:type="dxa"/>
          </w:tcPr>
          <w:p w:rsidR="00000000" w:rsidRDefault="00000000">
            <w:pPr>
              <w:keepNext/>
              <w:keepLines/>
              <w:jc w:val="right"/>
              <w:rPr>
                <w:lang w:val="es-ES_tradnl"/>
              </w:rPr>
            </w:pPr>
            <w:r>
              <w:rPr>
                <w:lang w:val="es-ES_tradnl"/>
              </w:rPr>
              <w:t>52,7</w:t>
            </w:r>
          </w:p>
        </w:tc>
      </w:tr>
      <w:tr w:rsidR="00000000">
        <w:tblPrEx>
          <w:tblCellMar>
            <w:top w:w="0" w:type="dxa"/>
            <w:bottom w:w="0" w:type="dxa"/>
          </w:tblCellMar>
        </w:tblPrEx>
        <w:trPr>
          <w:gridAfter w:val="1"/>
          <w:wAfter w:w="105" w:type="dxa"/>
          <w:cantSplit/>
          <w:jc w:val="center"/>
        </w:trPr>
        <w:tc>
          <w:tcPr>
            <w:tcW w:w="1380" w:type="dxa"/>
            <w:vAlign w:val="center"/>
          </w:tcPr>
          <w:p w:rsidR="00000000" w:rsidRDefault="00000000">
            <w:pPr>
              <w:keepNext/>
              <w:keepLines/>
              <w:jc w:val="center"/>
              <w:rPr>
                <w:lang w:val="es-ES_tradnl"/>
              </w:rPr>
            </w:pPr>
          </w:p>
        </w:tc>
        <w:tc>
          <w:tcPr>
            <w:tcW w:w="6843" w:type="dxa"/>
            <w:gridSpan w:val="7"/>
            <w:vAlign w:val="center"/>
          </w:tcPr>
          <w:p w:rsidR="00000000" w:rsidRDefault="00000000">
            <w:pPr>
              <w:keepNext/>
              <w:keepLines/>
              <w:jc w:val="center"/>
              <w:rPr>
                <w:lang w:val="es-ES_tradnl"/>
              </w:rPr>
            </w:pPr>
            <w:r>
              <w:rPr>
                <w:lang w:val="es-ES_tradnl"/>
              </w:rPr>
              <w:t>Menores de 5 años</w:t>
            </w:r>
          </w:p>
        </w:tc>
      </w:tr>
      <w:tr w:rsidR="00000000">
        <w:tblPrEx>
          <w:tblCellMar>
            <w:top w:w="0" w:type="dxa"/>
            <w:bottom w:w="0" w:type="dxa"/>
          </w:tblCellMar>
        </w:tblPrEx>
        <w:trPr>
          <w:gridAfter w:val="1"/>
          <w:wAfter w:w="105" w:type="dxa"/>
          <w:jc w:val="center"/>
        </w:trPr>
        <w:tc>
          <w:tcPr>
            <w:tcW w:w="1380" w:type="dxa"/>
          </w:tcPr>
          <w:p w:rsidR="00000000" w:rsidRDefault="00000000">
            <w:pPr>
              <w:rPr>
                <w:lang w:val="es-ES_tradnl"/>
              </w:rPr>
            </w:pPr>
            <w:r>
              <w:rPr>
                <w:lang w:val="es-ES_tradnl"/>
              </w:rPr>
              <w:t>1994</w:t>
            </w:r>
          </w:p>
        </w:tc>
        <w:tc>
          <w:tcPr>
            <w:tcW w:w="1172" w:type="dxa"/>
          </w:tcPr>
          <w:p w:rsidR="00000000" w:rsidRDefault="00000000">
            <w:pPr>
              <w:jc w:val="right"/>
              <w:rPr>
                <w:lang w:val="es-ES_tradnl"/>
              </w:rPr>
            </w:pPr>
            <w:r>
              <w:rPr>
                <w:lang w:val="es-ES_tradnl"/>
              </w:rPr>
              <w:t>97,0</w:t>
            </w:r>
          </w:p>
        </w:tc>
        <w:tc>
          <w:tcPr>
            <w:tcW w:w="1159" w:type="dxa"/>
          </w:tcPr>
          <w:p w:rsidR="00000000" w:rsidRDefault="00000000">
            <w:pPr>
              <w:jc w:val="right"/>
              <w:rPr>
                <w:lang w:val="es-ES_tradnl"/>
              </w:rPr>
            </w:pPr>
            <w:r>
              <w:rPr>
                <w:lang w:val="es-ES_tradnl"/>
              </w:rPr>
              <w:t>98,7</w:t>
            </w:r>
          </w:p>
        </w:tc>
        <w:tc>
          <w:tcPr>
            <w:tcW w:w="1080" w:type="dxa"/>
          </w:tcPr>
          <w:p w:rsidR="00000000" w:rsidRDefault="00000000">
            <w:pPr>
              <w:jc w:val="right"/>
              <w:rPr>
                <w:lang w:val="es-ES_tradnl"/>
              </w:rPr>
            </w:pPr>
            <w:r>
              <w:rPr>
                <w:lang w:val="es-ES_tradnl"/>
              </w:rPr>
              <w:t>95,1</w:t>
            </w:r>
          </w:p>
        </w:tc>
        <w:tc>
          <w:tcPr>
            <w:tcW w:w="1235" w:type="dxa"/>
            <w:gridSpan w:val="2"/>
          </w:tcPr>
          <w:p w:rsidR="00000000" w:rsidRDefault="00000000">
            <w:pPr>
              <w:jc w:val="right"/>
              <w:rPr>
                <w:lang w:val="es-ES_tradnl"/>
              </w:rPr>
            </w:pPr>
            <w:r>
              <w:rPr>
                <w:lang w:val="es-ES_tradnl"/>
              </w:rPr>
              <w:t>50,6</w:t>
            </w:r>
          </w:p>
        </w:tc>
        <w:tc>
          <w:tcPr>
            <w:tcW w:w="1159" w:type="dxa"/>
          </w:tcPr>
          <w:p w:rsidR="00000000" w:rsidRDefault="00000000">
            <w:pPr>
              <w:jc w:val="right"/>
              <w:rPr>
                <w:lang w:val="es-ES_tradnl"/>
              </w:rPr>
            </w:pPr>
            <w:r>
              <w:rPr>
                <w:lang w:val="es-ES_tradnl"/>
              </w:rPr>
              <w:t>85,6</w:t>
            </w:r>
          </w:p>
        </w:tc>
        <w:tc>
          <w:tcPr>
            <w:tcW w:w="1038" w:type="dxa"/>
          </w:tcPr>
          <w:p w:rsidR="00000000" w:rsidRDefault="00000000">
            <w:pPr>
              <w:jc w:val="right"/>
              <w:rPr>
                <w:lang w:val="es-ES_tradnl"/>
              </w:rPr>
            </w:pPr>
            <w:r>
              <w:rPr>
                <w:lang w:val="es-ES_tradnl"/>
              </w:rPr>
              <w:t>72,6</w:t>
            </w:r>
          </w:p>
        </w:tc>
      </w:tr>
      <w:tr w:rsidR="00000000">
        <w:tblPrEx>
          <w:tblCellMar>
            <w:top w:w="0" w:type="dxa"/>
            <w:bottom w:w="0" w:type="dxa"/>
          </w:tblCellMar>
        </w:tblPrEx>
        <w:trPr>
          <w:gridAfter w:val="1"/>
          <w:wAfter w:w="105" w:type="dxa"/>
          <w:jc w:val="center"/>
        </w:trPr>
        <w:tc>
          <w:tcPr>
            <w:tcW w:w="1380" w:type="dxa"/>
          </w:tcPr>
          <w:p w:rsidR="00000000" w:rsidRDefault="00000000">
            <w:pPr>
              <w:rPr>
                <w:lang w:val="es-ES_tradnl"/>
              </w:rPr>
            </w:pPr>
            <w:r>
              <w:rPr>
                <w:lang w:val="es-ES_tradnl"/>
              </w:rPr>
              <w:t>1995</w:t>
            </w:r>
          </w:p>
        </w:tc>
        <w:tc>
          <w:tcPr>
            <w:tcW w:w="1172" w:type="dxa"/>
          </w:tcPr>
          <w:p w:rsidR="00000000" w:rsidRDefault="00000000">
            <w:pPr>
              <w:jc w:val="right"/>
              <w:rPr>
                <w:lang w:val="es-ES_tradnl"/>
              </w:rPr>
            </w:pPr>
            <w:r>
              <w:rPr>
                <w:lang w:val="es-ES_tradnl"/>
              </w:rPr>
              <w:t>96,2</w:t>
            </w:r>
          </w:p>
        </w:tc>
        <w:tc>
          <w:tcPr>
            <w:tcW w:w="1159" w:type="dxa"/>
          </w:tcPr>
          <w:p w:rsidR="00000000" w:rsidRDefault="00000000">
            <w:pPr>
              <w:jc w:val="right"/>
              <w:rPr>
                <w:lang w:val="es-ES_tradnl"/>
              </w:rPr>
            </w:pPr>
            <w:r>
              <w:rPr>
                <w:lang w:val="es-ES_tradnl"/>
              </w:rPr>
              <w:t>98,5</w:t>
            </w:r>
          </w:p>
        </w:tc>
        <w:tc>
          <w:tcPr>
            <w:tcW w:w="1080" w:type="dxa"/>
          </w:tcPr>
          <w:p w:rsidR="00000000" w:rsidRDefault="00000000">
            <w:pPr>
              <w:jc w:val="right"/>
              <w:rPr>
                <w:lang w:val="es-ES_tradnl"/>
              </w:rPr>
            </w:pPr>
            <w:r>
              <w:rPr>
                <w:lang w:val="es-ES_tradnl"/>
              </w:rPr>
              <w:t>93,2</w:t>
            </w:r>
          </w:p>
        </w:tc>
        <w:tc>
          <w:tcPr>
            <w:tcW w:w="1235" w:type="dxa"/>
            <w:gridSpan w:val="2"/>
          </w:tcPr>
          <w:p w:rsidR="00000000" w:rsidRDefault="00000000">
            <w:pPr>
              <w:jc w:val="right"/>
              <w:rPr>
                <w:lang w:val="es-ES_tradnl"/>
              </w:rPr>
            </w:pPr>
            <w:r>
              <w:rPr>
                <w:lang w:val="es-ES_tradnl"/>
              </w:rPr>
              <w:t>45,8</w:t>
            </w:r>
          </w:p>
        </w:tc>
        <w:tc>
          <w:tcPr>
            <w:tcW w:w="1159" w:type="dxa"/>
          </w:tcPr>
          <w:p w:rsidR="00000000" w:rsidRDefault="00000000">
            <w:pPr>
              <w:jc w:val="right"/>
              <w:rPr>
                <w:lang w:val="es-ES_tradnl"/>
              </w:rPr>
            </w:pPr>
            <w:r>
              <w:rPr>
                <w:lang w:val="es-ES_tradnl"/>
              </w:rPr>
              <w:t>82,1</w:t>
            </w:r>
          </w:p>
        </w:tc>
        <w:tc>
          <w:tcPr>
            <w:tcW w:w="1038" w:type="dxa"/>
          </w:tcPr>
          <w:p w:rsidR="00000000" w:rsidRDefault="00000000">
            <w:pPr>
              <w:jc w:val="right"/>
              <w:rPr>
                <w:lang w:val="es-ES_tradnl"/>
              </w:rPr>
            </w:pPr>
            <w:r>
              <w:rPr>
                <w:lang w:val="es-ES_tradnl"/>
              </w:rPr>
              <w:t>72,6</w:t>
            </w:r>
          </w:p>
        </w:tc>
      </w:tr>
      <w:tr w:rsidR="00000000">
        <w:tblPrEx>
          <w:tblCellMar>
            <w:top w:w="0" w:type="dxa"/>
            <w:bottom w:w="0" w:type="dxa"/>
          </w:tblCellMar>
        </w:tblPrEx>
        <w:trPr>
          <w:gridAfter w:val="1"/>
          <w:wAfter w:w="105" w:type="dxa"/>
          <w:jc w:val="center"/>
        </w:trPr>
        <w:tc>
          <w:tcPr>
            <w:tcW w:w="1380" w:type="dxa"/>
            <w:tcBorders>
              <w:bottom w:val="single" w:sz="4" w:space="0" w:color="auto"/>
            </w:tcBorders>
          </w:tcPr>
          <w:p w:rsidR="00000000" w:rsidRDefault="00000000">
            <w:pPr>
              <w:rPr>
                <w:lang w:val="es-ES_tradnl"/>
              </w:rPr>
            </w:pPr>
            <w:r>
              <w:rPr>
                <w:lang w:val="es-ES_tradnl"/>
              </w:rPr>
              <w:t>1999</w:t>
            </w:r>
          </w:p>
        </w:tc>
        <w:tc>
          <w:tcPr>
            <w:tcW w:w="1172" w:type="dxa"/>
            <w:tcBorders>
              <w:bottom w:val="single" w:sz="4" w:space="0" w:color="auto"/>
            </w:tcBorders>
          </w:tcPr>
          <w:p w:rsidR="00000000" w:rsidRDefault="00000000">
            <w:pPr>
              <w:jc w:val="right"/>
              <w:rPr>
                <w:lang w:val="es-ES_tradnl"/>
              </w:rPr>
            </w:pPr>
            <w:r>
              <w:rPr>
                <w:lang w:val="es-ES_tradnl"/>
              </w:rPr>
              <w:t>97,0</w:t>
            </w:r>
          </w:p>
        </w:tc>
        <w:tc>
          <w:tcPr>
            <w:tcW w:w="1159" w:type="dxa"/>
            <w:tcBorders>
              <w:bottom w:val="single" w:sz="4" w:space="0" w:color="auto"/>
            </w:tcBorders>
          </w:tcPr>
          <w:p w:rsidR="00000000" w:rsidRDefault="00000000">
            <w:pPr>
              <w:jc w:val="right"/>
              <w:rPr>
                <w:lang w:val="es-ES_tradnl"/>
              </w:rPr>
            </w:pPr>
            <w:r>
              <w:rPr>
                <w:lang w:val="es-ES_tradnl"/>
              </w:rPr>
              <w:t>97,5</w:t>
            </w:r>
          </w:p>
        </w:tc>
        <w:tc>
          <w:tcPr>
            <w:tcW w:w="1080" w:type="dxa"/>
            <w:tcBorders>
              <w:bottom w:val="single" w:sz="4" w:space="0" w:color="auto"/>
            </w:tcBorders>
          </w:tcPr>
          <w:p w:rsidR="00000000" w:rsidRDefault="00000000">
            <w:pPr>
              <w:jc w:val="right"/>
              <w:rPr>
                <w:lang w:val="es-ES_tradnl"/>
              </w:rPr>
            </w:pPr>
            <w:r>
              <w:rPr>
                <w:lang w:val="es-ES_tradnl"/>
              </w:rPr>
              <w:t>96,4</w:t>
            </w:r>
          </w:p>
        </w:tc>
        <w:tc>
          <w:tcPr>
            <w:tcW w:w="1235" w:type="dxa"/>
            <w:gridSpan w:val="2"/>
            <w:tcBorders>
              <w:bottom w:val="single" w:sz="4" w:space="0" w:color="auto"/>
            </w:tcBorders>
          </w:tcPr>
          <w:p w:rsidR="00000000" w:rsidRDefault="00000000">
            <w:pPr>
              <w:jc w:val="right"/>
              <w:rPr>
                <w:lang w:val="es-ES_tradnl"/>
              </w:rPr>
            </w:pPr>
            <w:r>
              <w:rPr>
                <w:lang w:val="es-ES_tradnl"/>
              </w:rPr>
              <w:t>57,6</w:t>
            </w:r>
          </w:p>
        </w:tc>
        <w:tc>
          <w:tcPr>
            <w:tcW w:w="1159" w:type="dxa"/>
            <w:tcBorders>
              <w:bottom w:val="single" w:sz="4" w:space="0" w:color="auto"/>
            </w:tcBorders>
          </w:tcPr>
          <w:p w:rsidR="00000000" w:rsidRDefault="00000000">
            <w:pPr>
              <w:jc w:val="right"/>
              <w:rPr>
                <w:lang w:val="es-ES_tradnl"/>
              </w:rPr>
            </w:pPr>
            <w:r>
              <w:rPr>
                <w:lang w:val="es-ES_tradnl"/>
              </w:rPr>
              <w:t>87,9</w:t>
            </w:r>
          </w:p>
        </w:tc>
        <w:tc>
          <w:tcPr>
            <w:tcW w:w="1038" w:type="dxa"/>
            <w:tcBorders>
              <w:bottom w:val="single" w:sz="4" w:space="0" w:color="auto"/>
            </w:tcBorders>
          </w:tcPr>
          <w:p w:rsidR="00000000" w:rsidRDefault="00000000">
            <w:pPr>
              <w:jc w:val="right"/>
              <w:rPr>
                <w:lang w:val="es-ES_tradnl"/>
              </w:rPr>
            </w:pPr>
            <w:r>
              <w:rPr>
                <w:lang w:val="es-ES_tradnl"/>
              </w:rPr>
              <w:t>74,9</w:t>
            </w:r>
          </w:p>
        </w:tc>
      </w:tr>
    </w:tbl>
    <w:p w:rsidR="00000000" w:rsidRDefault="00000000">
      <w:pPr>
        <w:tabs>
          <w:tab w:val="left" w:pos="546"/>
        </w:tabs>
        <w:spacing w:before="240" w:after="240"/>
        <w:rPr>
          <w:lang w:val="es-ES_tradnl"/>
        </w:rPr>
      </w:pPr>
      <w:r>
        <w:rPr>
          <w:lang w:val="es-ES_tradnl"/>
        </w:rPr>
        <w:tab/>
      </w:r>
      <w:r>
        <w:rPr>
          <w:i/>
          <w:iCs/>
          <w:lang w:val="es-ES_tradnl"/>
        </w:rPr>
        <w:t>Fuente</w:t>
      </w:r>
      <w:r>
        <w:rPr>
          <w:lang w:val="es-ES_tradnl"/>
        </w:rPr>
        <w:t>:  Encuesta de condiciones de vida, SECAP, 1994, INEC 1995-1999.</w:t>
      </w:r>
    </w:p>
    <w:p w:rsidR="00000000" w:rsidRDefault="00000000">
      <w:pPr>
        <w:spacing w:before="480" w:after="240"/>
      </w:pPr>
      <w:r>
        <w:rPr>
          <w:lang w:val="es-ES_tradnl"/>
        </w:rPr>
        <w:t>420.</w:t>
      </w:r>
      <w:r>
        <w:rPr>
          <w:lang w:val="es-ES_tradnl"/>
        </w:rPr>
        <w:tab/>
      </w:r>
      <w:r>
        <w:rPr>
          <w:color w:val="000000"/>
          <w:szCs w:val="25"/>
          <w:lang w:val="es-ES_tradnl"/>
        </w:rPr>
        <w:t>El Ecuador, en años recientes, logró el certificado de la erradicación de la poliomielitis por parte de la OMS.  Los niveles de inmunización con vacuna ATP están distantes de la meta regional propuesta para el año 2000 que es la de asegurar coberturas de vacunación mayores al 90%.</w:t>
      </w:r>
    </w:p>
    <w:p w:rsidR="00000000" w:rsidRDefault="00000000">
      <w:pPr>
        <w:shd w:val="clear" w:color="auto" w:fill="FFFFFF"/>
        <w:spacing w:after="240"/>
      </w:pPr>
      <w:r>
        <w:rPr>
          <w:color w:val="000000"/>
          <w:szCs w:val="25"/>
          <w:lang w:val="es-ES_tradnl"/>
        </w:rPr>
        <w:t>421.</w:t>
      </w:r>
      <w:r>
        <w:rPr>
          <w:color w:val="000000"/>
          <w:szCs w:val="25"/>
          <w:lang w:val="es-ES_tradnl"/>
        </w:rPr>
        <w:tab/>
        <w:t>A partir de 1990, se han impulsado campañas masivas de vacunación contra el sarampión con la finalidad de erradicar este problema en la población infantil menor de 5 años.</w:t>
      </w:r>
    </w:p>
    <w:p w:rsidR="00000000" w:rsidRDefault="00000000">
      <w:pPr>
        <w:spacing w:after="240"/>
        <w:rPr>
          <w:color w:val="000000"/>
          <w:szCs w:val="25"/>
          <w:lang w:val="es-ES_tradnl"/>
        </w:rPr>
      </w:pPr>
      <w:r>
        <w:rPr>
          <w:color w:val="000000"/>
          <w:szCs w:val="25"/>
          <w:lang w:val="es-ES_tradnl"/>
        </w:rPr>
        <w:t>422.</w:t>
      </w:r>
      <w:r>
        <w:rPr>
          <w:color w:val="000000"/>
          <w:szCs w:val="25"/>
          <w:lang w:val="es-ES_tradnl"/>
        </w:rPr>
        <w:tab/>
        <w:t xml:space="preserve">Entre 1994 y 1999 se nota la tendencia a la baja en el ámbito nacional, especialmente en los niños menores de un año.  Por otra parte, al nivel de áreas geográficas, se observan variaciones en el período de análisis, esto es, un ligero crecimiento en el año 1999 con relación a 1998, en el área urbana.  En el ámbito rural, la cobertura de inmunización con vacuna </w:t>
      </w:r>
      <w:proofErr w:type="spellStart"/>
      <w:r>
        <w:rPr>
          <w:color w:val="000000"/>
          <w:szCs w:val="25"/>
          <w:lang w:val="es-ES_tradnl"/>
        </w:rPr>
        <w:t>antisarampionosa</w:t>
      </w:r>
      <w:proofErr w:type="spellEnd"/>
      <w:r>
        <w:rPr>
          <w:color w:val="000000"/>
          <w:szCs w:val="25"/>
          <w:lang w:val="es-ES_tradnl"/>
        </w:rPr>
        <w:t xml:space="preserve"> presenta fluctuaciones y una tendencia descendente</w:t>
      </w:r>
      <w:r>
        <w:rPr>
          <w:rStyle w:val="FootnoteReference"/>
          <w:color w:val="000000"/>
          <w:szCs w:val="25"/>
          <w:lang w:val="es-ES_tradnl"/>
        </w:rPr>
        <w:footnoteReference w:id="59"/>
      </w:r>
      <w:r>
        <w:rPr>
          <w:color w:val="000000"/>
          <w:szCs w:val="25"/>
          <w:lang w:val="es-ES_tradnl"/>
        </w:rPr>
        <w:t>.</w:t>
      </w:r>
    </w:p>
    <w:p w:rsidR="00000000" w:rsidRDefault="00000000">
      <w:pPr>
        <w:keepNext/>
        <w:keepLines/>
        <w:spacing w:after="240"/>
        <w:jc w:val="center"/>
        <w:rPr>
          <w:b/>
          <w:bCs/>
          <w:color w:val="000000"/>
          <w:lang w:val="es-ES_tradnl"/>
        </w:rPr>
      </w:pPr>
      <w:r>
        <w:rPr>
          <w:b/>
          <w:bCs/>
          <w:color w:val="000000"/>
          <w:lang w:val="es-ES_tradnl"/>
        </w:rPr>
        <w:t>Cobertura de vacunación a nivel nacional y por área,</w:t>
      </w:r>
      <w:r>
        <w:rPr>
          <w:b/>
          <w:bCs/>
          <w:color w:val="000000"/>
          <w:lang w:val="es-ES_tradnl"/>
        </w:rPr>
        <w:br/>
        <w:t>en menores de 1 y 5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80"/>
        <w:gridCol w:w="1172"/>
        <w:gridCol w:w="1159"/>
        <w:gridCol w:w="1143"/>
        <w:gridCol w:w="1172"/>
        <w:gridCol w:w="1159"/>
        <w:gridCol w:w="1143"/>
      </w:tblGrid>
      <w:tr w:rsidR="00000000">
        <w:tblPrEx>
          <w:tblCellMar>
            <w:top w:w="0" w:type="dxa"/>
            <w:bottom w:w="0" w:type="dxa"/>
          </w:tblCellMar>
        </w:tblPrEx>
        <w:trPr>
          <w:cantSplit/>
          <w:tblHeader/>
          <w:jc w:val="center"/>
        </w:trPr>
        <w:tc>
          <w:tcPr>
            <w:tcW w:w="1380" w:type="dxa"/>
            <w:tcBorders>
              <w:bottom w:val="single" w:sz="4" w:space="0" w:color="auto"/>
            </w:tcBorders>
            <w:vAlign w:val="center"/>
          </w:tcPr>
          <w:p w:rsidR="00000000" w:rsidRDefault="00000000">
            <w:pPr>
              <w:jc w:val="center"/>
              <w:rPr>
                <w:lang w:val="es-ES_tradnl"/>
              </w:rPr>
            </w:pPr>
            <w:r>
              <w:rPr>
                <w:lang w:val="es-ES_tradnl"/>
              </w:rPr>
              <w:t>Año</w:t>
            </w:r>
          </w:p>
        </w:tc>
        <w:tc>
          <w:tcPr>
            <w:tcW w:w="3474" w:type="dxa"/>
            <w:gridSpan w:val="3"/>
            <w:vAlign w:val="center"/>
          </w:tcPr>
          <w:p w:rsidR="00000000" w:rsidRDefault="00000000">
            <w:pPr>
              <w:jc w:val="center"/>
              <w:rPr>
                <w:lang w:val="fr-CH"/>
              </w:rPr>
            </w:pPr>
            <w:proofErr w:type="spellStart"/>
            <w:r>
              <w:rPr>
                <w:lang w:val="fr-CH"/>
              </w:rPr>
              <w:t>Poliomielitis</w:t>
            </w:r>
            <w:proofErr w:type="spellEnd"/>
            <w:r>
              <w:rPr>
                <w:lang w:val="fr-CH"/>
              </w:rPr>
              <w:t xml:space="preserve"> (</w:t>
            </w:r>
            <w:proofErr w:type="spellStart"/>
            <w:r>
              <w:rPr>
                <w:lang w:val="fr-CH"/>
              </w:rPr>
              <w:t>ATP</w:t>
            </w:r>
            <w:proofErr w:type="spellEnd"/>
            <w:r>
              <w:rPr>
                <w:lang w:val="fr-CH"/>
              </w:rPr>
              <w:t>)</w:t>
            </w:r>
          </w:p>
        </w:tc>
        <w:tc>
          <w:tcPr>
            <w:tcW w:w="3474" w:type="dxa"/>
            <w:gridSpan w:val="3"/>
            <w:vAlign w:val="center"/>
          </w:tcPr>
          <w:p w:rsidR="00000000" w:rsidRDefault="00000000">
            <w:pPr>
              <w:jc w:val="center"/>
              <w:rPr>
                <w:lang w:val="fr-CH"/>
              </w:rPr>
            </w:pPr>
            <w:proofErr w:type="spellStart"/>
            <w:r>
              <w:rPr>
                <w:lang w:val="fr-CH"/>
              </w:rPr>
              <w:t>Sarampión</w:t>
            </w:r>
            <w:proofErr w:type="spellEnd"/>
          </w:p>
        </w:tc>
      </w:tr>
      <w:tr w:rsidR="00000000">
        <w:tblPrEx>
          <w:tblCellMar>
            <w:top w:w="0" w:type="dxa"/>
            <w:bottom w:w="0" w:type="dxa"/>
          </w:tblCellMar>
        </w:tblPrEx>
        <w:trPr>
          <w:cantSplit/>
          <w:jc w:val="center"/>
        </w:trPr>
        <w:tc>
          <w:tcPr>
            <w:tcW w:w="1380" w:type="dxa"/>
            <w:vMerge w:val="restart"/>
            <w:tcBorders>
              <w:top w:val="single" w:sz="4" w:space="0" w:color="auto"/>
            </w:tcBorders>
            <w:vAlign w:val="center"/>
          </w:tcPr>
          <w:p w:rsidR="00000000" w:rsidRDefault="00000000">
            <w:pPr>
              <w:jc w:val="center"/>
              <w:rPr>
                <w:lang w:val="fr-CH"/>
              </w:rPr>
            </w:pPr>
          </w:p>
        </w:tc>
        <w:tc>
          <w:tcPr>
            <w:tcW w:w="6948" w:type="dxa"/>
            <w:gridSpan w:val="6"/>
            <w:vAlign w:val="center"/>
          </w:tcPr>
          <w:p w:rsidR="00000000" w:rsidRDefault="00000000">
            <w:pPr>
              <w:jc w:val="center"/>
              <w:rPr>
                <w:lang w:val="es-ES_tradnl"/>
              </w:rPr>
            </w:pPr>
            <w:r>
              <w:rPr>
                <w:lang w:val="es-ES_tradnl"/>
              </w:rPr>
              <w:t>Menores de 1 año</w:t>
            </w:r>
          </w:p>
        </w:tc>
      </w:tr>
      <w:tr w:rsidR="00000000">
        <w:tblPrEx>
          <w:tblCellMar>
            <w:top w:w="0" w:type="dxa"/>
            <w:bottom w:w="0" w:type="dxa"/>
          </w:tblCellMar>
        </w:tblPrEx>
        <w:trPr>
          <w:cantSplit/>
          <w:jc w:val="center"/>
        </w:trPr>
        <w:tc>
          <w:tcPr>
            <w:tcW w:w="1380" w:type="dxa"/>
            <w:vMerge/>
            <w:vAlign w:val="center"/>
          </w:tcPr>
          <w:p w:rsidR="00000000" w:rsidRDefault="00000000">
            <w:pPr>
              <w:jc w:val="center"/>
              <w:rPr>
                <w:lang w:val="es-ES_tradnl"/>
              </w:rPr>
            </w:pPr>
          </w:p>
        </w:tc>
        <w:tc>
          <w:tcPr>
            <w:tcW w:w="1172" w:type="dxa"/>
            <w:vAlign w:val="center"/>
          </w:tcPr>
          <w:p w:rsidR="00000000" w:rsidRDefault="00000000">
            <w:pPr>
              <w:jc w:val="center"/>
              <w:rPr>
                <w:lang w:val="es-ES_tradnl"/>
              </w:rPr>
            </w:pPr>
            <w:r>
              <w:rPr>
                <w:lang w:val="es-ES_tradnl"/>
              </w:rPr>
              <w:t>Nacional</w:t>
            </w:r>
          </w:p>
        </w:tc>
        <w:tc>
          <w:tcPr>
            <w:tcW w:w="1159" w:type="dxa"/>
            <w:vAlign w:val="center"/>
          </w:tcPr>
          <w:p w:rsidR="00000000" w:rsidRDefault="00000000">
            <w:pPr>
              <w:jc w:val="center"/>
              <w:rPr>
                <w:lang w:val="es-ES_tradnl"/>
              </w:rPr>
            </w:pPr>
            <w:r>
              <w:rPr>
                <w:lang w:val="es-ES_tradnl"/>
              </w:rPr>
              <w:t>Urbano</w:t>
            </w:r>
          </w:p>
        </w:tc>
        <w:tc>
          <w:tcPr>
            <w:tcW w:w="1143" w:type="dxa"/>
            <w:vAlign w:val="center"/>
          </w:tcPr>
          <w:p w:rsidR="00000000" w:rsidRDefault="00000000">
            <w:pPr>
              <w:jc w:val="center"/>
              <w:rPr>
                <w:lang w:val="es-ES_tradnl"/>
              </w:rPr>
            </w:pPr>
            <w:r>
              <w:rPr>
                <w:lang w:val="es-ES_tradnl"/>
              </w:rPr>
              <w:t>Rural</w:t>
            </w:r>
          </w:p>
        </w:tc>
        <w:tc>
          <w:tcPr>
            <w:tcW w:w="1172" w:type="dxa"/>
            <w:vAlign w:val="center"/>
          </w:tcPr>
          <w:p w:rsidR="00000000" w:rsidRDefault="00000000">
            <w:pPr>
              <w:jc w:val="center"/>
              <w:rPr>
                <w:lang w:val="es-ES_tradnl"/>
              </w:rPr>
            </w:pPr>
            <w:r>
              <w:rPr>
                <w:lang w:val="es-ES_tradnl"/>
              </w:rPr>
              <w:t>Nacional</w:t>
            </w:r>
          </w:p>
        </w:tc>
        <w:tc>
          <w:tcPr>
            <w:tcW w:w="1159" w:type="dxa"/>
            <w:vAlign w:val="center"/>
          </w:tcPr>
          <w:p w:rsidR="00000000" w:rsidRDefault="00000000">
            <w:pPr>
              <w:jc w:val="center"/>
              <w:rPr>
                <w:lang w:val="es-ES_tradnl"/>
              </w:rPr>
            </w:pPr>
            <w:r>
              <w:rPr>
                <w:lang w:val="es-ES_tradnl"/>
              </w:rPr>
              <w:t>Urbano</w:t>
            </w:r>
          </w:p>
        </w:tc>
        <w:tc>
          <w:tcPr>
            <w:tcW w:w="1143" w:type="dxa"/>
            <w:vAlign w:val="center"/>
          </w:tcPr>
          <w:p w:rsidR="00000000" w:rsidRDefault="00000000">
            <w:pPr>
              <w:jc w:val="center"/>
              <w:rPr>
                <w:lang w:val="es-ES_tradnl"/>
              </w:rPr>
            </w:pPr>
            <w:r>
              <w:rPr>
                <w:lang w:val="es-ES_tradnl"/>
              </w:rPr>
              <w:t>Rural</w:t>
            </w:r>
          </w:p>
        </w:tc>
      </w:tr>
      <w:tr w:rsidR="00000000">
        <w:tblPrEx>
          <w:tblCellMar>
            <w:top w:w="0" w:type="dxa"/>
            <w:bottom w:w="0" w:type="dxa"/>
          </w:tblCellMar>
        </w:tblPrEx>
        <w:trPr>
          <w:jc w:val="center"/>
        </w:trPr>
        <w:tc>
          <w:tcPr>
            <w:tcW w:w="1380" w:type="dxa"/>
          </w:tcPr>
          <w:p w:rsidR="00000000" w:rsidRDefault="00000000">
            <w:pPr>
              <w:rPr>
                <w:lang w:val="es-ES_tradnl"/>
              </w:rPr>
            </w:pPr>
            <w:r>
              <w:rPr>
                <w:lang w:val="es-ES_tradnl"/>
              </w:rPr>
              <w:t>1994</w:t>
            </w:r>
          </w:p>
        </w:tc>
        <w:tc>
          <w:tcPr>
            <w:tcW w:w="1172" w:type="dxa"/>
          </w:tcPr>
          <w:p w:rsidR="00000000" w:rsidRDefault="00000000">
            <w:pPr>
              <w:jc w:val="right"/>
              <w:rPr>
                <w:lang w:val="es-ES_tradnl"/>
              </w:rPr>
            </w:pPr>
            <w:r>
              <w:rPr>
                <w:lang w:val="es-ES_tradnl"/>
              </w:rPr>
              <w:t>47,7</w:t>
            </w:r>
          </w:p>
        </w:tc>
        <w:tc>
          <w:tcPr>
            <w:tcW w:w="1159" w:type="dxa"/>
          </w:tcPr>
          <w:p w:rsidR="00000000" w:rsidRDefault="00000000">
            <w:pPr>
              <w:jc w:val="right"/>
              <w:rPr>
                <w:lang w:val="es-ES_tradnl"/>
              </w:rPr>
            </w:pPr>
            <w:r>
              <w:rPr>
                <w:lang w:val="es-ES_tradnl"/>
              </w:rPr>
              <w:t>52,7</w:t>
            </w:r>
          </w:p>
        </w:tc>
        <w:tc>
          <w:tcPr>
            <w:tcW w:w="1143" w:type="dxa"/>
          </w:tcPr>
          <w:p w:rsidR="00000000" w:rsidRDefault="00000000">
            <w:pPr>
              <w:jc w:val="right"/>
              <w:rPr>
                <w:lang w:val="es-ES_tradnl"/>
              </w:rPr>
            </w:pPr>
            <w:r>
              <w:rPr>
                <w:lang w:val="es-ES_tradnl"/>
              </w:rPr>
              <w:t>41,7</w:t>
            </w:r>
          </w:p>
        </w:tc>
        <w:tc>
          <w:tcPr>
            <w:tcW w:w="1172" w:type="dxa"/>
          </w:tcPr>
          <w:p w:rsidR="00000000" w:rsidRDefault="00000000">
            <w:pPr>
              <w:jc w:val="right"/>
              <w:rPr>
                <w:lang w:val="es-ES_tradnl"/>
              </w:rPr>
            </w:pPr>
            <w:r>
              <w:rPr>
                <w:lang w:val="es-ES_tradnl"/>
              </w:rPr>
              <w:t>62,0</w:t>
            </w:r>
          </w:p>
        </w:tc>
        <w:tc>
          <w:tcPr>
            <w:tcW w:w="1159" w:type="dxa"/>
          </w:tcPr>
          <w:p w:rsidR="00000000" w:rsidRDefault="00000000">
            <w:pPr>
              <w:jc w:val="right"/>
              <w:rPr>
                <w:lang w:val="es-ES_tradnl"/>
              </w:rPr>
            </w:pPr>
            <w:r>
              <w:rPr>
                <w:lang w:val="es-ES_tradnl"/>
              </w:rPr>
              <w:t>69,8</w:t>
            </w:r>
          </w:p>
        </w:tc>
        <w:tc>
          <w:tcPr>
            <w:tcW w:w="1143" w:type="dxa"/>
          </w:tcPr>
          <w:p w:rsidR="00000000" w:rsidRDefault="00000000">
            <w:pPr>
              <w:jc w:val="right"/>
              <w:rPr>
                <w:lang w:val="es-ES_tradnl"/>
              </w:rPr>
            </w:pPr>
            <w:r>
              <w:rPr>
                <w:lang w:val="es-ES_tradnl"/>
              </w:rPr>
              <w:t>52,8</w:t>
            </w:r>
          </w:p>
        </w:tc>
      </w:tr>
      <w:tr w:rsidR="00000000">
        <w:tblPrEx>
          <w:tblCellMar>
            <w:top w:w="0" w:type="dxa"/>
            <w:bottom w:w="0" w:type="dxa"/>
          </w:tblCellMar>
        </w:tblPrEx>
        <w:trPr>
          <w:jc w:val="center"/>
        </w:trPr>
        <w:tc>
          <w:tcPr>
            <w:tcW w:w="1380" w:type="dxa"/>
          </w:tcPr>
          <w:p w:rsidR="00000000" w:rsidRDefault="00000000">
            <w:pPr>
              <w:rPr>
                <w:lang w:val="es-ES_tradnl"/>
              </w:rPr>
            </w:pPr>
            <w:r>
              <w:rPr>
                <w:lang w:val="es-ES_tradnl"/>
              </w:rPr>
              <w:t>1995</w:t>
            </w:r>
          </w:p>
        </w:tc>
        <w:tc>
          <w:tcPr>
            <w:tcW w:w="1172" w:type="dxa"/>
          </w:tcPr>
          <w:p w:rsidR="00000000" w:rsidRDefault="00000000">
            <w:pPr>
              <w:jc w:val="right"/>
              <w:rPr>
                <w:lang w:val="es-ES_tradnl"/>
              </w:rPr>
            </w:pPr>
            <w:r>
              <w:rPr>
                <w:lang w:val="es-ES_tradnl"/>
              </w:rPr>
              <w:t>43,4</w:t>
            </w:r>
          </w:p>
        </w:tc>
        <w:tc>
          <w:tcPr>
            <w:tcW w:w="1159" w:type="dxa"/>
          </w:tcPr>
          <w:p w:rsidR="00000000" w:rsidRDefault="00000000">
            <w:pPr>
              <w:jc w:val="right"/>
              <w:rPr>
                <w:lang w:val="es-ES_tradnl"/>
              </w:rPr>
            </w:pPr>
            <w:r>
              <w:rPr>
                <w:lang w:val="es-ES_tradnl"/>
              </w:rPr>
              <w:t>45,7</w:t>
            </w:r>
          </w:p>
        </w:tc>
        <w:tc>
          <w:tcPr>
            <w:tcW w:w="1143" w:type="dxa"/>
          </w:tcPr>
          <w:p w:rsidR="00000000" w:rsidRDefault="00000000">
            <w:pPr>
              <w:jc w:val="right"/>
              <w:rPr>
                <w:lang w:val="es-ES_tradnl"/>
              </w:rPr>
            </w:pPr>
            <w:r>
              <w:rPr>
                <w:lang w:val="es-ES_tradnl"/>
              </w:rPr>
              <w:t>40,2</w:t>
            </w:r>
          </w:p>
        </w:tc>
        <w:tc>
          <w:tcPr>
            <w:tcW w:w="1172" w:type="dxa"/>
          </w:tcPr>
          <w:p w:rsidR="00000000" w:rsidRDefault="00000000">
            <w:pPr>
              <w:jc w:val="right"/>
              <w:rPr>
                <w:lang w:val="es-ES_tradnl"/>
              </w:rPr>
            </w:pPr>
            <w:r>
              <w:rPr>
                <w:lang w:val="es-ES_tradnl"/>
              </w:rPr>
              <w:t>60,3</w:t>
            </w:r>
          </w:p>
        </w:tc>
        <w:tc>
          <w:tcPr>
            <w:tcW w:w="1159" w:type="dxa"/>
          </w:tcPr>
          <w:p w:rsidR="00000000" w:rsidRDefault="00000000">
            <w:pPr>
              <w:jc w:val="right"/>
              <w:rPr>
                <w:lang w:val="es-ES_tradnl"/>
              </w:rPr>
            </w:pPr>
            <w:r>
              <w:rPr>
                <w:lang w:val="es-ES_tradnl"/>
              </w:rPr>
              <w:t>64,1</w:t>
            </w:r>
          </w:p>
        </w:tc>
        <w:tc>
          <w:tcPr>
            <w:tcW w:w="1143" w:type="dxa"/>
          </w:tcPr>
          <w:p w:rsidR="00000000" w:rsidRDefault="00000000">
            <w:pPr>
              <w:jc w:val="right"/>
              <w:rPr>
                <w:lang w:val="es-ES_tradnl"/>
              </w:rPr>
            </w:pPr>
            <w:r>
              <w:rPr>
                <w:lang w:val="es-ES_tradnl"/>
              </w:rPr>
              <w:t>55,5</w:t>
            </w:r>
          </w:p>
        </w:tc>
      </w:tr>
      <w:tr w:rsidR="00000000">
        <w:tblPrEx>
          <w:tblCellMar>
            <w:top w:w="0" w:type="dxa"/>
            <w:bottom w:w="0" w:type="dxa"/>
          </w:tblCellMar>
        </w:tblPrEx>
        <w:trPr>
          <w:jc w:val="center"/>
        </w:trPr>
        <w:tc>
          <w:tcPr>
            <w:tcW w:w="1380" w:type="dxa"/>
          </w:tcPr>
          <w:p w:rsidR="00000000" w:rsidRDefault="00000000">
            <w:pPr>
              <w:rPr>
                <w:lang w:val="es-ES_tradnl"/>
              </w:rPr>
            </w:pPr>
            <w:r>
              <w:rPr>
                <w:lang w:val="es-ES_tradnl"/>
              </w:rPr>
              <w:t>1998</w:t>
            </w:r>
          </w:p>
        </w:tc>
        <w:tc>
          <w:tcPr>
            <w:tcW w:w="1172" w:type="dxa"/>
          </w:tcPr>
          <w:p w:rsidR="00000000" w:rsidRDefault="00000000">
            <w:pPr>
              <w:jc w:val="right"/>
              <w:rPr>
                <w:lang w:val="es-ES_tradnl"/>
              </w:rPr>
            </w:pPr>
            <w:r>
              <w:rPr>
                <w:lang w:val="es-ES_tradnl"/>
              </w:rPr>
              <w:t>52,5</w:t>
            </w:r>
          </w:p>
        </w:tc>
        <w:tc>
          <w:tcPr>
            <w:tcW w:w="1159" w:type="dxa"/>
          </w:tcPr>
          <w:p w:rsidR="00000000" w:rsidRDefault="00000000">
            <w:pPr>
              <w:jc w:val="right"/>
              <w:rPr>
                <w:lang w:val="es-ES_tradnl"/>
              </w:rPr>
            </w:pPr>
            <w:r>
              <w:rPr>
                <w:lang w:val="es-ES_tradnl"/>
              </w:rPr>
              <w:t>52,4</w:t>
            </w:r>
          </w:p>
        </w:tc>
        <w:tc>
          <w:tcPr>
            <w:tcW w:w="1143" w:type="dxa"/>
          </w:tcPr>
          <w:p w:rsidR="00000000" w:rsidRDefault="00000000">
            <w:pPr>
              <w:jc w:val="right"/>
              <w:rPr>
                <w:lang w:val="es-ES_tradnl"/>
              </w:rPr>
            </w:pPr>
            <w:r>
              <w:rPr>
                <w:lang w:val="es-ES_tradnl"/>
              </w:rPr>
              <w:t>52,7</w:t>
            </w:r>
          </w:p>
        </w:tc>
        <w:tc>
          <w:tcPr>
            <w:tcW w:w="1172" w:type="dxa"/>
          </w:tcPr>
          <w:p w:rsidR="00000000" w:rsidRDefault="00000000">
            <w:pPr>
              <w:jc w:val="right"/>
              <w:rPr>
                <w:lang w:val="es-ES_tradnl"/>
              </w:rPr>
            </w:pPr>
            <w:r>
              <w:rPr>
                <w:lang w:val="es-ES_tradnl"/>
              </w:rPr>
              <w:t>52,3</w:t>
            </w:r>
          </w:p>
        </w:tc>
        <w:tc>
          <w:tcPr>
            <w:tcW w:w="1159" w:type="dxa"/>
          </w:tcPr>
          <w:p w:rsidR="00000000" w:rsidRDefault="00000000">
            <w:pPr>
              <w:jc w:val="right"/>
              <w:rPr>
                <w:lang w:val="es-ES_tradnl"/>
              </w:rPr>
            </w:pPr>
            <w:r>
              <w:rPr>
                <w:lang w:val="es-ES_tradnl"/>
              </w:rPr>
              <w:t>55,7</w:t>
            </w:r>
          </w:p>
        </w:tc>
        <w:tc>
          <w:tcPr>
            <w:tcW w:w="1143" w:type="dxa"/>
          </w:tcPr>
          <w:p w:rsidR="00000000" w:rsidRDefault="00000000">
            <w:pPr>
              <w:jc w:val="right"/>
              <w:rPr>
                <w:lang w:val="es-ES_tradnl"/>
              </w:rPr>
            </w:pPr>
            <w:r>
              <w:rPr>
                <w:lang w:val="es-ES_tradnl"/>
              </w:rPr>
              <w:t>48,5</w:t>
            </w:r>
          </w:p>
        </w:tc>
      </w:tr>
      <w:tr w:rsidR="00000000">
        <w:tblPrEx>
          <w:tblCellMar>
            <w:top w:w="0" w:type="dxa"/>
            <w:bottom w:w="0" w:type="dxa"/>
          </w:tblCellMar>
        </w:tblPrEx>
        <w:trPr>
          <w:jc w:val="center"/>
        </w:trPr>
        <w:tc>
          <w:tcPr>
            <w:tcW w:w="1380" w:type="dxa"/>
          </w:tcPr>
          <w:p w:rsidR="00000000" w:rsidRDefault="00000000">
            <w:pPr>
              <w:rPr>
                <w:lang w:val="es-ES_tradnl"/>
              </w:rPr>
            </w:pPr>
            <w:r>
              <w:rPr>
                <w:lang w:val="es-ES_tradnl"/>
              </w:rPr>
              <w:t>1999</w:t>
            </w:r>
          </w:p>
        </w:tc>
        <w:tc>
          <w:tcPr>
            <w:tcW w:w="1172" w:type="dxa"/>
          </w:tcPr>
          <w:p w:rsidR="00000000" w:rsidRDefault="00000000">
            <w:pPr>
              <w:jc w:val="right"/>
              <w:rPr>
                <w:lang w:val="es-ES_tradnl"/>
              </w:rPr>
            </w:pPr>
            <w:r>
              <w:rPr>
                <w:lang w:val="es-ES_tradnl"/>
              </w:rPr>
              <w:t>56,3</w:t>
            </w:r>
          </w:p>
        </w:tc>
        <w:tc>
          <w:tcPr>
            <w:tcW w:w="1159" w:type="dxa"/>
          </w:tcPr>
          <w:p w:rsidR="00000000" w:rsidRDefault="00000000">
            <w:pPr>
              <w:jc w:val="right"/>
              <w:rPr>
                <w:lang w:val="es-ES_tradnl"/>
              </w:rPr>
            </w:pPr>
            <w:r>
              <w:rPr>
                <w:lang w:val="es-ES_tradnl"/>
              </w:rPr>
              <w:t>61,6</w:t>
            </w:r>
          </w:p>
        </w:tc>
        <w:tc>
          <w:tcPr>
            <w:tcW w:w="1143" w:type="dxa"/>
          </w:tcPr>
          <w:p w:rsidR="00000000" w:rsidRDefault="00000000">
            <w:pPr>
              <w:jc w:val="right"/>
              <w:rPr>
                <w:lang w:val="es-ES_tradnl"/>
              </w:rPr>
            </w:pPr>
            <w:r>
              <w:rPr>
                <w:lang w:val="es-ES_tradnl"/>
              </w:rPr>
              <w:t>49,8</w:t>
            </w:r>
          </w:p>
        </w:tc>
        <w:tc>
          <w:tcPr>
            <w:tcW w:w="1172" w:type="dxa"/>
          </w:tcPr>
          <w:p w:rsidR="00000000" w:rsidRDefault="00000000">
            <w:pPr>
              <w:jc w:val="right"/>
              <w:rPr>
                <w:lang w:val="es-ES_tradnl"/>
              </w:rPr>
            </w:pPr>
            <w:r>
              <w:rPr>
                <w:lang w:val="es-ES_tradnl"/>
              </w:rPr>
              <w:t>52,8</w:t>
            </w:r>
          </w:p>
        </w:tc>
        <w:tc>
          <w:tcPr>
            <w:tcW w:w="1159" w:type="dxa"/>
          </w:tcPr>
          <w:p w:rsidR="00000000" w:rsidRDefault="00000000">
            <w:pPr>
              <w:jc w:val="right"/>
              <w:rPr>
                <w:lang w:val="es-ES_tradnl"/>
              </w:rPr>
            </w:pPr>
            <w:r>
              <w:rPr>
                <w:lang w:val="es-ES_tradnl"/>
              </w:rPr>
              <w:t>59,5</w:t>
            </w:r>
          </w:p>
        </w:tc>
        <w:tc>
          <w:tcPr>
            <w:tcW w:w="1143" w:type="dxa"/>
          </w:tcPr>
          <w:p w:rsidR="00000000" w:rsidRDefault="00000000">
            <w:pPr>
              <w:jc w:val="right"/>
              <w:rPr>
                <w:lang w:val="es-ES_tradnl"/>
              </w:rPr>
            </w:pPr>
            <w:r>
              <w:rPr>
                <w:lang w:val="es-ES_tradnl"/>
              </w:rPr>
              <w:t>41,3</w:t>
            </w:r>
          </w:p>
        </w:tc>
      </w:tr>
      <w:tr w:rsidR="00000000">
        <w:tblPrEx>
          <w:tblCellMar>
            <w:top w:w="0" w:type="dxa"/>
            <w:bottom w:w="0" w:type="dxa"/>
          </w:tblCellMar>
        </w:tblPrEx>
        <w:trPr>
          <w:cantSplit/>
          <w:jc w:val="center"/>
        </w:trPr>
        <w:tc>
          <w:tcPr>
            <w:tcW w:w="1380" w:type="dxa"/>
            <w:vAlign w:val="center"/>
          </w:tcPr>
          <w:p w:rsidR="00000000" w:rsidRDefault="00000000">
            <w:pPr>
              <w:keepNext/>
              <w:keepLines/>
              <w:jc w:val="center"/>
              <w:rPr>
                <w:lang w:val="es-ES_tradnl"/>
              </w:rPr>
            </w:pPr>
          </w:p>
        </w:tc>
        <w:tc>
          <w:tcPr>
            <w:tcW w:w="6948" w:type="dxa"/>
            <w:gridSpan w:val="6"/>
            <w:vAlign w:val="center"/>
          </w:tcPr>
          <w:p w:rsidR="00000000" w:rsidRDefault="00000000">
            <w:pPr>
              <w:keepNext/>
              <w:keepLines/>
              <w:jc w:val="center"/>
              <w:rPr>
                <w:lang w:val="es-ES_tradnl"/>
              </w:rPr>
            </w:pPr>
            <w:r>
              <w:rPr>
                <w:lang w:val="es-ES_tradnl"/>
              </w:rPr>
              <w:t>Menores de 5 años</w:t>
            </w:r>
          </w:p>
        </w:tc>
      </w:tr>
      <w:tr w:rsidR="00000000">
        <w:tblPrEx>
          <w:tblCellMar>
            <w:top w:w="0" w:type="dxa"/>
            <w:bottom w:w="0" w:type="dxa"/>
          </w:tblCellMar>
        </w:tblPrEx>
        <w:trPr>
          <w:jc w:val="center"/>
        </w:trPr>
        <w:tc>
          <w:tcPr>
            <w:tcW w:w="1380" w:type="dxa"/>
          </w:tcPr>
          <w:p w:rsidR="00000000" w:rsidRDefault="00000000">
            <w:pPr>
              <w:keepNext/>
              <w:keepLines/>
              <w:rPr>
                <w:lang w:val="es-ES_tradnl"/>
              </w:rPr>
            </w:pPr>
            <w:r>
              <w:rPr>
                <w:lang w:val="es-ES_tradnl"/>
              </w:rPr>
              <w:t>1994</w:t>
            </w:r>
          </w:p>
        </w:tc>
        <w:tc>
          <w:tcPr>
            <w:tcW w:w="1172" w:type="dxa"/>
          </w:tcPr>
          <w:p w:rsidR="00000000" w:rsidRDefault="00000000">
            <w:pPr>
              <w:keepNext/>
              <w:keepLines/>
              <w:jc w:val="right"/>
              <w:rPr>
                <w:lang w:val="es-ES_tradnl"/>
              </w:rPr>
            </w:pPr>
            <w:r>
              <w:rPr>
                <w:lang w:val="es-ES_tradnl"/>
              </w:rPr>
              <w:t>78,3</w:t>
            </w:r>
          </w:p>
        </w:tc>
        <w:tc>
          <w:tcPr>
            <w:tcW w:w="1159" w:type="dxa"/>
          </w:tcPr>
          <w:p w:rsidR="00000000" w:rsidRDefault="00000000">
            <w:pPr>
              <w:keepNext/>
              <w:keepLines/>
              <w:jc w:val="right"/>
              <w:rPr>
                <w:lang w:val="es-ES_tradnl"/>
              </w:rPr>
            </w:pPr>
            <w:r>
              <w:rPr>
                <w:lang w:val="es-ES_tradnl"/>
              </w:rPr>
              <w:t>85,0</w:t>
            </w:r>
          </w:p>
        </w:tc>
        <w:tc>
          <w:tcPr>
            <w:tcW w:w="1143" w:type="dxa"/>
          </w:tcPr>
          <w:p w:rsidR="00000000" w:rsidRDefault="00000000">
            <w:pPr>
              <w:keepNext/>
              <w:keepLines/>
              <w:jc w:val="right"/>
              <w:rPr>
                <w:lang w:val="es-ES_tradnl"/>
              </w:rPr>
            </w:pPr>
            <w:r>
              <w:rPr>
                <w:lang w:val="es-ES_tradnl"/>
              </w:rPr>
              <w:t>70,9</w:t>
            </w:r>
          </w:p>
        </w:tc>
        <w:tc>
          <w:tcPr>
            <w:tcW w:w="1172" w:type="dxa"/>
          </w:tcPr>
          <w:p w:rsidR="00000000" w:rsidRDefault="00000000">
            <w:pPr>
              <w:keepNext/>
              <w:keepLines/>
              <w:jc w:val="right"/>
              <w:rPr>
                <w:lang w:val="es-ES_tradnl"/>
              </w:rPr>
            </w:pPr>
            <w:r>
              <w:rPr>
                <w:lang w:val="es-ES_tradnl"/>
              </w:rPr>
              <w:t>62,0</w:t>
            </w:r>
          </w:p>
        </w:tc>
        <w:tc>
          <w:tcPr>
            <w:tcW w:w="1159" w:type="dxa"/>
          </w:tcPr>
          <w:p w:rsidR="00000000" w:rsidRDefault="00000000">
            <w:pPr>
              <w:keepNext/>
              <w:keepLines/>
              <w:jc w:val="right"/>
              <w:rPr>
                <w:lang w:val="es-ES_tradnl"/>
              </w:rPr>
            </w:pPr>
            <w:r>
              <w:rPr>
                <w:lang w:val="es-ES_tradnl"/>
              </w:rPr>
              <w:t>92,0</w:t>
            </w:r>
          </w:p>
        </w:tc>
        <w:tc>
          <w:tcPr>
            <w:tcW w:w="1143" w:type="dxa"/>
          </w:tcPr>
          <w:p w:rsidR="00000000" w:rsidRDefault="00000000">
            <w:pPr>
              <w:keepNext/>
              <w:keepLines/>
              <w:jc w:val="right"/>
              <w:rPr>
                <w:lang w:val="es-ES_tradnl"/>
              </w:rPr>
            </w:pPr>
            <w:r>
              <w:rPr>
                <w:lang w:val="es-ES_tradnl"/>
              </w:rPr>
              <w:t>81,6</w:t>
            </w:r>
          </w:p>
        </w:tc>
      </w:tr>
      <w:tr w:rsidR="00000000">
        <w:tblPrEx>
          <w:tblCellMar>
            <w:top w:w="0" w:type="dxa"/>
            <w:bottom w:w="0" w:type="dxa"/>
          </w:tblCellMar>
        </w:tblPrEx>
        <w:trPr>
          <w:jc w:val="center"/>
        </w:trPr>
        <w:tc>
          <w:tcPr>
            <w:tcW w:w="1380" w:type="dxa"/>
          </w:tcPr>
          <w:p w:rsidR="00000000" w:rsidRDefault="00000000">
            <w:pPr>
              <w:keepNext/>
              <w:keepLines/>
              <w:rPr>
                <w:lang w:val="es-ES_tradnl"/>
              </w:rPr>
            </w:pPr>
            <w:r>
              <w:rPr>
                <w:lang w:val="es-ES_tradnl"/>
              </w:rPr>
              <w:t>1995</w:t>
            </w:r>
          </w:p>
        </w:tc>
        <w:tc>
          <w:tcPr>
            <w:tcW w:w="1172" w:type="dxa"/>
          </w:tcPr>
          <w:p w:rsidR="00000000" w:rsidRDefault="00000000">
            <w:pPr>
              <w:keepNext/>
              <w:keepLines/>
              <w:jc w:val="right"/>
              <w:rPr>
                <w:lang w:val="es-ES_tradnl"/>
              </w:rPr>
            </w:pPr>
            <w:r>
              <w:rPr>
                <w:lang w:val="es-ES_tradnl"/>
              </w:rPr>
              <w:t>77,0</w:t>
            </w:r>
          </w:p>
        </w:tc>
        <w:tc>
          <w:tcPr>
            <w:tcW w:w="1159" w:type="dxa"/>
          </w:tcPr>
          <w:p w:rsidR="00000000" w:rsidRDefault="00000000">
            <w:pPr>
              <w:keepNext/>
              <w:keepLines/>
              <w:jc w:val="right"/>
              <w:rPr>
                <w:lang w:val="es-ES_tradnl"/>
              </w:rPr>
            </w:pPr>
            <w:r>
              <w:rPr>
                <w:lang w:val="es-ES_tradnl"/>
              </w:rPr>
              <w:t>81,5</w:t>
            </w:r>
          </w:p>
        </w:tc>
        <w:tc>
          <w:tcPr>
            <w:tcW w:w="1143" w:type="dxa"/>
          </w:tcPr>
          <w:p w:rsidR="00000000" w:rsidRDefault="00000000">
            <w:pPr>
              <w:keepNext/>
              <w:keepLines/>
              <w:jc w:val="right"/>
              <w:rPr>
                <w:lang w:val="es-ES_tradnl"/>
              </w:rPr>
            </w:pPr>
            <w:r>
              <w:rPr>
                <w:lang w:val="es-ES_tradnl"/>
              </w:rPr>
              <w:t>71,1</w:t>
            </w:r>
          </w:p>
        </w:tc>
        <w:tc>
          <w:tcPr>
            <w:tcW w:w="1172" w:type="dxa"/>
          </w:tcPr>
          <w:p w:rsidR="00000000" w:rsidRDefault="00000000">
            <w:pPr>
              <w:keepNext/>
              <w:keepLines/>
              <w:jc w:val="right"/>
              <w:rPr>
                <w:lang w:val="es-ES_tradnl"/>
              </w:rPr>
            </w:pPr>
            <w:r>
              <w:rPr>
                <w:lang w:val="es-ES_tradnl"/>
              </w:rPr>
              <w:t>60,3</w:t>
            </w:r>
          </w:p>
        </w:tc>
        <w:tc>
          <w:tcPr>
            <w:tcW w:w="1159" w:type="dxa"/>
          </w:tcPr>
          <w:p w:rsidR="00000000" w:rsidRDefault="00000000">
            <w:pPr>
              <w:keepNext/>
              <w:keepLines/>
              <w:jc w:val="right"/>
              <w:rPr>
                <w:lang w:val="es-ES_tradnl"/>
              </w:rPr>
            </w:pPr>
            <w:r>
              <w:rPr>
                <w:lang w:val="es-ES_tradnl"/>
              </w:rPr>
              <w:t>90,1</w:t>
            </w:r>
          </w:p>
        </w:tc>
        <w:tc>
          <w:tcPr>
            <w:tcW w:w="1143" w:type="dxa"/>
          </w:tcPr>
          <w:p w:rsidR="00000000" w:rsidRDefault="00000000">
            <w:pPr>
              <w:keepNext/>
              <w:keepLines/>
              <w:jc w:val="right"/>
              <w:rPr>
                <w:lang w:val="es-ES_tradnl"/>
              </w:rPr>
            </w:pPr>
            <w:r>
              <w:rPr>
                <w:lang w:val="es-ES_tradnl"/>
              </w:rPr>
              <w:t>84,5</w:t>
            </w:r>
          </w:p>
        </w:tc>
      </w:tr>
      <w:tr w:rsidR="00000000">
        <w:tblPrEx>
          <w:tblCellMar>
            <w:top w:w="0" w:type="dxa"/>
            <w:bottom w:w="0" w:type="dxa"/>
          </w:tblCellMar>
        </w:tblPrEx>
        <w:trPr>
          <w:jc w:val="center"/>
        </w:trPr>
        <w:tc>
          <w:tcPr>
            <w:tcW w:w="1380" w:type="dxa"/>
            <w:tcBorders>
              <w:bottom w:val="single" w:sz="4" w:space="0" w:color="auto"/>
            </w:tcBorders>
          </w:tcPr>
          <w:p w:rsidR="00000000" w:rsidRDefault="00000000">
            <w:pPr>
              <w:rPr>
                <w:lang w:val="es-ES_tradnl"/>
              </w:rPr>
            </w:pPr>
            <w:r>
              <w:rPr>
                <w:lang w:val="es-ES_tradnl"/>
              </w:rPr>
              <w:t>1998</w:t>
            </w:r>
          </w:p>
        </w:tc>
        <w:tc>
          <w:tcPr>
            <w:tcW w:w="1172" w:type="dxa"/>
            <w:tcBorders>
              <w:bottom w:val="single" w:sz="4" w:space="0" w:color="auto"/>
            </w:tcBorders>
          </w:tcPr>
          <w:p w:rsidR="00000000" w:rsidRDefault="00000000">
            <w:pPr>
              <w:jc w:val="right"/>
              <w:rPr>
                <w:lang w:val="es-ES_tradnl"/>
              </w:rPr>
            </w:pPr>
            <w:r>
              <w:rPr>
                <w:lang w:val="es-ES_tradnl"/>
              </w:rPr>
              <w:t>82,0</w:t>
            </w:r>
          </w:p>
        </w:tc>
        <w:tc>
          <w:tcPr>
            <w:tcW w:w="1159" w:type="dxa"/>
            <w:tcBorders>
              <w:bottom w:val="single" w:sz="4" w:space="0" w:color="auto"/>
            </w:tcBorders>
          </w:tcPr>
          <w:p w:rsidR="00000000" w:rsidRDefault="00000000">
            <w:pPr>
              <w:jc w:val="right"/>
              <w:rPr>
                <w:lang w:val="es-ES_tradnl"/>
              </w:rPr>
            </w:pPr>
            <w:r>
              <w:rPr>
                <w:lang w:val="es-ES_tradnl"/>
              </w:rPr>
              <w:t>84,1</w:t>
            </w:r>
          </w:p>
        </w:tc>
        <w:tc>
          <w:tcPr>
            <w:tcW w:w="1143" w:type="dxa"/>
            <w:tcBorders>
              <w:bottom w:val="single" w:sz="4" w:space="0" w:color="auto"/>
            </w:tcBorders>
          </w:tcPr>
          <w:p w:rsidR="00000000" w:rsidRDefault="00000000">
            <w:pPr>
              <w:jc w:val="right"/>
              <w:rPr>
                <w:lang w:val="es-ES_tradnl"/>
              </w:rPr>
            </w:pPr>
            <w:r>
              <w:rPr>
                <w:lang w:val="es-ES_tradnl"/>
              </w:rPr>
              <w:t>79,3</w:t>
            </w:r>
          </w:p>
        </w:tc>
        <w:tc>
          <w:tcPr>
            <w:tcW w:w="1172" w:type="dxa"/>
            <w:tcBorders>
              <w:bottom w:val="single" w:sz="4" w:space="0" w:color="auto"/>
            </w:tcBorders>
          </w:tcPr>
          <w:p w:rsidR="00000000" w:rsidRDefault="00000000">
            <w:pPr>
              <w:jc w:val="right"/>
              <w:rPr>
                <w:lang w:val="es-ES_tradnl"/>
              </w:rPr>
            </w:pPr>
            <w:r>
              <w:rPr>
                <w:lang w:val="es-ES_tradnl"/>
              </w:rPr>
              <w:t>52,3</w:t>
            </w:r>
          </w:p>
        </w:tc>
        <w:tc>
          <w:tcPr>
            <w:tcW w:w="1159" w:type="dxa"/>
            <w:tcBorders>
              <w:bottom w:val="single" w:sz="4" w:space="0" w:color="auto"/>
            </w:tcBorders>
          </w:tcPr>
          <w:p w:rsidR="00000000" w:rsidRDefault="00000000">
            <w:pPr>
              <w:jc w:val="right"/>
              <w:rPr>
                <w:lang w:val="es-ES_tradnl"/>
              </w:rPr>
            </w:pPr>
            <w:r>
              <w:rPr>
                <w:lang w:val="es-ES_tradnl"/>
              </w:rPr>
              <w:t>89,8</w:t>
            </w:r>
          </w:p>
        </w:tc>
        <w:tc>
          <w:tcPr>
            <w:tcW w:w="1143" w:type="dxa"/>
            <w:tcBorders>
              <w:bottom w:val="single" w:sz="4" w:space="0" w:color="auto"/>
            </w:tcBorders>
          </w:tcPr>
          <w:p w:rsidR="00000000" w:rsidRDefault="00000000">
            <w:pPr>
              <w:jc w:val="right"/>
              <w:rPr>
                <w:lang w:val="es-ES_tradnl"/>
              </w:rPr>
            </w:pPr>
            <w:r>
              <w:rPr>
                <w:lang w:val="es-ES_tradnl"/>
              </w:rPr>
              <w:t>85,4</w:t>
            </w:r>
          </w:p>
        </w:tc>
      </w:tr>
      <w:tr w:rsidR="00000000">
        <w:tblPrEx>
          <w:tblCellMar>
            <w:top w:w="0" w:type="dxa"/>
            <w:bottom w:w="0" w:type="dxa"/>
          </w:tblCellMar>
        </w:tblPrEx>
        <w:trPr>
          <w:jc w:val="center"/>
        </w:trPr>
        <w:tc>
          <w:tcPr>
            <w:tcW w:w="1380" w:type="dxa"/>
            <w:tcBorders>
              <w:bottom w:val="single" w:sz="4" w:space="0" w:color="auto"/>
            </w:tcBorders>
          </w:tcPr>
          <w:p w:rsidR="00000000" w:rsidRDefault="00000000">
            <w:pPr>
              <w:rPr>
                <w:lang w:val="es-ES_tradnl"/>
              </w:rPr>
            </w:pPr>
            <w:r>
              <w:rPr>
                <w:lang w:val="es-ES_tradnl"/>
              </w:rPr>
              <w:t>1999</w:t>
            </w:r>
          </w:p>
        </w:tc>
        <w:tc>
          <w:tcPr>
            <w:tcW w:w="1172" w:type="dxa"/>
            <w:tcBorders>
              <w:bottom w:val="single" w:sz="4" w:space="0" w:color="auto"/>
            </w:tcBorders>
          </w:tcPr>
          <w:p w:rsidR="00000000" w:rsidRDefault="00000000">
            <w:pPr>
              <w:jc w:val="right"/>
              <w:rPr>
                <w:lang w:val="es-ES_tradnl"/>
              </w:rPr>
            </w:pPr>
            <w:r>
              <w:rPr>
                <w:lang w:val="es-ES_tradnl"/>
              </w:rPr>
              <w:t>81,6</w:t>
            </w:r>
          </w:p>
        </w:tc>
        <w:tc>
          <w:tcPr>
            <w:tcW w:w="1159" w:type="dxa"/>
            <w:tcBorders>
              <w:bottom w:val="single" w:sz="4" w:space="0" w:color="auto"/>
            </w:tcBorders>
          </w:tcPr>
          <w:p w:rsidR="00000000" w:rsidRDefault="00000000">
            <w:pPr>
              <w:jc w:val="right"/>
              <w:rPr>
                <w:lang w:val="es-ES_tradnl"/>
              </w:rPr>
            </w:pPr>
            <w:r>
              <w:rPr>
                <w:lang w:val="es-ES_tradnl"/>
              </w:rPr>
              <w:t>87,8</w:t>
            </w:r>
          </w:p>
        </w:tc>
        <w:tc>
          <w:tcPr>
            <w:tcW w:w="1143" w:type="dxa"/>
            <w:tcBorders>
              <w:bottom w:val="single" w:sz="4" w:space="0" w:color="auto"/>
            </w:tcBorders>
          </w:tcPr>
          <w:p w:rsidR="00000000" w:rsidRDefault="00000000">
            <w:pPr>
              <w:jc w:val="right"/>
              <w:rPr>
                <w:lang w:val="es-ES_tradnl"/>
              </w:rPr>
            </w:pPr>
            <w:r>
              <w:rPr>
                <w:lang w:val="es-ES_tradnl"/>
              </w:rPr>
              <w:t>74,1</w:t>
            </w:r>
          </w:p>
        </w:tc>
        <w:tc>
          <w:tcPr>
            <w:tcW w:w="1172" w:type="dxa"/>
            <w:tcBorders>
              <w:bottom w:val="single" w:sz="4" w:space="0" w:color="auto"/>
            </w:tcBorders>
          </w:tcPr>
          <w:p w:rsidR="00000000" w:rsidRDefault="00000000">
            <w:pPr>
              <w:jc w:val="right"/>
              <w:rPr>
                <w:lang w:val="es-ES_tradnl"/>
              </w:rPr>
            </w:pPr>
            <w:r>
              <w:rPr>
                <w:lang w:val="es-ES_tradnl"/>
              </w:rPr>
              <w:t>52,8</w:t>
            </w:r>
          </w:p>
        </w:tc>
        <w:tc>
          <w:tcPr>
            <w:tcW w:w="1159" w:type="dxa"/>
            <w:tcBorders>
              <w:bottom w:val="single" w:sz="4" w:space="0" w:color="auto"/>
            </w:tcBorders>
          </w:tcPr>
          <w:p w:rsidR="00000000" w:rsidRDefault="00000000">
            <w:pPr>
              <w:jc w:val="right"/>
              <w:rPr>
                <w:lang w:val="es-ES_tradnl"/>
              </w:rPr>
            </w:pPr>
            <w:r>
              <w:rPr>
                <w:lang w:val="es-ES_tradnl"/>
              </w:rPr>
              <w:t>90,5</w:t>
            </w:r>
          </w:p>
        </w:tc>
        <w:tc>
          <w:tcPr>
            <w:tcW w:w="1143" w:type="dxa"/>
            <w:tcBorders>
              <w:bottom w:val="single" w:sz="4" w:space="0" w:color="auto"/>
            </w:tcBorders>
          </w:tcPr>
          <w:p w:rsidR="00000000" w:rsidRDefault="00000000">
            <w:pPr>
              <w:jc w:val="right"/>
              <w:rPr>
                <w:lang w:val="es-ES_tradnl"/>
              </w:rPr>
            </w:pPr>
            <w:r>
              <w:rPr>
                <w:lang w:val="es-ES_tradnl"/>
              </w:rPr>
              <w:t>81,6</w:t>
            </w:r>
          </w:p>
        </w:tc>
      </w:tr>
    </w:tbl>
    <w:p w:rsidR="00000000" w:rsidRDefault="00000000">
      <w:pPr>
        <w:spacing w:before="480" w:after="240"/>
        <w:rPr>
          <w:b/>
          <w:bCs/>
          <w:lang w:val="es-ES_tradnl"/>
        </w:rPr>
      </w:pPr>
      <w:r>
        <w:rPr>
          <w:b/>
          <w:bCs/>
          <w:lang w:val="es-ES_tradnl"/>
        </w:rPr>
        <w:t>Esperanza de vida</w:t>
      </w:r>
    </w:p>
    <w:p w:rsidR="00000000" w:rsidRDefault="00000000">
      <w:pPr>
        <w:shd w:val="clear" w:color="auto" w:fill="FFFFFF"/>
        <w:spacing w:after="240"/>
      </w:pPr>
      <w:r>
        <w:rPr>
          <w:color w:val="000000"/>
          <w:szCs w:val="25"/>
          <w:lang w:val="es-ES_tradnl"/>
        </w:rPr>
        <w:t>423.</w:t>
      </w:r>
      <w:r>
        <w:rPr>
          <w:color w:val="000000"/>
          <w:szCs w:val="25"/>
          <w:lang w:val="es-ES_tradnl"/>
        </w:rPr>
        <w:tab/>
        <w:t>La esperanza de vida en el país para el período 1995-2000 se calcula en 69,9 años para la población general, 67,3 años para los hombres y 72, 5 para las mujeres.</w:t>
      </w:r>
    </w:p>
    <w:p w:rsidR="00000000" w:rsidRDefault="00000000">
      <w:pPr>
        <w:shd w:val="clear" w:color="auto" w:fill="FFFFFF"/>
        <w:spacing w:after="240"/>
      </w:pPr>
      <w:r>
        <w:rPr>
          <w:color w:val="000000"/>
          <w:szCs w:val="25"/>
        </w:rPr>
        <w:t>4</w:t>
      </w:r>
      <w:r>
        <w:rPr>
          <w:color w:val="000000"/>
          <w:szCs w:val="25"/>
          <w:lang w:val="es-ES_tradnl"/>
        </w:rPr>
        <w:t>24.</w:t>
      </w:r>
      <w:r>
        <w:rPr>
          <w:color w:val="000000"/>
          <w:szCs w:val="25"/>
          <w:lang w:val="es-ES_tradnl"/>
        </w:rPr>
        <w:tab/>
        <w:t>La información de si una persona acude a hacerse atender en un servicio de salud es importante, sin embargo eso tiene que complementarse con el número de veces que la persona asistió a la consulta, considerando que en cada visita habrá un gasto de recursos de toda índole.  Al respecto los datos obtenidos en la encuesta reflejan que, a escala nacional, de las personas que realizaron exámenes o chequeos médicos en el último mes, la mayoría (66,55%) ha asistido por una sola ocasión a la consulta médica, 26 personas de cada 100 acudieron a consulta dos veces y la minoría 7,6 % fueron a tres y más consultas.  No se tiene información sobre la dotación de medicamentos.</w:t>
      </w:r>
    </w:p>
    <w:p w:rsidR="00000000" w:rsidRDefault="00000000">
      <w:pPr>
        <w:shd w:val="clear" w:color="auto" w:fill="FFFFFF"/>
        <w:spacing w:after="240"/>
        <w:rPr>
          <w:i/>
          <w:iCs/>
          <w:color w:val="000000"/>
          <w:szCs w:val="25"/>
          <w:lang w:val="es-ES_tradnl"/>
        </w:rPr>
      </w:pPr>
      <w:r>
        <w:rPr>
          <w:i/>
          <w:iCs/>
          <w:color w:val="000000"/>
          <w:szCs w:val="25"/>
          <w:lang w:val="es-ES_tradnl"/>
        </w:rPr>
        <w:t>Asistencia durante el parto</w:t>
      </w:r>
    </w:p>
    <w:p w:rsidR="00000000" w:rsidRDefault="00000000">
      <w:pPr>
        <w:shd w:val="clear" w:color="auto" w:fill="FFFFFF"/>
        <w:spacing w:after="240"/>
      </w:pPr>
      <w:r>
        <w:rPr>
          <w:color w:val="000000"/>
          <w:szCs w:val="25"/>
          <w:lang w:val="es-ES_tradnl"/>
        </w:rPr>
        <w:t>425.</w:t>
      </w:r>
      <w:r>
        <w:rPr>
          <w:color w:val="000000"/>
          <w:szCs w:val="25"/>
          <w:lang w:val="es-ES_tradnl"/>
        </w:rPr>
        <w:tab/>
        <w:t xml:space="preserve">De los datos de la encuesta </w:t>
      </w:r>
      <w:proofErr w:type="spellStart"/>
      <w:r>
        <w:rPr>
          <w:color w:val="000000"/>
          <w:szCs w:val="25"/>
          <w:lang w:val="es-ES_tradnl"/>
        </w:rPr>
        <w:t>ENDEMAIN</w:t>
      </w:r>
      <w:proofErr w:type="spellEnd"/>
      <w:r>
        <w:rPr>
          <w:color w:val="000000"/>
          <w:szCs w:val="25"/>
          <w:lang w:val="es-ES_tradnl"/>
        </w:rPr>
        <w:t>-99 se desprende que en la atención prenatal, a nivel del país, el 80,6% de las madres de los niños nacidos vivos entre marzo de 1994 a febrero de 1999 se han realizado por lo menos una vez el control de su embarazo.  En las ciudades el indicador se incrementa a 89%, mientras que en las áreas rurales es 18 puntos menor, 71%; en la región Costa se presentan los indicadores más altos tanto en las áreas urbanas como en las rurales con respecto al resto de regiones.  En la Amazonía la situación se vuelve preocupante, ya que sólo el 66% de las madres realizan por lo menos un control prenatal.</w:t>
      </w:r>
    </w:p>
    <w:p w:rsidR="00000000" w:rsidRDefault="00000000">
      <w:pPr>
        <w:shd w:val="clear" w:color="auto" w:fill="FFFFFF"/>
        <w:spacing w:after="240"/>
      </w:pPr>
      <w:r>
        <w:rPr>
          <w:color w:val="000000"/>
          <w:szCs w:val="25"/>
        </w:rPr>
        <w:t>4</w:t>
      </w:r>
      <w:r>
        <w:rPr>
          <w:color w:val="000000"/>
          <w:szCs w:val="25"/>
          <w:lang w:val="es-ES_tradnl"/>
        </w:rPr>
        <w:t>26.</w:t>
      </w:r>
      <w:r>
        <w:rPr>
          <w:color w:val="000000"/>
          <w:szCs w:val="25"/>
          <w:lang w:val="es-ES_tradnl"/>
        </w:rPr>
        <w:tab/>
        <w:t>La atención en el parto, tipo de parto y posparto, la atención profesional en el país tiene una cobertura del 69,2 % de los casos de las madres que dieron a luz en los últimos cinco años anteriores a la encuesta.</w:t>
      </w:r>
    </w:p>
    <w:p w:rsidR="00000000" w:rsidRDefault="00000000">
      <w:pPr>
        <w:shd w:val="clear" w:color="auto" w:fill="FFFFFF"/>
        <w:spacing w:after="240"/>
      </w:pPr>
      <w:r>
        <w:rPr>
          <w:color w:val="000000"/>
          <w:szCs w:val="25"/>
        </w:rPr>
        <w:t>4</w:t>
      </w:r>
      <w:r>
        <w:rPr>
          <w:color w:val="000000"/>
          <w:szCs w:val="25"/>
          <w:lang w:val="es-ES_tradnl"/>
        </w:rPr>
        <w:t>27.</w:t>
      </w:r>
      <w:r>
        <w:rPr>
          <w:color w:val="000000"/>
          <w:szCs w:val="25"/>
          <w:lang w:val="es-ES_tradnl"/>
        </w:rPr>
        <w:tab/>
        <w:t>El valor en áreas urbanas se ubica en el 86% y menos de la mitad, 49%, en las áreas rurales.  La región deficitaria en este tipo de atención es la Amazonía donde menos de la mitad de las madres son atendidas en su parto por un profesional de la salud (47,9 %), cifras que están demandando mayor preocupación por parte del sector, sobre todo la importancia que reviste la prevención y eliminación de la alta mortalidad materna que presenta el país.</w:t>
      </w:r>
    </w:p>
    <w:p w:rsidR="00000000" w:rsidRDefault="00000000">
      <w:pPr>
        <w:spacing w:after="240"/>
        <w:rPr>
          <w:color w:val="000000"/>
          <w:szCs w:val="25"/>
          <w:lang w:val="es-ES_tradnl"/>
        </w:rPr>
      </w:pPr>
      <w:r>
        <w:rPr>
          <w:color w:val="000000"/>
          <w:szCs w:val="25"/>
        </w:rPr>
        <w:t>4</w:t>
      </w:r>
      <w:r>
        <w:rPr>
          <w:color w:val="000000"/>
          <w:szCs w:val="25"/>
          <w:lang w:val="es-ES_tradnl"/>
        </w:rPr>
        <w:t>28.</w:t>
      </w:r>
      <w:r>
        <w:rPr>
          <w:color w:val="000000"/>
          <w:szCs w:val="25"/>
          <w:lang w:val="es-ES_tradnl"/>
        </w:rPr>
        <w:tab/>
        <w:t xml:space="preserve">Para aquellas mujeres cuyo parto fue en la casa, atendidas por parteras, familiares o parto sola, el porcentaje se ubica en 29% para el total del país, en tanto que en las áreas rurales es practicado por la mitad de las madres.  Un porcentaje más bajo para el área rural de la Costa 40%, en el área rural de la Sierra y la región Amazónica una de cada dos mujeres da a </w:t>
      </w:r>
    </w:p>
    <w:p w:rsidR="00000000" w:rsidRDefault="00000000">
      <w:pPr>
        <w:spacing w:after="240"/>
        <w:rPr>
          <w:color w:val="000000"/>
          <w:szCs w:val="25"/>
          <w:lang w:val="es-ES_tradnl"/>
        </w:rPr>
      </w:pPr>
      <w:r>
        <w:rPr>
          <w:color w:val="000000"/>
          <w:szCs w:val="25"/>
          <w:lang w:val="es-ES_tradnl"/>
        </w:rPr>
        <w:br w:type="page"/>
        <w:t>luz en condiciones precarias, sometidas a un alto riesgo de complicaciones e incluso con consecuencias lamentables, lo que refleja la falta de cobertura de la salud materna e infantil en esas zonas.</w:t>
      </w:r>
    </w:p>
    <w:p w:rsidR="00000000" w:rsidRDefault="00000000">
      <w:pPr>
        <w:shd w:val="clear" w:color="auto" w:fill="FFFFFF"/>
        <w:spacing w:after="240"/>
        <w:jc w:val="center"/>
        <w:rPr>
          <w:b/>
          <w:bCs/>
          <w:color w:val="000000"/>
          <w:szCs w:val="22"/>
          <w:lang w:val="es-ES_tradnl"/>
        </w:rPr>
      </w:pPr>
      <w:r>
        <w:rPr>
          <w:b/>
          <w:bCs/>
          <w:color w:val="000000"/>
          <w:szCs w:val="22"/>
          <w:lang w:val="es-ES_tradnl"/>
        </w:rPr>
        <w:t>Atención del parto, según características, nacidos vivos</w:t>
      </w:r>
      <w:r>
        <w:rPr>
          <w:b/>
          <w:bCs/>
          <w:color w:val="000000"/>
          <w:szCs w:val="22"/>
          <w:lang w:val="es-ES_tradnl"/>
        </w:rPr>
        <w:br/>
        <w:t>de marzo de 1994 a febrero de 1999</w:t>
      </w:r>
    </w:p>
    <w:tbl>
      <w:tblPr>
        <w:tblW w:w="0" w:type="auto"/>
        <w:tblInd w:w="1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20"/>
        <w:gridCol w:w="990"/>
        <w:gridCol w:w="990"/>
        <w:gridCol w:w="990"/>
      </w:tblGrid>
      <w:tr w:rsidR="00000000">
        <w:tblPrEx>
          <w:tblCellMar>
            <w:top w:w="0" w:type="dxa"/>
            <w:bottom w:w="0" w:type="dxa"/>
          </w:tblCellMar>
        </w:tblPrEx>
        <w:trPr>
          <w:cantSplit/>
        </w:trPr>
        <w:tc>
          <w:tcPr>
            <w:tcW w:w="3420" w:type="dxa"/>
            <w:vAlign w:val="center"/>
          </w:tcPr>
          <w:p w:rsidR="00000000" w:rsidRDefault="00000000">
            <w:pPr>
              <w:jc w:val="center"/>
              <w:rPr>
                <w:color w:val="000000"/>
                <w:szCs w:val="22"/>
                <w:lang w:val="es-ES_tradnl"/>
              </w:rPr>
            </w:pPr>
            <w:r>
              <w:rPr>
                <w:color w:val="000000"/>
                <w:szCs w:val="22"/>
                <w:lang w:val="es-ES_tradnl"/>
              </w:rPr>
              <w:t>Atención del parto</w:t>
            </w:r>
          </w:p>
        </w:tc>
        <w:tc>
          <w:tcPr>
            <w:tcW w:w="2970" w:type="dxa"/>
            <w:gridSpan w:val="3"/>
            <w:vAlign w:val="center"/>
          </w:tcPr>
          <w:p w:rsidR="00000000" w:rsidRDefault="00000000">
            <w:pPr>
              <w:jc w:val="center"/>
              <w:rPr>
                <w:color w:val="000000"/>
                <w:szCs w:val="22"/>
                <w:lang w:val="es-ES_tradnl"/>
              </w:rPr>
            </w:pPr>
            <w:r>
              <w:rPr>
                <w:color w:val="000000"/>
                <w:szCs w:val="22"/>
                <w:lang w:val="es-ES_tradnl"/>
              </w:rPr>
              <w:t>País</w:t>
            </w:r>
          </w:p>
        </w:tc>
      </w:tr>
      <w:tr w:rsidR="00000000">
        <w:tblPrEx>
          <w:tblCellMar>
            <w:top w:w="0" w:type="dxa"/>
            <w:bottom w:w="0" w:type="dxa"/>
          </w:tblCellMar>
        </w:tblPrEx>
        <w:tc>
          <w:tcPr>
            <w:tcW w:w="3420" w:type="dxa"/>
            <w:vAlign w:val="center"/>
          </w:tcPr>
          <w:p w:rsidR="00000000" w:rsidRDefault="00000000">
            <w:pPr>
              <w:jc w:val="center"/>
              <w:rPr>
                <w:color w:val="000000"/>
                <w:szCs w:val="22"/>
                <w:lang w:val="es-ES_tradnl"/>
              </w:rPr>
            </w:pPr>
            <w:r>
              <w:rPr>
                <w:color w:val="000000"/>
                <w:szCs w:val="22"/>
                <w:lang w:val="es-ES_tradnl"/>
              </w:rPr>
              <w:t>Lugar</w:t>
            </w:r>
          </w:p>
        </w:tc>
        <w:tc>
          <w:tcPr>
            <w:tcW w:w="990" w:type="dxa"/>
            <w:vAlign w:val="center"/>
          </w:tcPr>
          <w:p w:rsidR="00000000" w:rsidRDefault="00000000">
            <w:pPr>
              <w:jc w:val="center"/>
              <w:rPr>
                <w:color w:val="000000"/>
                <w:szCs w:val="22"/>
                <w:lang w:val="es-ES_tradnl"/>
              </w:rPr>
            </w:pPr>
            <w:r>
              <w:rPr>
                <w:color w:val="000000"/>
                <w:szCs w:val="22"/>
                <w:lang w:val="es-ES_tradnl"/>
              </w:rPr>
              <w:t>Total</w:t>
            </w:r>
          </w:p>
        </w:tc>
        <w:tc>
          <w:tcPr>
            <w:tcW w:w="990" w:type="dxa"/>
            <w:vAlign w:val="center"/>
          </w:tcPr>
          <w:p w:rsidR="00000000" w:rsidRDefault="00000000">
            <w:pPr>
              <w:jc w:val="center"/>
              <w:rPr>
                <w:color w:val="000000"/>
                <w:szCs w:val="22"/>
                <w:lang w:val="es-ES_tradnl"/>
              </w:rPr>
            </w:pPr>
            <w:r>
              <w:rPr>
                <w:color w:val="000000"/>
                <w:szCs w:val="22"/>
                <w:lang w:val="es-ES_tradnl"/>
              </w:rPr>
              <w:t>Urbana</w:t>
            </w:r>
          </w:p>
        </w:tc>
        <w:tc>
          <w:tcPr>
            <w:tcW w:w="990" w:type="dxa"/>
            <w:vAlign w:val="center"/>
          </w:tcPr>
          <w:p w:rsidR="00000000" w:rsidRDefault="00000000">
            <w:pPr>
              <w:jc w:val="center"/>
              <w:rPr>
                <w:color w:val="000000"/>
                <w:szCs w:val="22"/>
                <w:lang w:val="es-ES_tradnl"/>
              </w:rPr>
            </w:pPr>
            <w:r>
              <w:rPr>
                <w:color w:val="000000"/>
                <w:szCs w:val="22"/>
                <w:lang w:val="es-ES_tradnl"/>
              </w:rPr>
              <w:t>Rural</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Profesional</w:t>
            </w:r>
          </w:p>
        </w:tc>
        <w:tc>
          <w:tcPr>
            <w:tcW w:w="990" w:type="dxa"/>
          </w:tcPr>
          <w:p w:rsidR="00000000" w:rsidRDefault="00000000">
            <w:pPr>
              <w:jc w:val="right"/>
              <w:rPr>
                <w:color w:val="000000"/>
                <w:szCs w:val="22"/>
                <w:lang w:val="es-ES_tradnl"/>
              </w:rPr>
            </w:pPr>
            <w:r>
              <w:rPr>
                <w:color w:val="000000"/>
                <w:szCs w:val="22"/>
                <w:lang w:val="es-ES_tradnl"/>
              </w:rPr>
              <w:t>69,2</w:t>
            </w:r>
          </w:p>
        </w:tc>
        <w:tc>
          <w:tcPr>
            <w:tcW w:w="990" w:type="dxa"/>
          </w:tcPr>
          <w:p w:rsidR="00000000" w:rsidRDefault="00000000">
            <w:pPr>
              <w:jc w:val="right"/>
              <w:rPr>
                <w:color w:val="000000"/>
                <w:szCs w:val="22"/>
                <w:lang w:val="es-ES_tradnl"/>
              </w:rPr>
            </w:pPr>
            <w:r>
              <w:rPr>
                <w:color w:val="000000"/>
                <w:szCs w:val="22"/>
                <w:lang w:val="es-ES_tradnl"/>
              </w:rPr>
              <w:t>86,2</w:t>
            </w:r>
          </w:p>
        </w:tc>
        <w:tc>
          <w:tcPr>
            <w:tcW w:w="990" w:type="dxa"/>
          </w:tcPr>
          <w:p w:rsidR="00000000" w:rsidRDefault="00000000">
            <w:pPr>
              <w:jc w:val="right"/>
              <w:rPr>
                <w:color w:val="000000"/>
                <w:szCs w:val="22"/>
                <w:lang w:val="es-ES_tradnl"/>
              </w:rPr>
            </w:pPr>
            <w:r>
              <w:rPr>
                <w:color w:val="000000"/>
                <w:szCs w:val="22"/>
                <w:lang w:val="es-ES_tradnl"/>
              </w:rPr>
              <w:t>49,0</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Público</w:t>
            </w: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MSP</w:t>
            </w:r>
          </w:p>
        </w:tc>
        <w:tc>
          <w:tcPr>
            <w:tcW w:w="990" w:type="dxa"/>
          </w:tcPr>
          <w:p w:rsidR="00000000" w:rsidRDefault="00000000">
            <w:pPr>
              <w:jc w:val="right"/>
              <w:rPr>
                <w:color w:val="000000"/>
                <w:szCs w:val="22"/>
                <w:lang w:val="es-ES_tradnl"/>
              </w:rPr>
            </w:pPr>
            <w:r>
              <w:rPr>
                <w:color w:val="000000"/>
                <w:szCs w:val="22"/>
                <w:lang w:val="es-ES_tradnl"/>
              </w:rPr>
              <w:t>34,4</w:t>
            </w:r>
          </w:p>
        </w:tc>
        <w:tc>
          <w:tcPr>
            <w:tcW w:w="990" w:type="dxa"/>
          </w:tcPr>
          <w:p w:rsidR="00000000" w:rsidRDefault="00000000">
            <w:pPr>
              <w:jc w:val="right"/>
              <w:rPr>
                <w:color w:val="000000"/>
                <w:szCs w:val="22"/>
                <w:lang w:val="es-ES_tradnl"/>
              </w:rPr>
            </w:pPr>
            <w:r>
              <w:rPr>
                <w:color w:val="000000"/>
                <w:szCs w:val="22"/>
                <w:lang w:val="es-ES_tradnl"/>
              </w:rPr>
              <w:t>36,6</w:t>
            </w:r>
          </w:p>
        </w:tc>
        <w:tc>
          <w:tcPr>
            <w:tcW w:w="990" w:type="dxa"/>
          </w:tcPr>
          <w:p w:rsidR="00000000" w:rsidRDefault="00000000">
            <w:pPr>
              <w:jc w:val="right"/>
              <w:rPr>
                <w:color w:val="000000"/>
                <w:szCs w:val="22"/>
                <w:lang w:val="es-ES_tradnl"/>
              </w:rPr>
            </w:pPr>
            <w:r>
              <w:rPr>
                <w:color w:val="000000"/>
                <w:szCs w:val="22"/>
                <w:lang w:val="es-ES_tradnl"/>
              </w:rPr>
              <w:t>31,8</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Otros públicos</w:t>
            </w:r>
          </w:p>
        </w:tc>
        <w:tc>
          <w:tcPr>
            <w:tcW w:w="990" w:type="dxa"/>
          </w:tcPr>
          <w:p w:rsidR="00000000" w:rsidRDefault="00000000">
            <w:pPr>
              <w:jc w:val="right"/>
              <w:rPr>
                <w:color w:val="000000"/>
                <w:szCs w:val="22"/>
                <w:lang w:val="es-ES_tradnl"/>
              </w:rPr>
            </w:pPr>
            <w:r>
              <w:rPr>
                <w:color w:val="000000"/>
                <w:szCs w:val="22"/>
                <w:lang w:val="es-ES_tradnl"/>
              </w:rPr>
              <w:t>16,0</w:t>
            </w:r>
          </w:p>
        </w:tc>
        <w:tc>
          <w:tcPr>
            <w:tcW w:w="990" w:type="dxa"/>
          </w:tcPr>
          <w:p w:rsidR="00000000" w:rsidRDefault="00000000">
            <w:pPr>
              <w:jc w:val="right"/>
              <w:rPr>
                <w:color w:val="000000"/>
                <w:szCs w:val="22"/>
                <w:lang w:val="es-ES_tradnl"/>
              </w:rPr>
            </w:pPr>
            <w:r>
              <w:rPr>
                <w:color w:val="000000"/>
                <w:szCs w:val="22"/>
                <w:lang w:val="es-ES_tradnl"/>
              </w:rPr>
              <w:t>25,4</w:t>
            </w:r>
          </w:p>
        </w:tc>
        <w:tc>
          <w:tcPr>
            <w:tcW w:w="990" w:type="dxa"/>
          </w:tcPr>
          <w:p w:rsidR="00000000" w:rsidRDefault="00000000">
            <w:pPr>
              <w:jc w:val="right"/>
              <w:rPr>
                <w:color w:val="000000"/>
                <w:szCs w:val="22"/>
                <w:lang w:val="es-ES_tradnl"/>
              </w:rPr>
            </w:pPr>
            <w:r>
              <w:rPr>
                <w:color w:val="000000"/>
                <w:szCs w:val="22"/>
                <w:lang w:val="es-ES_tradnl"/>
              </w:rPr>
              <w:t>4,7</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Privado</w:t>
            </w:r>
          </w:p>
        </w:tc>
        <w:tc>
          <w:tcPr>
            <w:tcW w:w="990" w:type="dxa"/>
          </w:tcPr>
          <w:p w:rsidR="00000000" w:rsidRDefault="00000000">
            <w:pPr>
              <w:jc w:val="right"/>
              <w:rPr>
                <w:color w:val="000000"/>
                <w:szCs w:val="22"/>
                <w:lang w:val="es-ES_tradnl"/>
              </w:rPr>
            </w:pPr>
            <w:r>
              <w:rPr>
                <w:color w:val="000000"/>
                <w:szCs w:val="22"/>
                <w:lang w:val="es-ES_tradnl"/>
              </w:rPr>
              <w:t>18,8</w:t>
            </w:r>
          </w:p>
        </w:tc>
        <w:tc>
          <w:tcPr>
            <w:tcW w:w="990" w:type="dxa"/>
          </w:tcPr>
          <w:p w:rsidR="00000000" w:rsidRDefault="00000000">
            <w:pPr>
              <w:jc w:val="right"/>
              <w:rPr>
                <w:color w:val="000000"/>
                <w:szCs w:val="22"/>
                <w:lang w:val="es-ES_tradnl"/>
              </w:rPr>
            </w:pPr>
            <w:r>
              <w:rPr>
                <w:color w:val="000000"/>
                <w:szCs w:val="22"/>
                <w:lang w:val="es-ES_tradnl"/>
              </w:rPr>
              <w:t>24,2</w:t>
            </w:r>
          </w:p>
        </w:tc>
        <w:tc>
          <w:tcPr>
            <w:tcW w:w="990" w:type="dxa"/>
          </w:tcPr>
          <w:p w:rsidR="00000000" w:rsidRDefault="00000000">
            <w:pPr>
              <w:jc w:val="right"/>
              <w:rPr>
                <w:color w:val="000000"/>
                <w:szCs w:val="22"/>
                <w:lang w:val="es-ES_tradnl"/>
              </w:rPr>
            </w:pPr>
            <w:r>
              <w:rPr>
                <w:color w:val="000000"/>
                <w:szCs w:val="22"/>
                <w:lang w:val="es-ES_tradnl"/>
              </w:rPr>
              <w:t>12,5</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No profesional</w:t>
            </w:r>
          </w:p>
        </w:tc>
        <w:tc>
          <w:tcPr>
            <w:tcW w:w="990" w:type="dxa"/>
          </w:tcPr>
          <w:p w:rsidR="00000000" w:rsidRDefault="00000000">
            <w:pPr>
              <w:jc w:val="right"/>
              <w:rPr>
                <w:color w:val="000000"/>
                <w:szCs w:val="22"/>
                <w:lang w:val="es-ES_tradnl"/>
              </w:rPr>
            </w:pPr>
            <w:r>
              <w:rPr>
                <w:color w:val="000000"/>
                <w:szCs w:val="22"/>
                <w:lang w:val="es-ES_tradnl"/>
              </w:rPr>
              <w:t>29,0</w:t>
            </w:r>
          </w:p>
        </w:tc>
        <w:tc>
          <w:tcPr>
            <w:tcW w:w="990" w:type="dxa"/>
          </w:tcPr>
          <w:p w:rsidR="00000000" w:rsidRDefault="00000000">
            <w:pPr>
              <w:jc w:val="right"/>
              <w:rPr>
                <w:color w:val="000000"/>
                <w:szCs w:val="22"/>
                <w:lang w:val="es-ES_tradnl"/>
              </w:rPr>
            </w:pPr>
            <w:r>
              <w:rPr>
                <w:color w:val="000000"/>
                <w:szCs w:val="22"/>
                <w:lang w:val="es-ES_tradnl"/>
              </w:rPr>
              <w:t>11,9</w:t>
            </w:r>
          </w:p>
        </w:tc>
        <w:tc>
          <w:tcPr>
            <w:tcW w:w="990" w:type="dxa"/>
          </w:tcPr>
          <w:p w:rsidR="00000000" w:rsidRDefault="00000000">
            <w:pPr>
              <w:jc w:val="right"/>
              <w:rPr>
                <w:color w:val="000000"/>
                <w:szCs w:val="22"/>
                <w:lang w:val="es-ES_tradnl"/>
              </w:rPr>
            </w:pPr>
            <w:r>
              <w:rPr>
                <w:color w:val="000000"/>
                <w:szCs w:val="22"/>
                <w:lang w:val="es-ES_tradnl"/>
              </w:rPr>
              <w:t>49,3</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En casa con partera</w:t>
            </w:r>
          </w:p>
        </w:tc>
        <w:tc>
          <w:tcPr>
            <w:tcW w:w="990" w:type="dxa"/>
          </w:tcPr>
          <w:p w:rsidR="00000000" w:rsidRDefault="00000000">
            <w:pPr>
              <w:jc w:val="right"/>
              <w:rPr>
                <w:color w:val="000000"/>
                <w:szCs w:val="22"/>
                <w:lang w:val="es-ES_tradnl"/>
              </w:rPr>
            </w:pPr>
            <w:r>
              <w:rPr>
                <w:color w:val="000000"/>
                <w:szCs w:val="22"/>
                <w:lang w:val="es-ES_tradnl"/>
              </w:rPr>
              <w:t>14,3</w:t>
            </w:r>
          </w:p>
        </w:tc>
        <w:tc>
          <w:tcPr>
            <w:tcW w:w="990" w:type="dxa"/>
          </w:tcPr>
          <w:p w:rsidR="00000000" w:rsidRDefault="00000000">
            <w:pPr>
              <w:jc w:val="right"/>
              <w:rPr>
                <w:color w:val="000000"/>
                <w:szCs w:val="22"/>
                <w:lang w:val="es-ES_tradnl"/>
              </w:rPr>
            </w:pPr>
            <w:r>
              <w:rPr>
                <w:color w:val="000000"/>
                <w:szCs w:val="22"/>
                <w:lang w:val="es-ES_tradnl"/>
              </w:rPr>
              <w:t>7,1</w:t>
            </w:r>
          </w:p>
        </w:tc>
        <w:tc>
          <w:tcPr>
            <w:tcW w:w="990" w:type="dxa"/>
          </w:tcPr>
          <w:p w:rsidR="00000000" w:rsidRDefault="00000000">
            <w:pPr>
              <w:jc w:val="right"/>
              <w:rPr>
                <w:color w:val="000000"/>
                <w:szCs w:val="22"/>
                <w:lang w:val="es-ES_tradnl"/>
              </w:rPr>
            </w:pPr>
            <w:r>
              <w:rPr>
                <w:color w:val="000000"/>
                <w:szCs w:val="22"/>
                <w:lang w:val="es-ES_tradnl"/>
              </w:rPr>
              <w:t>22,9</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En casa con familiar</w:t>
            </w:r>
          </w:p>
        </w:tc>
        <w:tc>
          <w:tcPr>
            <w:tcW w:w="990" w:type="dxa"/>
          </w:tcPr>
          <w:p w:rsidR="00000000" w:rsidRDefault="00000000">
            <w:pPr>
              <w:jc w:val="right"/>
              <w:rPr>
                <w:color w:val="000000"/>
                <w:szCs w:val="22"/>
                <w:lang w:val="es-ES_tradnl"/>
              </w:rPr>
            </w:pPr>
            <w:r>
              <w:rPr>
                <w:color w:val="000000"/>
                <w:szCs w:val="22"/>
                <w:lang w:val="es-ES_tradnl"/>
              </w:rPr>
              <w:t>11,1</w:t>
            </w:r>
          </w:p>
        </w:tc>
        <w:tc>
          <w:tcPr>
            <w:tcW w:w="990" w:type="dxa"/>
          </w:tcPr>
          <w:p w:rsidR="00000000" w:rsidRDefault="00000000">
            <w:pPr>
              <w:jc w:val="right"/>
              <w:rPr>
                <w:color w:val="000000"/>
                <w:szCs w:val="22"/>
                <w:lang w:val="es-ES_tradnl"/>
              </w:rPr>
            </w:pPr>
            <w:r>
              <w:rPr>
                <w:color w:val="000000"/>
                <w:szCs w:val="22"/>
                <w:lang w:val="es-ES_tradnl"/>
              </w:rPr>
              <w:t>3,8</w:t>
            </w:r>
          </w:p>
        </w:tc>
        <w:tc>
          <w:tcPr>
            <w:tcW w:w="990" w:type="dxa"/>
          </w:tcPr>
          <w:p w:rsidR="00000000" w:rsidRDefault="00000000">
            <w:pPr>
              <w:jc w:val="right"/>
              <w:rPr>
                <w:color w:val="000000"/>
                <w:szCs w:val="22"/>
                <w:lang w:val="es-ES_tradnl"/>
              </w:rPr>
            </w:pPr>
            <w:r>
              <w:rPr>
                <w:color w:val="000000"/>
                <w:szCs w:val="22"/>
                <w:lang w:val="es-ES_tradnl"/>
              </w:rPr>
              <w:t>19,9</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Parto sola</w:t>
            </w:r>
          </w:p>
        </w:tc>
        <w:tc>
          <w:tcPr>
            <w:tcW w:w="990" w:type="dxa"/>
          </w:tcPr>
          <w:p w:rsidR="00000000" w:rsidRDefault="00000000">
            <w:pPr>
              <w:jc w:val="right"/>
              <w:rPr>
                <w:color w:val="000000"/>
                <w:szCs w:val="22"/>
                <w:lang w:val="es-ES_tradnl"/>
              </w:rPr>
            </w:pPr>
            <w:r>
              <w:rPr>
                <w:color w:val="000000"/>
                <w:szCs w:val="22"/>
                <w:lang w:val="es-ES_tradnl"/>
              </w:rPr>
              <w:t>3,5</w:t>
            </w:r>
          </w:p>
        </w:tc>
        <w:tc>
          <w:tcPr>
            <w:tcW w:w="990" w:type="dxa"/>
          </w:tcPr>
          <w:p w:rsidR="00000000" w:rsidRDefault="00000000">
            <w:pPr>
              <w:jc w:val="right"/>
              <w:rPr>
                <w:color w:val="000000"/>
                <w:szCs w:val="22"/>
                <w:lang w:val="es-ES_tradnl"/>
              </w:rPr>
            </w:pPr>
            <w:r>
              <w:rPr>
                <w:color w:val="000000"/>
                <w:szCs w:val="22"/>
                <w:lang w:val="es-ES_tradnl"/>
              </w:rPr>
              <w:t>1,0</w:t>
            </w:r>
          </w:p>
        </w:tc>
        <w:tc>
          <w:tcPr>
            <w:tcW w:w="990" w:type="dxa"/>
          </w:tcPr>
          <w:p w:rsidR="00000000" w:rsidRDefault="00000000">
            <w:pPr>
              <w:jc w:val="right"/>
              <w:rPr>
                <w:color w:val="000000"/>
                <w:szCs w:val="22"/>
                <w:lang w:val="es-ES_tradnl"/>
              </w:rPr>
            </w:pPr>
            <w:r>
              <w:rPr>
                <w:color w:val="000000"/>
                <w:szCs w:val="22"/>
                <w:lang w:val="es-ES_tradnl"/>
              </w:rPr>
              <w:t>6,5</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No sabe</w:t>
            </w:r>
          </w:p>
        </w:tc>
        <w:tc>
          <w:tcPr>
            <w:tcW w:w="990" w:type="dxa"/>
          </w:tcPr>
          <w:p w:rsidR="00000000" w:rsidRDefault="00000000">
            <w:pPr>
              <w:jc w:val="right"/>
              <w:rPr>
                <w:color w:val="000000"/>
                <w:szCs w:val="22"/>
                <w:lang w:val="es-ES_tradnl"/>
              </w:rPr>
            </w:pPr>
            <w:r>
              <w:rPr>
                <w:color w:val="000000"/>
                <w:szCs w:val="22"/>
                <w:lang w:val="es-ES_tradnl"/>
              </w:rPr>
              <w:t>1,8</w:t>
            </w:r>
          </w:p>
        </w:tc>
        <w:tc>
          <w:tcPr>
            <w:tcW w:w="990" w:type="dxa"/>
          </w:tcPr>
          <w:p w:rsidR="00000000" w:rsidRDefault="00000000">
            <w:pPr>
              <w:jc w:val="right"/>
              <w:rPr>
                <w:color w:val="000000"/>
                <w:szCs w:val="22"/>
                <w:lang w:val="es-ES_tradnl"/>
              </w:rPr>
            </w:pPr>
            <w:r>
              <w:rPr>
                <w:color w:val="000000"/>
                <w:szCs w:val="22"/>
                <w:lang w:val="es-ES_tradnl"/>
              </w:rPr>
              <w:t>1,9</w:t>
            </w:r>
          </w:p>
        </w:tc>
        <w:tc>
          <w:tcPr>
            <w:tcW w:w="990" w:type="dxa"/>
          </w:tcPr>
          <w:p w:rsidR="00000000" w:rsidRDefault="00000000">
            <w:pPr>
              <w:jc w:val="right"/>
              <w:rPr>
                <w:color w:val="000000"/>
                <w:szCs w:val="22"/>
                <w:lang w:val="es-ES_tradnl"/>
              </w:rPr>
            </w:pPr>
            <w:r>
              <w:rPr>
                <w:color w:val="000000"/>
                <w:szCs w:val="22"/>
                <w:lang w:val="es-ES_tradnl"/>
              </w:rPr>
              <w:t>1,7</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Tipo de parto</w:t>
            </w: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Vaginal</w:t>
            </w:r>
          </w:p>
        </w:tc>
        <w:tc>
          <w:tcPr>
            <w:tcW w:w="990" w:type="dxa"/>
          </w:tcPr>
          <w:p w:rsidR="00000000" w:rsidRDefault="00000000">
            <w:pPr>
              <w:jc w:val="right"/>
              <w:rPr>
                <w:color w:val="000000"/>
                <w:szCs w:val="22"/>
                <w:lang w:val="es-ES_tradnl"/>
              </w:rPr>
            </w:pPr>
            <w:r>
              <w:rPr>
                <w:color w:val="000000"/>
                <w:szCs w:val="22"/>
                <w:lang w:val="es-ES_tradnl"/>
              </w:rPr>
              <w:t>80,1</w:t>
            </w:r>
          </w:p>
        </w:tc>
        <w:tc>
          <w:tcPr>
            <w:tcW w:w="990" w:type="dxa"/>
          </w:tcPr>
          <w:p w:rsidR="00000000" w:rsidRDefault="00000000">
            <w:pPr>
              <w:jc w:val="right"/>
              <w:rPr>
                <w:color w:val="000000"/>
                <w:szCs w:val="22"/>
                <w:lang w:val="es-ES_tradnl"/>
              </w:rPr>
            </w:pPr>
            <w:r>
              <w:rPr>
                <w:color w:val="000000"/>
                <w:szCs w:val="22"/>
                <w:lang w:val="es-ES_tradnl"/>
              </w:rPr>
              <w:t>72,4</w:t>
            </w:r>
          </w:p>
        </w:tc>
        <w:tc>
          <w:tcPr>
            <w:tcW w:w="990" w:type="dxa"/>
          </w:tcPr>
          <w:p w:rsidR="00000000" w:rsidRDefault="00000000">
            <w:pPr>
              <w:jc w:val="right"/>
              <w:rPr>
                <w:color w:val="000000"/>
                <w:szCs w:val="22"/>
                <w:lang w:val="es-ES_tradnl"/>
              </w:rPr>
            </w:pPr>
            <w:r>
              <w:rPr>
                <w:color w:val="000000"/>
                <w:szCs w:val="22"/>
                <w:lang w:val="es-ES_tradnl"/>
              </w:rPr>
              <w:t>89,3</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Cesárea</w:t>
            </w:r>
          </w:p>
        </w:tc>
        <w:tc>
          <w:tcPr>
            <w:tcW w:w="990" w:type="dxa"/>
          </w:tcPr>
          <w:p w:rsidR="00000000" w:rsidRDefault="00000000">
            <w:pPr>
              <w:jc w:val="right"/>
              <w:rPr>
                <w:color w:val="000000"/>
                <w:szCs w:val="22"/>
                <w:lang w:val="es-ES_tradnl"/>
              </w:rPr>
            </w:pPr>
            <w:r>
              <w:rPr>
                <w:color w:val="000000"/>
                <w:szCs w:val="22"/>
                <w:lang w:val="es-ES_tradnl"/>
              </w:rPr>
              <w:t>19,9</w:t>
            </w:r>
          </w:p>
        </w:tc>
        <w:tc>
          <w:tcPr>
            <w:tcW w:w="990" w:type="dxa"/>
          </w:tcPr>
          <w:p w:rsidR="00000000" w:rsidRDefault="00000000">
            <w:pPr>
              <w:jc w:val="right"/>
              <w:rPr>
                <w:color w:val="000000"/>
                <w:szCs w:val="22"/>
                <w:lang w:val="es-ES_tradnl"/>
              </w:rPr>
            </w:pPr>
            <w:r>
              <w:rPr>
                <w:color w:val="000000"/>
                <w:szCs w:val="22"/>
                <w:lang w:val="es-ES_tradnl"/>
              </w:rPr>
              <w:t>27,6</w:t>
            </w:r>
          </w:p>
        </w:tc>
        <w:tc>
          <w:tcPr>
            <w:tcW w:w="990" w:type="dxa"/>
          </w:tcPr>
          <w:p w:rsidR="00000000" w:rsidRDefault="00000000">
            <w:pPr>
              <w:jc w:val="right"/>
              <w:rPr>
                <w:color w:val="000000"/>
                <w:szCs w:val="22"/>
                <w:lang w:val="es-ES_tradnl"/>
              </w:rPr>
            </w:pPr>
            <w:r>
              <w:rPr>
                <w:color w:val="000000"/>
                <w:szCs w:val="22"/>
                <w:lang w:val="es-ES_tradnl"/>
              </w:rPr>
              <w:t>10,7</w:t>
            </w:r>
          </w:p>
        </w:tc>
      </w:tr>
      <w:tr w:rsidR="00000000">
        <w:tblPrEx>
          <w:tblCellMar>
            <w:top w:w="0" w:type="dxa"/>
            <w:bottom w:w="0" w:type="dxa"/>
          </w:tblCellMar>
        </w:tblPrEx>
        <w:tc>
          <w:tcPr>
            <w:tcW w:w="3420" w:type="dxa"/>
          </w:tcPr>
          <w:p w:rsidR="00000000" w:rsidRDefault="00000000">
            <w:pPr>
              <w:rPr>
                <w:color w:val="000000"/>
                <w:szCs w:val="22"/>
                <w:lang w:val="es-ES_tradnl"/>
              </w:rPr>
            </w:pPr>
            <w:r>
              <w:rPr>
                <w:color w:val="000000"/>
                <w:szCs w:val="22"/>
                <w:lang w:val="es-ES_tradnl"/>
              </w:rPr>
              <w:t>Atención posparto</w:t>
            </w: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c>
          <w:tcPr>
            <w:tcW w:w="990" w:type="dxa"/>
          </w:tcPr>
          <w:p w:rsidR="00000000" w:rsidRDefault="00000000">
            <w:pPr>
              <w:jc w:val="right"/>
              <w:rPr>
                <w:color w:val="000000"/>
                <w:szCs w:val="22"/>
                <w:lang w:val="es-ES_tradnl"/>
              </w:rPr>
            </w:pP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Sí</w:t>
            </w:r>
          </w:p>
        </w:tc>
        <w:tc>
          <w:tcPr>
            <w:tcW w:w="990" w:type="dxa"/>
          </w:tcPr>
          <w:p w:rsidR="00000000" w:rsidRDefault="00000000">
            <w:pPr>
              <w:jc w:val="right"/>
              <w:rPr>
                <w:color w:val="000000"/>
                <w:szCs w:val="22"/>
                <w:lang w:val="es-ES_tradnl"/>
              </w:rPr>
            </w:pPr>
            <w:r>
              <w:rPr>
                <w:color w:val="000000"/>
                <w:szCs w:val="22"/>
                <w:lang w:val="es-ES_tradnl"/>
              </w:rPr>
              <w:t>39,1</w:t>
            </w:r>
          </w:p>
        </w:tc>
        <w:tc>
          <w:tcPr>
            <w:tcW w:w="990" w:type="dxa"/>
          </w:tcPr>
          <w:p w:rsidR="00000000" w:rsidRDefault="00000000">
            <w:pPr>
              <w:jc w:val="right"/>
              <w:rPr>
                <w:color w:val="000000"/>
                <w:szCs w:val="22"/>
                <w:lang w:val="es-ES_tradnl"/>
              </w:rPr>
            </w:pPr>
            <w:r>
              <w:rPr>
                <w:color w:val="000000"/>
                <w:szCs w:val="22"/>
                <w:lang w:val="es-ES_tradnl"/>
              </w:rPr>
              <w:t>47,5</w:t>
            </w:r>
          </w:p>
        </w:tc>
        <w:tc>
          <w:tcPr>
            <w:tcW w:w="990" w:type="dxa"/>
          </w:tcPr>
          <w:p w:rsidR="00000000" w:rsidRDefault="00000000">
            <w:pPr>
              <w:jc w:val="right"/>
              <w:rPr>
                <w:color w:val="000000"/>
                <w:szCs w:val="22"/>
                <w:lang w:val="es-ES_tradnl"/>
              </w:rPr>
            </w:pPr>
            <w:r>
              <w:rPr>
                <w:color w:val="000000"/>
                <w:szCs w:val="22"/>
                <w:lang w:val="es-ES_tradnl"/>
              </w:rPr>
              <w:t>27,8</w:t>
            </w:r>
          </w:p>
        </w:tc>
      </w:tr>
      <w:tr w:rsidR="00000000">
        <w:tblPrEx>
          <w:tblCellMar>
            <w:top w:w="0" w:type="dxa"/>
            <w:bottom w:w="0" w:type="dxa"/>
          </w:tblCellMar>
        </w:tblPrEx>
        <w:tc>
          <w:tcPr>
            <w:tcW w:w="3420" w:type="dxa"/>
          </w:tcPr>
          <w:p w:rsidR="00000000" w:rsidRDefault="00000000">
            <w:pPr>
              <w:ind w:left="273"/>
              <w:rPr>
                <w:color w:val="000000"/>
                <w:szCs w:val="22"/>
                <w:lang w:val="es-ES_tradnl"/>
              </w:rPr>
            </w:pPr>
            <w:r>
              <w:rPr>
                <w:color w:val="000000"/>
                <w:szCs w:val="22"/>
                <w:lang w:val="es-ES_tradnl"/>
              </w:rPr>
              <w:t>No</w:t>
            </w:r>
          </w:p>
        </w:tc>
        <w:tc>
          <w:tcPr>
            <w:tcW w:w="990" w:type="dxa"/>
          </w:tcPr>
          <w:p w:rsidR="00000000" w:rsidRDefault="00000000">
            <w:pPr>
              <w:jc w:val="right"/>
              <w:rPr>
                <w:color w:val="000000"/>
                <w:szCs w:val="22"/>
                <w:lang w:val="es-ES_tradnl"/>
              </w:rPr>
            </w:pPr>
            <w:r>
              <w:rPr>
                <w:color w:val="000000"/>
                <w:szCs w:val="22"/>
                <w:lang w:val="es-ES_tradnl"/>
              </w:rPr>
              <w:t>60,9</w:t>
            </w:r>
          </w:p>
        </w:tc>
        <w:tc>
          <w:tcPr>
            <w:tcW w:w="990" w:type="dxa"/>
          </w:tcPr>
          <w:p w:rsidR="00000000" w:rsidRDefault="00000000">
            <w:pPr>
              <w:jc w:val="right"/>
              <w:rPr>
                <w:color w:val="000000"/>
                <w:szCs w:val="22"/>
                <w:lang w:val="es-ES_tradnl"/>
              </w:rPr>
            </w:pPr>
            <w:r>
              <w:rPr>
                <w:color w:val="000000"/>
                <w:szCs w:val="22"/>
                <w:lang w:val="es-ES_tradnl"/>
              </w:rPr>
              <w:t>52,5</w:t>
            </w:r>
          </w:p>
        </w:tc>
        <w:tc>
          <w:tcPr>
            <w:tcW w:w="990" w:type="dxa"/>
          </w:tcPr>
          <w:p w:rsidR="00000000" w:rsidRDefault="00000000">
            <w:pPr>
              <w:jc w:val="right"/>
              <w:rPr>
                <w:color w:val="000000"/>
                <w:szCs w:val="22"/>
                <w:lang w:val="es-ES_tradnl"/>
              </w:rPr>
            </w:pPr>
            <w:r>
              <w:rPr>
                <w:color w:val="000000"/>
                <w:szCs w:val="22"/>
                <w:lang w:val="es-ES_tradnl"/>
              </w:rPr>
              <w:t>72,2</w:t>
            </w:r>
          </w:p>
        </w:tc>
      </w:tr>
    </w:tbl>
    <w:p w:rsidR="00000000" w:rsidRDefault="00000000">
      <w:pPr>
        <w:shd w:val="clear" w:color="auto" w:fill="FFFFFF"/>
        <w:tabs>
          <w:tab w:val="left" w:pos="1620"/>
        </w:tabs>
        <w:spacing w:before="240" w:after="480"/>
      </w:pPr>
      <w:r>
        <w:rPr>
          <w:i/>
          <w:iCs/>
          <w:color w:val="000000"/>
          <w:lang w:val="es-ES_tradnl"/>
        </w:rPr>
        <w:tab/>
        <w:t>Fuente</w:t>
      </w:r>
      <w:r>
        <w:rPr>
          <w:color w:val="000000"/>
          <w:lang w:val="es-ES_tradnl"/>
        </w:rPr>
        <w:t xml:space="preserve">:  </w:t>
      </w:r>
      <w:proofErr w:type="spellStart"/>
      <w:r>
        <w:rPr>
          <w:color w:val="000000"/>
          <w:lang w:val="es-ES_tradnl"/>
        </w:rPr>
        <w:t>CEPAR</w:t>
      </w:r>
      <w:proofErr w:type="spellEnd"/>
      <w:r>
        <w:rPr>
          <w:color w:val="000000"/>
          <w:lang w:val="es-ES_tradnl"/>
        </w:rPr>
        <w:t xml:space="preserve"> </w:t>
      </w:r>
      <w:proofErr w:type="spellStart"/>
      <w:r>
        <w:rPr>
          <w:color w:val="000000"/>
          <w:lang w:val="es-ES_tradnl"/>
        </w:rPr>
        <w:t>ENDEMAIN</w:t>
      </w:r>
      <w:proofErr w:type="spellEnd"/>
      <w:r>
        <w:rPr>
          <w:color w:val="000000"/>
          <w:lang w:val="es-ES_tradnl"/>
        </w:rPr>
        <w:t>-99.</w:t>
      </w:r>
    </w:p>
    <w:p w:rsidR="00000000" w:rsidRDefault="00000000">
      <w:pPr>
        <w:shd w:val="clear" w:color="auto" w:fill="FFFFFF"/>
        <w:spacing w:after="240"/>
      </w:pPr>
      <w:r>
        <w:rPr>
          <w:color w:val="000000"/>
          <w:szCs w:val="25"/>
          <w:lang w:val="es-ES_tradnl"/>
        </w:rPr>
        <w:t>429.</w:t>
      </w:r>
      <w:r>
        <w:rPr>
          <w:color w:val="000000"/>
          <w:szCs w:val="25"/>
          <w:lang w:val="es-ES_tradnl"/>
        </w:rPr>
        <w:tab/>
        <w:t>A nivel país sólo el 39% de las mujeres acude a control posparto y este porcentaje mejora levemente en áreas urbanas 47,5%. La falta de preocupación por la salud materna es evidente en las áreas rurales donde 7 de diez parturientas no acuden a ningún tipo de control posparto.</w:t>
      </w:r>
    </w:p>
    <w:p w:rsidR="00000000" w:rsidRDefault="00000000">
      <w:pPr>
        <w:shd w:val="clear" w:color="auto" w:fill="FFFFFF"/>
        <w:spacing w:after="240"/>
      </w:pPr>
      <w:r>
        <w:rPr>
          <w:color w:val="000000"/>
          <w:szCs w:val="25"/>
          <w:lang w:val="es-ES_tradnl"/>
        </w:rPr>
        <w:t>430.</w:t>
      </w:r>
      <w:r>
        <w:rPr>
          <w:color w:val="000000"/>
          <w:szCs w:val="25"/>
          <w:lang w:val="es-ES_tradnl"/>
        </w:rPr>
        <w:tab/>
        <w:t>En el Ecuador para 1997 la tasa de nacidos vivos fue de 93,4 por cada 100.000 nacidos vivos (INEC 1997) con diferencias regionales que llegan a ascender hasta 250 muertes maternas por 100.000 nacidos vivos. Este indicador es inferior a la meta planteada por la Conferencia Internacional de Población y Desarrollo de 100.000 nacidos vivos</w:t>
      </w:r>
      <w:r>
        <w:rPr>
          <w:rStyle w:val="FootnoteReference"/>
        </w:rPr>
        <w:footnoteReference w:id="60"/>
      </w:r>
      <w:r>
        <w:rPr>
          <w:color w:val="000000"/>
          <w:szCs w:val="25"/>
          <w:lang w:val="es-ES_tradnl"/>
        </w:rPr>
        <w:t>.</w:t>
      </w:r>
    </w:p>
    <w:p w:rsidR="00000000" w:rsidRDefault="00000000">
      <w:pPr>
        <w:shd w:val="clear" w:color="auto" w:fill="FFFFFF"/>
        <w:spacing w:after="240"/>
      </w:pPr>
      <w:r>
        <w:rPr>
          <w:color w:val="000000"/>
          <w:szCs w:val="25"/>
          <w:lang w:val="es-ES_tradnl"/>
        </w:rPr>
        <w:t>431.</w:t>
      </w:r>
      <w:r>
        <w:rPr>
          <w:color w:val="000000"/>
          <w:szCs w:val="25"/>
          <w:lang w:val="es-ES_tradnl"/>
        </w:rPr>
        <w:tab/>
        <w:t>La primera causa directa de mortalidad materna es la toxemia de la gestación que representa el 38% del total de muertes, le sigue la hemorragia del embarazo y del parto con un 23%, los abortos con un 6%, las complicaciones del puerperio con un 4,2%, y otras causas relacionadas directa o indirectamente con el embarazo, parto o posparto con un 29%</w:t>
      </w:r>
      <w:r>
        <w:rPr>
          <w:rStyle w:val="FootnoteReference"/>
          <w:color w:val="000000"/>
          <w:szCs w:val="25"/>
          <w:lang w:val="es-ES_tradnl"/>
        </w:rPr>
        <w:footnoteReference w:id="61"/>
      </w:r>
      <w:r>
        <w:rPr>
          <w:color w:val="000000"/>
          <w:szCs w:val="25"/>
          <w:lang w:val="es-ES_tradnl"/>
        </w:rPr>
        <w:t>.</w:t>
      </w:r>
    </w:p>
    <w:p w:rsidR="00000000" w:rsidRDefault="00000000">
      <w:pPr>
        <w:shd w:val="clear" w:color="auto" w:fill="FFFFFF"/>
        <w:spacing w:after="240"/>
      </w:pPr>
      <w:r>
        <w:rPr>
          <w:color w:val="000000"/>
          <w:szCs w:val="25"/>
          <w:lang w:val="es-ES_tradnl"/>
        </w:rPr>
        <w:t>432.</w:t>
      </w:r>
      <w:r>
        <w:rPr>
          <w:color w:val="000000"/>
          <w:szCs w:val="25"/>
          <w:lang w:val="es-ES_tradnl"/>
        </w:rPr>
        <w:tab/>
        <w:t>Las coberturas promedio de atención de la salud materna en los servicios del Ministerio de Salud Pública durante el decenio de 1990 han tenido la siguiente tendencia:</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La atención prenatal del 47,8% en 1990 pasó al 69.3% en 1998</w:t>
      </w:r>
      <w:r>
        <w:rPr>
          <w:rStyle w:val="FootnoteReference"/>
          <w:color w:val="000000"/>
          <w:szCs w:val="25"/>
          <w:lang w:val="es-ES_tradnl"/>
        </w:rPr>
        <w:footnoteReference w:id="62"/>
      </w:r>
      <w:r>
        <w:rPr>
          <w:color w:val="000000"/>
          <w:szCs w:val="25"/>
          <w:lang w:val="es-ES_tradnl"/>
        </w:rPr>
        <w:t>;</w:t>
      </w:r>
    </w:p>
    <w:p w:rsidR="00000000" w:rsidRDefault="00000000">
      <w:pPr>
        <w:shd w:val="clear" w:color="auto" w:fill="FFFFFF"/>
        <w:spacing w:after="240"/>
        <w:ind w:left="1134" w:hanging="567"/>
      </w:pPr>
      <w:r>
        <w:rPr>
          <w:color w:val="000000"/>
          <w:szCs w:val="22"/>
          <w:lang w:val="es-ES_tradnl"/>
        </w:rPr>
        <w:t>b)</w:t>
      </w:r>
      <w:r>
        <w:rPr>
          <w:color w:val="000000"/>
          <w:szCs w:val="22"/>
          <w:lang w:val="es-ES_tradnl"/>
        </w:rPr>
        <w:tab/>
        <w:t>L</w:t>
      </w:r>
      <w:r>
        <w:rPr>
          <w:color w:val="000000"/>
          <w:szCs w:val="25"/>
          <w:lang w:val="es-ES_tradnl"/>
        </w:rPr>
        <w:t>a atención del parto se ha mantenido casi constante en los últimos 6 años es decir de 23,6% pasó a 26,9% en 1998;</w:t>
      </w:r>
    </w:p>
    <w:p w:rsidR="00000000" w:rsidRDefault="00000000">
      <w:pPr>
        <w:shd w:val="clear" w:color="auto" w:fill="FFFFFF"/>
        <w:spacing w:after="240"/>
        <w:ind w:left="1134" w:hanging="567"/>
      </w:pPr>
      <w:r>
        <w:rPr>
          <w:color w:val="000000"/>
          <w:szCs w:val="25"/>
        </w:rPr>
        <w:t>c)</w:t>
      </w:r>
      <w:r>
        <w:rPr>
          <w:color w:val="000000"/>
          <w:szCs w:val="25"/>
        </w:rPr>
        <w:tab/>
      </w:r>
      <w:r>
        <w:rPr>
          <w:color w:val="000000"/>
          <w:szCs w:val="25"/>
          <w:lang w:val="es-ES_tradnl"/>
        </w:rPr>
        <w:t>La atención del posparto ha tenido igual comportamiento la misma que paso de 11,6% en 1990 a 15,1% en 1998.</w:t>
      </w:r>
    </w:p>
    <w:p w:rsidR="00000000" w:rsidRDefault="00000000">
      <w:pPr>
        <w:shd w:val="clear" w:color="auto" w:fill="FFFFFF"/>
        <w:spacing w:after="240"/>
        <w:rPr>
          <w:i/>
          <w:iCs/>
        </w:rPr>
      </w:pPr>
      <w:r>
        <w:rPr>
          <w:i/>
          <w:iCs/>
          <w:color w:val="000000"/>
          <w:szCs w:val="25"/>
          <w:lang w:val="es-ES_tradnl"/>
        </w:rPr>
        <w:t>Atención en salud infantil</w:t>
      </w:r>
    </w:p>
    <w:p w:rsidR="00000000" w:rsidRDefault="00000000">
      <w:pPr>
        <w:shd w:val="clear" w:color="auto" w:fill="FFFFFF"/>
        <w:spacing w:after="240"/>
      </w:pPr>
      <w:r>
        <w:rPr>
          <w:color w:val="000000"/>
          <w:szCs w:val="25"/>
          <w:lang w:val="es-ES_tradnl"/>
        </w:rPr>
        <w:t>433.</w:t>
      </w:r>
      <w:r>
        <w:rPr>
          <w:color w:val="000000"/>
          <w:szCs w:val="25"/>
          <w:lang w:val="es-ES_tradnl"/>
        </w:rPr>
        <w:tab/>
        <w:t>Los niveles de atención de salud están en función de la especialización, calidad e infraestructura de los servicios de salud.  En el nivel primario, que consiste en la asistencia elemental de salud, se ejecutan actividades de educación, prevención, fomento y de tipo curativo que se imparten en las unidades ambulatorias.  El secundario abarca cuatro especialidades básicas de atención sanitaria (</w:t>
      </w:r>
      <w:proofErr w:type="spellStart"/>
      <w:r>
        <w:rPr>
          <w:color w:val="000000"/>
          <w:szCs w:val="25"/>
          <w:lang w:val="es-ES_tradnl"/>
        </w:rPr>
        <w:t>gineco</w:t>
      </w:r>
      <w:proofErr w:type="spellEnd"/>
      <w:r>
        <w:rPr>
          <w:color w:val="000000"/>
          <w:szCs w:val="25"/>
          <w:lang w:val="es-ES_tradnl"/>
        </w:rPr>
        <w:noBreakHyphen/>
        <w:t>obstétrica, pediatría, cirugía y medicina interna).</w:t>
      </w:r>
    </w:p>
    <w:p w:rsidR="00000000" w:rsidRDefault="00000000">
      <w:pPr>
        <w:shd w:val="clear" w:color="auto" w:fill="FFFFFF"/>
        <w:spacing w:after="240"/>
      </w:pPr>
      <w:r>
        <w:rPr>
          <w:color w:val="000000"/>
          <w:szCs w:val="25"/>
          <w:lang w:val="es-ES_tradnl"/>
        </w:rPr>
        <w:t>434.</w:t>
      </w:r>
      <w:r>
        <w:rPr>
          <w:color w:val="000000"/>
          <w:szCs w:val="25"/>
          <w:lang w:val="es-ES_tradnl"/>
        </w:rPr>
        <w:tab/>
        <w:t>Entre 1994 y 1999 se advierte que el mayor porcentaje de la población ecuatoriana ha recibido atención secundaria, debido tanto a la falta de cultura en cuanto a salud preventiva como a factores asociados con la falta de recursos económicos, pues las personas que habitan en el área urbana, y principalmente, en el área rural restan importancia a sus problemas de salud hasta cuando éstos se agudizan y requieren un grado de atención más especializado.</w:t>
      </w:r>
    </w:p>
    <w:p w:rsidR="00000000" w:rsidRDefault="00000000">
      <w:pPr>
        <w:shd w:val="clear" w:color="auto" w:fill="FFFFFF"/>
        <w:spacing w:after="240"/>
      </w:pPr>
      <w:r>
        <w:rPr>
          <w:color w:val="000000"/>
          <w:szCs w:val="25"/>
          <w:lang w:val="es-ES_tradnl"/>
        </w:rPr>
        <w:t>435.</w:t>
      </w:r>
      <w:r>
        <w:rPr>
          <w:color w:val="000000"/>
          <w:szCs w:val="25"/>
          <w:lang w:val="es-ES_tradnl"/>
        </w:rPr>
        <w:tab/>
        <w:t>En el país la práctica del control del niño después de su nacimiento alcanza el 91,3%, en las áreas rurales el indicador baja al 87,9% y es menos frecuente en la Amazonía donde un 16% de los niños no han acudido a ningún tipo de control médico</w:t>
      </w:r>
      <w:r>
        <w:rPr>
          <w:rStyle w:val="FootnoteReference"/>
          <w:color w:val="000000"/>
          <w:szCs w:val="25"/>
          <w:lang w:val="es-ES_tradnl"/>
        </w:rPr>
        <w:footnoteReference w:id="63"/>
      </w:r>
      <w:r>
        <w:rPr>
          <w:color w:val="000000"/>
          <w:szCs w:val="25"/>
          <w:lang w:val="es-ES_tradnl"/>
        </w:rPr>
        <w:t>.</w:t>
      </w:r>
    </w:p>
    <w:p w:rsidR="00000000" w:rsidRDefault="00000000">
      <w:pPr>
        <w:shd w:val="clear" w:color="auto" w:fill="FFFFFF"/>
        <w:spacing w:after="240"/>
        <w:jc w:val="center"/>
        <w:rPr>
          <w:color w:val="000000"/>
          <w:szCs w:val="22"/>
          <w:lang w:val="es-ES_tradnl"/>
        </w:rPr>
      </w:pPr>
      <w:r>
        <w:rPr>
          <w:b/>
          <w:bCs/>
          <w:color w:val="000000"/>
          <w:szCs w:val="22"/>
          <w:lang w:val="es-ES_tradnl"/>
        </w:rPr>
        <w:t>Control del niño, según área y región</w:t>
      </w:r>
      <w:r>
        <w:rPr>
          <w:b/>
          <w:bCs/>
          <w:color w:val="000000"/>
          <w:szCs w:val="22"/>
          <w:lang w:val="es-ES_tradnl"/>
        </w:rPr>
        <w:br/>
        <w:t>(marzo de 1994 a febrero de 1999)</w:t>
      </w:r>
    </w:p>
    <w:tbl>
      <w:tblPr>
        <w:tblW w:w="0" w:type="auto"/>
        <w:jc w:val="center"/>
        <w:tblInd w:w="2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6"/>
        <w:gridCol w:w="1460"/>
        <w:gridCol w:w="1461"/>
      </w:tblGrid>
      <w:tr w:rsidR="00000000">
        <w:tblPrEx>
          <w:tblCellMar>
            <w:top w:w="0" w:type="dxa"/>
            <w:bottom w:w="0" w:type="dxa"/>
          </w:tblCellMar>
        </w:tblPrEx>
        <w:trPr>
          <w:jc w:val="center"/>
        </w:trPr>
        <w:tc>
          <w:tcPr>
            <w:tcW w:w="2746" w:type="dxa"/>
          </w:tcPr>
          <w:p w:rsidR="00000000" w:rsidRDefault="00000000">
            <w:pPr>
              <w:jc w:val="center"/>
              <w:rPr>
                <w:color w:val="000000"/>
                <w:szCs w:val="22"/>
                <w:lang w:val="es-ES_tradnl"/>
              </w:rPr>
            </w:pPr>
            <w:r>
              <w:rPr>
                <w:color w:val="000000"/>
                <w:szCs w:val="22"/>
                <w:lang w:val="es-ES_tradnl"/>
              </w:rPr>
              <w:t>Área y región</w:t>
            </w:r>
          </w:p>
        </w:tc>
        <w:tc>
          <w:tcPr>
            <w:tcW w:w="1460" w:type="dxa"/>
          </w:tcPr>
          <w:p w:rsidR="00000000" w:rsidRDefault="00000000">
            <w:pPr>
              <w:jc w:val="center"/>
              <w:rPr>
                <w:color w:val="000000"/>
                <w:szCs w:val="22"/>
                <w:lang w:val="es-ES_tradnl"/>
              </w:rPr>
            </w:pPr>
            <w:r>
              <w:rPr>
                <w:color w:val="000000"/>
                <w:szCs w:val="22"/>
                <w:lang w:val="es-ES_tradnl"/>
              </w:rPr>
              <w:t>Con control</w:t>
            </w:r>
          </w:p>
        </w:tc>
        <w:tc>
          <w:tcPr>
            <w:tcW w:w="1461" w:type="dxa"/>
          </w:tcPr>
          <w:p w:rsidR="00000000" w:rsidRDefault="00000000">
            <w:pPr>
              <w:jc w:val="center"/>
              <w:rPr>
                <w:color w:val="000000"/>
                <w:szCs w:val="22"/>
                <w:lang w:val="es-ES_tradnl"/>
              </w:rPr>
            </w:pPr>
            <w:r>
              <w:rPr>
                <w:color w:val="000000"/>
                <w:szCs w:val="22"/>
                <w:lang w:val="es-ES_tradnl"/>
              </w:rPr>
              <w:t>Sin control</w:t>
            </w:r>
          </w:p>
        </w:tc>
      </w:tr>
      <w:tr w:rsidR="00000000">
        <w:tblPrEx>
          <w:tblCellMar>
            <w:top w:w="0" w:type="dxa"/>
            <w:bottom w:w="0" w:type="dxa"/>
          </w:tblCellMar>
        </w:tblPrEx>
        <w:trPr>
          <w:jc w:val="center"/>
        </w:trPr>
        <w:tc>
          <w:tcPr>
            <w:tcW w:w="2746" w:type="dxa"/>
          </w:tcPr>
          <w:p w:rsidR="00000000" w:rsidRDefault="00000000">
            <w:pPr>
              <w:rPr>
                <w:color w:val="000000"/>
                <w:szCs w:val="22"/>
                <w:lang w:val="es-ES_tradnl"/>
              </w:rPr>
            </w:pPr>
            <w:r>
              <w:rPr>
                <w:color w:val="000000"/>
                <w:szCs w:val="22"/>
                <w:lang w:val="es-ES_tradnl"/>
              </w:rPr>
              <w:t>Total país</w:t>
            </w:r>
          </w:p>
        </w:tc>
        <w:tc>
          <w:tcPr>
            <w:tcW w:w="1460" w:type="dxa"/>
          </w:tcPr>
          <w:p w:rsidR="00000000" w:rsidRDefault="00000000">
            <w:pPr>
              <w:jc w:val="right"/>
              <w:rPr>
                <w:color w:val="000000"/>
                <w:szCs w:val="22"/>
                <w:lang w:val="es-ES_tradnl"/>
              </w:rPr>
            </w:pPr>
            <w:r>
              <w:rPr>
                <w:color w:val="000000"/>
                <w:szCs w:val="22"/>
                <w:lang w:val="es-ES_tradnl"/>
              </w:rPr>
              <w:t>91,3</w:t>
            </w:r>
          </w:p>
        </w:tc>
        <w:tc>
          <w:tcPr>
            <w:tcW w:w="1461" w:type="dxa"/>
          </w:tcPr>
          <w:p w:rsidR="00000000" w:rsidRDefault="00000000">
            <w:pPr>
              <w:jc w:val="right"/>
              <w:rPr>
                <w:color w:val="000000"/>
                <w:szCs w:val="22"/>
                <w:lang w:val="es-ES_tradnl"/>
              </w:rPr>
            </w:pPr>
            <w:r>
              <w:rPr>
                <w:color w:val="000000"/>
                <w:szCs w:val="22"/>
                <w:lang w:val="es-ES_tradnl"/>
              </w:rPr>
              <w:t>8,7</w:t>
            </w:r>
          </w:p>
        </w:tc>
      </w:tr>
      <w:tr w:rsidR="00000000">
        <w:tblPrEx>
          <w:tblCellMar>
            <w:top w:w="0" w:type="dxa"/>
            <w:bottom w:w="0" w:type="dxa"/>
          </w:tblCellMar>
        </w:tblPrEx>
        <w:trPr>
          <w:jc w:val="center"/>
        </w:trPr>
        <w:tc>
          <w:tcPr>
            <w:tcW w:w="2746" w:type="dxa"/>
          </w:tcPr>
          <w:p w:rsidR="00000000" w:rsidRDefault="00000000">
            <w:pPr>
              <w:rPr>
                <w:color w:val="000000"/>
                <w:szCs w:val="22"/>
                <w:lang w:val="es-ES_tradnl"/>
              </w:rPr>
            </w:pPr>
            <w:r>
              <w:rPr>
                <w:color w:val="000000"/>
                <w:szCs w:val="22"/>
                <w:lang w:val="es-ES_tradnl"/>
              </w:rPr>
              <w:t>Área</w:t>
            </w:r>
          </w:p>
        </w:tc>
        <w:tc>
          <w:tcPr>
            <w:tcW w:w="1460" w:type="dxa"/>
          </w:tcPr>
          <w:p w:rsidR="00000000" w:rsidRDefault="00000000">
            <w:pPr>
              <w:jc w:val="right"/>
              <w:rPr>
                <w:color w:val="000000"/>
                <w:szCs w:val="22"/>
                <w:lang w:val="es-ES_tradnl"/>
              </w:rPr>
            </w:pPr>
          </w:p>
        </w:tc>
        <w:tc>
          <w:tcPr>
            <w:tcW w:w="1461" w:type="dxa"/>
          </w:tcPr>
          <w:p w:rsidR="00000000" w:rsidRDefault="00000000">
            <w:pPr>
              <w:jc w:val="right"/>
              <w:rPr>
                <w:color w:val="000000"/>
                <w:szCs w:val="22"/>
                <w:lang w:val="es-ES_tradnl"/>
              </w:rPr>
            </w:pP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Urbana</w:t>
            </w:r>
          </w:p>
        </w:tc>
        <w:tc>
          <w:tcPr>
            <w:tcW w:w="1460" w:type="dxa"/>
          </w:tcPr>
          <w:p w:rsidR="00000000" w:rsidRDefault="00000000">
            <w:pPr>
              <w:jc w:val="right"/>
              <w:rPr>
                <w:color w:val="000000"/>
                <w:szCs w:val="22"/>
                <w:lang w:val="es-ES_tradnl"/>
              </w:rPr>
            </w:pPr>
            <w:r>
              <w:rPr>
                <w:color w:val="000000"/>
                <w:szCs w:val="22"/>
                <w:lang w:val="es-ES_tradnl"/>
              </w:rPr>
              <w:t>94,1</w:t>
            </w:r>
          </w:p>
        </w:tc>
        <w:tc>
          <w:tcPr>
            <w:tcW w:w="1461" w:type="dxa"/>
          </w:tcPr>
          <w:p w:rsidR="00000000" w:rsidRDefault="00000000">
            <w:pPr>
              <w:jc w:val="right"/>
              <w:rPr>
                <w:color w:val="000000"/>
                <w:szCs w:val="22"/>
                <w:lang w:val="es-ES_tradnl"/>
              </w:rPr>
            </w:pPr>
            <w:r>
              <w:rPr>
                <w:color w:val="000000"/>
                <w:szCs w:val="22"/>
                <w:lang w:val="es-ES_tradnl"/>
              </w:rPr>
              <w:t>5,9</w:t>
            </w: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Rural</w:t>
            </w:r>
          </w:p>
        </w:tc>
        <w:tc>
          <w:tcPr>
            <w:tcW w:w="1460" w:type="dxa"/>
          </w:tcPr>
          <w:p w:rsidR="00000000" w:rsidRDefault="00000000">
            <w:pPr>
              <w:jc w:val="right"/>
              <w:rPr>
                <w:color w:val="000000"/>
                <w:szCs w:val="22"/>
                <w:lang w:val="es-ES_tradnl"/>
              </w:rPr>
            </w:pPr>
            <w:r>
              <w:rPr>
                <w:color w:val="000000"/>
                <w:szCs w:val="22"/>
                <w:lang w:val="es-ES_tradnl"/>
              </w:rPr>
              <w:t>87,9</w:t>
            </w:r>
          </w:p>
        </w:tc>
        <w:tc>
          <w:tcPr>
            <w:tcW w:w="1461" w:type="dxa"/>
          </w:tcPr>
          <w:p w:rsidR="00000000" w:rsidRDefault="00000000">
            <w:pPr>
              <w:jc w:val="right"/>
              <w:rPr>
                <w:color w:val="000000"/>
                <w:szCs w:val="22"/>
                <w:lang w:val="es-ES_tradnl"/>
              </w:rPr>
            </w:pPr>
            <w:r>
              <w:rPr>
                <w:color w:val="000000"/>
                <w:szCs w:val="22"/>
                <w:lang w:val="es-ES_tradnl"/>
              </w:rPr>
              <w:t>12,1</w:t>
            </w:r>
          </w:p>
        </w:tc>
      </w:tr>
      <w:tr w:rsidR="00000000">
        <w:tblPrEx>
          <w:tblCellMar>
            <w:top w:w="0" w:type="dxa"/>
            <w:bottom w:w="0" w:type="dxa"/>
          </w:tblCellMar>
        </w:tblPrEx>
        <w:trPr>
          <w:jc w:val="center"/>
        </w:trPr>
        <w:tc>
          <w:tcPr>
            <w:tcW w:w="2746" w:type="dxa"/>
          </w:tcPr>
          <w:p w:rsidR="00000000" w:rsidRDefault="00000000">
            <w:pPr>
              <w:rPr>
                <w:color w:val="000000"/>
                <w:szCs w:val="22"/>
                <w:lang w:val="es-ES_tradnl"/>
              </w:rPr>
            </w:pPr>
            <w:r>
              <w:rPr>
                <w:color w:val="000000"/>
                <w:szCs w:val="22"/>
                <w:lang w:val="es-ES_tradnl"/>
              </w:rPr>
              <w:t>Región</w:t>
            </w:r>
          </w:p>
        </w:tc>
        <w:tc>
          <w:tcPr>
            <w:tcW w:w="1460" w:type="dxa"/>
          </w:tcPr>
          <w:p w:rsidR="00000000" w:rsidRDefault="00000000">
            <w:pPr>
              <w:jc w:val="right"/>
              <w:rPr>
                <w:color w:val="000000"/>
                <w:szCs w:val="22"/>
                <w:lang w:val="es-ES_tradnl"/>
              </w:rPr>
            </w:pPr>
          </w:p>
        </w:tc>
        <w:tc>
          <w:tcPr>
            <w:tcW w:w="1461" w:type="dxa"/>
          </w:tcPr>
          <w:p w:rsidR="00000000" w:rsidRDefault="00000000">
            <w:pPr>
              <w:jc w:val="right"/>
              <w:rPr>
                <w:color w:val="000000"/>
                <w:szCs w:val="22"/>
                <w:lang w:val="es-ES_tradnl"/>
              </w:rPr>
            </w:pP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Costa</w:t>
            </w:r>
          </w:p>
        </w:tc>
        <w:tc>
          <w:tcPr>
            <w:tcW w:w="1460" w:type="dxa"/>
          </w:tcPr>
          <w:p w:rsidR="00000000" w:rsidRDefault="00000000">
            <w:pPr>
              <w:jc w:val="right"/>
              <w:rPr>
                <w:color w:val="000000"/>
                <w:szCs w:val="22"/>
                <w:lang w:val="es-ES_tradnl"/>
              </w:rPr>
            </w:pPr>
            <w:r>
              <w:rPr>
                <w:color w:val="000000"/>
                <w:szCs w:val="22"/>
                <w:lang w:val="es-ES_tradnl"/>
              </w:rPr>
              <w:t>92,7</w:t>
            </w:r>
          </w:p>
        </w:tc>
        <w:tc>
          <w:tcPr>
            <w:tcW w:w="1461" w:type="dxa"/>
          </w:tcPr>
          <w:p w:rsidR="00000000" w:rsidRDefault="00000000">
            <w:pPr>
              <w:jc w:val="right"/>
              <w:rPr>
                <w:color w:val="000000"/>
                <w:szCs w:val="22"/>
                <w:lang w:val="es-ES_tradnl"/>
              </w:rPr>
            </w:pPr>
            <w:r>
              <w:rPr>
                <w:color w:val="000000"/>
                <w:szCs w:val="22"/>
                <w:lang w:val="es-ES_tradnl"/>
              </w:rPr>
              <w:t>7,3</w:t>
            </w: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Sierra</w:t>
            </w:r>
          </w:p>
        </w:tc>
        <w:tc>
          <w:tcPr>
            <w:tcW w:w="1460" w:type="dxa"/>
          </w:tcPr>
          <w:p w:rsidR="00000000" w:rsidRDefault="00000000">
            <w:pPr>
              <w:jc w:val="right"/>
              <w:rPr>
                <w:color w:val="000000"/>
                <w:szCs w:val="22"/>
                <w:lang w:val="es-ES_tradnl"/>
              </w:rPr>
            </w:pPr>
            <w:r>
              <w:rPr>
                <w:color w:val="000000"/>
                <w:szCs w:val="22"/>
                <w:lang w:val="es-ES_tradnl"/>
              </w:rPr>
              <w:t>90,9</w:t>
            </w:r>
          </w:p>
        </w:tc>
        <w:tc>
          <w:tcPr>
            <w:tcW w:w="1461" w:type="dxa"/>
          </w:tcPr>
          <w:p w:rsidR="00000000" w:rsidRDefault="00000000">
            <w:pPr>
              <w:jc w:val="right"/>
              <w:rPr>
                <w:color w:val="000000"/>
                <w:szCs w:val="22"/>
                <w:lang w:val="es-ES_tradnl"/>
              </w:rPr>
            </w:pPr>
            <w:r>
              <w:rPr>
                <w:color w:val="000000"/>
                <w:szCs w:val="22"/>
                <w:lang w:val="es-ES_tradnl"/>
              </w:rPr>
              <w:t>9,1</w:t>
            </w: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Amazonía</w:t>
            </w:r>
          </w:p>
        </w:tc>
        <w:tc>
          <w:tcPr>
            <w:tcW w:w="1460" w:type="dxa"/>
          </w:tcPr>
          <w:p w:rsidR="00000000" w:rsidRDefault="00000000">
            <w:pPr>
              <w:jc w:val="right"/>
              <w:rPr>
                <w:color w:val="000000"/>
                <w:szCs w:val="22"/>
                <w:lang w:val="es-ES_tradnl"/>
              </w:rPr>
            </w:pPr>
            <w:r>
              <w:rPr>
                <w:color w:val="000000"/>
                <w:szCs w:val="22"/>
                <w:lang w:val="es-ES_tradnl"/>
              </w:rPr>
              <w:t>84,0</w:t>
            </w:r>
          </w:p>
        </w:tc>
        <w:tc>
          <w:tcPr>
            <w:tcW w:w="1461" w:type="dxa"/>
          </w:tcPr>
          <w:p w:rsidR="00000000" w:rsidRDefault="00000000">
            <w:pPr>
              <w:jc w:val="right"/>
              <w:rPr>
                <w:color w:val="000000"/>
                <w:szCs w:val="22"/>
                <w:lang w:val="es-ES_tradnl"/>
              </w:rPr>
            </w:pPr>
            <w:r>
              <w:rPr>
                <w:color w:val="000000"/>
                <w:szCs w:val="22"/>
                <w:lang w:val="es-ES_tradnl"/>
              </w:rPr>
              <w:t>16,0</w:t>
            </w:r>
          </w:p>
        </w:tc>
      </w:tr>
      <w:tr w:rsidR="00000000">
        <w:tblPrEx>
          <w:tblCellMar>
            <w:top w:w="0" w:type="dxa"/>
            <w:bottom w:w="0" w:type="dxa"/>
          </w:tblCellMar>
        </w:tblPrEx>
        <w:trPr>
          <w:jc w:val="center"/>
        </w:trPr>
        <w:tc>
          <w:tcPr>
            <w:tcW w:w="2746" w:type="dxa"/>
          </w:tcPr>
          <w:p w:rsidR="00000000" w:rsidRDefault="00000000">
            <w:pPr>
              <w:ind w:left="273"/>
              <w:rPr>
                <w:color w:val="000000"/>
                <w:szCs w:val="22"/>
                <w:lang w:val="es-ES_tradnl"/>
              </w:rPr>
            </w:pPr>
            <w:r>
              <w:rPr>
                <w:color w:val="000000"/>
                <w:szCs w:val="22"/>
                <w:lang w:val="es-ES_tradnl"/>
              </w:rPr>
              <w:t>Insular</w:t>
            </w:r>
          </w:p>
        </w:tc>
        <w:tc>
          <w:tcPr>
            <w:tcW w:w="1460" w:type="dxa"/>
          </w:tcPr>
          <w:p w:rsidR="00000000" w:rsidRDefault="00000000">
            <w:pPr>
              <w:jc w:val="right"/>
              <w:rPr>
                <w:color w:val="000000"/>
                <w:szCs w:val="22"/>
                <w:lang w:val="es-ES_tradnl"/>
              </w:rPr>
            </w:pPr>
            <w:r>
              <w:rPr>
                <w:color w:val="000000"/>
                <w:szCs w:val="22"/>
                <w:lang w:val="es-ES_tradnl"/>
              </w:rPr>
              <w:t>95,5</w:t>
            </w:r>
          </w:p>
        </w:tc>
        <w:tc>
          <w:tcPr>
            <w:tcW w:w="1461" w:type="dxa"/>
          </w:tcPr>
          <w:p w:rsidR="00000000" w:rsidRDefault="00000000">
            <w:pPr>
              <w:jc w:val="right"/>
              <w:rPr>
                <w:color w:val="000000"/>
                <w:szCs w:val="22"/>
                <w:lang w:val="es-ES_tradnl"/>
              </w:rPr>
            </w:pPr>
            <w:r>
              <w:rPr>
                <w:color w:val="000000"/>
                <w:szCs w:val="22"/>
                <w:lang w:val="es-ES_tradnl"/>
              </w:rPr>
              <w:t>4,5</w:t>
            </w:r>
          </w:p>
        </w:tc>
      </w:tr>
    </w:tbl>
    <w:p w:rsidR="00000000" w:rsidRDefault="00000000">
      <w:pPr>
        <w:shd w:val="clear" w:color="auto" w:fill="FFFFFF"/>
        <w:tabs>
          <w:tab w:val="left" w:pos="1890"/>
        </w:tabs>
        <w:spacing w:before="240"/>
      </w:pPr>
      <w:r>
        <w:rPr>
          <w:i/>
          <w:iCs/>
          <w:color w:val="000000"/>
          <w:szCs w:val="22"/>
          <w:lang w:val="es-ES_tradnl"/>
        </w:rPr>
        <w:tab/>
        <w:t>Fuente</w:t>
      </w:r>
      <w:r>
        <w:rPr>
          <w:color w:val="000000"/>
          <w:szCs w:val="22"/>
          <w:lang w:val="es-ES_tradnl"/>
        </w:rPr>
        <w:t xml:space="preserve">:  </w:t>
      </w:r>
      <w:proofErr w:type="spellStart"/>
      <w:r>
        <w:rPr>
          <w:color w:val="000000"/>
          <w:szCs w:val="22"/>
          <w:lang w:val="es-ES_tradnl"/>
        </w:rPr>
        <w:t>CEPAR</w:t>
      </w:r>
      <w:proofErr w:type="spellEnd"/>
      <w:r>
        <w:rPr>
          <w:color w:val="000000"/>
          <w:szCs w:val="22"/>
          <w:lang w:val="es-ES_tradnl"/>
        </w:rPr>
        <w:t xml:space="preserve">, </w:t>
      </w:r>
      <w:proofErr w:type="spellStart"/>
      <w:r>
        <w:rPr>
          <w:color w:val="000000"/>
          <w:szCs w:val="22"/>
          <w:lang w:val="es-ES_tradnl"/>
        </w:rPr>
        <w:t>ENDEMAIN</w:t>
      </w:r>
      <w:proofErr w:type="spellEnd"/>
      <w:r>
        <w:rPr>
          <w:color w:val="000000"/>
          <w:szCs w:val="22"/>
          <w:lang w:val="es-ES_tradnl"/>
        </w:rPr>
        <w:t>-99.</w:t>
      </w:r>
    </w:p>
    <w:p w:rsidR="00000000" w:rsidRDefault="00000000">
      <w:pPr>
        <w:shd w:val="clear" w:color="auto" w:fill="FFFFFF"/>
        <w:spacing w:after="240"/>
      </w:pPr>
      <w:r>
        <w:rPr>
          <w:i/>
          <w:iCs/>
          <w:color w:val="000000"/>
          <w:szCs w:val="25"/>
          <w:lang w:val="es-ES_tradnl"/>
        </w:rPr>
        <w:t>Situación de la población</w:t>
      </w:r>
    </w:p>
    <w:p w:rsidR="00000000" w:rsidRDefault="00000000">
      <w:pPr>
        <w:shd w:val="clear" w:color="auto" w:fill="FFFFFF"/>
        <w:spacing w:after="240"/>
      </w:pPr>
      <w:r>
        <w:rPr>
          <w:color w:val="000000"/>
          <w:szCs w:val="25"/>
          <w:lang w:val="es-ES_tradnl"/>
        </w:rPr>
        <w:t>436.</w:t>
      </w:r>
      <w:r>
        <w:rPr>
          <w:color w:val="000000"/>
          <w:szCs w:val="25"/>
          <w:lang w:val="es-ES_tradnl"/>
        </w:rPr>
        <w:tab/>
        <w:t>En nuestro país la mayor pobreza se encuentra concentrada en cantones y parroquias rurales en donde predominan poblaciones indígenas y negras. Estas poblaciones son objeto de un proceso de pauperización continuo que se manifiesta en la reducción de la calidad de vida y deterioro en las condiciones de salud, ya que existe una estrecha relación entre el desarrollo socioeconómico y la salud, cuyo paradigma de supervivencia radica en seguir viviendo en el campo o iniciar un proceso de migración a las grandes ciudades, o a otros países, en donde tienen que enfrentar mayores problemas de tipo económico, hacinamiento, segregación, y uno que es el más grave el de la alienación cultural de su identidad, lo que ha propiciado aparición de nuevos problemas de salud y un vuelco en los perfiles epidemiológicos.</w:t>
      </w:r>
    </w:p>
    <w:p w:rsidR="00000000" w:rsidRDefault="00000000">
      <w:pPr>
        <w:shd w:val="clear" w:color="auto" w:fill="FFFFFF"/>
        <w:spacing w:after="240"/>
      </w:pPr>
      <w:r>
        <w:rPr>
          <w:color w:val="000000"/>
          <w:szCs w:val="25"/>
          <w:lang w:val="es-ES_tradnl"/>
        </w:rPr>
        <w:t>437.</w:t>
      </w:r>
      <w:r>
        <w:rPr>
          <w:color w:val="000000"/>
          <w:szCs w:val="25"/>
          <w:lang w:val="es-ES_tradnl"/>
        </w:rPr>
        <w:tab/>
        <w:t>Los problemas de salud en los pueblos indígenas se encuentran directamente asociados a la pobreza y aspectos específicos como desnutrición, carencia de servicios básicos, falta de infraestructura, poco acceso o inexistencia de agua potable, alcantarillado, etc., lo cual evidencia los altos índices de mortalidad registrados en provincias de mayor presencia indígena como Bolívar con el 5,8, Cotopaxi con el 7,8, Chimborazo con el 6,8, Imbabura con el 6,6 y Tungurahua con el 6,2, frente a la tasa general de mortalidad que corresponde al 4,5 por 100.000 nacidos vivos</w:t>
      </w:r>
      <w:r>
        <w:rPr>
          <w:rStyle w:val="FootnoteReference"/>
          <w:color w:val="000000"/>
          <w:szCs w:val="25"/>
          <w:lang w:val="es-ES_tradnl"/>
        </w:rPr>
        <w:footnoteReference w:id="64"/>
      </w:r>
      <w:r>
        <w:rPr>
          <w:color w:val="000000"/>
          <w:szCs w:val="25"/>
          <w:lang w:val="es-ES_tradnl"/>
        </w:rPr>
        <w:t>.</w:t>
      </w:r>
    </w:p>
    <w:p w:rsidR="00000000" w:rsidRDefault="00000000">
      <w:pPr>
        <w:shd w:val="clear" w:color="auto" w:fill="FFFFFF"/>
        <w:spacing w:after="240"/>
      </w:pPr>
      <w:r>
        <w:rPr>
          <w:color w:val="000000"/>
          <w:szCs w:val="25"/>
          <w:lang w:val="es-ES_tradnl"/>
        </w:rPr>
        <w:t>438.</w:t>
      </w:r>
      <w:r>
        <w:rPr>
          <w:color w:val="000000"/>
          <w:szCs w:val="25"/>
          <w:lang w:val="es-ES_tradnl"/>
        </w:rPr>
        <w:tab/>
        <w:t xml:space="preserve">El conocimiento indígena en salud históricamente ha sido desautorizado desde la oficialidad asociándolo con la brujería o charlatanería y considerándolo como un conocimiento carente de </w:t>
      </w:r>
      <w:proofErr w:type="spellStart"/>
      <w:r>
        <w:rPr>
          <w:color w:val="000000"/>
          <w:szCs w:val="25"/>
          <w:lang w:val="es-ES_tradnl"/>
        </w:rPr>
        <w:t>cientificidad</w:t>
      </w:r>
      <w:proofErr w:type="spellEnd"/>
      <w:r>
        <w:rPr>
          <w:color w:val="000000"/>
          <w:szCs w:val="25"/>
          <w:lang w:val="es-ES_tradnl"/>
        </w:rPr>
        <w:t xml:space="preserve">; sin embargo la medicina indígena ha prevalecido demostrando ser una medicina eficaz para la mayoría de la población indígena que acude a los </w:t>
      </w:r>
      <w:proofErr w:type="spellStart"/>
      <w:r>
        <w:rPr>
          <w:i/>
          <w:iCs/>
          <w:color w:val="000000"/>
          <w:szCs w:val="25"/>
          <w:lang w:val="es-ES_tradnl"/>
        </w:rPr>
        <w:t>taitayachacs</w:t>
      </w:r>
      <w:proofErr w:type="spellEnd"/>
      <w:r>
        <w:rPr>
          <w:color w:val="000000"/>
          <w:szCs w:val="25"/>
          <w:lang w:val="es-ES_tradnl"/>
        </w:rPr>
        <w:t xml:space="preserve">, </w:t>
      </w:r>
      <w:proofErr w:type="spellStart"/>
      <w:r>
        <w:rPr>
          <w:i/>
          <w:iCs/>
          <w:color w:val="000000"/>
          <w:szCs w:val="25"/>
          <w:lang w:val="es-ES_tradnl"/>
        </w:rPr>
        <w:t>cuyfichac</w:t>
      </w:r>
      <w:proofErr w:type="spellEnd"/>
      <w:r>
        <w:rPr>
          <w:color w:val="000000"/>
          <w:szCs w:val="25"/>
          <w:lang w:val="es-ES_tradnl"/>
        </w:rPr>
        <w:t xml:space="preserve">, </w:t>
      </w:r>
      <w:proofErr w:type="spellStart"/>
      <w:r>
        <w:rPr>
          <w:i/>
          <w:iCs/>
          <w:color w:val="000000"/>
          <w:szCs w:val="25"/>
          <w:lang w:val="es-ES_tradnl"/>
        </w:rPr>
        <w:t>mapashitador</w:t>
      </w:r>
      <w:proofErr w:type="spellEnd"/>
      <w:r>
        <w:rPr>
          <w:color w:val="000000"/>
          <w:szCs w:val="25"/>
          <w:lang w:val="es-ES_tradnl"/>
        </w:rPr>
        <w:t xml:space="preserve">, </w:t>
      </w:r>
      <w:proofErr w:type="spellStart"/>
      <w:r>
        <w:rPr>
          <w:i/>
          <w:iCs/>
          <w:color w:val="000000"/>
          <w:szCs w:val="25"/>
          <w:lang w:val="es-ES_tradnl"/>
        </w:rPr>
        <w:t>shamanes</w:t>
      </w:r>
      <w:proofErr w:type="spellEnd"/>
      <w:r>
        <w:rPr>
          <w:color w:val="000000"/>
          <w:szCs w:val="25"/>
          <w:lang w:val="es-ES_tradnl"/>
        </w:rPr>
        <w:t>, etc.</w:t>
      </w:r>
    </w:p>
    <w:p w:rsidR="00000000" w:rsidRDefault="00000000">
      <w:pPr>
        <w:shd w:val="clear" w:color="auto" w:fill="FFFFFF"/>
        <w:spacing w:after="240"/>
      </w:pPr>
      <w:r>
        <w:rPr>
          <w:color w:val="000000"/>
          <w:szCs w:val="25"/>
        </w:rPr>
        <w:t>439.</w:t>
      </w:r>
      <w:r>
        <w:rPr>
          <w:color w:val="000000"/>
          <w:szCs w:val="25"/>
        </w:rPr>
        <w:tab/>
      </w:r>
      <w:r>
        <w:rPr>
          <w:color w:val="000000"/>
          <w:szCs w:val="25"/>
          <w:lang w:val="es-ES_tradnl"/>
        </w:rPr>
        <w:t xml:space="preserve">De los estudios realizados en nueve comunidades de Otavalo, los datos demuestran la no aceptación de la población indígena a los servicios formales de salud, esto se debe fundamentalmente a la existencia de un obstáculo cultural que tiene relación con el desconocimiento del personal de salud de su cosmovisión, del idioma y el alto costo de los tratamientos. Para superar estos problemas se hace necesario establecer un diálogo horizontal entre la medicina indígena y la medicina occidental y tratar de establecer un " sistema mixto de salud", que permita considerar la diversidad cultural en el tratamiento a los pacientes y que involucre los dos tipos de </w:t>
      </w:r>
      <w:proofErr w:type="spellStart"/>
      <w:r>
        <w:rPr>
          <w:color w:val="000000"/>
          <w:szCs w:val="25"/>
          <w:lang w:val="es-ES_tradnl"/>
        </w:rPr>
        <w:t>saberes</w:t>
      </w:r>
      <w:proofErr w:type="spellEnd"/>
      <w:r>
        <w:rPr>
          <w:color w:val="000000"/>
          <w:szCs w:val="25"/>
          <w:lang w:val="es-ES_tradnl"/>
        </w:rPr>
        <w:t>.</w:t>
      </w:r>
    </w:p>
    <w:p w:rsidR="00000000" w:rsidRDefault="00000000">
      <w:pPr>
        <w:shd w:val="clear" w:color="auto" w:fill="FFFFFF"/>
        <w:tabs>
          <w:tab w:val="left" w:pos="702"/>
        </w:tabs>
        <w:spacing w:after="240"/>
      </w:pPr>
      <w:r>
        <w:rPr>
          <w:color w:val="000000"/>
          <w:szCs w:val="25"/>
          <w:lang w:val="es-ES_tradnl"/>
        </w:rPr>
        <w:t>440.</w:t>
      </w:r>
      <w:r>
        <w:rPr>
          <w:color w:val="000000"/>
          <w:szCs w:val="25"/>
          <w:lang w:val="es-ES_tradnl"/>
        </w:rPr>
        <w:tab/>
        <w:t xml:space="preserve">Actualmente esta experiencia ha dado buenos resultados, es el caso de </w:t>
      </w:r>
      <w:proofErr w:type="spellStart"/>
      <w:r>
        <w:rPr>
          <w:color w:val="000000"/>
          <w:szCs w:val="25"/>
          <w:lang w:val="es-ES_tradnl"/>
        </w:rPr>
        <w:t>Jambi</w:t>
      </w:r>
      <w:proofErr w:type="spellEnd"/>
      <w:r>
        <w:rPr>
          <w:color w:val="000000"/>
          <w:szCs w:val="25"/>
          <w:lang w:val="es-ES_tradnl"/>
        </w:rPr>
        <w:t> </w:t>
      </w:r>
      <w:proofErr w:type="spellStart"/>
      <w:r>
        <w:rPr>
          <w:color w:val="000000"/>
          <w:szCs w:val="25"/>
          <w:lang w:val="es-ES_tradnl"/>
        </w:rPr>
        <w:t>Huasi</w:t>
      </w:r>
      <w:proofErr w:type="spellEnd"/>
      <w:r>
        <w:rPr>
          <w:color w:val="000000"/>
          <w:szCs w:val="25"/>
          <w:lang w:val="es-ES_tradnl"/>
        </w:rPr>
        <w:t>, en Otavalo y Saquisilí en Cotopaxi donde la atención médica se realiza en condición de mutuo respeto e igualdad entre los tipos de medicina y que permite al paciente elegir el tipo de atención que requiere, todo lo cual nos hace pensar la necesidad de extender esta experiencia en otros sectores del país en donde exista población indígena</w:t>
      </w:r>
      <w:r>
        <w:rPr>
          <w:rStyle w:val="FootnoteReference"/>
          <w:color w:val="000000"/>
          <w:szCs w:val="25"/>
          <w:lang w:val="es-ES_tradnl"/>
        </w:rPr>
        <w:footnoteReference w:id="65"/>
      </w:r>
      <w:r>
        <w:rPr>
          <w:color w:val="000000"/>
          <w:szCs w:val="25"/>
          <w:lang w:val="es-ES_tradnl"/>
        </w:rPr>
        <w:t>.</w:t>
      </w:r>
    </w:p>
    <w:p w:rsidR="00000000" w:rsidRDefault="00000000">
      <w:pPr>
        <w:keepNext/>
        <w:keepLines/>
        <w:shd w:val="clear" w:color="auto" w:fill="FFFFFF"/>
        <w:tabs>
          <w:tab w:val="left" w:pos="702"/>
        </w:tabs>
        <w:spacing w:after="240"/>
        <w:rPr>
          <w:i/>
          <w:iCs/>
        </w:rPr>
      </w:pPr>
      <w:r>
        <w:rPr>
          <w:i/>
          <w:iCs/>
          <w:color w:val="000000"/>
          <w:szCs w:val="25"/>
          <w:lang w:val="es-ES_tradnl"/>
        </w:rPr>
        <w:t>Medidas para combatir la insalubridad</w:t>
      </w:r>
    </w:p>
    <w:p w:rsidR="00000000" w:rsidRDefault="00000000">
      <w:pPr>
        <w:keepNext/>
        <w:keepLines/>
        <w:shd w:val="clear" w:color="auto" w:fill="FFFFFF"/>
        <w:spacing w:after="240"/>
      </w:pPr>
      <w:r>
        <w:rPr>
          <w:color w:val="000000"/>
          <w:szCs w:val="25"/>
          <w:lang w:val="es-ES_tradnl"/>
        </w:rPr>
        <w:t>441.</w:t>
      </w:r>
      <w:r>
        <w:rPr>
          <w:color w:val="000000"/>
          <w:szCs w:val="25"/>
          <w:lang w:val="es-ES_tradnl"/>
        </w:rPr>
        <w:tab/>
        <w:t>Se ha logrado incrementar la cobertura de agua potable y la eliminación de excretas y disposición de basuras en un 15% en relación con la situación anterior; se han diseñado procesos que aseguren adecuados niveles de calidad en ámbitos relativos a la protección sanitaria ciudadana especialmente relacionados con la elaboración de productos de consumo humano, muy particularmente de medicamentos y alimentos, así como en la prestación de servicios de salud, tanto desde la perspectiva de los usuarios, como también del cumplimiento de estándares técnicos, que incluyen acciones en el ámbito de servicios de salud, formación y desempeño de recursos humanos entre las más importantes.</w:t>
      </w:r>
    </w:p>
    <w:p w:rsidR="00000000" w:rsidRDefault="00000000">
      <w:pPr>
        <w:shd w:val="clear" w:color="auto" w:fill="FFFFFF"/>
        <w:spacing w:after="240"/>
      </w:pPr>
      <w:r>
        <w:rPr>
          <w:color w:val="000000"/>
          <w:szCs w:val="25"/>
          <w:lang w:val="es-ES_tradnl"/>
        </w:rPr>
        <w:t>442.</w:t>
      </w:r>
      <w:r>
        <w:rPr>
          <w:color w:val="000000"/>
          <w:szCs w:val="25"/>
          <w:lang w:val="es-ES_tradnl"/>
        </w:rPr>
        <w:tab/>
        <w:t>Con esa finalidad, el Gobierno nacional ha implementado desde fines del año 1999 el Plan Nacional de Salud que actualmente tiene cobertura en todo el país.</w:t>
      </w:r>
    </w:p>
    <w:p w:rsidR="00000000" w:rsidRDefault="00000000">
      <w:pPr>
        <w:shd w:val="clear" w:color="auto" w:fill="FFFFFF"/>
        <w:spacing w:after="240"/>
      </w:pPr>
      <w:r>
        <w:rPr>
          <w:color w:val="000000"/>
          <w:szCs w:val="25"/>
          <w:lang w:val="es-ES_tradnl"/>
        </w:rPr>
        <w:t>443.</w:t>
      </w:r>
      <w:r>
        <w:rPr>
          <w:color w:val="000000"/>
          <w:szCs w:val="25"/>
          <w:lang w:val="es-ES_tradnl"/>
        </w:rPr>
        <w:tab/>
        <w:t>El Estado garantiza el derecho a la salud, concebida doctrinariamente de las entidades del sector, básicamente.</w:t>
      </w:r>
    </w:p>
    <w:p w:rsidR="00000000" w:rsidRDefault="00000000">
      <w:pPr>
        <w:shd w:val="clear" w:color="auto" w:fill="FFFFFF"/>
        <w:spacing w:after="240"/>
      </w:pPr>
      <w:r>
        <w:rPr>
          <w:color w:val="000000"/>
          <w:szCs w:val="25"/>
        </w:rPr>
        <w:t>444.</w:t>
      </w:r>
      <w:r>
        <w:rPr>
          <w:color w:val="000000"/>
          <w:szCs w:val="25"/>
        </w:rPr>
        <w:tab/>
      </w:r>
      <w:r>
        <w:rPr>
          <w:color w:val="000000"/>
          <w:szCs w:val="25"/>
          <w:lang w:val="es-ES_tradnl"/>
        </w:rPr>
        <w:t xml:space="preserve">La estructura legal vigente establece que el Estado organizará el Sistema Nacional de Salud, que se integrará con las entidades públicas, autónomas y comunitarias del sector, debiendo funcionar de manera descentralizada, desconcentrada y participativa y que asegurará el </w:t>
      </w:r>
      <w:proofErr w:type="spellStart"/>
      <w:r>
        <w:rPr>
          <w:color w:val="000000"/>
          <w:szCs w:val="25"/>
          <w:lang w:val="es-ES_tradnl"/>
        </w:rPr>
        <w:t>financiamento</w:t>
      </w:r>
      <w:proofErr w:type="spellEnd"/>
      <w:r>
        <w:rPr>
          <w:color w:val="000000"/>
          <w:szCs w:val="25"/>
          <w:lang w:val="es-ES_tradnl"/>
        </w:rPr>
        <w:t xml:space="preserve"> para las entidades públicas del sistema, incluyendo la contribución de usuarios con capacidad de pago.</w:t>
      </w:r>
    </w:p>
    <w:p w:rsidR="00000000" w:rsidRDefault="00000000">
      <w:pPr>
        <w:shd w:val="clear" w:color="auto" w:fill="FFFFFF"/>
        <w:spacing w:after="240"/>
      </w:pPr>
      <w:r>
        <w:rPr>
          <w:color w:val="000000"/>
          <w:szCs w:val="25"/>
          <w:lang w:val="es-ES_tradnl"/>
        </w:rPr>
        <w:t>445.</w:t>
      </w:r>
      <w:r>
        <w:rPr>
          <w:color w:val="000000"/>
          <w:szCs w:val="25"/>
          <w:lang w:val="es-ES_tradnl"/>
        </w:rPr>
        <w:tab/>
        <w:t>El Plan Nacional de Salud del Estado está diseñado para en un tiempo de cinco años, de 2000 a 2005, y sus metas son:</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Reducir en 25% la mortalidad infantil;</w:t>
      </w:r>
    </w:p>
    <w:p w:rsidR="00000000" w:rsidRDefault="00000000">
      <w:pPr>
        <w:shd w:val="clear" w:color="auto" w:fill="FFFFFF"/>
        <w:spacing w:after="240"/>
        <w:ind w:left="1134" w:hanging="567"/>
      </w:pPr>
      <w:r>
        <w:rPr>
          <w:color w:val="000000"/>
          <w:szCs w:val="25"/>
          <w:lang w:val="es-ES_tradnl"/>
        </w:rPr>
        <w:t>b)</w:t>
      </w:r>
      <w:r>
        <w:rPr>
          <w:color w:val="000000"/>
          <w:szCs w:val="25"/>
          <w:lang w:val="es-ES_tradnl"/>
        </w:rPr>
        <w:tab/>
        <w:t>Reducir en 25% la mortalidad materna;</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Reducir la incidencia de esas enfermedades;</w:t>
      </w:r>
    </w:p>
    <w:p w:rsidR="00000000" w:rsidRDefault="00000000">
      <w:pPr>
        <w:shd w:val="clear" w:color="auto" w:fill="FFFFFF"/>
        <w:spacing w:after="240"/>
        <w:ind w:left="1134" w:hanging="567"/>
      </w:pPr>
      <w:r>
        <w:rPr>
          <w:color w:val="000000"/>
          <w:szCs w:val="25"/>
          <w:lang w:val="es-ES_tradnl"/>
        </w:rPr>
        <w:t>d)</w:t>
      </w:r>
      <w:r>
        <w:rPr>
          <w:color w:val="000000"/>
          <w:szCs w:val="25"/>
          <w:lang w:val="es-ES_tradnl"/>
        </w:rPr>
        <w:tab/>
        <w:t xml:space="preserve">Reducir en 25% la mortalidad por enfermedades emergentes y </w:t>
      </w:r>
      <w:proofErr w:type="spellStart"/>
      <w:r>
        <w:rPr>
          <w:color w:val="000000"/>
          <w:szCs w:val="25"/>
          <w:lang w:val="es-ES_tradnl"/>
        </w:rPr>
        <w:t>remergentes</w:t>
      </w:r>
      <w:proofErr w:type="spellEnd"/>
      <w:r>
        <w:rPr>
          <w:color w:val="000000"/>
          <w:szCs w:val="25"/>
          <w:lang w:val="es-ES_tradnl"/>
        </w:rPr>
        <w:t>;</w:t>
      </w:r>
    </w:p>
    <w:p w:rsidR="00000000" w:rsidRDefault="00000000">
      <w:pPr>
        <w:shd w:val="clear" w:color="auto" w:fill="FFFFFF"/>
        <w:spacing w:after="240"/>
        <w:ind w:left="1134" w:hanging="567"/>
      </w:pPr>
      <w:r>
        <w:rPr>
          <w:color w:val="000000"/>
          <w:szCs w:val="25"/>
          <w:lang w:val="es-ES_tradnl"/>
        </w:rPr>
        <w:t>e)</w:t>
      </w:r>
      <w:r>
        <w:rPr>
          <w:color w:val="000000"/>
          <w:szCs w:val="25"/>
          <w:lang w:val="es-ES_tradnl"/>
        </w:rPr>
        <w:tab/>
        <w:t>Disminuir la morbilidad y mortalidad en un 15%;</w:t>
      </w:r>
    </w:p>
    <w:p w:rsidR="00000000" w:rsidRDefault="00000000">
      <w:pPr>
        <w:shd w:val="clear" w:color="auto" w:fill="FFFFFF"/>
        <w:spacing w:after="240"/>
        <w:ind w:left="1134" w:hanging="567"/>
      </w:pPr>
      <w:r>
        <w:rPr>
          <w:color w:val="000000"/>
          <w:szCs w:val="25"/>
          <w:lang w:val="es-ES_tradnl"/>
        </w:rPr>
        <w:t>f)</w:t>
      </w:r>
      <w:r>
        <w:rPr>
          <w:color w:val="000000"/>
          <w:szCs w:val="25"/>
          <w:lang w:val="es-ES_tradnl"/>
        </w:rPr>
        <w:tab/>
        <w:t xml:space="preserve">Disminuir la </w:t>
      </w:r>
      <w:proofErr w:type="spellStart"/>
      <w:r>
        <w:rPr>
          <w:color w:val="000000"/>
          <w:szCs w:val="25"/>
          <w:lang w:val="es-ES_tradnl"/>
        </w:rPr>
        <w:t>prevalencia</w:t>
      </w:r>
      <w:proofErr w:type="spellEnd"/>
      <w:r>
        <w:rPr>
          <w:color w:val="000000"/>
          <w:szCs w:val="25"/>
          <w:lang w:val="es-ES_tradnl"/>
        </w:rPr>
        <w:t xml:space="preserve"> de caries y enfermedades </w:t>
      </w:r>
      <w:proofErr w:type="spellStart"/>
      <w:r>
        <w:rPr>
          <w:color w:val="000000"/>
          <w:szCs w:val="25"/>
          <w:lang w:val="es-ES_tradnl"/>
        </w:rPr>
        <w:t>periodontales</w:t>
      </w:r>
      <w:proofErr w:type="spellEnd"/>
      <w:r>
        <w:rPr>
          <w:color w:val="000000"/>
          <w:szCs w:val="25"/>
          <w:lang w:val="es-ES_tradnl"/>
        </w:rPr>
        <w:t xml:space="preserve"> en un 30%;</w:t>
      </w:r>
    </w:p>
    <w:p w:rsidR="00000000" w:rsidRDefault="00000000">
      <w:pPr>
        <w:shd w:val="clear" w:color="auto" w:fill="FFFFFF"/>
        <w:spacing w:after="240"/>
        <w:ind w:left="1134" w:hanging="567"/>
      </w:pPr>
      <w:r>
        <w:rPr>
          <w:color w:val="000000"/>
          <w:szCs w:val="25"/>
          <w:lang w:val="es-ES_tradnl"/>
        </w:rPr>
        <w:t>g)</w:t>
      </w:r>
      <w:r>
        <w:rPr>
          <w:color w:val="000000"/>
          <w:szCs w:val="25"/>
          <w:lang w:val="es-ES_tradnl"/>
        </w:rPr>
        <w:tab/>
        <w:t>Incrementar coberturas de agua potable y eliminación de excretas en un 15% en relación con la situación actual;</w:t>
      </w:r>
    </w:p>
    <w:p w:rsidR="00000000" w:rsidRDefault="00000000">
      <w:pPr>
        <w:shd w:val="clear" w:color="auto" w:fill="FFFFFF"/>
        <w:spacing w:after="240"/>
        <w:ind w:left="1134" w:hanging="567"/>
      </w:pPr>
      <w:r>
        <w:rPr>
          <w:color w:val="000000"/>
          <w:szCs w:val="25"/>
          <w:lang w:val="es-ES_tradnl"/>
        </w:rPr>
        <w:t>h)</w:t>
      </w:r>
      <w:r>
        <w:rPr>
          <w:color w:val="000000"/>
          <w:szCs w:val="25"/>
          <w:lang w:val="es-ES_tradnl"/>
        </w:rPr>
        <w:tab/>
        <w:t>Incrementar la cobertura de los servicios de salud en un 25% en relación con la situación actual;</w:t>
      </w:r>
    </w:p>
    <w:p w:rsidR="00000000" w:rsidRDefault="00000000">
      <w:pPr>
        <w:shd w:val="clear" w:color="auto" w:fill="FFFFFF"/>
        <w:spacing w:after="240"/>
        <w:ind w:left="1134" w:hanging="567"/>
      </w:pPr>
      <w:proofErr w:type="spellStart"/>
      <w:r>
        <w:rPr>
          <w:color w:val="000000"/>
          <w:szCs w:val="25"/>
          <w:lang w:val="es-ES_tradnl"/>
        </w:rPr>
        <w:t>i</w:t>
      </w:r>
      <w:proofErr w:type="spellEnd"/>
      <w:r>
        <w:rPr>
          <w:color w:val="000000"/>
          <w:szCs w:val="25"/>
          <w:lang w:val="es-ES_tradnl"/>
        </w:rPr>
        <w:t>)</w:t>
      </w:r>
      <w:r>
        <w:rPr>
          <w:color w:val="000000"/>
          <w:szCs w:val="25"/>
          <w:lang w:val="es-ES_tradnl"/>
        </w:rPr>
        <w:tab/>
        <w:t>Modernizar el Ministerio de Salud Pública para dar cumplimiento a los nuevos roles del Estado en salud en todos sus niveles gerenciales y de operación.</w:t>
      </w:r>
    </w:p>
    <w:p w:rsidR="00000000" w:rsidRDefault="00000000">
      <w:pPr>
        <w:shd w:val="clear" w:color="auto" w:fill="FFFFFF"/>
        <w:tabs>
          <w:tab w:val="left" w:pos="702"/>
        </w:tabs>
        <w:spacing w:after="240"/>
        <w:rPr>
          <w:color w:val="000000"/>
          <w:szCs w:val="25"/>
          <w:lang w:val="es-ES_tradnl"/>
        </w:rPr>
      </w:pPr>
      <w:r>
        <w:rPr>
          <w:color w:val="000000"/>
          <w:szCs w:val="25"/>
          <w:lang w:val="es-ES_tradnl"/>
        </w:rPr>
        <w:t>446.</w:t>
      </w:r>
      <w:r>
        <w:rPr>
          <w:color w:val="000000"/>
          <w:szCs w:val="25"/>
          <w:lang w:val="es-ES_tradnl"/>
        </w:rPr>
        <w:tab/>
        <w:t>El Estado pretende el fortalecimiento de la Dirección Nacional de Salud Ambiental del Ministerio y la coordinación permanente con los Ministerios de Vivienda y Medio Ambiente, a fin de contribuir al posicionamiento político de la salud ambiental, al establecimiento del sistema de vigilancia sanitario-ambiental y la generación de normativas nacionales de la atención primaria ambiental, así como al saneamiento básico mediante el impulso al diseño e implementación de tecnología alternativa para la dotación de agua segura, eliminación de excretas y desechos, particularmente en sectores rurales, la normalización y vigilancia de efectos en la salud por riesgos ambientales y desastres naturales, al desarrollo de programas de prevención y control frente a la contaminación ambiental de fuentes hídricos, aire y suelo y del programa de desechos hospitalarios, la prevención, detección temprana y control de riesgos ocupacionales, la vigilancia epidemiológica de enfermedades ocupacionales y la coordinación de servicios de salud con departamentos de seguridad industrial y medicina del trabajo.</w:t>
      </w:r>
    </w:p>
    <w:p w:rsidR="00000000" w:rsidRDefault="00000000">
      <w:pPr>
        <w:shd w:val="clear" w:color="auto" w:fill="FFFFFF"/>
        <w:spacing w:after="240"/>
      </w:pPr>
      <w:r>
        <w:rPr>
          <w:b/>
          <w:bCs/>
          <w:color w:val="000000"/>
          <w:szCs w:val="25"/>
          <w:lang w:val="es-ES_tradnl"/>
        </w:rPr>
        <w:t>Reducción de la mortalidad infantil</w:t>
      </w:r>
    </w:p>
    <w:p w:rsidR="00000000" w:rsidRDefault="00000000">
      <w:pPr>
        <w:shd w:val="clear" w:color="auto" w:fill="FFFFFF"/>
        <w:spacing w:after="240"/>
      </w:pPr>
      <w:r>
        <w:rPr>
          <w:color w:val="000000"/>
          <w:szCs w:val="25"/>
          <w:lang w:val="es-ES_tradnl"/>
        </w:rPr>
        <w:t>447.</w:t>
      </w:r>
      <w:r>
        <w:rPr>
          <w:color w:val="000000"/>
          <w:szCs w:val="25"/>
          <w:lang w:val="es-ES_tradnl"/>
        </w:rPr>
        <w:tab/>
        <w:t>Las medidas adoptadas por el Gobierno a través del Ministerio de Salud Pública para reducir la mortalidad y morbilidad infantil son:</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Control del crecimiento y desarrollo infantil, para la detección oportuna de niños desnutridos o en riesgo de desnutrición o con problemas de desarrollo psicomotor.</w:t>
      </w:r>
    </w:p>
    <w:p w:rsidR="00000000" w:rsidRDefault="00000000">
      <w:pPr>
        <w:shd w:val="clear" w:color="auto" w:fill="FFFFFF"/>
        <w:spacing w:after="240"/>
        <w:ind w:left="1134" w:hanging="567"/>
      </w:pPr>
      <w:r>
        <w:rPr>
          <w:color w:val="000000"/>
          <w:szCs w:val="25"/>
          <w:lang w:val="es-ES_tradnl"/>
        </w:rPr>
        <w:t>b)</w:t>
      </w:r>
      <w:r>
        <w:rPr>
          <w:color w:val="000000"/>
          <w:szCs w:val="25"/>
          <w:lang w:val="es-ES_tradnl"/>
        </w:rPr>
        <w:tab/>
        <w:t xml:space="preserve">Atención integral de las enfermedades </w:t>
      </w:r>
      <w:proofErr w:type="spellStart"/>
      <w:r>
        <w:rPr>
          <w:color w:val="000000"/>
          <w:szCs w:val="25"/>
          <w:lang w:val="es-ES_tradnl"/>
        </w:rPr>
        <w:t>prevalentes</w:t>
      </w:r>
      <w:proofErr w:type="spellEnd"/>
      <w:r>
        <w:rPr>
          <w:color w:val="000000"/>
          <w:szCs w:val="25"/>
          <w:lang w:val="es-ES_tradnl"/>
        </w:rPr>
        <w:t xml:space="preserve"> de la infancia (</w:t>
      </w:r>
      <w:proofErr w:type="spellStart"/>
      <w:r>
        <w:rPr>
          <w:color w:val="000000"/>
          <w:szCs w:val="25"/>
          <w:lang w:val="es-ES_tradnl"/>
        </w:rPr>
        <w:t>AIEPI</w:t>
      </w:r>
      <w:proofErr w:type="spellEnd"/>
      <w:r>
        <w:rPr>
          <w:color w:val="000000"/>
          <w:szCs w:val="25"/>
          <w:lang w:val="es-ES_tradnl"/>
        </w:rPr>
        <w:t xml:space="preserve">).  La estrategia promueve dentro de sus actividades la participación efectiva de la comunidad en el cuidado infantil ampliado medidas de promoción, prevención y recuperación oportuna de enfermedades </w:t>
      </w:r>
      <w:proofErr w:type="spellStart"/>
      <w:r>
        <w:rPr>
          <w:color w:val="000000"/>
          <w:szCs w:val="25"/>
          <w:lang w:val="es-ES_tradnl"/>
        </w:rPr>
        <w:t>prevalentes</w:t>
      </w:r>
      <w:proofErr w:type="spellEnd"/>
      <w:r>
        <w:rPr>
          <w:color w:val="000000"/>
          <w:szCs w:val="25"/>
          <w:lang w:val="es-ES_tradnl"/>
        </w:rPr>
        <w:t>.</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 xml:space="preserve">Fomento de la </w:t>
      </w:r>
      <w:r>
        <w:t>lactancia</w:t>
      </w:r>
      <w:r>
        <w:rPr>
          <w:color w:val="000000"/>
          <w:szCs w:val="25"/>
          <w:lang w:val="es-ES_tradnl"/>
        </w:rPr>
        <w:t xml:space="preserve"> materna.  La mejor forma de alimentar a un niño desde su nacimiento es el amamantamiento exclusivo hasta los seis meses de edad.</w:t>
      </w:r>
    </w:p>
    <w:p w:rsidR="00000000" w:rsidRDefault="00000000">
      <w:pPr>
        <w:shd w:val="clear" w:color="auto" w:fill="FFFFFF"/>
        <w:spacing w:after="240"/>
        <w:ind w:left="1134" w:hanging="567"/>
      </w:pPr>
      <w:r>
        <w:rPr>
          <w:color w:val="000000"/>
          <w:szCs w:val="25"/>
          <w:lang w:val="es-ES_tradnl"/>
        </w:rPr>
        <w:t>d)</w:t>
      </w:r>
      <w:r>
        <w:rPr>
          <w:color w:val="000000"/>
          <w:szCs w:val="25"/>
          <w:lang w:val="es-ES_tradnl"/>
        </w:rPr>
        <w:tab/>
        <w:t xml:space="preserve">Programa ampliado de inmunizaciones.  Mantenimiento de coberturas útiles de vacunas existentes e introducción progresiva de nuevas vacunas contra enfermedades tales como la </w:t>
      </w:r>
      <w:proofErr w:type="spellStart"/>
      <w:r>
        <w:rPr>
          <w:color w:val="000000"/>
          <w:szCs w:val="25"/>
          <w:lang w:val="es-ES_tradnl"/>
        </w:rPr>
        <w:t>rubeola</w:t>
      </w:r>
      <w:proofErr w:type="spellEnd"/>
      <w:r>
        <w:rPr>
          <w:color w:val="000000"/>
          <w:szCs w:val="25"/>
          <w:lang w:val="es-ES_tradnl"/>
        </w:rPr>
        <w:t xml:space="preserve">, </w:t>
      </w:r>
      <w:proofErr w:type="spellStart"/>
      <w:r>
        <w:rPr>
          <w:color w:val="000000"/>
          <w:szCs w:val="25"/>
          <w:lang w:val="es-ES_tradnl"/>
        </w:rPr>
        <w:t>partioditis</w:t>
      </w:r>
      <w:proofErr w:type="spellEnd"/>
      <w:r>
        <w:rPr>
          <w:color w:val="000000"/>
          <w:szCs w:val="25"/>
          <w:lang w:val="es-ES_tradnl"/>
        </w:rPr>
        <w:t>, hepatitis B, meningitis; reforzamiento de vacunación antitetánica en mujeres de edad fértil y contra la fiebre amarilla en zonas de riesgo.</w:t>
      </w:r>
    </w:p>
    <w:p w:rsidR="00000000" w:rsidRDefault="00000000">
      <w:pPr>
        <w:shd w:val="clear" w:color="auto" w:fill="FFFFFF"/>
        <w:spacing w:after="240"/>
        <w:ind w:left="1134" w:hanging="567"/>
      </w:pPr>
      <w:r>
        <w:rPr>
          <w:color w:val="000000"/>
          <w:szCs w:val="25"/>
          <w:lang w:val="es-ES_tradnl"/>
        </w:rPr>
        <w:t>e)</w:t>
      </w:r>
      <w:r>
        <w:rPr>
          <w:color w:val="000000"/>
          <w:szCs w:val="25"/>
          <w:lang w:val="es-ES_tradnl"/>
        </w:rPr>
        <w:tab/>
        <w:t xml:space="preserve">Programas de complementación </w:t>
      </w:r>
      <w:proofErr w:type="spellStart"/>
      <w:r>
        <w:rPr>
          <w:color w:val="000000"/>
          <w:szCs w:val="25"/>
          <w:lang w:val="es-ES_tradnl"/>
        </w:rPr>
        <w:t>alimentaria</w:t>
      </w:r>
      <w:proofErr w:type="spellEnd"/>
      <w:r>
        <w:rPr>
          <w:color w:val="000000"/>
          <w:szCs w:val="25"/>
          <w:lang w:val="es-ES_tradnl"/>
        </w:rPr>
        <w:t xml:space="preserve">, mediante la entrega de raciones </w:t>
      </w:r>
      <w:proofErr w:type="spellStart"/>
      <w:r>
        <w:rPr>
          <w:color w:val="000000"/>
          <w:szCs w:val="25"/>
          <w:lang w:val="es-ES_tradnl"/>
        </w:rPr>
        <w:t>alimentarias</w:t>
      </w:r>
      <w:proofErr w:type="spellEnd"/>
      <w:r>
        <w:rPr>
          <w:color w:val="000000"/>
          <w:szCs w:val="25"/>
          <w:lang w:val="es-ES_tradnl"/>
        </w:rPr>
        <w:t xml:space="preserve"> a escala nacional, para niños en riesgo de desnutrición y desnutridos hasta la recuperación.</w:t>
      </w:r>
    </w:p>
    <w:p w:rsidR="00000000" w:rsidRDefault="00000000">
      <w:pPr>
        <w:shd w:val="clear" w:color="auto" w:fill="FFFFFF"/>
        <w:spacing w:after="240"/>
        <w:ind w:left="1134" w:hanging="567"/>
      </w:pPr>
      <w:r>
        <w:rPr>
          <w:color w:val="000000"/>
          <w:szCs w:val="25"/>
          <w:lang w:val="es-ES_tradnl"/>
        </w:rPr>
        <w:t>f)</w:t>
      </w:r>
      <w:r>
        <w:rPr>
          <w:color w:val="000000"/>
          <w:szCs w:val="25"/>
          <w:lang w:val="es-ES_tradnl"/>
        </w:rPr>
        <w:tab/>
        <w:t xml:space="preserve">Programa de integración de </w:t>
      </w:r>
      <w:proofErr w:type="spellStart"/>
      <w:r>
        <w:rPr>
          <w:color w:val="000000"/>
          <w:szCs w:val="25"/>
          <w:lang w:val="es-ES_tradnl"/>
        </w:rPr>
        <w:t>micronutrientes</w:t>
      </w:r>
      <w:proofErr w:type="spellEnd"/>
      <w:r>
        <w:rPr>
          <w:color w:val="000000"/>
          <w:szCs w:val="25"/>
          <w:lang w:val="es-ES_tradnl"/>
        </w:rPr>
        <w:t xml:space="preserve">.  Suplementos con </w:t>
      </w:r>
      <w:proofErr w:type="spellStart"/>
      <w:r>
        <w:rPr>
          <w:color w:val="000000"/>
          <w:szCs w:val="25"/>
          <w:lang w:val="es-ES_tradnl"/>
        </w:rPr>
        <w:t>micronutrientes</w:t>
      </w:r>
      <w:proofErr w:type="spellEnd"/>
      <w:r>
        <w:rPr>
          <w:color w:val="000000"/>
          <w:szCs w:val="25"/>
          <w:lang w:val="es-ES_tradnl"/>
        </w:rPr>
        <w:t xml:space="preserve">, hierro y vitamina A, dirigido a madres embarazadas y niños menores de un año.  Tiene una cobertura nacional y está implementado a través de todas las unidades operativas del país, con el apoyo del MSP y la cooperación internacional.  Fortificación de alimentos de consumo masivo, harina, con hierro, ácido fólico, vitaminas del complejo B y </w:t>
      </w:r>
      <w:proofErr w:type="spellStart"/>
      <w:r>
        <w:rPr>
          <w:color w:val="000000"/>
          <w:szCs w:val="25"/>
          <w:lang w:val="es-ES_tradnl"/>
        </w:rPr>
        <w:t>niacina</w:t>
      </w:r>
      <w:proofErr w:type="spellEnd"/>
      <w:r>
        <w:rPr>
          <w:color w:val="000000"/>
          <w:szCs w:val="25"/>
          <w:lang w:val="es-ES_tradnl"/>
        </w:rPr>
        <w:t xml:space="preserve"> y sal flúor y yodo.</w:t>
      </w:r>
    </w:p>
    <w:p w:rsidR="00000000" w:rsidRDefault="00000000">
      <w:pPr>
        <w:keepNext/>
        <w:keepLines/>
        <w:shd w:val="clear" w:color="auto" w:fill="FFFFFF"/>
        <w:tabs>
          <w:tab w:val="left" w:pos="702"/>
        </w:tabs>
        <w:spacing w:after="240"/>
      </w:pPr>
      <w:r>
        <w:rPr>
          <w:color w:val="000000"/>
          <w:szCs w:val="25"/>
          <w:lang w:val="es-ES_tradnl"/>
        </w:rPr>
        <w:t>448.</w:t>
      </w:r>
      <w:r>
        <w:rPr>
          <w:color w:val="000000"/>
          <w:szCs w:val="25"/>
          <w:lang w:val="es-ES_tradnl"/>
        </w:rPr>
        <w:tab/>
        <w:t>En lo que respecta a la higiene ambiental, las medidas son:</w:t>
      </w:r>
    </w:p>
    <w:p w:rsidR="00000000" w:rsidRDefault="00000000">
      <w:pPr>
        <w:keepNext/>
        <w:keepLines/>
        <w:shd w:val="clear" w:color="auto" w:fill="FFFFFF"/>
        <w:spacing w:after="240"/>
        <w:ind w:left="1134" w:hanging="567"/>
      </w:pPr>
      <w:r>
        <w:rPr>
          <w:color w:val="000000"/>
          <w:szCs w:val="25"/>
          <w:lang w:val="es-ES_tradnl"/>
        </w:rPr>
        <w:t>a)</w:t>
      </w:r>
      <w:r>
        <w:rPr>
          <w:color w:val="000000"/>
          <w:szCs w:val="25"/>
          <w:lang w:val="es-ES_tradnl"/>
        </w:rPr>
        <w:tab/>
        <w:t>Ley de Medio Ambiente, expedida por el Congreso Nacional, el 10 de junio de 1999.</w:t>
      </w:r>
    </w:p>
    <w:p w:rsidR="00000000" w:rsidRDefault="00000000">
      <w:pPr>
        <w:keepNext/>
        <w:keepLines/>
        <w:shd w:val="clear" w:color="auto" w:fill="FFFFFF"/>
        <w:spacing w:after="240"/>
        <w:ind w:left="1134" w:hanging="567"/>
      </w:pPr>
      <w:r>
        <w:rPr>
          <w:color w:val="000000"/>
          <w:szCs w:val="25"/>
        </w:rPr>
        <w:t>b)</w:t>
      </w:r>
      <w:r>
        <w:rPr>
          <w:color w:val="000000"/>
          <w:szCs w:val="25"/>
        </w:rPr>
        <w:tab/>
      </w:r>
      <w:r>
        <w:rPr>
          <w:color w:val="000000"/>
          <w:szCs w:val="25"/>
          <w:lang w:val="es-ES_tradnl"/>
        </w:rPr>
        <w:t>Código del Trabajo, en el Régimen Laboral ecuatoriano:  Reglamento de Seguridad y Salud de los Trabajadores y mejoramiento del Medio Ambiente de Trabajo (octava edición de octubre de 1997).</w:t>
      </w:r>
    </w:p>
    <w:p w:rsidR="00000000" w:rsidRDefault="00000000">
      <w:pPr>
        <w:shd w:val="clear" w:color="auto" w:fill="FFFFFF"/>
        <w:spacing w:after="240"/>
        <w:ind w:left="1134" w:hanging="567"/>
      </w:pPr>
      <w:r>
        <w:rPr>
          <w:color w:val="000000"/>
          <w:szCs w:val="25"/>
        </w:rPr>
        <w:t>c)</w:t>
      </w:r>
      <w:r>
        <w:rPr>
          <w:color w:val="000000"/>
          <w:szCs w:val="25"/>
        </w:rPr>
        <w:tab/>
      </w:r>
      <w:r>
        <w:rPr>
          <w:color w:val="000000"/>
          <w:szCs w:val="25"/>
          <w:lang w:val="es-ES_tradnl"/>
        </w:rPr>
        <w:t xml:space="preserve">Reglamento de Seguridad y Salud de los Trabajadores y Mejoramiento del Medio Ambiente de Trabajo, por Decreto </w:t>
      </w:r>
      <w:proofErr w:type="spellStart"/>
      <w:r>
        <w:rPr>
          <w:color w:val="000000"/>
          <w:szCs w:val="25"/>
          <w:lang w:val="es-ES_tradnl"/>
        </w:rPr>
        <w:t>Nº</w:t>
      </w:r>
      <w:proofErr w:type="spellEnd"/>
      <w:r>
        <w:rPr>
          <w:color w:val="000000"/>
          <w:szCs w:val="25"/>
          <w:lang w:val="es-ES_tradnl"/>
        </w:rPr>
        <w:t> 2393, en Quito en 1986.</w:t>
      </w:r>
    </w:p>
    <w:p w:rsidR="00000000" w:rsidRDefault="00000000">
      <w:pPr>
        <w:shd w:val="clear" w:color="auto" w:fill="FFFFFF"/>
        <w:spacing w:after="240"/>
        <w:ind w:left="1134" w:hanging="567"/>
      </w:pPr>
      <w:r>
        <w:rPr>
          <w:color w:val="000000"/>
          <w:szCs w:val="25"/>
          <w:lang w:val="es-ES_tradnl"/>
        </w:rPr>
        <w:t>d)</w:t>
      </w:r>
      <w:r>
        <w:rPr>
          <w:color w:val="000000"/>
          <w:szCs w:val="25"/>
          <w:lang w:val="es-ES_tradnl"/>
        </w:rPr>
        <w:tab/>
        <w:t>Ordenanza metropolitana substitutiva del capítulo III, del título V, del libro segundo del Código Municipal, para la prevención y control de la contaminación por las descargas líquidas y las emisiones al aire de fuentes fijas, emitida por la Dirección de Medio Ambiente del Municipio del Distrito Metropolitano de Quito, vigente desde el 5 de noviembre de 1998.  Además, el control y planes de emergencia, caracterización del agua y la contaminación del medio ambiente.</w:t>
      </w:r>
    </w:p>
    <w:p w:rsidR="00000000" w:rsidRDefault="00000000">
      <w:pPr>
        <w:shd w:val="clear" w:color="auto" w:fill="FFFFFF"/>
        <w:spacing w:after="240"/>
        <w:ind w:left="1134" w:hanging="567"/>
      </w:pPr>
      <w:r>
        <w:rPr>
          <w:color w:val="000000"/>
          <w:szCs w:val="25"/>
          <w:lang w:val="es-ES_tradnl"/>
        </w:rPr>
        <w:t>e)</w:t>
      </w:r>
      <w:r>
        <w:rPr>
          <w:color w:val="000000"/>
          <w:szCs w:val="25"/>
          <w:lang w:val="es-ES_tradnl"/>
        </w:rPr>
        <w:tab/>
        <w:t xml:space="preserve">Control de productos químicos por el CONSEP (Ley </w:t>
      </w:r>
      <w:proofErr w:type="spellStart"/>
      <w:r>
        <w:rPr>
          <w:color w:val="000000"/>
          <w:szCs w:val="25"/>
          <w:lang w:val="es-ES_tradnl"/>
        </w:rPr>
        <w:t>Nº</w:t>
      </w:r>
      <w:proofErr w:type="spellEnd"/>
      <w:r>
        <w:rPr>
          <w:color w:val="000000"/>
          <w:szCs w:val="25"/>
          <w:lang w:val="es-ES_tradnl"/>
        </w:rPr>
        <w:t xml:space="preserve"> 108, </w:t>
      </w:r>
      <w:r>
        <w:rPr>
          <w:i/>
          <w:iCs/>
          <w:color w:val="000000"/>
          <w:szCs w:val="25"/>
          <w:lang w:val="es-ES_tradnl"/>
        </w:rPr>
        <w:t>Registro Oficial</w:t>
      </w:r>
      <w:r>
        <w:rPr>
          <w:color w:val="000000"/>
          <w:szCs w:val="25"/>
          <w:lang w:val="es-ES_tradnl"/>
        </w:rPr>
        <w:t xml:space="preserve"> </w:t>
      </w:r>
      <w:proofErr w:type="spellStart"/>
      <w:r>
        <w:rPr>
          <w:color w:val="000000"/>
          <w:szCs w:val="25"/>
          <w:lang w:val="es-ES_tradnl"/>
        </w:rPr>
        <w:t>Nº</w:t>
      </w:r>
      <w:proofErr w:type="spellEnd"/>
      <w:r>
        <w:rPr>
          <w:color w:val="000000"/>
          <w:szCs w:val="25"/>
          <w:lang w:val="es-ES_tradnl"/>
        </w:rPr>
        <w:t> 523 de 17 de septiembre de 1990.</w:t>
      </w:r>
    </w:p>
    <w:p w:rsidR="00000000" w:rsidRDefault="00000000">
      <w:pPr>
        <w:shd w:val="clear" w:color="auto" w:fill="FFFFFF"/>
        <w:spacing w:after="240"/>
        <w:ind w:left="1134" w:hanging="567"/>
      </w:pPr>
      <w:r>
        <w:rPr>
          <w:color w:val="000000"/>
          <w:szCs w:val="25"/>
          <w:lang w:val="es-ES_tradnl"/>
        </w:rPr>
        <w:t>f)</w:t>
      </w:r>
      <w:r>
        <w:rPr>
          <w:color w:val="000000"/>
          <w:szCs w:val="25"/>
          <w:lang w:val="es-ES_tradnl"/>
        </w:rPr>
        <w:tab/>
        <w:t>Ley de defensa contra incendios por el Cuerpo de Bomberos de Pichincha.</w:t>
      </w:r>
    </w:p>
    <w:p w:rsidR="00000000" w:rsidRDefault="00000000">
      <w:pPr>
        <w:shd w:val="clear" w:color="auto" w:fill="FFFFFF"/>
        <w:spacing w:after="240"/>
        <w:ind w:left="1134" w:hanging="567"/>
      </w:pPr>
      <w:r>
        <w:rPr>
          <w:color w:val="000000"/>
          <w:szCs w:val="25"/>
          <w:lang w:val="es-ES_tradnl"/>
        </w:rPr>
        <w:t>g)</w:t>
      </w:r>
      <w:r>
        <w:rPr>
          <w:color w:val="000000"/>
          <w:szCs w:val="25"/>
          <w:lang w:val="es-ES_tradnl"/>
        </w:rPr>
        <w:tab/>
        <w:t>Protocolo de Montreal.</w:t>
      </w:r>
    </w:p>
    <w:p w:rsidR="00000000" w:rsidRDefault="00000000">
      <w:pPr>
        <w:shd w:val="clear" w:color="auto" w:fill="FFFFFF"/>
        <w:spacing w:after="240"/>
        <w:ind w:left="1134" w:hanging="567"/>
        <w:rPr>
          <w:lang w:val="es-ES_tradnl"/>
        </w:rPr>
      </w:pPr>
      <w:r>
        <w:rPr>
          <w:color w:val="000000"/>
          <w:szCs w:val="25"/>
          <w:lang w:val="es-ES_tradnl"/>
        </w:rPr>
        <w:t>h)</w:t>
      </w:r>
      <w:r>
        <w:rPr>
          <w:color w:val="000000"/>
          <w:szCs w:val="25"/>
          <w:lang w:val="es-ES_tradnl"/>
        </w:rPr>
        <w:tab/>
        <w:t>OIT.</w:t>
      </w:r>
    </w:p>
    <w:p w:rsidR="00000000" w:rsidRDefault="00000000">
      <w:pPr>
        <w:shd w:val="clear" w:color="auto" w:fill="FFFFFF"/>
        <w:spacing w:after="240"/>
      </w:pPr>
      <w:r>
        <w:rPr>
          <w:color w:val="000000"/>
          <w:szCs w:val="25"/>
          <w:lang w:val="es-ES_tradnl"/>
        </w:rPr>
        <w:t>449.</w:t>
      </w:r>
      <w:r>
        <w:rPr>
          <w:color w:val="000000"/>
          <w:szCs w:val="25"/>
          <w:lang w:val="es-ES_tradnl"/>
        </w:rPr>
        <w:tab/>
        <w:t>El Estado protegerá el derecho de la población a vivir en un medio ambiente sano y ecológicamente equilibrado, que garantice un desarrollo sustentable y velará para que este derecho no sea afectado y garantiza la preservación de la naturaleza.</w:t>
      </w:r>
    </w:p>
    <w:p w:rsidR="00000000" w:rsidRDefault="00000000">
      <w:pPr>
        <w:shd w:val="clear" w:color="auto" w:fill="FFFFFF"/>
        <w:spacing w:after="240"/>
        <w:rPr>
          <w:color w:val="000000"/>
          <w:szCs w:val="25"/>
          <w:lang w:val="es-ES_tradnl"/>
        </w:rPr>
      </w:pPr>
      <w:r>
        <w:rPr>
          <w:color w:val="000000"/>
          <w:szCs w:val="25"/>
        </w:rPr>
        <w:t>450.</w:t>
      </w:r>
      <w:r>
        <w:rPr>
          <w:color w:val="000000"/>
          <w:szCs w:val="25"/>
        </w:rPr>
        <w:tab/>
      </w:r>
      <w:r>
        <w:rPr>
          <w:color w:val="000000"/>
          <w:szCs w:val="25"/>
          <w:lang w:val="es-ES_tradnl"/>
        </w:rPr>
        <w:t>El Estado tomará medidas orientadas a la consecución de los siguientes objetivos:</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Promover en el sector público y privado el uso de tecnologías ambientales limpias de energías alternativas no contaminantes;</w:t>
      </w:r>
    </w:p>
    <w:p w:rsidR="00000000" w:rsidRDefault="00000000">
      <w:pPr>
        <w:shd w:val="clear" w:color="auto" w:fill="FFFFFF"/>
        <w:spacing w:after="240"/>
        <w:ind w:left="1134" w:hanging="567"/>
      </w:pPr>
      <w:r>
        <w:rPr>
          <w:color w:val="000000"/>
          <w:szCs w:val="25"/>
          <w:lang w:val="es-ES_tradnl"/>
        </w:rPr>
        <w:t>b)</w:t>
      </w:r>
      <w:r>
        <w:rPr>
          <w:color w:val="000000"/>
          <w:szCs w:val="25"/>
          <w:lang w:val="es-ES_tradnl"/>
        </w:rPr>
        <w:tab/>
        <w:t>Establecer estímulos tributarios para quienes realicen acciones ambientales sanas;</w:t>
      </w:r>
    </w:p>
    <w:p w:rsidR="00000000" w:rsidRDefault="00000000">
      <w:pPr>
        <w:shd w:val="clear" w:color="auto" w:fill="FFFFFF"/>
        <w:spacing w:after="240"/>
        <w:ind w:left="1134" w:hanging="567"/>
      </w:pPr>
      <w:r>
        <w:rPr>
          <w:color w:val="000000"/>
          <w:szCs w:val="25"/>
          <w:lang w:val="es-ES_tradnl"/>
        </w:rPr>
        <w:t>c)</w:t>
      </w:r>
      <w:r>
        <w:rPr>
          <w:color w:val="000000"/>
          <w:szCs w:val="25"/>
          <w:lang w:val="es-ES_tradnl"/>
        </w:rPr>
        <w:tab/>
        <w:t>Prohibir la fabricación, importación, tenencia y uso de armas químicas, biológicas y nucleares, así como la introducción al territorio nacional de residuos nucleares y desechos tóxicos;</w:t>
      </w:r>
    </w:p>
    <w:p w:rsidR="00000000" w:rsidRDefault="00000000">
      <w:pPr>
        <w:shd w:val="clear" w:color="auto" w:fill="FFFFFF"/>
        <w:spacing w:after="240"/>
        <w:ind w:left="1134" w:hanging="567"/>
      </w:pPr>
      <w:r>
        <w:rPr>
          <w:color w:val="000000"/>
          <w:szCs w:val="25"/>
          <w:lang w:val="es-ES_tradnl"/>
        </w:rPr>
        <w:t>d)</w:t>
      </w:r>
      <w:r>
        <w:rPr>
          <w:color w:val="000000"/>
          <w:szCs w:val="25"/>
          <w:lang w:val="es-ES_tradnl"/>
        </w:rPr>
        <w:tab/>
        <w:t>Normar la producción importación, distribución y uso de aquellas sustancias que, no obstante su utilidad, sean tóxicas y nocivas para las personas y el medio ambiente.</w:t>
      </w:r>
    </w:p>
    <w:p w:rsidR="00000000" w:rsidRDefault="00000000">
      <w:pPr>
        <w:shd w:val="clear" w:color="auto" w:fill="FFFFFF"/>
        <w:spacing w:after="240"/>
      </w:pPr>
      <w:r>
        <w:rPr>
          <w:color w:val="000000"/>
          <w:szCs w:val="25"/>
          <w:lang w:val="es-ES_tradnl"/>
        </w:rPr>
        <w:t>451.</w:t>
      </w:r>
      <w:r>
        <w:rPr>
          <w:color w:val="000000"/>
          <w:szCs w:val="25"/>
          <w:lang w:val="es-ES_tradnl"/>
        </w:rPr>
        <w:tab/>
        <w:t>El Ministerio de Salud Pública a través de la Dirección Nacional de Salud Ambiental creada en abril de 1994, se encarga de velar por la salud ambiental y tiene como su función normar, vigilar y evaluar los efectos en la salud por procesos ambientales, se basa en el subsistema de información en salud ambiental.</w:t>
      </w:r>
    </w:p>
    <w:p w:rsidR="00000000" w:rsidRDefault="00000000">
      <w:pPr>
        <w:shd w:val="clear" w:color="auto" w:fill="FFFFFF"/>
        <w:spacing w:after="240"/>
        <w:rPr>
          <w:i/>
          <w:iCs/>
        </w:rPr>
      </w:pPr>
      <w:r>
        <w:rPr>
          <w:i/>
          <w:iCs/>
          <w:color w:val="000000"/>
          <w:szCs w:val="25"/>
          <w:lang w:val="es-ES_tradnl"/>
        </w:rPr>
        <w:t>Prevención de enfermedades endémicas</w:t>
      </w:r>
    </w:p>
    <w:p w:rsidR="00000000" w:rsidRDefault="00000000">
      <w:pPr>
        <w:shd w:val="clear" w:color="auto" w:fill="FFFFFF"/>
        <w:spacing w:after="240"/>
      </w:pPr>
      <w:r>
        <w:rPr>
          <w:color w:val="000000"/>
          <w:szCs w:val="25"/>
          <w:lang w:val="es-ES_tradnl"/>
        </w:rPr>
        <w:t>452.</w:t>
      </w:r>
      <w:r>
        <w:rPr>
          <w:color w:val="000000"/>
          <w:szCs w:val="25"/>
          <w:lang w:val="es-ES_tradnl"/>
        </w:rPr>
        <w:tab/>
        <w:t>El Ecuador ha sufrido en la última década, el embate de la naturaleza (desastre de la Josefina, fenómeno de El Niño, terremotos de Pujilí y Bahía de Caráquez, reactivación de la actividad volcánica del Pichincha y Tungurahua, etc.), cuyos efectos negativos sobre la población crean demandas extraordinarias sobre el sector de la salud.</w:t>
      </w:r>
    </w:p>
    <w:p w:rsidR="00000000" w:rsidRDefault="00000000">
      <w:pPr>
        <w:shd w:val="clear" w:color="auto" w:fill="FFFFFF"/>
        <w:spacing w:after="240"/>
      </w:pPr>
      <w:r>
        <w:rPr>
          <w:color w:val="000000"/>
          <w:szCs w:val="25"/>
          <w:lang w:val="es-ES_tradnl"/>
        </w:rPr>
        <w:t>453.</w:t>
      </w:r>
      <w:r>
        <w:rPr>
          <w:color w:val="000000"/>
          <w:szCs w:val="25"/>
          <w:lang w:val="es-ES_tradnl"/>
        </w:rPr>
        <w:tab/>
        <w:t xml:space="preserve">Las acciones decisivas del Ministerio de Salud a través de las Direcciones de Salud en beneficio de la población han permitido en el tiempo una reducción substancial en potenciales daños, con acciones en las fases de vigilancia epidemiológica y en el control de brotes de enfermedades </w:t>
      </w:r>
      <w:proofErr w:type="spellStart"/>
      <w:r>
        <w:rPr>
          <w:color w:val="000000"/>
          <w:szCs w:val="25"/>
          <w:lang w:val="es-ES_tradnl"/>
        </w:rPr>
        <w:t>prevalentes</w:t>
      </w:r>
      <w:proofErr w:type="spellEnd"/>
      <w:r>
        <w:rPr>
          <w:color w:val="000000"/>
          <w:szCs w:val="25"/>
          <w:lang w:val="es-ES_tradnl"/>
        </w:rPr>
        <w:t xml:space="preserve"> y de alta prioridad.</w:t>
      </w:r>
    </w:p>
    <w:p w:rsidR="00000000" w:rsidRDefault="00000000">
      <w:pPr>
        <w:shd w:val="clear" w:color="auto" w:fill="FFFFFF"/>
        <w:spacing w:after="240"/>
      </w:pPr>
      <w:r>
        <w:rPr>
          <w:color w:val="000000"/>
          <w:szCs w:val="25"/>
          <w:lang w:val="es-ES_tradnl"/>
        </w:rPr>
        <w:t>454.</w:t>
      </w:r>
      <w:r>
        <w:rPr>
          <w:color w:val="000000"/>
          <w:szCs w:val="25"/>
          <w:lang w:val="es-ES_tradnl"/>
        </w:rPr>
        <w:tab/>
        <w:t>Las principales acciones emprendidas por el Ministerio de Salud a través de las brigadas médicas, con la participación comunitaria son:</w:t>
      </w:r>
    </w:p>
    <w:p w:rsidR="00000000" w:rsidRDefault="00000000">
      <w:pPr>
        <w:shd w:val="clear" w:color="auto" w:fill="FFFFFF"/>
        <w:spacing w:after="240"/>
        <w:ind w:left="1134" w:hanging="567"/>
      </w:pPr>
      <w:r>
        <w:rPr>
          <w:color w:val="000000"/>
          <w:szCs w:val="25"/>
          <w:lang w:val="es-ES_tradnl"/>
        </w:rPr>
        <w:t>a)</w:t>
      </w:r>
      <w:r>
        <w:rPr>
          <w:color w:val="000000"/>
          <w:szCs w:val="25"/>
          <w:lang w:val="es-ES_tradnl"/>
        </w:rPr>
        <w:tab/>
        <w:t>Campañas de información y prevención sobre educación sanitaria a la comunidad;</w:t>
      </w:r>
    </w:p>
    <w:p w:rsidR="00000000" w:rsidRDefault="00000000">
      <w:pPr>
        <w:shd w:val="clear" w:color="auto" w:fill="FFFFFF"/>
        <w:spacing w:after="240"/>
        <w:ind w:left="1134" w:hanging="567"/>
      </w:pPr>
      <w:r>
        <w:rPr>
          <w:color w:val="000000"/>
          <w:szCs w:val="25"/>
        </w:rPr>
        <w:t>b)</w:t>
      </w:r>
      <w:r>
        <w:rPr>
          <w:color w:val="000000"/>
          <w:szCs w:val="25"/>
        </w:rPr>
        <w:tab/>
      </w:r>
      <w:r>
        <w:rPr>
          <w:color w:val="000000"/>
          <w:szCs w:val="25"/>
          <w:lang w:val="es-ES_tradnl"/>
        </w:rPr>
        <w:t>Provisión de sistemas de agua segura, por medio de la producción y distribución de cloro con participación de la comunidad;</w:t>
      </w:r>
    </w:p>
    <w:p w:rsidR="00000000" w:rsidRDefault="00000000">
      <w:pPr>
        <w:shd w:val="clear" w:color="auto" w:fill="FFFFFF"/>
        <w:spacing w:after="240"/>
        <w:ind w:left="1134" w:hanging="567"/>
      </w:pPr>
      <w:r>
        <w:rPr>
          <w:color w:val="000000"/>
          <w:szCs w:val="25"/>
        </w:rPr>
        <w:t>c)</w:t>
      </w:r>
      <w:r>
        <w:rPr>
          <w:color w:val="000000"/>
          <w:szCs w:val="25"/>
        </w:rPr>
        <w:tab/>
      </w:r>
      <w:r>
        <w:rPr>
          <w:color w:val="000000"/>
          <w:szCs w:val="25"/>
          <w:lang w:val="es-ES_tradnl"/>
        </w:rPr>
        <w:t xml:space="preserve">Inmunizaciones contra enfermedades </w:t>
      </w:r>
      <w:proofErr w:type="spellStart"/>
      <w:r>
        <w:rPr>
          <w:color w:val="000000"/>
          <w:szCs w:val="25"/>
          <w:lang w:val="es-ES_tradnl"/>
        </w:rPr>
        <w:t>inmunoprevisibles</w:t>
      </w:r>
      <w:proofErr w:type="spellEnd"/>
      <w:r>
        <w:rPr>
          <w:color w:val="000000"/>
          <w:szCs w:val="25"/>
          <w:lang w:val="es-ES_tradnl"/>
        </w:rPr>
        <w:t xml:space="preserve"> de la infancia, fiebre amarilla, antirrábicas caninas y humanas;</w:t>
      </w:r>
    </w:p>
    <w:p w:rsidR="00000000" w:rsidRDefault="00000000">
      <w:pPr>
        <w:shd w:val="clear" w:color="auto" w:fill="FFFFFF"/>
        <w:spacing w:after="240"/>
        <w:ind w:left="1134" w:hanging="567"/>
        <w:rPr>
          <w:color w:val="000000"/>
          <w:szCs w:val="25"/>
          <w:lang w:val="es-ES_tradnl"/>
        </w:rPr>
      </w:pPr>
      <w:r>
        <w:rPr>
          <w:color w:val="000000"/>
          <w:szCs w:val="25"/>
        </w:rPr>
        <w:t>d)</w:t>
      </w:r>
      <w:r>
        <w:rPr>
          <w:color w:val="000000"/>
          <w:szCs w:val="25"/>
        </w:rPr>
        <w:tab/>
      </w:r>
      <w:r>
        <w:rPr>
          <w:color w:val="000000"/>
          <w:szCs w:val="25"/>
          <w:lang w:val="es-ES_tradnl"/>
        </w:rPr>
        <w:t>Fumigación y rociamiento intra y extra domiciliario (compra de insumos y materiales);</w:t>
      </w:r>
    </w:p>
    <w:p w:rsidR="00000000" w:rsidRDefault="00000000">
      <w:pPr>
        <w:shd w:val="clear" w:color="auto" w:fill="FFFFFF"/>
        <w:spacing w:after="240"/>
        <w:ind w:left="1134" w:hanging="567"/>
        <w:rPr>
          <w:color w:val="000000"/>
          <w:szCs w:val="25"/>
          <w:lang w:val="es-ES_tradnl"/>
        </w:rPr>
      </w:pPr>
      <w:r>
        <w:rPr>
          <w:color w:val="000000"/>
          <w:szCs w:val="25"/>
          <w:lang w:val="es-ES_tradnl"/>
        </w:rPr>
        <w:t>e)</w:t>
      </w:r>
      <w:r>
        <w:rPr>
          <w:color w:val="000000"/>
          <w:szCs w:val="25"/>
          <w:lang w:val="es-ES_tradnl"/>
        </w:rPr>
        <w:tab/>
        <w:t>Eliminación de criaderos de mosquitos con participación comunitaria;</w:t>
      </w:r>
    </w:p>
    <w:p w:rsidR="00000000" w:rsidRDefault="00000000">
      <w:pPr>
        <w:shd w:val="clear" w:color="auto" w:fill="FFFFFF"/>
        <w:spacing w:after="240"/>
        <w:ind w:left="1134" w:hanging="567"/>
        <w:rPr>
          <w:color w:val="000000"/>
          <w:szCs w:val="25"/>
          <w:lang w:val="es-ES_tradnl"/>
        </w:rPr>
      </w:pPr>
      <w:r>
        <w:rPr>
          <w:color w:val="000000"/>
          <w:szCs w:val="25"/>
          <w:lang w:val="es-ES_tradnl"/>
        </w:rPr>
        <w:t>f)</w:t>
      </w:r>
      <w:r>
        <w:rPr>
          <w:color w:val="000000"/>
          <w:szCs w:val="25"/>
          <w:lang w:val="es-ES_tradnl"/>
        </w:rPr>
        <w:tab/>
        <w:t xml:space="preserve">Distribución de medicamentos antipalúdicos y sueros </w:t>
      </w:r>
      <w:proofErr w:type="spellStart"/>
      <w:r>
        <w:rPr>
          <w:color w:val="000000"/>
          <w:szCs w:val="25"/>
          <w:lang w:val="es-ES_tradnl"/>
        </w:rPr>
        <w:t>antriofídicos</w:t>
      </w:r>
      <w:proofErr w:type="spellEnd"/>
      <w:r>
        <w:rPr>
          <w:color w:val="000000"/>
          <w:szCs w:val="25"/>
          <w:lang w:val="es-ES_tradnl"/>
        </w:rPr>
        <w:t>;</w:t>
      </w:r>
    </w:p>
    <w:p w:rsidR="00000000" w:rsidRDefault="00000000">
      <w:pPr>
        <w:shd w:val="clear" w:color="auto" w:fill="FFFFFF"/>
        <w:spacing w:after="240"/>
        <w:ind w:left="1134" w:hanging="567"/>
      </w:pPr>
      <w:r>
        <w:rPr>
          <w:color w:val="000000"/>
          <w:szCs w:val="25"/>
          <w:lang w:val="es-ES_tradnl"/>
        </w:rPr>
        <w:t>g)</w:t>
      </w:r>
      <w:r>
        <w:rPr>
          <w:color w:val="000000"/>
          <w:szCs w:val="25"/>
          <w:lang w:val="es-ES_tradnl"/>
        </w:rPr>
        <w:tab/>
        <w:t>Desratizaciones de mercado y otros sitios públicos;</w:t>
      </w:r>
    </w:p>
    <w:p w:rsidR="00000000" w:rsidRDefault="00000000">
      <w:pPr>
        <w:shd w:val="clear" w:color="auto" w:fill="FFFFFF"/>
        <w:spacing w:after="240"/>
        <w:ind w:left="1134" w:hanging="567"/>
      </w:pPr>
      <w:r>
        <w:rPr>
          <w:color w:val="000000"/>
          <w:szCs w:val="25"/>
          <w:lang w:val="es-ES_tradnl"/>
        </w:rPr>
        <w:t>h)</w:t>
      </w:r>
      <w:r>
        <w:rPr>
          <w:color w:val="000000"/>
          <w:szCs w:val="25"/>
          <w:lang w:val="es-ES_tradnl"/>
        </w:rPr>
        <w:tab/>
        <w:t>Control de vectores coordinado con el Servicio Nacional de Erradicación de la Malaria (SNEM) la fumigación y rociamiento de insecticidas en las viviendas, a fin de controlar la proliferación de mosquitos transmisores de malaria y dengue;</w:t>
      </w:r>
    </w:p>
    <w:p w:rsidR="00000000" w:rsidRDefault="00000000">
      <w:pPr>
        <w:shd w:val="clear" w:color="auto" w:fill="FFFFFF"/>
        <w:spacing w:after="240"/>
        <w:ind w:left="1134" w:hanging="567"/>
        <w:rPr>
          <w:color w:val="000000"/>
          <w:szCs w:val="25"/>
          <w:lang w:val="es-ES_tradnl"/>
        </w:rPr>
      </w:pPr>
      <w:proofErr w:type="spellStart"/>
      <w:r>
        <w:rPr>
          <w:color w:val="000000"/>
          <w:szCs w:val="25"/>
        </w:rPr>
        <w:t>i</w:t>
      </w:r>
      <w:proofErr w:type="spellEnd"/>
      <w:r>
        <w:rPr>
          <w:color w:val="000000"/>
          <w:szCs w:val="25"/>
        </w:rPr>
        <w:t>)</w:t>
      </w:r>
      <w:r>
        <w:rPr>
          <w:color w:val="000000"/>
          <w:szCs w:val="25"/>
        </w:rPr>
        <w:tab/>
      </w:r>
      <w:r>
        <w:rPr>
          <w:color w:val="000000"/>
          <w:szCs w:val="25"/>
          <w:lang w:val="es-ES_tradnl"/>
        </w:rPr>
        <w:t>Movilización de personal de campo.</w:t>
      </w:r>
    </w:p>
    <w:p w:rsidR="00000000" w:rsidRDefault="00000000">
      <w:pPr>
        <w:shd w:val="clear" w:color="auto" w:fill="FFFFFF"/>
        <w:tabs>
          <w:tab w:val="left" w:pos="5338"/>
        </w:tabs>
        <w:spacing w:after="240" w:line="360" w:lineRule="auto"/>
        <w:rPr>
          <w:i/>
          <w:iCs/>
          <w:color w:val="000000"/>
          <w:lang w:val="es-ES_tradnl"/>
        </w:rPr>
      </w:pPr>
      <w:r>
        <w:rPr>
          <w:i/>
          <w:iCs/>
          <w:color w:val="000000"/>
          <w:lang w:val="es-ES_tradnl"/>
        </w:rPr>
        <w:t>Atención Médica de la población</w:t>
      </w:r>
    </w:p>
    <w:p w:rsidR="00000000" w:rsidRDefault="00000000">
      <w:pPr>
        <w:shd w:val="clear" w:color="auto" w:fill="FFFFFF"/>
        <w:spacing w:after="240"/>
      </w:pPr>
      <w:r>
        <w:rPr>
          <w:color w:val="000000"/>
          <w:lang w:val="es-ES_tradnl"/>
        </w:rPr>
        <w:t>455.</w:t>
      </w:r>
      <w:r>
        <w:rPr>
          <w:color w:val="000000"/>
          <w:lang w:val="es-ES_tradnl"/>
        </w:rPr>
        <w:tab/>
        <w:t xml:space="preserve">En el Plan </w:t>
      </w:r>
      <w:r>
        <w:rPr>
          <w:color w:val="000000"/>
          <w:szCs w:val="25"/>
          <w:lang w:val="es-ES_tradnl"/>
        </w:rPr>
        <w:t>Nacional</w:t>
      </w:r>
      <w:r>
        <w:rPr>
          <w:color w:val="000000"/>
          <w:lang w:val="es-ES_tradnl"/>
        </w:rPr>
        <w:t xml:space="preserve"> de Salud 2000-2005, se definen las siguientes estrategias generales de acción:</w:t>
      </w:r>
    </w:p>
    <w:p w:rsidR="00000000" w:rsidRDefault="00000000">
      <w:pPr>
        <w:shd w:val="clear" w:color="auto" w:fill="FFFFFF"/>
        <w:spacing w:after="240"/>
        <w:ind w:left="1134" w:hanging="567"/>
      </w:pPr>
      <w:r>
        <w:rPr>
          <w:color w:val="000000"/>
          <w:lang w:val="es-ES_tradnl"/>
        </w:rPr>
        <w:t>a)</w:t>
      </w:r>
      <w:r>
        <w:rPr>
          <w:color w:val="000000"/>
          <w:lang w:val="es-ES_tradnl"/>
        </w:rPr>
        <w:tab/>
        <w:t>Valoración política de lo social, potenciando intervenciones intersectoriales;</w:t>
      </w:r>
    </w:p>
    <w:p w:rsidR="00000000" w:rsidRDefault="00000000">
      <w:pPr>
        <w:shd w:val="clear" w:color="auto" w:fill="FFFFFF"/>
        <w:spacing w:after="240"/>
        <w:ind w:left="1134" w:hanging="567"/>
      </w:pPr>
      <w:r>
        <w:rPr>
          <w:color w:val="000000"/>
        </w:rPr>
        <w:t>b)</w:t>
      </w:r>
      <w:r>
        <w:rPr>
          <w:color w:val="000000"/>
        </w:rPr>
        <w:tab/>
      </w:r>
      <w:r>
        <w:rPr>
          <w:color w:val="000000"/>
          <w:lang w:val="es-ES_tradnl"/>
        </w:rPr>
        <w:t xml:space="preserve">Gestión descentralizada, desconcentrada y participativa, con creciente </w:t>
      </w:r>
      <w:proofErr w:type="spellStart"/>
      <w:r>
        <w:rPr>
          <w:color w:val="000000"/>
          <w:lang w:val="es-ES_tradnl"/>
        </w:rPr>
        <w:t>involucramiento</w:t>
      </w:r>
      <w:proofErr w:type="spellEnd"/>
      <w:r>
        <w:rPr>
          <w:color w:val="000000"/>
          <w:lang w:val="es-ES_tradnl"/>
        </w:rPr>
        <w:t xml:space="preserve"> de gobiernos municipales y sociedad civil;</w:t>
      </w:r>
    </w:p>
    <w:p w:rsidR="00000000" w:rsidRDefault="00000000">
      <w:pPr>
        <w:keepNext/>
        <w:keepLines/>
        <w:shd w:val="clear" w:color="auto" w:fill="FFFFFF"/>
        <w:spacing w:after="240"/>
        <w:ind w:left="1134" w:hanging="567"/>
      </w:pPr>
      <w:r>
        <w:rPr>
          <w:color w:val="000000"/>
        </w:rPr>
        <w:t>c)</w:t>
      </w:r>
      <w:r>
        <w:rPr>
          <w:color w:val="000000"/>
        </w:rPr>
        <w:tab/>
      </w:r>
      <w:r>
        <w:rPr>
          <w:color w:val="000000"/>
          <w:lang w:val="es-ES_tradnl"/>
        </w:rPr>
        <w:t>Modernización gerencial de instituciones y servicios;</w:t>
      </w:r>
    </w:p>
    <w:p w:rsidR="00000000" w:rsidRDefault="00000000">
      <w:pPr>
        <w:keepNext/>
        <w:keepLines/>
        <w:shd w:val="clear" w:color="auto" w:fill="FFFFFF"/>
        <w:spacing w:after="240"/>
        <w:ind w:left="1134" w:hanging="567"/>
      </w:pPr>
      <w:r>
        <w:rPr>
          <w:color w:val="000000"/>
        </w:rPr>
        <w:t>d)</w:t>
      </w:r>
      <w:r>
        <w:rPr>
          <w:color w:val="000000"/>
        </w:rPr>
        <w:tab/>
      </w:r>
      <w:r>
        <w:rPr>
          <w:color w:val="000000"/>
          <w:lang w:val="es-ES_tradnl"/>
        </w:rPr>
        <w:t>Lucha frontal contra la corrupción.</w:t>
      </w:r>
    </w:p>
    <w:p w:rsidR="00000000" w:rsidRDefault="00000000">
      <w:pPr>
        <w:keepNext/>
        <w:keepLines/>
        <w:shd w:val="clear" w:color="auto" w:fill="FFFFFF"/>
        <w:spacing w:after="240"/>
      </w:pPr>
      <w:r>
        <w:rPr>
          <w:color w:val="000000"/>
          <w:lang w:val="es-ES_tradnl"/>
        </w:rPr>
        <w:t>456.</w:t>
      </w:r>
      <w:r>
        <w:rPr>
          <w:color w:val="000000"/>
          <w:lang w:val="es-ES_tradnl"/>
        </w:rPr>
        <w:tab/>
        <w:t>En términos de gestión de cambio, estableció tres ejes cardinales:</w:t>
      </w:r>
    </w:p>
    <w:p w:rsidR="00000000" w:rsidRDefault="00000000">
      <w:pPr>
        <w:shd w:val="clear" w:color="auto" w:fill="FFFFFF"/>
        <w:spacing w:after="240"/>
        <w:ind w:left="1134" w:hanging="567"/>
      </w:pPr>
      <w:r>
        <w:rPr>
          <w:color w:val="000000"/>
          <w:lang w:val="es-ES_tradnl"/>
        </w:rPr>
        <w:t>a)</w:t>
      </w:r>
      <w:r>
        <w:rPr>
          <w:color w:val="000000"/>
          <w:lang w:val="es-ES_tradnl"/>
        </w:rPr>
        <w:tab/>
        <w:t>Desarrollo del talento humano;</w:t>
      </w:r>
    </w:p>
    <w:p w:rsidR="00000000" w:rsidRDefault="00000000">
      <w:pPr>
        <w:shd w:val="clear" w:color="auto" w:fill="FFFFFF"/>
        <w:spacing w:after="240"/>
        <w:ind w:left="1134" w:hanging="567"/>
      </w:pPr>
      <w:r>
        <w:rPr>
          <w:color w:val="000000"/>
        </w:rPr>
        <w:t>b)</w:t>
      </w:r>
      <w:r>
        <w:rPr>
          <w:color w:val="000000"/>
        </w:rPr>
        <w:tab/>
      </w:r>
      <w:r>
        <w:rPr>
          <w:color w:val="000000"/>
          <w:lang w:val="es-ES_tradnl"/>
        </w:rPr>
        <w:t>Asignación de recursos ligada a rendimiento y resultados;</w:t>
      </w:r>
    </w:p>
    <w:p w:rsidR="00000000" w:rsidRDefault="00000000">
      <w:pPr>
        <w:shd w:val="clear" w:color="auto" w:fill="FFFFFF"/>
        <w:spacing w:after="240"/>
        <w:ind w:left="1134" w:hanging="567"/>
      </w:pPr>
      <w:r>
        <w:rPr>
          <w:color w:val="000000"/>
        </w:rPr>
        <w:t>c)</w:t>
      </w:r>
      <w:r>
        <w:rPr>
          <w:color w:val="000000"/>
        </w:rPr>
        <w:tab/>
      </w:r>
      <w:r>
        <w:rPr>
          <w:color w:val="000000"/>
          <w:lang w:val="es-ES_tradnl"/>
        </w:rPr>
        <w:t>Autonomía de gestión.</w:t>
      </w:r>
    </w:p>
    <w:p w:rsidR="00000000" w:rsidRDefault="00000000">
      <w:pPr>
        <w:shd w:val="clear" w:color="auto" w:fill="FFFFFF"/>
        <w:spacing w:after="240" w:line="360" w:lineRule="auto"/>
      </w:pPr>
      <w:r>
        <w:rPr>
          <w:color w:val="000000"/>
        </w:rPr>
        <w:t>457.</w:t>
      </w:r>
      <w:r>
        <w:rPr>
          <w:color w:val="000000"/>
        </w:rPr>
        <w:tab/>
      </w:r>
      <w:r>
        <w:rPr>
          <w:color w:val="000000"/>
          <w:lang w:val="es-ES_tradnl"/>
        </w:rPr>
        <w:t>En el primer año de gestión se han concretado las siguientes acciones:</w:t>
      </w:r>
    </w:p>
    <w:p w:rsidR="00000000" w:rsidRDefault="00000000">
      <w:pPr>
        <w:shd w:val="clear" w:color="auto" w:fill="FFFFFF"/>
        <w:spacing w:after="240"/>
        <w:ind w:left="1134" w:hanging="567"/>
        <w:rPr>
          <w:color w:val="000000"/>
          <w:lang w:val="es-ES_tradnl"/>
        </w:rPr>
      </w:pPr>
      <w:r>
        <w:rPr>
          <w:color w:val="000000"/>
          <w:lang w:val="es-ES_tradnl"/>
        </w:rPr>
        <w:t>a)</w:t>
      </w:r>
      <w:r>
        <w:rPr>
          <w:color w:val="000000"/>
          <w:lang w:val="es-ES_tradnl"/>
        </w:rPr>
        <w:tab/>
        <w:t>Elaboración del Plan Nacional de Salud, a partir de planes locales y provinciales;</w:t>
      </w:r>
    </w:p>
    <w:p w:rsidR="00000000" w:rsidRDefault="00000000">
      <w:pPr>
        <w:shd w:val="clear" w:color="auto" w:fill="FFFFFF"/>
        <w:spacing w:after="240"/>
        <w:ind w:left="1134" w:hanging="567"/>
      </w:pPr>
      <w:r>
        <w:rPr>
          <w:color w:val="000000"/>
          <w:lang w:val="es-ES_tradnl"/>
        </w:rPr>
        <w:t>b)</w:t>
      </w:r>
      <w:r>
        <w:rPr>
          <w:color w:val="000000"/>
          <w:lang w:val="es-ES_tradnl"/>
        </w:rPr>
        <w:tab/>
        <w:t>Expedición del Decreto ejecutivo que faculta al Ministerio de Salud Pública el desarrollo de sistemas descentralizados de salud y modelos de autonomía de gestión de servicios;</w:t>
      </w:r>
    </w:p>
    <w:p w:rsidR="00000000" w:rsidRDefault="00000000">
      <w:pPr>
        <w:shd w:val="clear" w:color="auto" w:fill="FFFFFF"/>
        <w:spacing w:after="240"/>
        <w:ind w:left="1134" w:hanging="567"/>
      </w:pPr>
      <w:r>
        <w:rPr>
          <w:color w:val="000000"/>
          <w:lang w:val="es-ES_tradnl"/>
        </w:rPr>
        <w:t>c)</w:t>
      </w:r>
      <w:r>
        <w:rPr>
          <w:color w:val="000000"/>
          <w:lang w:val="es-ES_tradnl"/>
        </w:rPr>
        <w:tab/>
        <w:t>Expedición del Acuerdo del Ministerio de Finanzas y Crédito Público relativo a la recaudación de ingresos provenientes de aportes de usuarios con capacidad de pago;</w:t>
      </w:r>
    </w:p>
    <w:p w:rsidR="00000000" w:rsidRDefault="00000000">
      <w:pPr>
        <w:shd w:val="clear" w:color="auto" w:fill="FFFFFF"/>
        <w:spacing w:after="240"/>
        <w:ind w:left="1134" w:hanging="567"/>
      </w:pPr>
      <w:r>
        <w:rPr>
          <w:color w:val="000000"/>
          <w:lang w:val="es-ES_tradnl"/>
        </w:rPr>
        <w:t>d)</w:t>
      </w:r>
      <w:r>
        <w:rPr>
          <w:color w:val="000000"/>
          <w:lang w:val="es-ES_tradnl"/>
        </w:rPr>
        <w:tab/>
        <w:t xml:space="preserve">Elaboración de criterios para la atención gratuita de los beneficiarios del bono de solidaridad y para la </w:t>
      </w:r>
      <w:proofErr w:type="spellStart"/>
      <w:r>
        <w:rPr>
          <w:color w:val="000000"/>
          <w:lang w:val="es-ES_tradnl"/>
        </w:rPr>
        <w:t>efectivización</w:t>
      </w:r>
      <w:proofErr w:type="spellEnd"/>
      <w:r>
        <w:rPr>
          <w:color w:val="000000"/>
          <w:lang w:val="es-ES_tradnl"/>
        </w:rPr>
        <w:t xml:space="preserve"> de aportes de usuarios con capacidad de pago, en base de categorización poblacional;</w:t>
      </w:r>
    </w:p>
    <w:p w:rsidR="00000000" w:rsidRDefault="00000000">
      <w:pPr>
        <w:shd w:val="clear" w:color="auto" w:fill="FFFFFF"/>
        <w:spacing w:after="240"/>
        <w:ind w:left="1134" w:hanging="567"/>
      </w:pPr>
      <w:r>
        <w:rPr>
          <w:color w:val="000000"/>
          <w:lang w:val="es-ES_tradnl"/>
        </w:rPr>
        <w:t>e)</w:t>
      </w:r>
      <w:r>
        <w:rPr>
          <w:color w:val="000000"/>
          <w:lang w:val="es-ES_tradnl"/>
        </w:rPr>
        <w:tab/>
        <w:t xml:space="preserve">Emisión de acuerdos ministeriales de desconcentración de la gestión de recursos humanos, de competencias jurídicas y </w:t>
      </w:r>
      <w:proofErr w:type="spellStart"/>
      <w:r>
        <w:rPr>
          <w:color w:val="000000"/>
          <w:lang w:val="es-ES_tradnl"/>
        </w:rPr>
        <w:t>administrativofinancieras</w:t>
      </w:r>
      <w:proofErr w:type="spellEnd"/>
      <w:r>
        <w:rPr>
          <w:color w:val="000000"/>
          <w:lang w:val="es-ES_tradnl"/>
        </w:rPr>
        <w:t xml:space="preserve"> a direcciones provinciales, entidades adscritas, hospitales y áreas de salud;</w:t>
      </w:r>
    </w:p>
    <w:p w:rsidR="00000000" w:rsidRDefault="00000000">
      <w:pPr>
        <w:shd w:val="clear" w:color="auto" w:fill="FFFFFF"/>
        <w:spacing w:after="240"/>
        <w:ind w:left="1134" w:hanging="567"/>
      </w:pPr>
      <w:r>
        <w:rPr>
          <w:color w:val="000000"/>
          <w:lang w:val="es-ES_tradnl"/>
        </w:rPr>
        <w:t>f)</w:t>
      </w:r>
      <w:r>
        <w:rPr>
          <w:color w:val="000000"/>
          <w:lang w:val="es-ES_tradnl"/>
        </w:rPr>
        <w:tab/>
        <w:t>Reforma de la estructura orgánica de la institución, para desburocratizar procesos y transformar el Ministerio en una organización ágil y eficiente, orientada a resultados, de satisfacción de usuarios internos y externos;</w:t>
      </w:r>
    </w:p>
    <w:p w:rsidR="00000000" w:rsidRDefault="00000000">
      <w:pPr>
        <w:shd w:val="clear" w:color="auto" w:fill="FFFFFF"/>
        <w:spacing w:after="240"/>
        <w:ind w:left="1134" w:hanging="567"/>
      </w:pPr>
      <w:r>
        <w:rPr>
          <w:color w:val="000000"/>
          <w:lang w:val="es-ES_tradnl"/>
        </w:rPr>
        <w:t>g)</w:t>
      </w:r>
      <w:r>
        <w:rPr>
          <w:color w:val="000000"/>
          <w:lang w:val="es-ES_tradnl"/>
        </w:rPr>
        <w:tab/>
        <w:t>Estímulo a la formación de consejos locales de salud y desarrollo de experiencias demostrativas de organización y funcionamiento de sistemas descentralizados de aseguramiento universal de salud.</w:t>
      </w:r>
    </w:p>
    <w:p w:rsidR="00000000" w:rsidRDefault="00000000">
      <w:pPr>
        <w:shd w:val="clear" w:color="auto" w:fill="FFFFFF"/>
        <w:spacing w:after="240"/>
      </w:pPr>
      <w:r>
        <w:rPr>
          <w:i/>
          <w:iCs/>
          <w:color w:val="000000"/>
          <w:lang w:val="es-ES_tradnl"/>
        </w:rPr>
        <w:t>Situación de grupos vulnerables</w:t>
      </w:r>
    </w:p>
    <w:p w:rsidR="00000000" w:rsidRDefault="00000000">
      <w:pPr>
        <w:shd w:val="clear" w:color="auto" w:fill="FFFFFF"/>
        <w:spacing w:after="240"/>
      </w:pPr>
      <w:r>
        <w:rPr>
          <w:color w:val="000000"/>
          <w:lang w:val="es-ES_tradnl"/>
        </w:rPr>
        <w:t>458.</w:t>
      </w:r>
      <w:r>
        <w:rPr>
          <w:color w:val="000000"/>
          <w:lang w:val="es-ES_tradnl"/>
        </w:rPr>
        <w:tab/>
        <w:t>El Ecuador es un país en vías de desarrollo con problemas estructurales aún no resueltos, entre los cuales uno de los más graves es el bajo nivel de los ingresos de la población, que impide a una gran mayoría de la misma tener acceso a los servicios básicos para mantener una calidad de vida meramente aceptable y entre ellos el servicio de salud.</w:t>
      </w:r>
    </w:p>
    <w:p w:rsidR="00000000" w:rsidRDefault="00000000">
      <w:pPr>
        <w:spacing w:after="240"/>
      </w:pPr>
      <w:r>
        <w:rPr>
          <w:lang w:val="es-ES_tradnl"/>
        </w:rPr>
        <w:t>459.</w:t>
      </w:r>
      <w:r>
        <w:rPr>
          <w:lang w:val="es-ES_tradnl"/>
        </w:rPr>
        <w:tab/>
        <w:t>La salud, que constituye un derecho fundamental para todo ser humano, en nuestro país se ha convertido en un privilegio para las minorías que pueden acceder a los servicios privados de salud.</w:t>
      </w:r>
    </w:p>
    <w:p w:rsidR="00000000" w:rsidRDefault="00000000">
      <w:pPr>
        <w:spacing w:after="240"/>
      </w:pPr>
      <w:r>
        <w:rPr>
          <w:lang w:val="es-ES_tradnl"/>
        </w:rPr>
        <w:t>460.</w:t>
      </w:r>
      <w:r>
        <w:rPr>
          <w:lang w:val="es-ES_tradnl"/>
        </w:rPr>
        <w:tab/>
        <w:t>Las personas con escasos recursos económicos no acceden a los servicios de salud públicos debido a que cuando concurren a estos establecimientos públicos en busca de atención médica, se encuentran que las unidades médicas no cuentan con los insumos necesarios para brindar la atención que los usuarios requieren, o se encuentran cerrados por las paralizaciones frecuentes y conflictos laborales que llevan a acabo los servidores de la salud; además, los altos costos de los medicamentos los ponen en disyuntiva de curarse, hacerlo a medias o no hacerlo.</w:t>
      </w:r>
    </w:p>
    <w:p w:rsidR="00000000" w:rsidRDefault="00000000">
      <w:pPr>
        <w:spacing w:after="240"/>
      </w:pPr>
      <w:r>
        <w:rPr>
          <w:lang w:val="es-ES_tradnl"/>
        </w:rPr>
        <w:t>461.</w:t>
      </w:r>
      <w:r>
        <w:rPr>
          <w:lang w:val="es-ES_tradnl"/>
        </w:rPr>
        <w:tab/>
        <w:t>Hay inequidad en los servicios de salud, y esto se ha convertido en un problema social alarmante, no obstante que la Constitución vigente garantiza salud para todos los ciudadanos y los gobiernos proclaman la decisión de priorizar su atención.</w:t>
      </w:r>
    </w:p>
    <w:p w:rsidR="00000000" w:rsidRDefault="00000000">
      <w:pPr>
        <w:spacing w:after="240"/>
      </w:pPr>
      <w:r>
        <w:rPr>
          <w:lang w:val="es-ES_tradnl"/>
        </w:rPr>
        <w:t>462.</w:t>
      </w:r>
      <w:r>
        <w:rPr>
          <w:lang w:val="es-ES_tradnl"/>
        </w:rPr>
        <w:tab/>
        <w:t>Se destaca también que el propio desarrollo industrial y la falta de una conciencia de preservación ecológica han descuidado el control del medio y por lo tanto emergen enfermedades asociadas a la producción ambiental e intoxicaciones crónicas favorables a la contaminación de alimentos y fuentes hídricas.  En los servicios primarios se empiezan a sentir las carencias de recursos para mantener las coberturas anteriores y un deterioro manifiesto de la atención por falta de insumos básicos y de motivación de un personal mal remunerado.</w:t>
      </w:r>
    </w:p>
    <w:p w:rsidR="00000000" w:rsidRDefault="00000000">
      <w:pPr>
        <w:spacing w:after="240"/>
        <w:rPr>
          <w:i/>
          <w:iCs/>
          <w:lang w:val="es-ES_tradnl"/>
        </w:rPr>
      </w:pPr>
      <w:r>
        <w:rPr>
          <w:i/>
          <w:iCs/>
          <w:lang w:val="es-ES_tradnl"/>
        </w:rPr>
        <w:t>Tercera edad</w:t>
      </w:r>
    </w:p>
    <w:p w:rsidR="00000000" w:rsidRDefault="00000000">
      <w:pPr>
        <w:spacing w:after="240"/>
      </w:pPr>
      <w:r>
        <w:rPr>
          <w:lang w:val="es-ES_tradnl"/>
        </w:rPr>
        <w:t>463.</w:t>
      </w:r>
      <w:r>
        <w:rPr>
          <w:lang w:val="es-ES_tradnl"/>
        </w:rPr>
        <w:tab/>
        <w:t xml:space="preserve">La Constitución Política del Ecuador, como norma rectora del ordenamiento jurídico, establece la forma de gobierno conforme a la voluntad, y necesidad de los pueblos y contiene normas de protección que se traducen en derechos y garantías sin distinciones de edad biológica en favor de todos los ecuatorianos.  La Ley especial del anciano como un acto legislativo expedido mediante Decreto </w:t>
      </w:r>
      <w:proofErr w:type="spellStart"/>
      <w:r>
        <w:rPr>
          <w:lang w:val="es-ES_tradnl"/>
        </w:rPr>
        <w:t>Nº</w:t>
      </w:r>
      <w:proofErr w:type="spellEnd"/>
      <w:r>
        <w:rPr>
          <w:lang w:val="es-ES_tradnl"/>
        </w:rPr>
        <w:t xml:space="preserve"> 130, de 17 de octubre de 1991, publicado en el </w:t>
      </w:r>
      <w:r>
        <w:rPr>
          <w:i/>
          <w:iCs/>
          <w:lang w:val="es-ES_tradnl"/>
        </w:rPr>
        <w:t>Registro Oficial</w:t>
      </w:r>
      <w:r>
        <w:rPr>
          <w:lang w:val="es-ES_tradnl"/>
        </w:rPr>
        <w:t xml:space="preserve"> </w:t>
      </w:r>
      <w:proofErr w:type="spellStart"/>
      <w:r>
        <w:rPr>
          <w:lang w:val="es-ES_tradnl"/>
        </w:rPr>
        <w:t>Nº</w:t>
      </w:r>
      <w:proofErr w:type="spellEnd"/>
      <w:r>
        <w:rPr>
          <w:lang w:val="es-ES_tradnl"/>
        </w:rPr>
        <w:t xml:space="preserve"> 806, de 6 de noviembre del mismo año, se constituye en una norma de carácter obligatorio y permanente que versa sobre materia de interés particular y precautela los derechos económicos sociales legales y de prestación integral de servicios médicos asistenciales, a favor de todas las personas mayores de 65 años.</w:t>
      </w:r>
    </w:p>
    <w:p w:rsidR="00000000" w:rsidRDefault="00000000">
      <w:pPr>
        <w:spacing w:after="240"/>
      </w:pPr>
      <w:r>
        <w:rPr>
          <w:lang w:val="es-ES_tradnl"/>
        </w:rPr>
        <w:t>464.</w:t>
      </w:r>
      <w:r>
        <w:rPr>
          <w:lang w:val="es-ES_tradnl"/>
        </w:rPr>
        <w:tab/>
        <w:t>En el artículo 3 de la Ley del anciano se autoriza a las instituciones dedicadas a la protección y cuidado de los ancianos a importar medicamentos, libres del pago de impuestos y de derechos arancelarios, previa autorización del Ministerio de Bienestar Social.  La crisis social y económica afecta profundamente a las personas de la tercera edad, quienes se enfrentan a una serie de problemas de marginalidad y olvido.  En el país existen las leyes que privilegian a este grupo, en el campo formal, pero en la práctica otra es la realidad que viven estas personas, sumidas en la pobreza.  Se constituyen uno de los grupos más vulnerables y desprotegidos de la sociedad, reciben como ingresos bonos y pensiones de hambre que no les permiten acceder a niveles de vida adecuados y que no les ayudan a mejorar sus condiciones de vida.</w:t>
      </w:r>
    </w:p>
    <w:p w:rsidR="00000000" w:rsidRDefault="00000000">
      <w:pPr>
        <w:spacing w:after="240"/>
      </w:pPr>
      <w:r>
        <w:rPr>
          <w:i/>
          <w:iCs/>
          <w:lang w:val="es-ES_tradnl"/>
        </w:rPr>
        <w:t>Atención primaria de salud</w:t>
      </w:r>
      <w:r>
        <w:rPr>
          <w:lang w:val="es-ES_tradnl"/>
        </w:rPr>
        <w:t>.</w:t>
      </w:r>
    </w:p>
    <w:p w:rsidR="00000000" w:rsidRDefault="00000000">
      <w:pPr>
        <w:spacing w:after="240"/>
      </w:pPr>
      <w:r>
        <w:rPr>
          <w:lang w:val="es-ES_tradnl"/>
        </w:rPr>
        <w:t>465.</w:t>
      </w:r>
      <w:r>
        <w:rPr>
          <w:lang w:val="es-ES_tradnl"/>
        </w:rPr>
        <w:tab/>
        <w:t xml:space="preserve">En este ámbito se trata de dar cuenta de la importancia que asumen las acciones de los diferentes sectores sociales y económicos en el desarrollo de condiciones favorables a la salud y la vida, y que desde el sector salud se pueden promover y realizar con el apoyo de otros sectores del Estado, de las comunidades y de la cooperación internacional, estableciendo mecanismos de </w:t>
      </w:r>
      <w:proofErr w:type="spellStart"/>
      <w:r>
        <w:rPr>
          <w:lang w:val="es-ES_tradnl"/>
        </w:rPr>
        <w:t>fínanciamiento</w:t>
      </w:r>
      <w:proofErr w:type="spellEnd"/>
      <w:r>
        <w:rPr>
          <w:lang w:val="es-ES_tradnl"/>
        </w:rPr>
        <w:t xml:space="preserve"> compartido con los diversos sectores sociales y económicos a fin de que se complementen y optimicen los esfuerzos y recursos para mejorar las condiciones de salud y de vida de la población.</w:t>
      </w:r>
    </w:p>
    <w:p w:rsidR="00000000" w:rsidRDefault="00000000">
      <w:pPr>
        <w:spacing w:after="240"/>
      </w:pPr>
      <w:r>
        <w:rPr>
          <w:lang w:val="es-ES_tradnl"/>
        </w:rPr>
        <w:t>466.</w:t>
      </w:r>
      <w:r>
        <w:rPr>
          <w:lang w:val="es-ES_tradnl"/>
        </w:rPr>
        <w:tab/>
        <w:t>Para este ámbito el Ministerio de Salud Pública propone las siguientes políticas:</w:t>
      </w:r>
    </w:p>
    <w:p w:rsidR="00000000" w:rsidRDefault="00000000">
      <w:pPr>
        <w:spacing w:after="240"/>
        <w:ind w:left="1134" w:hanging="567"/>
      </w:pPr>
      <w:r>
        <w:t>a)</w:t>
      </w:r>
      <w:r>
        <w:tab/>
      </w:r>
      <w:r>
        <w:rPr>
          <w:lang w:val="es-ES_tradnl"/>
        </w:rPr>
        <w:t xml:space="preserve">Desarrollar una estrategia de promoción de la salud y programas de información, educación, comunicación y movilización social en salud para fomentar hábitos saludables, </w:t>
      </w:r>
      <w:proofErr w:type="spellStart"/>
      <w:r>
        <w:rPr>
          <w:lang w:val="es-ES_tradnl"/>
        </w:rPr>
        <w:t>desestimular</w:t>
      </w:r>
      <w:proofErr w:type="spellEnd"/>
      <w:r>
        <w:rPr>
          <w:lang w:val="es-ES_tradnl"/>
        </w:rPr>
        <w:t xml:space="preserve"> conductas nocivas, promover el </w:t>
      </w:r>
      <w:proofErr w:type="spellStart"/>
      <w:r>
        <w:rPr>
          <w:lang w:val="es-ES_tradnl"/>
        </w:rPr>
        <w:t>autocuidado</w:t>
      </w:r>
      <w:proofErr w:type="spellEnd"/>
      <w:r>
        <w:rPr>
          <w:lang w:val="es-ES_tradnl"/>
        </w:rPr>
        <w:t xml:space="preserve"> y la corresponsabilidad en el cuidado familiar y comunitario de la salud.</w:t>
      </w:r>
    </w:p>
    <w:p w:rsidR="00000000" w:rsidRDefault="00000000">
      <w:pPr>
        <w:spacing w:after="240"/>
        <w:ind w:left="1134" w:hanging="567"/>
      </w:pPr>
      <w:r>
        <w:rPr>
          <w:lang w:val="es-ES_tradnl"/>
        </w:rPr>
        <w:t>b)</w:t>
      </w:r>
      <w:r>
        <w:rPr>
          <w:lang w:val="es-ES_tradnl"/>
        </w:rPr>
        <w:tab/>
        <w:t>Promover, preservar y desarrollar las condiciones saludables del medio ambiente físico, laboral y social, a través de la promulgación de normativas para la explotación racional (sin afectación ambiental y humana) de los recursos naturales.  Se pondrá especial atención para la provisión de agua segura y otras acciones de infraestructura sanitaria básica en áreas urbanas y rurales que carecen de este servicio.</w:t>
      </w:r>
    </w:p>
    <w:p w:rsidR="00000000" w:rsidRDefault="00000000">
      <w:pPr>
        <w:spacing w:after="240"/>
        <w:ind w:left="1134" w:hanging="567"/>
      </w:pPr>
      <w:r>
        <w:rPr>
          <w:lang w:val="es-ES_tradnl"/>
        </w:rPr>
        <w:t>c)</w:t>
      </w:r>
      <w:r>
        <w:rPr>
          <w:lang w:val="es-ES_tradnl"/>
        </w:rPr>
        <w:tab/>
        <w:t xml:space="preserve">Implementar acciones para combatir la desnutrición infantil, incluyendo la promoción de la lactancia materna y desarrollar una estrategia de seguridad </w:t>
      </w:r>
      <w:proofErr w:type="spellStart"/>
      <w:r>
        <w:rPr>
          <w:lang w:val="es-ES_tradnl"/>
        </w:rPr>
        <w:t>alimentaria</w:t>
      </w:r>
      <w:proofErr w:type="spellEnd"/>
      <w:r>
        <w:rPr>
          <w:lang w:val="es-ES_tradnl"/>
        </w:rPr>
        <w:t xml:space="preserve"> para toda la población, garantizando el acceso a los grupos de mayor riesgo biológico y social.</w:t>
      </w:r>
    </w:p>
    <w:p w:rsidR="00000000" w:rsidRDefault="00000000">
      <w:pPr>
        <w:spacing w:after="240"/>
        <w:ind w:left="1134" w:hanging="567"/>
      </w:pPr>
      <w:r>
        <w:rPr>
          <w:lang w:val="es-ES_tradnl"/>
        </w:rPr>
        <w:t>d)</w:t>
      </w:r>
      <w:r>
        <w:rPr>
          <w:lang w:val="es-ES_tradnl"/>
        </w:rPr>
        <w:tab/>
        <w:t>Promover la participación social en salud y el control ciudadano en el ámbito local, que permita ejercer los derechos de información, reclamación y de atención digna.</w:t>
      </w:r>
    </w:p>
    <w:p w:rsidR="00000000" w:rsidRDefault="00000000">
      <w:pPr>
        <w:spacing w:after="240"/>
        <w:ind w:left="1134" w:hanging="567"/>
      </w:pPr>
      <w:r>
        <w:rPr>
          <w:lang w:val="es-ES_tradnl"/>
        </w:rPr>
        <w:t>e)</w:t>
      </w:r>
      <w:r>
        <w:rPr>
          <w:lang w:val="es-ES_tradnl"/>
        </w:rPr>
        <w:tab/>
        <w:t xml:space="preserve">Desarrollar acciones de prevención, control y vigilancia de las enfermedades y riesgos biológicos, laborales y </w:t>
      </w:r>
      <w:proofErr w:type="spellStart"/>
      <w:r>
        <w:rPr>
          <w:lang w:val="es-ES_tradnl"/>
        </w:rPr>
        <w:t>psicosociales</w:t>
      </w:r>
      <w:proofErr w:type="spellEnd"/>
      <w:r>
        <w:rPr>
          <w:lang w:val="es-ES_tradnl"/>
        </w:rPr>
        <w:t xml:space="preserve"> que afectan a la salud de grupos específicos de la población.</w:t>
      </w:r>
    </w:p>
    <w:p w:rsidR="00000000" w:rsidRDefault="00000000">
      <w:pPr>
        <w:spacing w:after="240"/>
        <w:ind w:left="1134" w:hanging="567"/>
      </w:pPr>
      <w:r>
        <w:rPr>
          <w:lang w:val="es-ES_tradnl"/>
        </w:rPr>
        <w:t>f)</w:t>
      </w:r>
      <w:r>
        <w:rPr>
          <w:lang w:val="es-ES_tradnl"/>
        </w:rPr>
        <w:tab/>
        <w:t>Ejecutar el plan nacional vigente en materia de población, inclusive en lo relacionado con salud sexual, reproductiva y planificación familiar.</w:t>
      </w:r>
    </w:p>
    <w:p w:rsidR="00000000" w:rsidRDefault="00000000">
      <w:pPr>
        <w:spacing w:after="240"/>
        <w:ind w:left="1134" w:hanging="567"/>
      </w:pPr>
      <w:r>
        <w:rPr>
          <w:lang w:val="es-ES_tradnl"/>
        </w:rPr>
        <w:t>g)</w:t>
      </w:r>
      <w:r>
        <w:rPr>
          <w:lang w:val="es-ES_tradnl"/>
        </w:rPr>
        <w:tab/>
        <w:t>Regular los precios y la calidad de los medicamentos, insumos y equipamiento médico y demás tecnologías en salud.</w:t>
      </w:r>
    </w:p>
    <w:p w:rsidR="00000000" w:rsidRDefault="00000000">
      <w:pPr>
        <w:spacing w:after="240"/>
        <w:ind w:left="1134" w:hanging="567"/>
      </w:pPr>
      <w:r>
        <w:rPr>
          <w:lang w:val="es-ES_tradnl"/>
        </w:rPr>
        <w:t>h)</w:t>
      </w:r>
      <w:r>
        <w:rPr>
          <w:lang w:val="es-ES_tradnl"/>
        </w:rPr>
        <w:tab/>
        <w:t>Formular y articular políticas públicas saludables en beneficio de la salud de la comunidad</w:t>
      </w:r>
      <w:r>
        <w:rPr>
          <w:rStyle w:val="FootnoteReference"/>
          <w:lang w:val="es-ES_tradnl"/>
        </w:rPr>
        <w:footnoteReference w:id="66"/>
      </w:r>
      <w:r>
        <w:rPr>
          <w:lang w:val="es-ES_tradnl"/>
        </w:rPr>
        <w:t>.</w:t>
      </w:r>
    </w:p>
    <w:p w:rsidR="00000000" w:rsidRDefault="00000000">
      <w:pPr>
        <w:spacing w:after="240"/>
      </w:pPr>
      <w:r>
        <w:rPr>
          <w:lang w:val="es-ES_tradnl"/>
        </w:rPr>
        <w:t>467.</w:t>
      </w:r>
      <w:r>
        <w:rPr>
          <w:lang w:val="es-ES_tradnl"/>
        </w:rPr>
        <w:tab/>
        <w:t>Todo esto considerando que las acciones de salud pública requieren de análisis descentralizados y estratificados para orientar intervenciones diferenciadas en distintos grupos de población, no sólo en base de las tradicionales categorías biológicas de sexo y edad, sino a partir de categorías sociales de mayor capacidad explicativa definidas en términos de las condiciones de vida de los distintos grupos poblacionales</w:t>
      </w:r>
      <w:r>
        <w:rPr>
          <w:rStyle w:val="FootnoteReference"/>
          <w:lang w:val="es-ES_tradnl"/>
        </w:rPr>
        <w:footnoteReference w:id="67"/>
      </w:r>
      <w:r>
        <w:rPr>
          <w:lang w:val="es-ES_tradnl"/>
        </w:rPr>
        <w:t xml:space="preserve">.  Constituye el proceso más relevante en la gestión del Ministerio de Salud Pública en los últimos 15 años, ha permitido la organización territorial de la atención de salud en las denominadas "áreas de salud" cuyo avance ha sido potenciado por el proyecto </w:t>
      </w:r>
      <w:proofErr w:type="spellStart"/>
      <w:r>
        <w:rPr>
          <w:lang w:val="es-ES_tradnl"/>
        </w:rPr>
        <w:t>FASBASE</w:t>
      </w:r>
      <w:proofErr w:type="spellEnd"/>
      <w:r>
        <w:rPr>
          <w:lang w:val="es-ES_tradnl"/>
        </w:rPr>
        <w:t>, a cargo del Ministerio desde 1992.  Sin duda este proceso, que en gran parte ha sido más bien de desconcentración y limitado a las unidades de salud del Ministerio, ha mostrado las ventajas de la gestión local participativa en términos de procurar una mayor equidad y eficiencia en el uso de los escasos recursos disponibles.  No obstante, las perspectivas generadas por la nueva Ley de descentralización y participación social y el marco constitucional sobre la materia han acelerado las iniciativas de gestión descentralizada de los servicios, contando con el papel protagónico de los municipios, muchos de los cuales, solos o asociados, tienen la posibilidad de participar en las actividades de promoción y cuidado de la salud de la población a su cargo, mediante convenios de transferencias de responsabilidades y competencias de recursos por parte del Gobierno central, en el marco de la rectoría sectorial ejercida por el Ministerio de Salud Pública.  Adicionalmente, el nuevo proyecto del Ministerio de Salud que promueve la modernización de los Servicios de Salud (</w:t>
      </w:r>
      <w:proofErr w:type="spellStart"/>
      <w:r>
        <w:rPr>
          <w:lang w:val="es-ES_tradnl"/>
        </w:rPr>
        <w:t>MODERSA</w:t>
      </w:r>
      <w:proofErr w:type="spellEnd"/>
      <w:r>
        <w:rPr>
          <w:lang w:val="es-ES_tradnl"/>
        </w:rPr>
        <w:t>), y que cuenta con financiamiento del Banco Mundial, está orientado a crear un sistema descentralizado de cobertura universal, con la participación de los diversos actores institucionales del sector salud a través de la conformación de redes plurales de atención y el manejo de sistemas de gestión y financiamiento local, donde el municipio tiene un papel importante al incorporar a la salud como parte de sus planes de desarrollo local.</w:t>
      </w:r>
    </w:p>
    <w:p w:rsidR="00000000" w:rsidRDefault="00000000">
      <w:pPr>
        <w:spacing w:after="240"/>
      </w:pPr>
      <w:r>
        <w:rPr>
          <w:lang w:val="es-ES_tradnl"/>
        </w:rPr>
        <w:t>468.</w:t>
      </w:r>
      <w:r>
        <w:rPr>
          <w:lang w:val="es-ES_tradnl"/>
        </w:rPr>
        <w:tab/>
        <w:t xml:space="preserve">En suma, la desconcentración y descentralización en salud es uno de los puntos vitales para la reforma del sector salud, cuyo avance permitirá el desarrollo de nuevos modelos de gestión para elevar la capacidad resolutiva de los servicios con el objeto de satisfacer las demandas prioritarias de la población y construir un sistema nacional de salud sólido, dinámico y flexible, sobre la base de los sistemas </w:t>
      </w:r>
      <w:proofErr w:type="spellStart"/>
      <w:r>
        <w:rPr>
          <w:lang w:val="es-ES_tradnl"/>
        </w:rPr>
        <w:t>cantonales</w:t>
      </w:r>
      <w:proofErr w:type="spellEnd"/>
      <w:r>
        <w:rPr>
          <w:lang w:val="es-ES_tradnl"/>
        </w:rPr>
        <w:t xml:space="preserve"> y provinciales de salud que se vayan conformando en el territorio nacional</w:t>
      </w:r>
      <w:r>
        <w:rPr>
          <w:rStyle w:val="FootnoteReference"/>
          <w:lang w:val="es-ES_tradnl"/>
        </w:rPr>
        <w:footnoteReference w:id="68"/>
      </w:r>
      <w:r>
        <w:rPr>
          <w:lang w:val="es-ES_tradnl"/>
        </w:rPr>
        <w:t>.</w:t>
      </w:r>
    </w:p>
    <w:p w:rsidR="00000000" w:rsidRDefault="00000000">
      <w:pPr>
        <w:spacing w:after="240"/>
        <w:rPr>
          <w:b/>
          <w:bCs/>
        </w:rPr>
      </w:pPr>
      <w:r>
        <w:rPr>
          <w:b/>
          <w:bCs/>
          <w:lang w:val="es-ES_tradnl"/>
        </w:rPr>
        <w:t>Educación y salud</w:t>
      </w:r>
    </w:p>
    <w:p w:rsidR="00000000" w:rsidRDefault="00000000">
      <w:pPr>
        <w:spacing w:after="240"/>
      </w:pPr>
      <w:r>
        <w:rPr>
          <w:lang w:val="es-ES_tradnl"/>
        </w:rPr>
        <w:t>469.</w:t>
      </w:r>
      <w:r>
        <w:rPr>
          <w:lang w:val="es-ES_tradnl"/>
        </w:rPr>
        <w:tab/>
        <w:t>Los programas de salud abarcan los campos de la promoción y protección de la salud, la prevención de enfermedades, su curación y la rehabilitación.</w:t>
      </w:r>
    </w:p>
    <w:p w:rsidR="00000000" w:rsidRDefault="00000000">
      <w:pPr>
        <w:spacing w:after="240"/>
      </w:pPr>
      <w:r>
        <w:t>470.</w:t>
      </w:r>
      <w:r>
        <w:tab/>
      </w:r>
      <w:r>
        <w:rPr>
          <w:lang w:val="es-ES_tradnl"/>
        </w:rPr>
        <w:t>El desarrollo de las actividades de promoción y protección de la salud (así como también de gestión de la misma de los servicios de salud), se basa en un activo fomento de la participación ciudadana, que se puede obtener a partir de comités e instancias de representación, tanto en niveles nacionales, como provinciales y locales, cuya conformación será impulsada.  En este contexto se apoyará la organización y desarrollo de actividades para la consecución de escuelas, colegios, municipios saludables, entre otros ámbitos, así como para el desarrollo de una cultura ciudadana por la salud, con intervenciones de carácter sectorial.</w:t>
      </w:r>
    </w:p>
    <w:p w:rsidR="00000000" w:rsidRDefault="00000000">
      <w:pPr>
        <w:spacing w:after="240"/>
      </w:pPr>
      <w:r>
        <w:rPr>
          <w:lang w:val="es-ES_tradnl"/>
        </w:rPr>
        <w:t>471.</w:t>
      </w:r>
      <w:r>
        <w:rPr>
          <w:lang w:val="es-ES_tradnl"/>
        </w:rPr>
        <w:tab/>
        <w:t>Se incluyen también acciones de información, educación y comunicación orientadas a estimular la adopción de estilos y conductas saludables (apropiada alimentación y prácticas higiénicas, por ejemplo) y evitar comportamientos y hábitos nocivos (tabaquismo, sedentarismo, por ejemplo).</w:t>
      </w:r>
    </w:p>
    <w:p w:rsidR="00000000" w:rsidRDefault="00000000">
      <w:pPr>
        <w:spacing w:after="240"/>
      </w:pPr>
      <w:r>
        <w:t>472.</w:t>
      </w:r>
      <w:r>
        <w:tab/>
      </w:r>
      <w:r>
        <w:rPr>
          <w:lang w:val="es-ES_tradnl"/>
        </w:rPr>
        <w:t>Se han puesto en marcha programas como:</w:t>
      </w:r>
    </w:p>
    <w:p w:rsidR="00000000" w:rsidRDefault="00000000">
      <w:pPr>
        <w:spacing w:after="240"/>
        <w:ind w:left="1134" w:hanging="567"/>
      </w:pPr>
      <w:r>
        <w:rPr>
          <w:lang w:val="es-ES_tradnl"/>
        </w:rPr>
        <w:t>a)</w:t>
      </w:r>
      <w:r>
        <w:rPr>
          <w:lang w:val="es-ES_tradnl"/>
        </w:rPr>
        <w:tab/>
        <w:t>Programa de Alimentación y Nutrición (</w:t>
      </w:r>
      <w:proofErr w:type="spellStart"/>
      <w:r>
        <w:rPr>
          <w:lang w:val="es-ES_tradnl"/>
        </w:rPr>
        <w:t>PANN</w:t>
      </w:r>
      <w:proofErr w:type="spellEnd"/>
      <w:r>
        <w:rPr>
          <w:lang w:val="es-ES_tradnl"/>
        </w:rPr>
        <w:t xml:space="preserve"> 2000), consistente en un suplemento nutricional para niños menores de dos años (desnutridos o en riesgo de desnutrición) y para mujeres embarazadas de riesgo.</w:t>
      </w:r>
    </w:p>
    <w:p w:rsidR="00000000" w:rsidRDefault="00000000">
      <w:pPr>
        <w:spacing w:after="240"/>
        <w:ind w:left="1134" w:hanging="567"/>
      </w:pPr>
      <w:r>
        <w:rPr>
          <w:lang w:val="es-ES_tradnl"/>
        </w:rPr>
        <w:t>b)</w:t>
      </w:r>
      <w:r>
        <w:rPr>
          <w:lang w:val="es-ES_tradnl"/>
        </w:rPr>
        <w:tab/>
        <w:t xml:space="preserve">Reforzamiento del Sistema de Vigilancia </w:t>
      </w:r>
      <w:proofErr w:type="spellStart"/>
      <w:r>
        <w:rPr>
          <w:lang w:val="es-ES_tradnl"/>
        </w:rPr>
        <w:t>Alimentaria</w:t>
      </w:r>
      <w:proofErr w:type="spellEnd"/>
      <w:r>
        <w:rPr>
          <w:lang w:val="es-ES_tradnl"/>
        </w:rPr>
        <w:t xml:space="preserve"> Nutricional (SISVAN) a través de acciones de automatización y apoyo logístico para mejorar el monitoreo y evaluación de actividades.</w:t>
      </w:r>
    </w:p>
    <w:p w:rsidR="00000000" w:rsidRDefault="00000000">
      <w:pPr>
        <w:spacing w:after="240"/>
        <w:ind w:left="1134" w:hanging="567"/>
      </w:pPr>
      <w:r>
        <w:rPr>
          <w:lang w:val="es-ES_tradnl"/>
        </w:rPr>
        <w:t>c)</w:t>
      </w:r>
      <w:r>
        <w:rPr>
          <w:lang w:val="es-ES_tradnl"/>
        </w:rPr>
        <w:tab/>
        <w:t xml:space="preserve">Programa de Alimentación Complementaria, mediante la entrega de raciones </w:t>
      </w:r>
      <w:proofErr w:type="spellStart"/>
      <w:r>
        <w:rPr>
          <w:lang w:val="es-ES_tradnl"/>
        </w:rPr>
        <w:t>alimentarias</w:t>
      </w:r>
      <w:proofErr w:type="spellEnd"/>
      <w:r>
        <w:rPr>
          <w:lang w:val="es-ES_tradnl"/>
        </w:rPr>
        <w:t xml:space="preserve"> a nivel nacional para niños con desnutrición moderada y grave, así como a madres embarazadas y de bajo peso.  Se prevé ampliar progresivamente la cobertura, en un marco de cooperación interinstitucional (ORI, </w:t>
      </w:r>
      <w:proofErr w:type="spellStart"/>
      <w:r>
        <w:rPr>
          <w:lang w:val="es-ES_tradnl"/>
        </w:rPr>
        <w:t>INNFA</w:t>
      </w:r>
      <w:proofErr w:type="spellEnd"/>
      <w:r>
        <w:rPr>
          <w:lang w:val="es-ES_tradnl"/>
        </w:rPr>
        <w:t xml:space="preserve">, Ministerio de Educación y </w:t>
      </w:r>
      <w:proofErr w:type="spellStart"/>
      <w:r>
        <w:rPr>
          <w:lang w:val="es-ES_tradnl"/>
        </w:rPr>
        <w:t>CARE</w:t>
      </w:r>
      <w:proofErr w:type="spellEnd"/>
      <w:r>
        <w:rPr>
          <w:lang w:val="es-ES_tradnl"/>
        </w:rPr>
        <w:t>).</w:t>
      </w:r>
    </w:p>
    <w:p w:rsidR="00000000" w:rsidRDefault="00000000">
      <w:pPr>
        <w:spacing w:after="240"/>
        <w:ind w:left="1134" w:hanging="567"/>
      </w:pPr>
      <w:r>
        <w:rPr>
          <w:lang w:val="es-ES_tradnl"/>
        </w:rPr>
        <w:t>d)</w:t>
      </w:r>
      <w:r>
        <w:rPr>
          <w:lang w:val="es-ES_tradnl"/>
        </w:rPr>
        <w:tab/>
        <w:t xml:space="preserve">Programa Integrado de </w:t>
      </w:r>
      <w:proofErr w:type="spellStart"/>
      <w:r>
        <w:rPr>
          <w:lang w:val="es-ES_tradnl"/>
        </w:rPr>
        <w:t>Micronutrientes</w:t>
      </w:r>
      <w:proofErr w:type="spellEnd"/>
      <w:r>
        <w:rPr>
          <w:lang w:val="es-ES_tradnl"/>
        </w:rPr>
        <w:t xml:space="preserve">, que consiste en la </w:t>
      </w:r>
      <w:proofErr w:type="spellStart"/>
      <w:r>
        <w:rPr>
          <w:lang w:val="es-ES_tradnl"/>
        </w:rPr>
        <w:t>suplementación</w:t>
      </w:r>
      <w:proofErr w:type="spellEnd"/>
      <w:r>
        <w:rPr>
          <w:lang w:val="es-ES_tradnl"/>
        </w:rPr>
        <w:t xml:space="preserve"> con </w:t>
      </w:r>
      <w:proofErr w:type="spellStart"/>
      <w:r>
        <w:rPr>
          <w:lang w:val="es-ES_tradnl"/>
        </w:rPr>
        <w:t>micronutrientes</w:t>
      </w:r>
      <w:proofErr w:type="spellEnd"/>
      <w:r>
        <w:rPr>
          <w:lang w:val="es-ES_tradnl"/>
        </w:rPr>
        <w:t xml:space="preserve">, hierro y vitamina A y está dirigido a madres embarazadas y niños menores de 1 año.  Tiene una cobertura nacional y está implementado a través de todas las unidades operativas del país, con el apoyo del MSP y la cooperación internacional; además de la fortificación de alimentos de consumo masivo, harina con hierro, ácido fólico, vitaminas del complejo B y </w:t>
      </w:r>
      <w:proofErr w:type="spellStart"/>
      <w:r>
        <w:rPr>
          <w:lang w:val="es-ES_tradnl"/>
        </w:rPr>
        <w:t>niacina</w:t>
      </w:r>
      <w:proofErr w:type="spellEnd"/>
      <w:r>
        <w:rPr>
          <w:lang w:val="es-ES_tradnl"/>
        </w:rPr>
        <w:t xml:space="preserve"> y sal con flúor y yodo.</w:t>
      </w:r>
    </w:p>
    <w:p w:rsidR="00000000" w:rsidRDefault="00000000">
      <w:pPr>
        <w:spacing w:after="240"/>
        <w:ind w:left="1134" w:hanging="567"/>
      </w:pPr>
      <w:r>
        <w:rPr>
          <w:lang w:val="es-ES_tradnl"/>
        </w:rPr>
        <w:t>e)</w:t>
      </w:r>
      <w:r>
        <w:rPr>
          <w:lang w:val="es-ES_tradnl"/>
        </w:rPr>
        <w:tab/>
        <w:t xml:space="preserve">Programa de Educación Alimentario.  Todos los programas anteriormente anotados tienen un componente de información, educación y comunicación nutricional, orientado a un mejor aprovechamiento de alimentos disponibles localmente, adopción de prácticas favorables para una adecuada alimentación y nutrición y eliminación, a su vez, de conductas nocivas, con el desarrollo y aplicación de instrumentos tales como elaboración de guías </w:t>
      </w:r>
      <w:proofErr w:type="spellStart"/>
      <w:r>
        <w:rPr>
          <w:lang w:val="es-ES_tradnl"/>
        </w:rPr>
        <w:t>alimentarias</w:t>
      </w:r>
      <w:proofErr w:type="spellEnd"/>
      <w:r>
        <w:rPr>
          <w:lang w:val="es-ES_tradnl"/>
        </w:rPr>
        <w:t xml:space="preserve"> basadas en alimentos, radios amigas, la mejor compra y metodología educativas innovadoras, como consejería nutricional.</w:t>
      </w:r>
    </w:p>
    <w:p w:rsidR="00000000" w:rsidRDefault="00000000">
      <w:pPr>
        <w:spacing w:after="240"/>
        <w:ind w:left="1134" w:hanging="567"/>
      </w:pPr>
      <w:r>
        <w:rPr>
          <w:lang w:val="es-ES_tradnl"/>
        </w:rPr>
        <w:t>f)</w:t>
      </w:r>
      <w:r>
        <w:rPr>
          <w:lang w:val="es-ES_tradnl"/>
        </w:rPr>
        <w:tab/>
        <w:t xml:space="preserve">Programa de Atención Infantil.  Atención integral de las enfermedades </w:t>
      </w:r>
      <w:proofErr w:type="spellStart"/>
      <w:r>
        <w:rPr>
          <w:lang w:val="es-ES_tradnl"/>
        </w:rPr>
        <w:t>prevalentes</w:t>
      </w:r>
      <w:proofErr w:type="spellEnd"/>
      <w:r>
        <w:rPr>
          <w:lang w:val="es-ES_tradnl"/>
        </w:rPr>
        <w:t xml:space="preserve"> de la infancia (</w:t>
      </w:r>
      <w:proofErr w:type="spellStart"/>
      <w:r>
        <w:rPr>
          <w:lang w:val="es-ES_tradnl"/>
        </w:rPr>
        <w:t>AIEPI</w:t>
      </w:r>
      <w:proofErr w:type="spellEnd"/>
      <w:r>
        <w:rPr>
          <w:lang w:val="es-ES_tradnl"/>
        </w:rPr>
        <w:t>) Control de crecimiento y desarrollo infantil, para la detección oportuna de niños desnutridos o en riesgo de desnutrición o con problemas de desarrollo psicomotor.</w:t>
      </w:r>
    </w:p>
    <w:p w:rsidR="00000000" w:rsidRDefault="00000000">
      <w:pPr>
        <w:spacing w:after="240"/>
        <w:ind w:left="1134" w:hanging="567"/>
      </w:pPr>
      <w:r>
        <w:rPr>
          <w:lang w:val="es-ES_tradnl"/>
        </w:rPr>
        <w:t>g)</w:t>
      </w:r>
      <w:r>
        <w:rPr>
          <w:lang w:val="es-ES_tradnl"/>
        </w:rPr>
        <w:tab/>
        <w:t xml:space="preserve">Prevención y control de enfermedades de alta </w:t>
      </w:r>
      <w:proofErr w:type="spellStart"/>
      <w:r>
        <w:rPr>
          <w:lang w:val="es-ES_tradnl"/>
        </w:rPr>
        <w:t>prevalencia</w:t>
      </w:r>
      <w:proofErr w:type="spellEnd"/>
      <w:r>
        <w:rPr>
          <w:lang w:val="es-ES_tradnl"/>
        </w:rPr>
        <w:t>, especialmente respiratorias e intestinales.</w:t>
      </w:r>
    </w:p>
    <w:p w:rsidR="00000000" w:rsidRDefault="00000000">
      <w:pPr>
        <w:spacing w:after="240"/>
        <w:ind w:left="1134" w:hanging="567"/>
      </w:pPr>
      <w:r>
        <w:rPr>
          <w:lang w:val="es-ES_tradnl"/>
        </w:rPr>
        <w:t>h)</w:t>
      </w:r>
      <w:r>
        <w:rPr>
          <w:lang w:val="es-ES_tradnl"/>
        </w:rPr>
        <w:tab/>
        <w:t xml:space="preserve">Programa Ampliado de Inmunizaciones.  Mantenimiento de coberturas útiles de vacunas existentes e introducción progresiva de nuevas vacunas contra enfermedades tales como </w:t>
      </w:r>
      <w:proofErr w:type="spellStart"/>
      <w:r>
        <w:rPr>
          <w:lang w:val="es-ES_tradnl"/>
        </w:rPr>
        <w:t>rubeola</w:t>
      </w:r>
      <w:proofErr w:type="spellEnd"/>
      <w:r>
        <w:rPr>
          <w:lang w:val="es-ES_tradnl"/>
        </w:rPr>
        <w:t>, parotiditis, hepatitis B y meningitis; refuerzo de vacuna antitetánica en mujeres de edad fértil y contra fiebre amarilla en zonas de riesgo.</w:t>
      </w:r>
    </w:p>
    <w:p w:rsidR="00000000" w:rsidRDefault="00000000">
      <w:pPr>
        <w:spacing w:after="240"/>
        <w:ind w:left="1134" w:hanging="567"/>
      </w:pPr>
      <w:proofErr w:type="spellStart"/>
      <w:r>
        <w:rPr>
          <w:lang w:val="es-ES_tradnl"/>
        </w:rPr>
        <w:t>i</w:t>
      </w:r>
      <w:proofErr w:type="spellEnd"/>
      <w:r>
        <w:rPr>
          <w:lang w:val="es-ES_tradnl"/>
        </w:rPr>
        <w:t>)</w:t>
      </w:r>
      <w:r>
        <w:rPr>
          <w:lang w:val="es-ES_tradnl"/>
        </w:rPr>
        <w:tab/>
        <w:t>Programa de Atención Escolar, que pretende el desarrollo de actividades a través de visitas periódicas a los establecimientos escolares, incluyendo desplazamientos de unidades móviles en coordinación con el Ministerio de Educación.</w:t>
      </w:r>
    </w:p>
    <w:p w:rsidR="00000000" w:rsidRDefault="00000000">
      <w:pPr>
        <w:spacing w:after="240"/>
        <w:ind w:left="1134" w:hanging="567"/>
      </w:pPr>
      <w:r>
        <w:rPr>
          <w:lang w:val="es-ES_tradnl"/>
        </w:rPr>
        <w:t>j)</w:t>
      </w:r>
      <w:r>
        <w:rPr>
          <w:lang w:val="es-ES_tradnl"/>
        </w:rPr>
        <w:tab/>
        <w:t>Controles preventivos y curativos, atención de problemas visuales y auditivos.  Atención de Salud bucal, con componentes educativos, administración de flúor y controles preventivos y curativos.</w:t>
      </w:r>
    </w:p>
    <w:p w:rsidR="00000000" w:rsidRDefault="00000000">
      <w:pPr>
        <w:spacing w:after="240"/>
        <w:ind w:left="1134" w:hanging="567"/>
        <w:rPr>
          <w:lang w:val="es-ES_tradnl"/>
        </w:rPr>
      </w:pPr>
      <w:r>
        <w:rPr>
          <w:lang w:val="es-ES_tradnl"/>
        </w:rPr>
        <w:t>k)</w:t>
      </w:r>
      <w:r>
        <w:rPr>
          <w:lang w:val="es-ES_tradnl"/>
        </w:rPr>
        <w:tab/>
        <w:t>Salud mental, diagnóstico y tratamiento temprano de dificultades de aprendizaje.</w:t>
      </w:r>
    </w:p>
    <w:p w:rsidR="00000000" w:rsidRDefault="00000000">
      <w:pPr>
        <w:spacing w:after="240"/>
        <w:ind w:left="1134" w:hanging="567"/>
      </w:pPr>
      <w:r>
        <w:rPr>
          <w:lang w:val="es-ES_tradnl"/>
        </w:rPr>
        <w:t>l)</w:t>
      </w:r>
      <w:r>
        <w:rPr>
          <w:lang w:val="es-ES_tradnl"/>
        </w:rPr>
        <w:tab/>
        <w:t xml:space="preserve">Erradicación de la </w:t>
      </w:r>
      <w:proofErr w:type="spellStart"/>
      <w:r>
        <w:rPr>
          <w:lang w:val="es-ES_tradnl"/>
        </w:rPr>
        <w:t>parasitosis</w:t>
      </w:r>
      <w:proofErr w:type="spellEnd"/>
      <w:r>
        <w:rPr>
          <w:lang w:val="es-ES_tradnl"/>
        </w:rPr>
        <w:t xml:space="preserve"> intestinal.</w:t>
      </w:r>
    </w:p>
    <w:p w:rsidR="00000000" w:rsidRDefault="00000000">
      <w:pPr>
        <w:spacing w:after="240"/>
        <w:rPr>
          <w:i/>
          <w:iCs/>
        </w:rPr>
      </w:pPr>
      <w:r>
        <w:rPr>
          <w:i/>
          <w:iCs/>
          <w:lang w:val="es-ES_tradnl"/>
        </w:rPr>
        <w:t>Programas de salud sexual y reproductiva</w:t>
      </w:r>
    </w:p>
    <w:p w:rsidR="00000000" w:rsidRDefault="00000000">
      <w:pPr>
        <w:spacing w:after="240"/>
      </w:pPr>
      <w:r>
        <w:rPr>
          <w:lang w:val="es-ES_tradnl"/>
        </w:rPr>
        <w:t>473.</w:t>
      </w:r>
      <w:r>
        <w:rPr>
          <w:lang w:val="es-ES_tradnl"/>
        </w:rPr>
        <w:tab/>
        <w:t xml:space="preserve">Maternidad saludable.  Atención prenatal y </w:t>
      </w:r>
      <w:proofErr w:type="spellStart"/>
      <w:r>
        <w:rPr>
          <w:lang w:val="es-ES_tradnl"/>
        </w:rPr>
        <w:t>posnatal</w:t>
      </w:r>
      <w:proofErr w:type="spellEnd"/>
      <w:r>
        <w:rPr>
          <w:lang w:val="es-ES_tradnl"/>
        </w:rPr>
        <w:t>, propiciando un incremento de la cobertura y concentración.  Educación nutricional durante el embarazo y promoción de la lactancia natural.  Promoción del parto institucional con prioridad especial hacia mujeres  residentes en sectores rurales, para asegurar detección precoz de riesgos y transporte oportuno hacia servicios con atención obstétrica quirúrgica, dotados de personal apropiado y con acceso rápido a bancos de sangre.</w:t>
      </w:r>
    </w:p>
    <w:p w:rsidR="00000000" w:rsidRDefault="00000000">
      <w:pPr>
        <w:spacing w:after="240"/>
      </w:pPr>
      <w:r>
        <w:rPr>
          <w:lang w:val="es-ES_tradnl"/>
        </w:rPr>
        <w:t>474.</w:t>
      </w:r>
      <w:r>
        <w:rPr>
          <w:lang w:val="es-ES_tradnl"/>
        </w:rPr>
        <w:tab/>
        <w:t xml:space="preserve">Estos programas también comprenden aspectos como:  hospedaje materno en servicios de salud, implementación de la Ley de maternidad gratuita, acciones de prevención y atención de violencia </w:t>
      </w:r>
      <w:proofErr w:type="spellStart"/>
      <w:r>
        <w:rPr>
          <w:lang w:val="es-ES_tradnl"/>
        </w:rPr>
        <w:t>intrafamiliar</w:t>
      </w:r>
      <w:proofErr w:type="spellEnd"/>
      <w:r>
        <w:rPr>
          <w:lang w:val="es-ES_tradnl"/>
        </w:rPr>
        <w:t xml:space="preserve">, planificación familiar, con un enfoque integral que comprende actividades dirigidas a la pareja, propiciando decisiones debidamente informadas, prevención y control de enfermedades de transmisión sexual, enfatizando en aspectos educativos para la prevención del </w:t>
      </w:r>
      <w:proofErr w:type="spellStart"/>
      <w:r>
        <w:rPr>
          <w:lang w:val="es-ES_tradnl"/>
        </w:rPr>
        <w:t>VIH/SIDA</w:t>
      </w:r>
      <w:proofErr w:type="spellEnd"/>
      <w:r>
        <w:rPr>
          <w:lang w:val="es-ES_tradnl"/>
        </w:rPr>
        <w:t>, prevención y control de cáncer uterino, de seno y próstata promoviendo una activa relación interinstitucional con SOLCA y sus servicios.</w:t>
      </w:r>
    </w:p>
    <w:p w:rsidR="00000000" w:rsidRDefault="00000000">
      <w:pPr>
        <w:spacing w:after="240"/>
      </w:pPr>
      <w:r>
        <w:rPr>
          <w:lang w:val="es-ES_tradnl"/>
        </w:rPr>
        <w:t>475.</w:t>
      </w:r>
      <w:r>
        <w:rPr>
          <w:lang w:val="es-ES_tradnl"/>
        </w:rPr>
        <w:tab/>
        <w:t>Programa de atención integral de adolescentes.  Prevención y atención de embarazos tempranos, prevención y tratamiento de enfermedades de transmisión sexual, prevención de drogadicción, alcoholismo y tabaquismo.</w:t>
      </w:r>
    </w:p>
    <w:p w:rsidR="00000000" w:rsidRDefault="00000000">
      <w:pPr>
        <w:spacing w:after="240"/>
      </w:pPr>
      <w:r>
        <w:t>476.</w:t>
      </w:r>
      <w:r>
        <w:tab/>
      </w:r>
      <w:r>
        <w:rPr>
          <w:lang w:val="es-ES_tradnl"/>
        </w:rPr>
        <w:t xml:space="preserve">Programa de atención de enfermedades transmisibles </w:t>
      </w:r>
      <w:proofErr w:type="spellStart"/>
      <w:r>
        <w:rPr>
          <w:lang w:val="es-ES_tradnl"/>
        </w:rPr>
        <w:t>prevalentes</w:t>
      </w:r>
      <w:proofErr w:type="spellEnd"/>
      <w:r>
        <w:rPr>
          <w:lang w:val="es-ES_tradnl"/>
        </w:rPr>
        <w:t>.  Prevención y control de malaria y otras enfermedades vectoriales, tuberculosis, rabia y otras enfermedades de interés epidemiológico nacional.</w:t>
      </w:r>
    </w:p>
    <w:p w:rsidR="00000000" w:rsidRDefault="00000000">
      <w:pPr>
        <w:spacing w:after="240"/>
      </w:pPr>
      <w:r>
        <w:rPr>
          <w:lang w:val="es-ES_tradnl"/>
        </w:rPr>
        <w:t>477.</w:t>
      </w:r>
      <w:r>
        <w:rPr>
          <w:lang w:val="es-ES_tradnl"/>
        </w:rPr>
        <w:tab/>
        <w:t xml:space="preserve">Programa de atención de enfermedades no transmisibles </w:t>
      </w:r>
      <w:proofErr w:type="spellStart"/>
      <w:r>
        <w:rPr>
          <w:lang w:val="es-ES_tradnl"/>
        </w:rPr>
        <w:t>prevalentes</w:t>
      </w:r>
      <w:proofErr w:type="spellEnd"/>
      <w:r>
        <w:rPr>
          <w:lang w:val="es-ES_tradnl"/>
        </w:rPr>
        <w:t xml:space="preserve">.  Prevención y control de hipertensión arterial y enfermedades </w:t>
      </w:r>
      <w:proofErr w:type="spellStart"/>
      <w:r>
        <w:rPr>
          <w:lang w:val="es-ES_tradnl"/>
        </w:rPr>
        <w:t>cardiocerebrovasculares</w:t>
      </w:r>
      <w:proofErr w:type="spellEnd"/>
      <w:r>
        <w:rPr>
          <w:lang w:val="es-ES_tradnl"/>
        </w:rPr>
        <w:t>, cáncer, diabetes, accidentes de tránsito y violencia, así como enfermedades mentales de importancia epidemiológica nacional.</w:t>
      </w:r>
    </w:p>
    <w:p w:rsidR="00000000" w:rsidRDefault="00000000">
      <w:pPr>
        <w:spacing w:after="240"/>
      </w:pPr>
      <w:r>
        <w:t>478.</w:t>
      </w:r>
      <w:r>
        <w:tab/>
      </w:r>
      <w:r>
        <w:rPr>
          <w:lang w:val="es-ES_tradnl"/>
        </w:rPr>
        <w:t>Atención a discapacitados y personas mayores.  Implementación de formas alternativas de atención integral a personas mayores, incluyendo acciones de prevención de salud y fomento de vida productiva, en coordinación con el Consejo Nacional de Discapacidades, identificación y acreditación de personas discapacitadas para calificación de derechos</w:t>
      </w:r>
      <w:r>
        <w:rPr>
          <w:rStyle w:val="FootnoteReference"/>
          <w:lang w:val="es-ES_tradnl"/>
        </w:rPr>
        <w:footnoteReference w:id="69"/>
      </w:r>
      <w:r>
        <w:rPr>
          <w:lang w:val="es-ES_tradnl"/>
        </w:rPr>
        <w:t>.</w:t>
      </w:r>
    </w:p>
    <w:p w:rsidR="00000000" w:rsidRDefault="00000000">
      <w:pPr>
        <w:spacing w:after="240"/>
        <w:ind w:firstLine="39"/>
        <w:rPr>
          <w:i/>
          <w:iCs/>
        </w:rPr>
      </w:pPr>
      <w:r>
        <w:rPr>
          <w:i/>
          <w:iCs/>
          <w:lang w:val="es-ES_tradnl"/>
        </w:rPr>
        <w:t>Asistencia internacional</w:t>
      </w:r>
    </w:p>
    <w:p w:rsidR="00000000" w:rsidRDefault="00000000">
      <w:pPr>
        <w:spacing w:after="240"/>
      </w:pPr>
      <w:r>
        <w:rPr>
          <w:lang w:val="es-ES_tradnl"/>
        </w:rPr>
        <w:t>479.</w:t>
      </w:r>
      <w:r>
        <w:rPr>
          <w:lang w:val="es-ES_tradnl"/>
        </w:rPr>
        <w:tab/>
        <w:t>Los programas que se encuentran en ejecución por parte del MSP son financiados en parte por los organismos de asistencia internacional.</w:t>
      </w:r>
    </w:p>
    <w:p w:rsidR="00000000" w:rsidRDefault="00000000">
      <w:pPr>
        <w:spacing w:after="240"/>
      </w:pPr>
      <w:r>
        <w:t>480.</w:t>
      </w:r>
      <w:r>
        <w:tab/>
      </w:r>
      <w:r>
        <w:rPr>
          <w:lang w:val="es-ES_tradnl"/>
        </w:rPr>
        <w:t xml:space="preserve">El Ministerio de Salud recibe apoyo de organismos de las Naciones Unidas, PNUD, </w:t>
      </w:r>
      <w:proofErr w:type="spellStart"/>
      <w:r>
        <w:rPr>
          <w:lang w:val="es-ES_tradnl"/>
        </w:rPr>
        <w:t>OPS/OMS</w:t>
      </w:r>
      <w:proofErr w:type="spellEnd"/>
      <w:r>
        <w:rPr>
          <w:lang w:val="es-ES_tradnl"/>
        </w:rPr>
        <w:t>, el UNICEF, PMA, FAO, etc., cada uno en áreas específicas:  el UNICEF en particular ha desarrollado programas de salud dirigidos a mejorar la atención especialmente de la madre y el niño.  En coordinación con otros programas de desarrollo existen proyectos con fines específicos como la asistencia del Canadá, que dona alimentos para que sean "</w:t>
      </w:r>
      <w:proofErr w:type="spellStart"/>
      <w:r>
        <w:rPr>
          <w:lang w:val="es-ES_tradnl"/>
        </w:rPr>
        <w:t>sucretizados</w:t>
      </w:r>
      <w:proofErr w:type="spellEnd"/>
      <w:r>
        <w:rPr>
          <w:lang w:val="es-ES_tradnl"/>
        </w:rPr>
        <w:t>" (vendidos para obtener moneda local) y con este producto financia un programa de control de la tuberculosis; Francia ha incursionado en la asistencia para el desarrollo de áreas de salud.</w:t>
      </w:r>
    </w:p>
    <w:p w:rsidR="00000000" w:rsidRDefault="00000000">
      <w:pPr>
        <w:spacing w:after="240"/>
      </w:pPr>
      <w:r>
        <w:rPr>
          <w:b/>
          <w:bCs/>
          <w:szCs w:val="29"/>
          <w:lang w:val="es-ES_tradnl"/>
        </w:rPr>
        <w:t>Artículo 13</w:t>
      </w:r>
    </w:p>
    <w:p w:rsidR="00000000" w:rsidRDefault="00000000">
      <w:pPr>
        <w:spacing w:after="240"/>
      </w:pPr>
      <w:r>
        <w:rPr>
          <w:b/>
          <w:bCs/>
          <w:lang w:val="es-ES_tradnl"/>
        </w:rPr>
        <w:t>Derecho a la educación</w:t>
      </w:r>
    </w:p>
    <w:p w:rsidR="00000000" w:rsidRDefault="00000000">
      <w:pPr>
        <w:spacing w:after="240"/>
      </w:pPr>
      <w:r>
        <w:rPr>
          <w:lang w:val="es-ES_tradnl"/>
        </w:rPr>
        <w:t>481.</w:t>
      </w:r>
      <w:r>
        <w:rPr>
          <w:lang w:val="es-ES_tradnl"/>
        </w:rPr>
        <w:tab/>
        <w:t>La Constitución Política del Ecuador, en el artículo 23 referente a los derechos civiles, garantiza el derecho a una calidad de vida que asegure la salud, alimentación y nutrición, agua potable, saneamiento ambiental, educación, trabajo, empleo, recreación, vivienda, vestido y otros servicios necesarios.</w:t>
      </w:r>
    </w:p>
    <w:p w:rsidR="00000000" w:rsidRDefault="00000000">
      <w:pPr>
        <w:spacing w:after="240"/>
      </w:pPr>
      <w:r>
        <w:rPr>
          <w:lang w:val="es-ES_tradnl"/>
        </w:rPr>
        <w:t>482.</w:t>
      </w:r>
      <w:r>
        <w:rPr>
          <w:lang w:val="es-ES_tradnl"/>
        </w:rPr>
        <w:tab/>
        <w:t xml:space="preserve">Concomitante con lo anotado el artículo 66 de la Constitución expresa que la educación es un derecho irrenunciable de las personas y se constituye en área prioritaria de la inversión pública como requisito del desarrollo nacional y garantía de la equidad social:  "La educación, inspirada en principios éticos, pluralistas, democráticos, humanistas y científicos, promoverá el respeto a los derechos humanos, desarrollará un pensamiento crítico, fomentará el civismo; proporcionará destrezas para la eficiencia en el trabajo y la producción; estimulará la creatividad y el pleno desarrollo de la personalidad y las especiales habilidades de cada persona; impulsará la </w:t>
      </w:r>
      <w:proofErr w:type="spellStart"/>
      <w:r>
        <w:rPr>
          <w:lang w:val="es-ES_tradnl"/>
        </w:rPr>
        <w:t>interculturalidad</w:t>
      </w:r>
      <w:proofErr w:type="spellEnd"/>
      <w:r>
        <w:rPr>
          <w:lang w:val="es-ES_tradnl"/>
        </w:rPr>
        <w:t>, la solidaridad y la paz"</w:t>
      </w:r>
      <w:r>
        <w:rPr>
          <w:rStyle w:val="FootnoteReference"/>
          <w:lang w:val="es-ES_tradnl"/>
        </w:rPr>
        <w:footnoteReference w:id="70"/>
      </w:r>
      <w:r>
        <w:rPr>
          <w:lang w:val="es-ES_tradnl"/>
        </w:rPr>
        <w:t>.</w:t>
      </w:r>
    </w:p>
    <w:p w:rsidR="00000000" w:rsidRDefault="00000000">
      <w:pPr>
        <w:spacing w:after="240"/>
      </w:pPr>
      <w:r>
        <w:rPr>
          <w:lang w:val="es-ES_tradnl"/>
        </w:rPr>
        <w:t>483.</w:t>
      </w:r>
      <w:r>
        <w:rPr>
          <w:lang w:val="es-ES_tradnl"/>
        </w:rPr>
        <w:tab/>
        <w:t>El artículo 67 de la Constitución Política señala que "la educación pública será laica en todos sus niveles; obligatoria hasta el nivel básico, y gratuita hasta el bachillerato o su equivalente.  En los establecimientos públicos se proporcionarán, sin costo, servicios de carácter social a quienes los necesiten.  Los estudiantes en situación de extrema pobreza recibirán subsidios específicos".</w:t>
      </w:r>
    </w:p>
    <w:p w:rsidR="00000000" w:rsidRDefault="00000000">
      <w:pPr>
        <w:spacing w:after="240"/>
      </w:pPr>
      <w:r>
        <w:rPr>
          <w:lang w:val="es-ES_tradnl"/>
        </w:rPr>
        <w:t>484.</w:t>
      </w:r>
      <w:r>
        <w:rPr>
          <w:lang w:val="es-ES_tradnl"/>
        </w:rPr>
        <w:tab/>
        <w:t>A partir del año 1996, se viene aplicando en el país la Reforma Curricular para la Educación Básica, con el carácter de obligatoria de diez años.  Se aspira a que en el año 2003 su aplicación sea universal.  En su aplicación se han invertido significativos recursos económicos provenientes de préstamos internacionales en acciones de capacitación de los recursos humanos, difusión, infraestructura, equipamiento entre otras.</w:t>
      </w:r>
    </w:p>
    <w:p w:rsidR="00000000" w:rsidRDefault="00000000">
      <w:pPr>
        <w:spacing w:after="240"/>
        <w:rPr>
          <w:i/>
          <w:iCs/>
        </w:rPr>
      </w:pPr>
      <w:r>
        <w:rPr>
          <w:i/>
          <w:iCs/>
          <w:lang w:val="es-ES_tradnl"/>
        </w:rPr>
        <w:t>Enseñanza secundaria</w:t>
      </w:r>
    </w:p>
    <w:p w:rsidR="00000000" w:rsidRDefault="00000000">
      <w:pPr>
        <w:spacing w:after="240"/>
      </w:pPr>
      <w:r>
        <w:rPr>
          <w:lang w:val="es-ES_tradnl"/>
        </w:rPr>
        <w:t>485.</w:t>
      </w:r>
      <w:r>
        <w:rPr>
          <w:lang w:val="es-ES_tradnl"/>
        </w:rPr>
        <w:tab/>
        <w:t>La Ley de educación establece que el Estado formulará planes y programas de educación permanente para erradicar el analfabetismo y fortalecerá prioritariamente la educación en las zonas rural y de frontera y que se garantizará la educación particular.</w:t>
      </w:r>
    </w:p>
    <w:p w:rsidR="00000000" w:rsidRDefault="00000000">
      <w:pPr>
        <w:spacing w:after="240"/>
        <w:rPr>
          <w:lang w:val="es-ES_tradnl"/>
        </w:rPr>
      </w:pPr>
      <w:r>
        <w:rPr>
          <w:lang w:val="es-ES_tradnl"/>
        </w:rPr>
        <w:t>486.</w:t>
      </w:r>
      <w:r>
        <w:rPr>
          <w:lang w:val="es-ES_tradnl"/>
        </w:rPr>
        <w:tab/>
        <w:t>La Constitución, en el artículo 67, estipula la gratuidad de la educación, disposición que en la realidad no se cumple, pues la enseñanza secundaria en el país no es gratuita en su totalidad, ya que, si bien el Estado cubre la mayoría del presupuesto de los establecimientos públicos, existe la contribución voluntaria de los padres de familia a través de los comités de padres de familia que desarrollan acciones de autogestión para cubrir algunas necesidades institucionales como infraestructura, mantenimiento y contratación de profesores especiales, etc.</w:t>
      </w:r>
    </w:p>
    <w:p w:rsidR="00000000" w:rsidRDefault="00000000">
      <w:pPr>
        <w:spacing w:after="240"/>
      </w:pPr>
      <w:r>
        <w:rPr>
          <w:lang w:val="es-ES_tradnl"/>
        </w:rPr>
        <w:t>487.</w:t>
      </w:r>
      <w:r>
        <w:rPr>
          <w:lang w:val="es-ES_tradnl"/>
        </w:rPr>
        <w:tab/>
        <w:t>La Declaración de La Habana (Conferencia Regional de la UNESCO sobre Políticas y Estrategias para la Transformación de la Educación Superior en América Latina y el Caribe, celebrada en noviembre de 1996) establece que "la educación en general y la superior en particular son instrumentos esenciales para afrontar exitosamente los desafíos del mundo moderno y para formar solidaridad, respeto de los derechos humanos y el uso compartido de los conocimientos y la información.  La educación superior constituye, al mismo tiempo, un elemento insustituible para el desarrollo social, la producción, el crecimiento económico, el fortalecimiento de la identidad cultural, el mantenimiento de la cohesión social, la lucha contra la pobreza y la promoción de la cultura de la paz".</w:t>
      </w:r>
    </w:p>
    <w:p w:rsidR="00000000" w:rsidRDefault="00000000">
      <w:pPr>
        <w:spacing w:after="240"/>
      </w:pPr>
      <w:r>
        <w:rPr>
          <w:lang w:val="es-ES_tradnl"/>
        </w:rPr>
        <w:t>488.</w:t>
      </w:r>
      <w:r>
        <w:rPr>
          <w:lang w:val="es-ES_tradnl"/>
        </w:rPr>
        <w:tab/>
        <w:t>En la Ley de universidades y escuelas politécnicas, capítulo IV, de los alumnos, el artículo 38 señala: "Para ser alumno de las universidades y escuelas politécnicas se requiere poseer título de Bachiller.  Cada universidad y escuela politécnica reglamentará el procedimiento de ingreso, teniendo en cuenta la especialización de los bachilleres, sus necesidades de nivelación, la organización y distribución de los recursos académicos y los requerimientos de capacitación profesional del país".</w:t>
      </w:r>
    </w:p>
    <w:p w:rsidR="00000000" w:rsidRDefault="00000000">
      <w:pPr>
        <w:spacing w:after="240"/>
      </w:pPr>
      <w:r>
        <w:rPr>
          <w:lang w:val="es-ES_tradnl"/>
        </w:rPr>
        <w:t>489.</w:t>
      </w:r>
      <w:r>
        <w:rPr>
          <w:lang w:val="es-ES_tradnl"/>
        </w:rPr>
        <w:tab/>
        <w:t>El Consejo Nacional de Universidades y Escuelas Politécnicas del Ecuador tiene establecida como política en los centros de educación superior la estricta aplicación del artículo 26 de la Declaración Universal de Derechos Humanos que estipula que todos tienen derecho a acceder a la educación superior en razón de sus méritos.  Ello explica por qué en la actualidad todas las universidades y escuelas politécnicas tienen reglamentado el acceso de sus estudiantes, sin perjudicar sus derechos de ingresar a esos centros de educación superior, si cumplen las evaluaciones y requisitos establecidos.</w:t>
      </w:r>
    </w:p>
    <w:p w:rsidR="00000000" w:rsidRDefault="00000000">
      <w:pPr>
        <w:spacing w:after="240"/>
      </w:pPr>
      <w:r>
        <w:rPr>
          <w:lang w:val="es-ES_tradnl"/>
        </w:rPr>
        <w:t>490.</w:t>
      </w:r>
      <w:r>
        <w:rPr>
          <w:lang w:val="es-ES_tradnl"/>
        </w:rPr>
        <w:tab/>
        <w:t>Los costos de la enseñanza superior en los establecimientos públicos son regulados por el Consejo Nacional de Universidades y Escuelas Politécnicas (CONUEP), así los aranceles universitarios y politécnicos para el período 1999-2000 son los siguientes:</w:t>
      </w:r>
    </w:p>
    <w:p w:rsidR="00000000" w:rsidRDefault="00000000">
      <w:pPr>
        <w:spacing w:after="240"/>
        <w:ind w:left="567"/>
        <w:rPr>
          <w:i/>
          <w:iCs/>
        </w:rPr>
      </w:pPr>
      <w:r>
        <w:rPr>
          <w:b/>
          <w:bCs/>
          <w:i/>
          <w:iCs/>
          <w:szCs w:val="23"/>
          <w:lang w:val="es-ES_tradnl"/>
        </w:rPr>
        <w:t>Universidades Estatales</w:t>
      </w:r>
    </w:p>
    <w:p w:rsidR="00000000" w:rsidRDefault="00000000">
      <w:pPr>
        <w:spacing w:after="240"/>
        <w:ind w:left="567"/>
        <w:rPr>
          <w:lang w:val="es-ES_tradnl"/>
        </w:rPr>
      </w:pPr>
      <w:r>
        <w:rPr>
          <w:i/>
          <w:iCs/>
          <w:lang w:val="es-ES_tradnl"/>
        </w:rPr>
        <w:t xml:space="preserve">Universidad Central del Ecuador </w:t>
      </w:r>
      <w:r>
        <w:rPr>
          <w:lang w:val="es-ES_tradnl"/>
        </w:rPr>
        <w:t>(años 1999, 2001)</w:t>
      </w:r>
    </w:p>
    <w:p w:rsidR="00000000" w:rsidRDefault="00000000">
      <w:pPr>
        <w:spacing w:after="240"/>
        <w:ind w:left="567"/>
      </w:pPr>
      <w:r>
        <w:rPr>
          <w:lang w:val="es-ES_tradnl"/>
        </w:rPr>
        <w:tab/>
        <w:t>SMV (Salario Mínimo Vital) = 100 dólares de los EE.UU.)</w:t>
      </w:r>
    </w:p>
    <w:p w:rsidR="00000000" w:rsidRDefault="00000000">
      <w:pPr>
        <w:keepNext/>
        <w:keepLines/>
        <w:spacing w:after="240"/>
        <w:ind w:left="567"/>
      </w:pPr>
      <w:r>
        <w:rPr>
          <w:lang w:val="es-ES_tradnl"/>
        </w:rPr>
        <w:tab/>
      </w:r>
      <w:r>
        <w:rPr>
          <w:i/>
          <w:iCs/>
          <w:lang w:val="es-ES_tradnl"/>
        </w:rPr>
        <w:t>Inscripciones</w:t>
      </w:r>
    </w:p>
    <w:p w:rsidR="00000000" w:rsidRDefault="00000000">
      <w:pPr>
        <w:keepNext/>
        <w:keepLines/>
        <w:spacing w:after="240"/>
        <w:ind w:left="567"/>
      </w:pPr>
      <w:r>
        <w:rPr>
          <w:lang w:val="es-ES_tradnl"/>
        </w:rPr>
        <w:tab/>
        <w:t>Los costos son de acuerdo con los colegios donde proceden:</w:t>
      </w:r>
    </w:p>
    <w:p w:rsidR="00000000" w:rsidRDefault="00000000">
      <w:pPr>
        <w:keepNext/>
        <w:keepLines/>
        <w:tabs>
          <w:tab w:val="left" w:pos="1131"/>
          <w:tab w:val="left" w:pos="3978"/>
          <w:tab w:val="right" w:pos="7176"/>
        </w:tabs>
        <w:spacing w:after="240"/>
        <w:ind w:left="567"/>
      </w:pPr>
      <w:r>
        <w:tab/>
      </w:r>
      <w:r>
        <w:rPr>
          <w:lang w:val="es-ES_tradnl"/>
        </w:rPr>
        <w:t>Colegio fiscal</w:t>
      </w:r>
      <w:r>
        <w:rPr>
          <w:lang w:val="es-ES_tradnl"/>
        </w:rPr>
        <w:tab/>
        <w:t>2 SMV</w:t>
      </w:r>
      <w:r>
        <w:rPr>
          <w:lang w:val="es-ES_tradnl"/>
        </w:rPr>
        <w:tab/>
        <w:t>(200.000 sucres)</w:t>
      </w:r>
      <w:r>
        <w:rPr>
          <w:lang w:val="es-ES_tradnl"/>
        </w:rPr>
        <w:br/>
      </w:r>
      <w:r>
        <w:rPr>
          <w:lang w:val="es-ES_tradnl"/>
        </w:rPr>
        <w:tab/>
        <w:t>Colegio particular</w:t>
      </w:r>
      <w:r>
        <w:rPr>
          <w:lang w:val="es-ES_tradnl"/>
        </w:rPr>
        <w:tab/>
        <w:t>4 SMV</w:t>
      </w:r>
      <w:r>
        <w:rPr>
          <w:lang w:val="es-ES_tradnl"/>
        </w:rPr>
        <w:tab/>
        <w:t>(400.000 sucres)</w:t>
      </w:r>
      <w:r>
        <w:rPr>
          <w:lang w:val="es-ES_tradnl"/>
        </w:rPr>
        <w:br/>
      </w:r>
      <w:r>
        <w:rPr>
          <w:lang w:val="es-ES_tradnl"/>
        </w:rPr>
        <w:tab/>
        <w:t>Bachilleres extranjeros</w:t>
      </w:r>
      <w:r>
        <w:rPr>
          <w:lang w:val="es-ES_tradnl"/>
        </w:rPr>
        <w:tab/>
        <w:t>6 SMV</w:t>
      </w:r>
      <w:r>
        <w:rPr>
          <w:lang w:val="es-ES_tradnl"/>
        </w:rPr>
        <w:tab/>
        <w:t>(600.000 sucres)</w:t>
      </w:r>
    </w:p>
    <w:p w:rsidR="00000000" w:rsidRDefault="00000000">
      <w:pPr>
        <w:spacing w:after="240"/>
        <w:ind w:left="567"/>
        <w:rPr>
          <w:i/>
          <w:iCs/>
        </w:rPr>
      </w:pPr>
      <w:r>
        <w:rPr>
          <w:lang w:val="es-ES_tradnl"/>
        </w:rPr>
        <w:tab/>
      </w:r>
      <w:r>
        <w:rPr>
          <w:i/>
          <w:iCs/>
          <w:lang w:val="es-ES_tradnl"/>
        </w:rPr>
        <w:t>Matrículas</w:t>
      </w:r>
    </w:p>
    <w:p w:rsidR="00000000" w:rsidRDefault="00000000">
      <w:pPr>
        <w:tabs>
          <w:tab w:val="left" w:pos="1131"/>
          <w:tab w:val="left" w:pos="3978"/>
          <w:tab w:val="right" w:pos="7176"/>
        </w:tabs>
        <w:spacing w:after="240"/>
        <w:ind w:left="567"/>
      </w:pPr>
      <w:r>
        <w:rPr>
          <w:lang w:val="es-ES_tradnl"/>
        </w:rPr>
        <w:tab/>
        <w:t>Colegio fiscal</w:t>
      </w:r>
      <w:r>
        <w:rPr>
          <w:lang w:val="es-ES_tradnl"/>
        </w:rPr>
        <w:tab/>
        <w:t>15 SMV</w:t>
      </w:r>
      <w:r>
        <w:rPr>
          <w:lang w:val="es-ES_tradnl"/>
        </w:rPr>
        <w:tab/>
        <w:t>(150.000 sucres)</w:t>
      </w:r>
      <w:r>
        <w:rPr>
          <w:lang w:val="es-ES_tradnl"/>
        </w:rPr>
        <w:br/>
      </w:r>
      <w:r>
        <w:rPr>
          <w:lang w:val="es-ES_tradnl"/>
        </w:rPr>
        <w:tab/>
        <w:t>Colegio particular A</w:t>
      </w:r>
      <w:r>
        <w:rPr>
          <w:lang w:val="es-ES_tradnl"/>
        </w:rPr>
        <w:tab/>
        <w:t>3 SMV</w:t>
      </w:r>
      <w:r>
        <w:rPr>
          <w:lang w:val="es-ES_tradnl"/>
        </w:rPr>
        <w:tab/>
        <w:t>(300.000 sucres)</w:t>
      </w:r>
      <w:r>
        <w:rPr>
          <w:lang w:val="es-ES_tradnl"/>
        </w:rPr>
        <w:br/>
      </w:r>
      <w:r>
        <w:rPr>
          <w:lang w:val="es-ES_tradnl"/>
        </w:rPr>
        <w:tab/>
        <w:t>Colegio particular B</w:t>
      </w:r>
      <w:r>
        <w:rPr>
          <w:lang w:val="es-ES_tradnl"/>
        </w:rPr>
        <w:tab/>
        <w:t>5 SMV</w:t>
      </w:r>
      <w:r>
        <w:rPr>
          <w:lang w:val="es-ES_tradnl"/>
        </w:rPr>
        <w:tab/>
        <w:t>(500.000 sucres)</w:t>
      </w:r>
      <w:r>
        <w:rPr>
          <w:lang w:val="es-ES_tradnl"/>
        </w:rPr>
        <w:br/>
      </w:r>
      <w:r>
        <w:rPr>
          <w:lang w:val="es-ES_tradnl"/>
        </w:rPr>
        <w:tab/>
        <w:t>Colegio particular C</w:t>
      </w:r>
      <w:r>
        <w:rPr>
          <w:lang w:val="es-ES_tradnl"/>
        </w:rPr>
        <w:tab/>
        <w:t>10 SMV</w:t>
      </w:r>
      <w:r>
        <w:rPr>
          <w:lang w:val="es-ES_tradnl"/>
        </w:rPr>
        <w:tab/>
        <w:t>(1.000.000 sucres)</w:t>
      </w:r>
      <w:r>
        <w:rPr>
          <w:lang w:val="es-ES_tradnl"/>
        </w:rPr>
        <w:br/>
      </w:r>
      <w:r>
        <w:rPr>
          <w:lang w:val="es-ES_tradnl"/>
        </w:rPr>
        <w:tab/>
        <w:t>Bachilleres extranjeros</w:t>
      </w:r>
      <w:r>
        <w:rPr>
          <w:lang w:val="es-ES_tradnl"/>
        </w:rPr>
        <w:tab/>
        <w:t>5 SMV</w:t>
      </w:r>
      <w:r>
        <w:rPr>
          <w:lang w:val="es-ES_tradnl"/>
        </w:rPr>
        <w:tab/>
        <w:t>(500.000 sucres)</w:t>
      </w:r>
      <w:r>
        <w:rPr>
          <w:lang w:val="es-ES_tradnl"/>
        </w:rPr>
        <w:br/>
      </w:r>
      <w:r>
        <w:rPr>
          <w:lang w:val="es-ES_tradnl"/>
        </w:rPr>
        <w:tab/>
        <w:t>Extranjeros</w:t>
      </w:r>
      <w:r>
        <w:rPr>
          <w:lang w:val="es-ES_tradnl"/>
        </w:rPr>
        <w:tab/>
        <w:t>25 SMV</w:t>
      </w:r>
      <w:r>
        <w:rPr>
          <w:lang w:val="es-ES_tradnl"/>
        </w:rPr>
        <w:tab/>
        <w:t>(2.500.000 sucres)</w:t>
      </w:r>
    </w:p>
    <w:p w:rsidR="00000000" w:rsidRDefault="00000000">
      <w:pPr>
        <w:spacing w:after="240"/>
        <w:ind w:left="567"/>
      </w:pPr>
      <w:r>
        <w:rPr>
          <w:lang w:val="es-ES_tradnl"/>
        </w:rPr>
        <w:tab/>
      </w:r>
      <w:r>
        <w:rPr>
          <w:i/>
          <w:iCs/>
          <w:lang w:val="es-ES_tradnl"/>
        </w:rPr>
        <w:t>Pensiones</w:t>
      </w:r>
    </w:p>
    <w:p w:rsidR="00000000" w:rsidRDefault="00000000">
      <w:pPr>
        <w:spacing w:after="240"/>
        <w:ind w:left="567"/>
      </w:pPr>
      <w:r>
        <w:rPr>
          <w:lang w:val="es-ES_tradnl"/>
        </w:rPr>
        <w:tab/>
        <w:t>No se cobran pensiones en ninguna facultad.</w:t>
      </w:r>
    </w:p>
    <w:p w:rsidR="00000000" w:rsidRDefault="00000000">
      <w:pPr>
        <w:spacing w:after="240"/>
        <w:ind w:left="567"/>
      </w:pPr>
      <w:r>
        <w:rPr>
          <w:i/>
          <w:iCs/>
          <w:lang w:val="es-ES_tradnl"/>
        </w:rPr>
        <w:t xml:space="preserve">Escuela Politécnica Nacional </w:t>
      </w:r>
      <w:r>
        <w:rPr>
          <w:lang w:val="es-ES_tradnl"/>
        </w:rPr>
        <w:t>(año 1999)</w:t>
      </w:r>
    </w:p>
    <w:p w:rsidR="00000000" w:rsidRDefault="00000000">
      <w:pPr>
        <w:spacing w:after="240"/>
        <w:ind w:left="567"/>
      </w:pPr>
      <w:r>
        <w:rPr>
          <w:lang w:val="es-ES_tradnl"/>
        </w:rPr>
        <w:tab/>
        <w:t>Los costos de los aranceles se dan basándose en:</w:t>
      </w:r>
    </w:p>
    <w:p w:rsidR="00000000" w:rsidRDefault="00000000">
      <w:pPr>
        <w:ind w:left="1491" w:hanging="357"/>
        <w:rPr>
          <w:lang w:val="es-ES_tradnl"/>
        </w:rPr>
      </w:pPr>
      <w:r>
        <w:rPr>
          <w:lang w:val="es-ES_tradnl"/>
        </w:rPr>
        <w:t>-</w:t>
      </w:r>
      <w:r>
        <w:rPr>
          <w:lang w:val="es-ES_tradnl"/>
        </w:rPr>
        <w:tab/>
        <w:t>ingreso familiar;</w:t>
      </w:r>
    </w:p>
    <w:p w:rsidR="00000000" w:rsidRDefault="00000000">
      <w:pPr>
        <w:ind w:left="1491" w:hanging="357"/>
      </w:pPr>
      <w:r>
        <w:rPr>
          <w:lang w:val="es-ES_tradnl"/>
        </w:rPr>
        <w:t>-</w:t>
      </w:r>
      <w:r>
        <w:rPr>
          <w:lang w:val="es-ES_tradnl"/>
        </w:rPr>
        <w:tab/>
        <w:t>consumo de energía eléctrica;</w:t>
      </w:r>
    </w:p>
    <w:p w:rsidR="00000000" w:rsidRDefault="00000000">
      <w:pPr>
        <w:ind w:left="1491" w:hanging="357"/>
        <w:rPr>
          <w:lang w:val="es-ES_tradnl"/>
        </w:rPr>
      </w:pPr>
      <w:r>
        <w:rPr>
          <w:lang w:val="es-ES_tradnl"/>
        </w:rPr>
        <w:t>-</w:t>
      </w:r>
      <w:r>
        <w:rPr>
          <w:lang w:val="es-ES_tradnl"/>
        </w:rPr>
        <w:tab/>
        <w:t>colegios de donde provienen.</w:t>
      </w:r>
    </w:p>
    <w:p w:rsidR="00000000" w:rsidRDefault="00000000">
      <w:pPr>
        <w:spacing w:after="240"/>
        <w:ind w:left="1491" w:hanging="357"/>
      </w:pPr>
      <w:r>
        <w:rPr>
          <w:lang w:val="es-ES_tradnl"/>
        </w:rPr>
        <w:t>-</w:t>
      </w:r>
      <w:r>
        <w:rPr>
          <w:lang w:val="es-ES_tradnl"/>
        </w:rPr>
        <w:tab/>
        <w:t>se clasifica en 10 categorías, lo cual determina el costo de la matrícula.</w:t>
      </w:r>
    </w:p>
    <w:p w:rsidR="00000000" w:rsidRDefault="00000000">
      <w:pPr>
        <w:spacing w:after="240"/>
        <w:ind w:left="567"/>
        <w:rPr>
          <w:i/>
          <w:iCs/>
        </w:rPr>
      </w:pPr>
      <w:r>
        <w:rPr>
          <w:i/>
          <w:iCs/>
          <w:lang w:val="es-ES_tradnl"/>
        </w:rPr>
        <w:t xml:space="preserve">Escuela Superior Politécnica del Litoral </w:t>
      </w:r>
      <w:r>
        <w:rPr>
          <w:lang w:val="es-ES_tradnl"/>
        </w:rPr>
        <w:t>(año 1999)</w:t>
      </w:r>
    </w:p>
    <w:p w:rsidR="00000000" w:rsidRDefault="00000000">
      <w:pPr>
        <w:spacing w:after="240"/>
        <w:ind w:left="567"/>
      </w:pPr>
      <w:r>
        <w:rPr>
          <w:i/>
          <w:iCs/>
          <w:lang w:val="es-ES_tradnl"/>
        </w:rPr>
        <w:tab/>
        <w:t>Ingreso</w:t>
      </w:r>
    </w:p>
    <w:p w:rsidR="00000000" w:rsidRDefault="00000000">
      <w:pPr>
        <w:spacing w:after="240"/>
        <w:ind w:left="567"/>
      </w:pPr>
      <w:r>
        <w:rPr>
          <w:lang w:val="es-ES_tradnl"/>
        </w:rPr>
        <w:tab/>
        <w:t>Todos los estudiantes que requieren ingresar deberán pagar por el "</w:t>
      </w:r>
      <w:proofErr w:type="spellStart"/>
      <w:r>
        <w:rPr>
          <w:lang w:val="es-ES_tradnl"/>
        </w:rPr>
        <w:t>prepolitécnico</w:t>
      </w:r>
      <w:proofErr w:type="spellEnd"/>
      <w:r>
        <w:rPr>
          <w:lang w:val="es-ES_tradnl"/>
        </w:rPr>
        <w:t>" (curso inicial de nivelación de estudios) una tasa de 0,5 un SMV por servicios estudiantiles.</w:t>
      </w:r>
    </w:p>
    <w:p w:rsidR="00000000" w:rsidRDefault="00000000">
      <w:pPr>
        <w:spacing w:after="240"/>
        <w:ind w:left="567"/>
        <w:rPr>
          <w:i/>
          <w:iCs/>
        </w:rPr>
      </w:pPr>
      <w:r>
        <w:rPr>
          <w:lang w:val="es-ES_tradnl"/>
        </w:rPr>
        <w:tab/>
      </w:r>
      <w:r>
        <w:rPr>
          <w:i/>
          <w:iCs/>
          <w:lang w:val="es-ES_tradnl"/>
        </w:rPr>
        <w:t>Derecho de examen de ingreso</w:t>
      </w:r>
    </w:p>
    <w:p w:rsidR="00000000" w:rsidRDefault="00000000">
      <w:pPr>
        <w:spacing w:after="240"/>
        <w:ind w:left="567"/>
      </w:pPr>
      <w:r>
        <w:rPr>
          <w:lang w:val="es-ES_tradnl"/>
        </w:rPr>
        <w:tab/>
        <w:t>Todos los estudiantes nacionales y extranjeros deberán pagar por el examen de ingreso 1 SMV más los gastos administrativos.</w:t>
      </w:r>
    </w:p>
    <w:p w:rsidR="00000000" w:rsidRDefault="00000000">
      <w:pPr>
        <w:keepNext/>
        <w:keepLines/>
        <w:spacing w:after="240"/>
        <w:ind w:left="567"/>
        <w:rPr>
          <w:i/>
          <w:iCs/>
          <w:lang w:val="es-ES_tradnl"/>
        </w:rPr>
      </w:pPr>
      <w:r>
        <w:rPr>
          <w:lang w:val="es-ES_tradnl"/>
        </w:rPr>
        <w:tab/>
      </w:r>
      <w:r>
        <w:rPr>
          <w:i/>
          <w:iCs/>
          <w:lang w:val="es-ES_tradnl"/>
        </w:rPr>
        <w:t xml:space="preserve">Derechos de inscripciones al curso </w:t>
      </w:r>
      <w:proofErr w:type="spellStart"/>
      <w:r>
        <w:rPr>
          <w:i/>
          <w:iCs/>
          <w:lang w:val="es-ES_tradnl"/>
        </w:rPr>
        <w:t>prepolitécnico</w:t>
      </w:r>
      <w:proofErr w:type="spellEnd"/>
    </w:p>
    <w:tbl>
      <w:tblPr>
        <w:tblW w:w="0" w:type="auto"/>
        <w:tblInd w:w="1134" w:type="dxa"/>
        <w:tblCellMar>
          <w:left w:w="70" w:type="dxa"/>
          <w:right w:w="70" w:type="dxa"/>
        </w:tblCellMar>
        <w:tblLook w:val="0000" w:firstRow="0" w:lastRow="0" w:firstColumn="0" w:lastColumn="0" w:noHBand="0" w:noVBand="0"/>
      </w:tblPr>
      <w:tblGrid>
        <w:gridCol w:w="4864"/>
        <w:gridCol w:w="3497"/>
      </w:tblGrid>
      <w:tr w:rsidR="00000000">
        <w:tblPrEx>
          <w:tblCellMar>
            <w:top w:w="0" w:type="dxa"/>
            <w:bottom w:w="0" w:type="dxa"/>
          </w:tblCellMar>
        </w:tblPrEx>
        <w:trPr>
          <w:cantSplit/>
        </w:trPr>
        <w:tc>
          <w:tcPr>
            <w:tcW w:w="8361" w:type="dxa"/>
            <w:gridSpan w:val="2"/>
          </w:tcPr>
          <w:p w:rsidR="00000000" w:rsidRDefault="00000000">
            <w:pPr>
              <w:keepNext/>
              <w:keepLines/>
              <w:spacing w:after="240"/>
              <w:rPr>
                <w:lang w:val="es-ES_tradnl"/>
              </w:rPr>
            </w:pPr>
            <w:r>
              <w:rPr>
                <w:lang w:val="es-ES_tradnl"/>
              </w:rPr>
              <w:t>Todos los estudiantes nacionales o extranjeros pagarán.</w:t>
            </w:r>
          </w:p>
        </w:tc>
      </w:tr>
      <w:tr w:rsidR="00000000">
        <w:tblPrEx>
          <w:tblCellMar>
            <w:top w:w="0" w:type="dxa"/>
            <w:bottom w:w="0" w:type="dxa"/>
          </w:tblCellMar>
        </w:tblPrEx>
        <w:tc>
          <w:tcPr>
            <w:tcW w:w="4864" w:type="dxa"/>
          </w:tcPr>
          <w:p w:rsidR="00000000" w:rsidRDefault="00000000">
            <w:pPr>
              <w:keepNext/>
              <w:keepLines/>
              <w:spacing w:after="240"/>
              <w:rPr>
                <w:lang w:val="es-ES_tradnl"/>
              </w:rPr>
            </w:pPr>
            <w:r>
              <w:rPr>
                <w:lang w:val="es-ES_tradnl"/>
              </w:rPr>
              <w:t>Colegios fiscales o municipales pagarán, con visa de residente:</w:t>
            </w:r>
          </w:p>
        </w:tc>
        <w:tc>
          <w:tcPr>
            <w:tcW w:w="3497" w:type="dxa"/>
          </w:tcPr>
          <w:p w:rsidR="00000000" w:rsidRDefault="00000000">
            <w:pPr>
              <w:keepNext/>
              <w:keepLines/>
              <w:spacing w:after="240"/>
              <w:rPr>
                <w:lang w:val="es-ES_tradnl"/>
              </w:rPr>
            </w:pPr>
            <w:r>
              <w:rPr>
                <w:lang w:val="es-ES_tradnl"/>
              </w:rPr>
              <w:t>624.000 sucres</w:t>
            </w:r>
          </w:p>
        </w:tc>
      </w:tr>
      <w:tr w:rsidR="00000000">
        <w:tblPrEx>
          <w:tblCellMar>
            <w:top w:w="0" w:type="dxa"/>
            <w:bottom w:w="0" w:type="dxa"/>
          </w:tblCellMar>
        </w:tblPrEx>
        <w:tc>
          <w:tcPr>
            <w:tcW w:w="4864" w:type="dxa"/>
          </w:tcPr>
          <w:p w:rsidR="00000000" w:rsidRDefault="00000000">
            <w:pPr>
              <w:keepNext/>
              <w:keepLines/>
              <w:spacing w:after="240"/>
              <w:rPr>
                <w:lang w:val="es-ES_tradnl"/>
              </w:rPr>
            </w:pPr>
            <w:r>
              <w:rPr>
                <w:lang w:val="es-ES_tradnl"/>
              </w:rPr>
              <w:t>Colegios particulares, nacionales o extranjeros con visa de residentes:</w:t>
            </w:r>
          </w:p>
        </w:tc>
        <w:tc>
          <w:tcPr>
            <w:tcW w:w="3497" w:type="dxa"/>
          </w:tcPr>
          <w:p w:rsidR="00000000" w:rsidRDefault="00000000">
            <w:pPr>
              <w:keepNext/>
              <w:keepLines/>
              <w:spacing w:after="240"/>
              <w:rPr>
                <w:lang w:val="es-ES_tradnl"/>
              </w:rPr>
            </w:pPr>
            <w:r>
              <w:rPr>
                <w:lang w:val="es-ES_tradnl"/>
              </w:rPr>
              <w:t>7,5 veces el valor de la pensión oficial, hasta un máximo de 3.900.000 sucres, no inferior a 1.092.000 sucres</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Estudiantes con beca, con visa de residente, nacionales o extranjeros:</w:t>
            </w:r>
          </w:p>
        </w:tc>
        <w:tc>
          <w:tcPr>
            <w:tcW w:w="3497" w:type="dxa"/>
          </w:tcPr>
          <w:p w:rsidR="00000000" w:rsidRDefault="00000000">
            <w:pPr>
              <w:spacing w:after="240"/>
              <w:rPr>
                <w:lang w:val="es-ES_tradnl"/>
              </w:rPr>
            </w:pPr>
            <w:r>
              <w:rPr>
                <w:lang w:val="es-ES_tradnl"/>
              </w:rPr>
              <w:t>624.000 sucres</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Estudiantes sin visa de residentes:</w:t>
            </w:r>
          </w:p>
        </w:tc>
        <w:tc>
          <w:tcPr>
            <w:tcW w:w="3497" w:type="dxa"/>
          </w:tcPr>
          <w:p w:rsidR="00000000" w:rsidRDefault="00000000">
            <w:pPr>
              <w:spacing w:after="240"/>
              <w:rPr>
                <w:lang w:val="es-ES_tradnl"/>
              </w:rPr>
            </w:pPr>
            <w:r>
              <w:rPr>
                <w:lang w:val="es-ES_tradnl"/>
              </w:rPr>
              <w:t>3.900.000 sucres</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Para estudiantes ecuatorianos graduados en el exterior:</w:t>
            </w:r>
          </w:p>
        </w:tc>
        <w:tc>
          <w:tcPr>
            <w:tcW w:w="3497" w:type="dxa"/>
          </w:tcPr>
          <w:p w:rsidR="00000000" w:rsidRDefault="00000000">
            <w:pPr>
              <w:spacing w:after="240"/>
              <w:rPr>
                <w:lang w:val="es-ES_tradnl"/>
              </w:rPr>
            </w:pPr>
            <w:r>
              <w:rPr>
                <w:lang w:val="es-ES_tradnl"/>
              </w:rPr>
              <w:t>3.000.000 sucres</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 xml:space="preserve">Estudiantes del </w:t>
            </w:r>
            <w:proofErr w:type="spellStart"/>
            <w:r>
              <w:rPr>
                <w:lang w:val="es-ES_tradnl"/>
              </w:rPr>
              <w:t>prepolitécnico</w:t>
            </w:r>
            <w:proofErr w:type="spellEnd"/>
            <w:r>
              <w:rPr>
                <w:lang w:val="es-ES_tradnl"/>
              </w:rPr>
              <w:t>, a los que faltare aprobar una materia de tres o más necesarias para su carrera:</w:t>
            </w:r>
          </w:p>
        </w:tc>
        <w:tc>
          <w:tcPr>
            <w:tcW w:w="3497" w:type="dxa"/>
          </w:tcPr>
          <w:p w:rsidR="00000000" w:rsidRDefault="00000000">
            <w:pPr>
              <w:spacing w:after="240"/>
              <w:rPr>
                <w:lang w:val="es-ES_tradnl"/>
              </w:rPr>
            </w:pPr>
            <w:r>
              <w:rPr>
                <w:lang w:val="es-ES_tradnl"/>
              </w:rPr>
              <w:t>tendrán un descuento del 40% en el valor del derecho</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Estudiantes que son hermanos entre sí:</w:t>
            </w:r>
          </w:p>
        </w:tc>
        <w:tc>
          <w:tcPr>
            <w:tcW w:w="3497" w:type="dxa"/>
          </w:tcPr>
          <w:p w:rsidR="00000000" w:rsidRDefault="00000000">
            <w:pPr>
              <w:spacing w:after="240"/>
              <w:rPr>
                <w:lang w:val="es-ES_tradnl"/>
              </w:rPr>
            </w:pPr>
            <w:r>
              <w:rPr>
                <w:lang w:val="es-ES_tradnl"/>
              </w:rPr>
              <w:t>tendrán un descuento del 25%</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Estudiante abanderado de colegio particular o fiscal:</w:t>
            </w:r>
          </w:p>
        </w:tc>
        <w:tc>
          <w:tcPr>
            <w:tcW w:w="3497" w:type="dxa"/>
          </w:tcPr>
          <w:p w:rsidR="00000000" w:rsidRDefault="00000000">
            <w:pPr>
              <w:spacing w:after="240"/>
              <w:rPr>
                <w:lang w:val="es-ES_tradnl"/>
              </w:rPr>
            </w:pPr>
            <w:r>
              <w:rPr>
                <w:lang w:val="es-ES_tradnl"/>
              </w:rPr>
              <w:t>no paga derechos de inscripción, sólo pagará tasas administrativas</w:t>
            </w:r>
          </w:p>
        </w:tc>
      </w:tr>
      <w:tr w:rsidR="00000000">
        <w:tblPrEx>
          <w:tblCellMar>
            <w:top w:w="0" w:type="dxa"/>
            <w:bottom w:w="0" w:type="dxa"/>
          </w:tblCellMar>
        </w:tblPrEx>
        <w:tc>
          <w:tcPr>
            <w:tcW w:w="4864" w:type="dxa"/>
          </w:tcPr>
          <w:p w:rsidR="00000000" w:rsidRDefault="00000000">
            <w:pPr>
              <w:spacing w:after="240"/>
              <w:rPr>
                <w:lang w:val="es-ES_tradnl"/>
              </w:rPr>
            </w:pPr>
            <w:r>
              <w:rPr>
                <w:lang w:val="es-ES_tradnl"/>
              </w:rPr>
              <w:t>Oyentes:</w:t>
            </w:r>
          </w:p>
        </w:tc>
        <w:tc>
          <w:tcPr>
            <w:tcW w:w="3497" w:type="dxa"/>
          </w:tcPr>
          <w:p w:rsidR="00000000" w:rsidRDefault="00000000">
            <w:pPr>
              <w:spacing w:after="240"/>
              <w:rPr>
                <w:lang w:val="es-ES_tradnl"/>
              </w:rPr>
            </w:pPr>
            <w:r>
              <w:rPr>
                <w:lang w:val="es-ES_tradnl"/>
              </w:rPr>
              <w:t>pagarán los valores de los estudiantes de colegios fiscales</w:t>
            </w:r>
          </w:p>
        </w:tc>
      </w:tr>
    </w:tbl>
    <w:p w:rsidR="00000000" w:rsidRDefault="00000000">
      <w:pPr>
        <w:spacing w:after="240"/>
        <w:ind w:left="567"/>
        <w:rPr>
          <w:i/>
          <w:iCs/>
        </w:rPr>
      </w:pPr>
      <w:r>
        <w:rPr>
          <w:lang w:val="es-ES_tradnl"/>
        </w:rPr>
        <w:tab/>
      </w:r>
      <w:r>
        <w:rPr>
          <w:i/>
          <w:iCs/>
          <w:lang w:val="es-ES_tradnl"/>
        </w:rPr>
        <w:t>Derechos de matrícula</w:t>
      </w:r>
    </w:p>
    <w:tbl>
      <w:tblPr>
        <w:tblW w:w="0" w:type="auto"/>
        <w:tblInd w:w="1134" w:type="dxa"/>
        <w:tblCellMar>
          <w:left w:w="70" w:type="dxa"/>
          <w:right w:w="70" w:type="dxa"/>
        </w:tblCellMar>
        <w:tblLook w:val="0000" w:firstRow="0" w:lastRow="0" w:firstColumn="0" w:lastColumn="0" w:noHBand="0" w:noVBand="0"/>
      </w:tblPr>
      <w:tblGrid>
        <w:gridCol w:w="6229"/>
        <w:gridCol w:w="1989"/>
      </w:tblGrid>
      <w:tr w:rsidR="00000000">
        <w:tblPrEx>
          <w:tblCellMar>
            <w:top w:w="0" w:type="dxa"/>
            <w:bottom w:w="0" w:type="dxa"/>
          </w:tblCellMar>
        </w:tblPrEx>
        <w:tc>
          <w:tcPr>
            <w:tcW w:w="6229" w:type="dxa"/>
          </w:tcPr>
          <w:p w:rsidR="00000000" w:rsidRDefault="00000000">
            <w:pPr>
              <w:rPr>
                <w:lang w:val="es-ES_tradnl"/>
              </w:rPr>
            </w:pPr>
            <w:r>
              <w:rPr>
                <w:lang w:val="es-ES_tradnl"/>
              </w:rPr>
              <w:t>Para estudiantes nacionales o extranjeros residentes:</w:t>
            </w:r>
          </w:p>
        </w:tc>
        <w:tc>
          <w:tcPr>
            <w:tcW w:w="1989" w:type="dxa"/>
          </w:tcPr>
          <w:p w:rsidR="00000000" w:rsidRDefault="00000000">
            <w:pPr>
              <w:jc w:val="right"/>
              <w:rPr>
                <w:lang w:val="es-ES_tradnl"/>
              </w:rPr>
            </w:pPr>
            <w:r>
              <w:rPr>
                <w:lang w:val="es-ES_tradnl"/>
              </w:rPr>
              <w:t>290.000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Para estudiantes profesionales o egresados nacionales:</w:t>
            </w:r>
          </w:p>
        </w:tc>
        <w:tc>
          <w:tcPr>
            <w:tcW w:w="1989" w:type="dxa"/>
          </w:tcPr>
          <w:p w:rsidR="00000000" w:rsidRDefault="00000000">
            <w:pPr>
              <w:jc w:val="right"/>
              <w:rPr>
                <w:lang w:val="es-ES_tradnl"/>
              </w:rPr>
            </w:pPr>
            <w:r>
              <w:rPr>
                <w:lang w:val="es-ES_tradnl"/>
              </w:rPr>
              <w:t>1.000.000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Para estudiantes extranjeros cuya visa no sea de residente:</w:t>
            </w:r>
          </w:p>
        </w:tc>
        <w:tc>
          <w:tcPr>
            <w:tcW w:w="1989" w:type="dxa"/>
          </w:tcPr>
          <w:p w:rsidR="00000000" w:rsidRDefault="00000000">
            <w:pPr>
              <w:jc w:val="right"/>
              <w:rPr>
                <w:lang w:val="es-ES_tradnl"/>
              </w:rPr>
            </w:pPr>
            <w:r>
              <w:rPr>
                <w:lang w:val="es-ES_tradnl"/>
              </w:rPr>
              <w:t>1.300.000 sucres</w:t>
            </w:r>
          </w:p>
        </w:tc>
      </w:tr>
      <w:tr w:rsidR="00000000">
        <w:tblPrEx>
          <w:tblCellMar>
            <w:top w:w="0" w:type="dxa"/>
            <w:bottom w:w="0" w:type="dxa"/>
          </w:tblCellMar>
        </w:tblPrEx>
        <w:tc>
          <w:tcPr>
            <w:tcW w:w="6229" w:type="dxa"/>
          </w:tcPr>
          <w:p w:rsidR="00000000" w:rsidRDefault="00000000">
            <w:pPr>
              <w:spacing w:after="240"/>
              <w:rPr>
                <w:lang w:val="es-ES_tradnl"/>
              </w:rPr>
            </w:pPr>
            <w:r>
              <w:rPr>
                <w:lang w:val="es-ES_tradnl"/>
              </w:rPr>
              <w:t>Derechos de registro por término académico:</w:t>
            </w:r>
          </w:p>
        </w:tc>
        <w:tc>
          <w:tcPr>
            <w:tcW w:w="1989" w:type="dxa"/>
          </w:tcPr>
          <w:p w:rsidR="00000000" w:rsidRDefault="00000000">
            <w:pPr>
              <w:spacing w:after="240"/>
              <w:jc w:val="right"/>
              <w:rPr>
                <w:lang w:val="es-ES_tradnl"/>
              </w:rPr>
            </w:pPr>
            <w:r>
              <w:rPr>
                <w:lang w:val="es-ES_tradnl"/>
              </w:rPr>
              <w:t>300.000 sucres</w:t>
            </w:r>
          </w:p>
        </w:tc>
      </w:tr>
    </w:tbl>
    <w:p w:rsidR="00000000" w:rsidRDefault="00000000">
      <w:pPr>
        <w:spacing w:after="240"/>
        <w:ind w:left="567"/>
        <w:rPr>
          <w:i/>
          <w:iCs/>
        </w:rPr>
      </w:pPr>
      <w:r>
        <w:rPr>
          <w:lang w:val="es-ES_tradnl"/>
        </w:rPr>
        <w:tab/>
      </w:r>
      <w:r>
        <w:rPr>
          <w:i/>
          <w:iCs/>
          <w:lang w:val="es-ES_tradnl"/>
        </w:rPr>
        <w:t>Pago por materia autofinanciada</w:t>
      </w:r>
    </w:p>
    <w:tbl>
      <w:tblPr>
        <w:tblW w:w="0" w:type="auto"/>
        <w:tblInd w:w="1134" w:type="dxa"/>
        <w:tblCellMar>
          <w:left w:w="70" w:type="dxa"/>
          <w:right w:w="70" w:type="dxa"/>
        </w:tblCellMar>
        <w:tblLook w:val="0000" w:firstRow="0" w:lastRow="0" w:firstColumn="0" w:lastColumn="0" w:noHBand="0" w:noVBand="0"/>
      </w:tblPr>
      <w:tblGrid>
        <w:gridCol w:w="6229"/>
        <w:gridCol w:w="2132"/>
      </w:tblGrid>
      <w:tr w:rsidR="00000000">
        <w:tblPrEx>
          <w:tblCellMar>
            <w:top w:w="0" w:type="dxa"/>
            <w:bottom w:w="0" w:type="dxa"/>
          </w:tblCellMar>
        </w:tblPrEx>
        <w:tc>
          <w:tcPr>
            <w:tcW w:w="6229" w:type="dxa"/>
          </w:tcPr>
          <w:p w:rsidR="00000000" w:rsidRDefault="00000000">
            <w:pPr>
              <w:spacing w:after="240"/>
              <w:rPr>
                <w:lang w:val="es-ES_tradnl"/>
              </w:rPr>
            </w:pPr>
            <w:r>
              <w:rPr>
                <w:lang w:val="es-ES_tradnl"/>
              </w:rPr>
              <w:t>Pagarán los valores señalados en cada unidad</w:t>
            </w:r>
          </w:p>
        </w:tc>
        <w:tc>
          <w:tcPr>
            <w:tcW w:w="2132" w:type="dxa"/>
          </w:tcPr>
          <w:p w:rsidR="00000000" w:rsidRDefault="00000000">
            <w:pPr>
              <w:spacing w:after="240"/>
              <w:rPr>
                <w:lang w:val="es-ES_tradnl"/>
              </w:rPr>
            </w:pPr>
          </w:p>
        </w:tc>
      </w:tr>
      <w:tr w:rsidR="00000000">
        <w:tblPrEx>
          <w:tblCellMar>
            <w:top w:w="0" w:type="dxa"/>
            <w:bottom w:w="0" w:type="dxa"/>
          </w:tblCellMar>
        </w:tblPrEx>
        <w:tc>
          <w:tcPr>
            <w:tcW w:w="6229" w:type="dxa"/>
          </w:tcPr>
          <w:p w:rsidR="00000000" w:rsidRDefault="00000000">
            <w:pPr>
              <w:rPr>
                <w:lang w:val="es-ES_tradnl"/>
              </w:rPr>
            </w:pPr>
            <w:r>
              <w:rPr>
                <w:lang w:val="es-ES_tradnl"/>
              </w:rPr>
              <w:tab/>
              <w:t>Estudiantes libres nacionales:</w:t>
            </w:r>
          </w:p>
        </w:tc>
        <w:tc>
          <w:tcPr>
            <w:tcW w:w="2132" w:type="dxa"/>
          </w:tcPr>
          <w:p w:rsidR="00000000" w:rsidRDefault="00000000">
            <w:pPr>
              <w:jc w:val="right"/>
              <w:rPr>
                <w:lang w:val="es-ES_tradnl"/>
              </w:rPr>
            </w:pPr>
            <w:r>
              <w:rPr>
                <w:lang w:val="es-ES_tradnl"/>
              </w:rPr>
              <w:t>800.000 sucres</w:t>
            </w:r>
          </w:p>
        </w:tc>
      </w:tr>
      <w:tr w:rsidR="00000000">
        <w:tblPrEx>
          <w:tblCellMar>
            <w:top w:w="0" w:type="dxa"/>
            <w:bottom w:w="0" w:type="dxa"/>
          </w:tblCellMar>
        </w:tblPrEx>
        <w:tc>
          <w:tcPr>
            <w:tcW w:w="6229" w:type="dxa"/>
          </w:tcPr>
          <w:p w:rsidR="00000000" w:rsidRDefault="00000000">
            <w:pPr>
              <w:spacing w:after="240"/>
              <w:rPr>
                <w:lang w:val="es-ES_tradnl"/>
              </w:rPr>
            </w:pPr>
            <w:r>
              <w:rPr>
                <w:lang w:val="es-ES_tradnl"/>
              </w:rPr>
              <w:tab/>
              <w:t>Estudiantes libres extranjeros:</w:t>
            </w:r>
          </w:p>
        </w:tc>
        <w:tc>
          <w:tcPr>
            <w:tcW w:w="2132" w:type="dxa"/>
          </w:tcPr>
          <w:p w:rsidR="00000000" w:rsidRDefault="00000000">
            <w:pPr>
              <w:spacing w:after="240"/>
              <w:jc w:val="right"/>
              <w:rPr>
                <w:lang w:val="es-ES_tradnl"/>
              </w:rPr>
            </w:pPr>
            <w:r>
              <w:rPr>
                <w:lang w:val="es-ES_tradnl"/>
              </w:rPr>
              <w:t>1.500.000  sucres</w:t>
            </w:r>
          </w:p>
        </w:tc>
      </w:tr>
    </w:tbl>
    <w:p w:rsidR="00000000" w:rsidRDefault="00000000">
      <w:pPr>
        <w:spacing w:after="240"/>
        <w:ind w:left="567"/>
      </w:pPr>
      <w:r>
        <w:rPr>
          <w:lang w:val="es-ES_tradnl"/>
        </w:rPr>
        <w:tab/>
        <w:t>Los pagos de pensiones están establecidos de acuerdo con los rangos relacionados con colegios particulares y fiscales.</w:t>
      </w:r>
    </w:p>
    <w:p w:rsidR="00000000" w:rsidRDefault="00000000">
      <w:pPr>
        <w:spacing w:after="240"/>
        <w:ind w:left="567"/>
      </w:pPr>
      <w:r>
        <w:rPr>
          <w:lang w:val="es-ES_tradnl"/>
        </w:rPr>
        <w:tab/>
        <w:t>Por sectores:  social, popular, medio, alto y exclusivo, tabla de densidad habitacional, consumo de energía eléctrica.</w:t>
      </w:r>
    </w:p>
    <w:p w:rsidR="00000000" w:rsidRDefault="00000000">
      <w:pPr>
        <w:spacing w:after="240"/>
        <w:ind w:left="567"/>
      </w:pPr>
      <w:r>
        <w:rPr>
          <w:lang w:val="es-ES_tradnl"/>
        </w:rPr>
        <w:tab/>
        <w:t>Factor académico, para beneficiar a los estudiantes con niveles altos de formación.</w:t>
      </w:r>
    </w:p>
    <w:tbl>
      <w:tblPr>
        <w:tblW w:w="0" w:type="auto"/>
        <w:tblInd w:w="1134" w:type="dxa"/>
        <w:tblCellMar>
          <w:left w:w="70" w:type="dxa"/>
          <w:right w:w="70" w:type="dxa"/>
        </w:tblCellMar>
        <w:tblLook w:val="0000" w:firstRow="0" w:lastRow="0" w:firstColumn="0" w:lastColumn="0" w:noHBand="0" w:noVBand="0"/>
      </w:tblPr>
      <w:tblGrid>
        <w:gridCol w:w="6229"/>
        <w:gridCol w:w="2132"/>
      </w:tblGrid>
      <w:tr w:rsidR="00000000">
        <w:tblPrEx>
          <w:tblCellMar>
            <w:top w:w="0" w:type="dxa"/>
            <w:bottom w:w="0" w:type="dxa"/>
          </w:tblCellMar>
        </w:tblPrEx>
        <w:tc>
          <w:tcPr>
            <w:tcW w:w="6229" w:type="dxa"/>
          </w:tcPr>
          <w:p w:rsidR="00000000" w:rsidRDefault="00000000">
            <w:pPr>
              <w:rPr>
                <w:lang w:val="es-ES_tradnl"/>
              </w:rPr>
            </w:pPr>
            <w:r>
              <w:rPr>
                <w:lang w:val="es-ES_tradnl"/>
              </w:rPr>
              <w:t>Derechos de certificado de matrícula o asistencia a clases:</w:t>
            </w:r>
          </w:p>
        </w:tc>
        <w:tc>
          <w:tcPr>
            <w:tcW w:w="2132" w:type="dxa"/>
          </w:tcPr>
          <w:p w:rsidR="00000000" w:rsidRDefault="00000000">
            <w:pPr>
              <w:jc w:val="right"/>
              <w:rPr>
                <w:lang w:val="es-ES_tradnl"/>
              </w:rPr>
            </w:pPr>
            <w:r>
              <w:rPr>
                <w:lang w:val="es-ES_tradnl"/>
              </w:rPr>
              <w:t>10.000,00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Derecho de certificación de título:</w:t>
            </w:r>
          </w:p>
        </w:tc>
        <w:tc>
          <w:tcPr>
            <w:tcW w:w="2132" w:type="dxa"/>
          </w:tcPr>
          <w:p w:rsidR="00000000" w:rsidRDefault="00000000">
            <w:pPr>
              <w:jc w:val="right"/>
              <w:rPr>
                <w:lang w:val="es-ES_tradnl"/>
              </w:rPr>
            </w:pPr>
            <w:r>
              <w:rPr>
                <w:lang w:val="es-ES_tradnl"/>
              </w:rPr>
              <w:t>100.000,00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Tasa de verificación del factor socioeconómico:</w:t>
            </w:r>
          </w:p>
        </w:tc>
        <w:tc>
          <w:tcPr>
            <w:tcW w:w="2132" w:type="dxa"/>
          </w:tcPr>
          <w:p w:rsidR="00000000" w:rsidRDefault="00000000">
            <w:pPr>
              <w:jc w:val="right"/>
              <w:rPr>
                <w:lang w:val="es-ES_tradnl"/>
              </w:rPr>
            </w:pPr>
            <w:r>
              <w:rPr>
                <w:lang w:val="es-ES_tradnl"/>
              </w:rPr>
              <w:t>70.000,00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Tasa por cambio de carrera de la ESPOL:</w:t>
            </w:r>
          </w:p>
        </w:tc>
        <w:tc>
          <w:tcPr>
            <w:tcW w:w="2132" w:type="dxa"/>
          </w:tcPr>
          <w:p w:rsidR="00000000" w:rsidRDefault="00000000">
            <w:pPr>
              <w:jc w:val="right"/>
              <w:rPr>
                <w:lang w:val="es-ES_tradnl"/>
              </w:rPr>
            </w:pPr>
            <w:r>
              <w:rPr>
                <w:lang w:val="es-ES_tradnl"/>
              </w:rPr>
              <w:t>200.000,00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Tasa por convalidación de materia:</w:t>
            </w:r>
          </w:p>
        </w:tc>
        <w:tc>
          <w:tcPr>
            <w:tcW w:w="2132" w:type="dxa"/>
          </w:tcPr>
          <w:p w:rsidR="00000000" w:rsidRDefault="00000000">
            <w:pPr>
              <w:jc w:val="right"/>
              <w:rPr>
                <w:lang w:val="es-ES_tradnl"/>
              </w:rPr>
            </w:pPr>
            <w:r>
              <w:rPr>
                <w:lang w:val="es-ES_tradnl"/>
              </w:rPr>
              <w:t>50.000,00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Convalidación por materia, para continuar estudios:</w:t>
            </w:r>
          </w:p>
        </w:tc>
        <w:tc>
          <w:tcPr>
            <w:tcW w:w="2132" w:type="dxa"/>
          </w:tcPr>
          <w:p w:rsidR="00000000" w:rsidRDefault="00000000">
            <w:pPr>
              <w:jc w:val="right"/>
              <w:rPr>
                <w:lang w:val="es-ES_tradnl"/>
              </w:rPr>
            </w:pPr>
            <w:r>
              <w:rPr>
                <w:lang w:val="es-ES_tradnl"/>
              </w:rPr>
              <w:t>600.000,00 sucres</w:t>
            </w:r>
          </w:p>
        </w:tc>
      </w:tr>
      <w:tr w:rsidR="00000000">
        <w:tblPrEx>
          <w:tblCellMar>
            <w:top w:w="0" w:type="dxa"/>
            <w:bottom w:w="0" w:type="dxa"/>
          </w:tblCellMar>
        </w:tblPrEx>
        <w:tc>
          <w:tcPr>
            <w:tcW w:w="6229" w:type="dxa"/>
          </w:tcPr>
          <w:p w:rsidR="00000000" w:rsidRDefault="00000000">
            <w:pPr>
              <w:rPr>
                <w:lang w:val="es-ES_tradnl"/>
              </w:rPr>
            </w:pPr>
            <w:r>
              <w:rPr>
                <w:lang w:val="es-ES_tradnl"/>
              </w:rPr>
              <w:t>Duplicación de carné:</w:t>
            </w:r>
          </w:p>
        </w:tc>
        <w:tc>
          <w:tcPr>
            <w:tcW w:w="2132" w:type="dxa"/>
          </w:tcPr>
          <w:p w:rsidR="00000000" w:rsidRDefault="00000000">
            <w:pPr>
              <w:jc w:val="right"/>
              <w:rPr>
                <w:lang w:val="es-ES_tradnl"/>
              </w:rPr>
            </w:pPr>
            <w:r>
              <w:rPr>
                <w:lang w:val="es-ES_tradnl"/>
              </w:rPr>
              <w:t>45.000,00 sucres</w:t>
            </w:r>
          </w:p>
        </w:tc>
      </w:tr>
      <w:tr w:rsidR="00000000">
        <w:tblPrEx>
          <w:tblCellMar>
            <w:top w:w="0" w:type="dxa"/>
            <w:bottom w:w="0" w:type="dxa"/>
          </w:tblCellMar>
        </w:tblPrEx>
        <w:tc>
          <w:tcPr>
            <w:tcW w:w="6229" w:type="dxa"/>
          </w:tcPr>
          <w:p w:rsidR="00000000" w:rsidRDefault="00000000">
            <w:pPr>
              <w:spacing w:after="240"/>
              <w:rPr>
                <w:lang w:val="es-ES_tradnl"/>
              </w:rPr>
            </w:pPr>
            <w:r>
              <w:rPr>
                <w:lang w:val="es-ES_tradnl"/>
              </w:rPr>
              <w:t>Otras certificaciones:</w:t>
            </w:r>
          </w:p>
        </w:tc>
        <w:tc>
          <w:tcPr>
            <w:tcW w:w="2132" w:type="dxa"/>
          </w:tcPr>
          <w:p w:rsidR="00000000" w:rsidRDefault="00000000">
            <w:pPr>
              <w:spacing w:after="240"/>
              <w:jc w:val="right"/>
              <w:rPr>
                <w:lang w:val="es-ES_tradnl"/>
              </w:rPr>
            </w:pPr>
            <w:r>
              <w:rPr>
                <w:lang w:val="es-ES_tradnl"/>
              </w:rPr>
              <w:t>10.000,00 sucres</w:t>
            </w:r>
          </w:p>
        </w:tc>
      </w:tr>
    </w:tbl>
    <w:p w:rsidR="00000000" w:rsidRDefault="00000000">
      <w:pPr>
        <w:spacing w:after="240"/>
        <w:ind w:left="567"/>
      </w:pPr>
      <w:r>
        <w:rPr>
          <w:lang w:val="es-ES_tradnl"/>
        </w:rPr>
        <w:tab/>
        <w:t>Existen también otras tasas por estudios semestrales; otros derechos y tasas.</w:t>
      </w:r>
    </w:p>
    <w:p w:rsidR="00000000" w:rsidRDefault="00000000">
      <w:pPr>
        <w:spacing w:after="240"/>
        <w:ind w:left="567"/>
        <w:rPr>
          <w:i/>
          <w:iCs/>
        </w:rPr>
      </w:pPr>
      <w:r>
        <w:rPr>
          <w:b/>
          <w:bCs/>
          <w:i/>
          <w:iCs/>
          <w:szCs w:val="23"/>
          <w:lang w:val="es-ES_tradnl"/>
        </w:rPr>
        <w:t>Universidades particulares que reciben subvención del Estado</w:t>
      </w:r>
    </w:p>
    <w:p w:rsidR="00000000" w:rsidRDefault="00000000">
      <w:pPr>
        <w:spacing w:after="240"/>
        <w:ind w:left="567"/>
        <w:rPr>
          <w:i/>
          <w:iCs/>
        </w:rPr>
      </w:pPr>
      <w:r>
        <w:rPr>
          <w:i/>
          <w:iCs/>
          <w:lang w:val="es-ES_tradnl"/>
        </w:rPr>
        <w:t>Universidad Católica Santiago de Guayaquil (1999 hasta 2000)</w:t>
      </w:r>
    </w:p>
    <w:p w:rsidR="00000000" w:rsidRDefault="00000000">
      <w:pPr>
        <w:spacing w:after="240"/>
        <w:ind w:left="567"/>
      </w:pPr>
      <w:r>
        <w:rPr>
          <w:lang w:val="es-ES_tradnl"/>
        </w:rPr>
        <w:tab/>
        <w:t>La Universidad cobra las matrículas sobre la base de siete escalas, según el nivel socioeconómico del estudiante, las mismas que son las siguientes.</w:t>
      </w:r>
    </w:p>
    <w:p w:rsidR="00000000" w:rsidRDefault="00000000">
      <w:pPr>
        <w:tabs>
          <w:tab w:val="right" w:pos="3471"/>
        </w:tabs>
        <w:spacing w:after="240"/>
        <w:ind w:left="1134"/>
        <w:rPr>
          <w:lang w:val="es-ES_tradnl"/>
        </w:rPr>
      </w:pPr>
      <w:r>
        <w:rPr>
          <w:lang w:val="es-ES_tradnl"/>
        </w:rPr>
        <w:t>1.</w:t>
      </w:r>
      <w:r>
        <w:rPr>
          <w:lang w:val="es-ES_tradnl"/>
        </w:rPr>
        <w:tab/>
        <w:t>116.265,00 sucres</w:t>
      </w:r>
      <w:r>
        <w:rPr>
          <w:lang w:val="es-ES_tradnl"/>
        </w:rPr>
        <w:br/>
        <w:t>2.</w:t>
      </w:r>
      <w:r>
        <w:rPr>
          <w:lang w:val="es-ES_tradnl"/>
        </w:rPr>
        <w:tab/>
        <w:t>200.000,00 sucres</w:t>
      </w:r>
      <w:r>
        <w:rPr>
          <w:lang w:val="es-ES_tradnl"/>
        </w:rPr>
        <w:br/>
        <w:t>3.</w:t>
      </w:r>
      <w:r>
        <w:rPr>
          <w:lang w:val="es-ES_tradnl"/>
        </w:rPr>
        <w:tab/>
        <w:t>346.027.00 sucres</w:t>
      </w:r>
      <w:r>
        <w:rPr>
          <w:lang w:val="es-ES_tradnl"/>
        </w:rPr>
        <w:br/>
        <w:t>4.</w:t>
      </w:r>
      <w:r>
        <w:rPr>
          <w:lang w:val="es-ES_tradnl"/>
        </w:rPr>
        <w:tab/>
        <w:t>519.041.00 sucres</w:t>
      </w:r>
      <w:r>
        <w:rPr>
          <w:lang w:val="es-ES_tradnl"/>
        </w:rPr>
        <w:br/>
        <w:t>5.</w:t>
      </w:r>
      <w:r>
        <w:rPr>
          <w:lang w:val="es-ES_tradnl"/>
        </w:rPr>
        <w:tab/>
        <w:t>692.055.00 sucres</w:t>
      </w:r>
      <w:r>
        <w:rPr>
          <w:lang w:val="es-ES_tradnl"/>
        </w:rPr>
        <w:br/>
        <w:t>6.</w:t>
      </w:r>
      <w:r>
        <w:rPr>
          <w:lang w:val="es-ES_tradnl"/>
        </w:rPr>
        <w:tab/>
        <w:t>897.199.00 sucres</w:t>
      </w:r>
      <w:r>
        <w:rPr>
          <w:lang w:val="es-ES_tradnl"/>
        </w:rPr>
        <w:br/>
        <w:t>7.</w:t>
      </w:r>
      <w:r>
        <w:rPr>
          <w:lang w:val="es-ES_tradnl"/>
        </w:rPr>
        <w:tab/>
        <w:t>1.147.516.00 sucres</w:t>
      </w:r>
    </w:p>
    <w:p w:rsidR="00000000" w:rsidRDefault="00000000">
      <w:pPr>
        <w:spacing w:after="240"/>
        <w:ind w:left="567"/>
        <w:rPr>
          <w:i/>
          <w:iCs/>
        </w:rPr>
      </w:pPr>
      <w:r>
        <w:rPr>
          <w:i/>
          <w:iCs/>
          <w:lang w:val="es-ES_tradnl"/>
        </w:rPr>
        <w:t>Universidad Laica Vicente Rocafuerte de Guayaquil</w:t>
      </w:r>
    </w:p>
    <w:p w:rsidR="00000000" w:rsidRDefault="00000000">
      <w:pPr>
        <w:tabs>
          <w:tab w:val="right" w:pos="9048"/>
        </w:tabs>
        <w:ind w:left="1134"/>
      </w:pPr>
      <w:r>
        <w:rPr>
          <w:lang w:val="es-ES_tradnl"/>
        </w:rPr>
        <w:t>Matrícula ordinaria</w:t>
      </w:r>
      <w:r>
        <w:rPr>
          <w:lang w:val="es-ES_tradnl"/>
        </w:rPr>
        <w:tab/>
        <w:t>200.000,00 sucres</w:t>
      </w:r>
    </w:p>
    <w:p w:rsidR="00000000" w:rsidRDefault="00000000">
      <w:pPr>
        <w:tabs>
          <w:tab w:val="right" w:pos="9048"/>
        </w:tabs>
        <w:ind w:left="1134"/>
      </w:pPr>
      <w:r>
        <w:rPr>
          <w:lang w:val="es-ES_tradnl"/>
        </w:rPr>
        <w:t>Matrícula extraordinaria</w:t>
      </w:r>
      <w:r>
        <w:rPr>
          <w:lang w:val="es-ES_tradnl"/>
        </w:rPr>
        <w:tab/>
        <w:t>300.000,00 sucres</w:t>
      </w:r>
    </w:p>
    <w:p w:rsidR="00000000" w:rsidRDefault="00000000">
      <w:pPr>
        <w:tabs>
          <w:tab w:val="right" w:pos="9048"/>
        </w:tabs>
        <w:ind w:left="1134"/>
      </w:pPr>
      <w:r>
        <w:rPr>
          <w:lang w:val="es-ES_tradnl"/>
        </w:rPr>
        <w:t>Segunda matrícula</w:t>
      </w:r>
      <w:r>
        <w:rPr>
          <w:lang w:val="es-ES_tradnl"/>
        </w:rPr>
        <w:tab/>
        <w:t>400.000,00 sucres</w:t>
      </w:r>
    </w:p>
    <w:p w:rsidR="00000000" w:rsidRDefault="00000000">
      <w:pPr>
        <w:tabs>
          <w:tab w:val="right" w:pos="9048"/>
        </w:tabs>
        <w:ind w:left="1134"/>
      </w:pPr>
      <w:r>
        <w:rPr>
          <w:lang w:val="es-ES_tradnl"/>
        </w:rPr>
        <w:t>Tercera matrícula</w:t>
      </w:r>
      <w:r>
        <w:rPr>
          <w:lang w:val="es-ES_tradnl"/>
        </w:rPr>
        <w:tab/>
        <w:t>600.000,00 sucres</w:t>
      </w:r>
    </w:p>
    <w:p w:rsidR="00000000" w:rsidRDefault="00000000">
      <w:pPr>
        <w:tabs>
          <w:tab w:val="right" w:pos="9048"/>
        </w:tabs>
        <w:ind w:left="1134"/>
      </w:pPr>
      <w:r>
        <w:rPr>
          <w:lang w:val="es-ES_tradnl"/>
        </w:rPr>
        <w:t>Matrícula para extranjeros (primera ocasión)</w:t>
      </w:r>
      <w:r>
        <w:rPr>
          <w:lang w:val="es-ES_tradnl"/>
        </w:rPr>
        <w:tab/>
        <w:t>3.000.000,00 sucres</w:t>
      </w:r>
    </w:p>
    <w:p w:rsidR="00000000" w:rsidRDefault="00000000">
      <w:pPr>
        <w:tabs>
          <w:tab w:val="right" w:pos="9048"/>
        </w:tabs>
        <w:ind w:left="1134"/>
      </w:pPr>
      <w:r>
        <w:rPr>
          <w:lang w:val="es-ES_tradnl"/>
        </w:rPr>
        <w:t>Matrícula para extranjeros (alumnos de la universidad)</w:t>
      </w:r>
      <w:r>
        <w:rPr>
          <w:lang w:val="es-ES_tradnl"/>
        </w:rPr>
        <w:tab/>
        <w:t>600.000,00 sucres</w:t>
      </w:r>
    </w:p>
    <w:p w:rsidR="00000000" w:rsidRDefault="00000000">
      <w:pPr>
        <w:tabs>
          <w:tab w:val="right" w:pos="9048"/>
        </w:tabs>
        <w:spacing w:after="240"/>
        <w:ind w:left="1134"/>
      </w:pPr>
      <w:r>
        <w:rPr>
          <w:lang w:val="es-ES_tradnl"/>
        </w:rPr>
        <w:t>Por otra clase de matrículas, previa autorización del rectorado</w:t>
      </w:r>
      <w:r>
        <w:rPr>
          <w:lang w:val="es-ES_tradnl"/>
        </w:rPr>
        <w:tab/>
        <w:t>600.000,00 sucres</w:t>
      </w:r>
    </w:p>
    <w:p w:rsidR="00000000" w:rsidRDefault="00000000">
      <w:pPr>
        <w:spacing w:after="240"/>
        <w:ind w:left="567"/>
        <w:rPr>
          <w:i/>
          <w:iCs/>
        </w:rPr>
      </w:pPr>
      <w:r>
        <w:rPr>
          <w:lang w:val="es-ES_tradnl"/>
        </w:rPr>
        <w:tab/>
      </w:r>
      <w:r>
        <w:rPr>
          <w:i/>
          <w:iCs/>
          <w:lang w:val="es-ES_tradnl"/>
        </w:rPr>
        <w:t>Pensión mensual</w:t>
      </w:r>
    </w:p>
    <w:p w:rsidR="00000000" w:rsidRDefault="00000000">
      <w:pPr>
        <w:tabs>
          <w:tab w:val="right" w:pos="9048"/>
        </w:tabs>
        <w:ind w:left="1134"/>
      </w:pPr>
      <w:r>
        <w:rPr>
          <w:lang w:val="es-ES_tradnl"/>
        </w:rPr>
        <w:t>Primero a sexto año</w:t>
      </w:r>
      <w:r>
        <w:rPr>
          <w:lang w:val="es-ES_tradnl"/>
        </w:rPr>
        <w:tab/>
        <w:t>300.000,00</w:t>
      </w:r>
    </w:p>
    <w:p w:rsidR="00000000" w:rsidRDefault="00000000">
      <w:pPr>
        <w:tabs>
          <w:tab w:val="right" w:pos="9048"/>
        </w:tabs>
        <w:ind w:left="1134"/>
      </w:pPr>
      <w:r>
        <w:rPr>
          <w:lang w:val="es-ES_tradnl"/>
        </w:rPr>
        <w:t>Derechos de exámenes finales</w:t>
      </w:r>
      <w:r>
        <w:rPr>
          <w:lang w:val="es-ES_tradnl"/>
        </w:rPr>
        <w:tab/>
        <w:t>150.000,00</w:t>
      </w:r>
    </w:p>
    <w:p w:rsidR="00000000" w:rsidRDefault="00000000">
      <w:pPr>
        <w:tabs>
          <w:tab w:val="right" w:pos="9048"/>
        </w:tabs>
        <w:ind w:left="1134"/>
      </w:pPr>
      <w:r>
        <w:rPr>
          <w:lang w:val="es-ES_tradnl"/>
        </w:rPr>
        <w:t>Derechos de exámenes finales (aplazados y suspensos)</w:t>
      </w:r>
      <w:r>
        <w:rPr>
          <w:lang w:val="es-ES_tradnl"/>
        </w:rPr>
        <w:tab/>
        <w:t>25.000,00</w:t>
      </w:r>
    </w:p>
    <w:p w:rsidR="00000000" w:rsidRDefault="00000000">
      <w:pPr>
        <w:tabs>
          <w:tab w:val="right" w:pos="9048"/>
        </w:tabs>
        <w:ind w:left="1134"/>
      </w:pPr>
      <w:r>
        <w:rPr>
          <w:lang w:val="es-ES_tradnl"/>
        </w:rPr>
        <w:t>Derecho de examen parcial o atrasado</w:t>
      </w:r>
      <w:r>
        <w:rPr>
          <w:lang w:val="es-ES_tradnl"/>
        </w:rPr>
        <w:tab/>
        <w:t>25.000,00</w:t>
      </w:r>
    </w:p>
    <w:p w:rsidR="00000000" w:rsidRDefault="00000000">
      <w:pPr>
        <w:keepNext/>
        <w:keepLines/>
        <w:tabs>
          <w:tab w:val="right" w:pos="9048"/>
        </w:tabs>
        <w:ind w:left="1134"/>
      </w:pPr>
      <w:r>
        <w:rPr>
          <w:lang w:val="es-ES_tradnl"/>
        </w:rPr>
        <w:t>Derecho de examen complementario</w:t>
      </w:r>
      <w:r>
        <w:rPr>
          <w:lang w:val="es-ES_tradnl"/>
        </w:rPr>
        <w:tab/>
        <w:t>25.000,00</w:t>
      </w:r>
    </w:p>
    <w:p w:rsidR="00000000" w:rsidRDefault="00000000">
      <w:pPr>
        <w:keepNext/>
        <w:keepLines/>
        <w:tabs>
          <w:tab w:val="right" w:pos="9048"/>
        </w:tabs>
        <w:ind w:left="1134"/>
      </w:pPr>
      <w:r>
        <w:rPr>
          <w:lang w:val="es-ES_tradnl"/>
        </w:rPr>
        <w:t>Derecho de examen supletorio</w:t>
      </w:r>
      <w:r>
        <w:rPr>
          <w:lang w:val="es-ES_tradnl"/>
        </w:rPr>
        <w:tab/>
        <w:t>50.000,00</w:t>
      </w:r>
    </w:p>
    <w:p w:rsidR="00000000" w:rsidRDefault="00000000">
      <w:pPr>
        <w:keepNext/>
        <w:keepLines/>
        <w:tabs>
          <w:tab w:val="right" w:pos="9048"/>
        </w:tabs>
        <w:ind w:left="1134"/>
      </w:pPr>
      <w:r>
        <w:rPr>
          <w:lang w:val="es-ES_tradnl"/>
        </w:rPr>
        <w:t>Derecho de certificación o copia</w:t>
      </w:r>
      <w:r>
        <w:rPr>
          <w:lang w:val="es-ES_tradnl"/>
        </w:rPr>
        <w:tab/>
        <w:t>10.000,00</w:t>
      </w:r>
    </w:p>
    <w:p w:rsidR="00000000" w:rsidRDefault="00000000">
      <w:pPr>
        <w:tabs>
          <w:tab w:val="right" w:pos="9048"/>
        </w:tabs>
        <w:spacing w:after="240"/>
        <w:ind w:left="1134"/>
      </w:pPr>
      <w:r>
        <w:rPr>
          <w:lang w:val="es-ES_tradnl"/>
        </w:rPr>
        <w:t>Derecho de promoción</w:t>
      </w:r>
      <w:r>
        <w:rPr>
          <w:lang w:val="es-ES_tradnl"/>
        </w:rPr>
        <w:tab/>
        <w:t>10.000,00</w:t>
      </w:r>
    </w:p>
    <w:p w:rsidR="00000000" w:rsidRDefault="00000000">
      <w:pPr>
        <w:keepNext/>
        <w:spacing w:after="240"/>
        <w:ind w:left="567"/>
        <w:rPr>
          <w:i/>
          <w:iCs/>
        </w:rPr>
      </w:pPr>
      <w:r>
        <w:rPr>
          <w:b/>
          <w:bCs/>
          <w:i/>
          <w:iCs/>
          <w:szCs w:val="23"/>
          <w:lang w:val="es-ES_tradnl"/>
        </w:rPr>
        <w:t>Universidades particulares que no reciben subvención del Estado</w:t>
      </w:r>
    </w:p>
    <w:p w:rsidR="00000000" w:rsidRDefault="00000000">
      <w:pPr>
        <w:keepNext/>
        <w:spacing w:after="240"/>
        <w:ind w:left="567"/>
      </w:pPr>
      <w:r>
        <w:rPr>
          <w:i/>
          <w:iCs/>
          <w:lang w:val="es-ES_tradnl"/>
        </w:rPr>
        <w:t xml:space="preserve">Universidad particular </w:t>
      </w:r>
      <w:proofErr w:type="spellStart"/>
      <w:r>
        <w:rPr>
          <w:i/>
          <w:iCs/>
          <w:lang w:val="es-ES_tradnl"/>
        </w:rPr>
        <w:t>SEK</w:t>
      </w:r>
      <w:proofErr w:type="spellEnd"/>
      <w:r>
        <w:rPr>
          <w:i/>
          <w:iCs/>
          <w:lang w:val="es-ES_tradnl"/>
        </w:rPr>
        <w:t xml:space="preserve"> </w:t>
      </w:r>
      <w:r>
        <w:rPr>
          <w:lang w:val="es-ES_tradnl"/>
        </w:rPr>
        <w:t>(año 1999)</w:t>
      </w:r>
    </w:p>
    <w:p w:rsidR="00000000" w:rsidRDefault="00000000">
      <w:pPr>
        <w:keepNext/>
        <w:tabs>
          <w:tab w:val="left" w:pos="1131"/>
          <w:tab w:val="right" w:pos="5655"/>
        </w:tabs>
        <w:spacing w:after="240"/>
        <w:ind w:left="567"/>
      </w:pPr>
      <w:r>
        <w:rPr>
          <w:i/>
          <w:iCs/>
          <w:lang w:val="es-ES_tradnl"/>
        </w:rPr>
        <w:tab/>
      </w:r>
      <w:r>
        <w:rPr>
          <w:lang w:val="es-ES_tradnl"/>
        </w:rPr>
        <w:t>Inscripciones</w:t>
      </w:r>
      <w:r>
        <w:rPr>
          <w:i/>
          <w:iCs/>
          <w:lang w:val="es-ES_tradnl"/>
        </w:rPr>
        <w:t xml:space="preserve"> </w:t>
      </w:r>
      <w:r>
        <w:rPr>
          <w:lang w:val="es-ES_tradnl"/>
        </w:rPr>
        <w:tab/>
        <w:t>380.000 sucres</w:t>
      </w:r>
    </w:p>
    <w:p w:rsidR="00000000" w:rsidRDefault="00000000">
      <w:pPr>
        <w:tabs>
          <w:tab w:val="left" w:pos="1131"/>
          <w:tab w:val="right" w:pos="5655"/>
        </w:tabs>
        <w:spacing w:after="240"/>
        <w:ind w:left="567"/>
      </w:pPr>
      <w:r>
        <w:rPr>
          <w:lang w:val="es-ES_tradnl"/>
        </w:rPr>
        <w:tab/>
        <w:t>Matrícula</w:t>
      </w:r>
    </w:p>
    <w:p w:rsidR="00000000" w:rsidRDefault="00000000">
      <w:pPr>
        <w:tabs>
          <w:tab w:val="left" w:pos="1131"/>
          <w:tab w:val="left" w:pos="1677"/>
          <w:tab w:val="right" w:pos="5655"/>
        </w:tabs>
        <w:ind w:left="567"/>
      </w:pPr>
      <w:r>
        <w:rPr>
          <w:lang w:val="es-ES_tradnl"/>
        </w:rPr>
        <w:tab/>
      </w:r>
      <w:r>
        <w:rPr>
          <w:lang w:val="es-ES_tradnl"/>
        </w:rPr>
        <w:tab/>
        <w:t>Alumnos nuevos</w:t>
      </w:r>
      <w:r>
        <w:rPr>
          <w:lang w:val="es-ES_tradnl"/>
        </w:rPr>
        <w:tab/>
        <w:t>2000.000 sucres</w:t>
      </w:r>
    </w:p>
    <w:p w:rsidR="00000000" w:rsidRDefault="00000000">
      <w:pPr>
        <w:tabs>
          <w:tab w:val="left" w:pos="1131"/>
          <w:tab w:val="left" w:pos="1677"/>
          <w:tab w:val="right" w:pos="5655"/>
        </w:tabs>
        <w:spacing w:after="240"/>
        <w:ind w:left="567"/>
        <w:rPr>
          <w:lang w:val="es-ES_tradnl"/>
        </w:rPr>
      </w:pPr>
      <w:r>
        <w:rPr>
          <w:lang w:val="es-ES_tradnl"/>
        </w:rPr>
        <w:tab/>
      </w:r>
      <w:r>
        <w:rPr>
          <w:lang w:val="es-ES_tradnl"/>
        </w:rPr>
        <w:tab/>
        <w:t>Alumnos antiguos</w:t>
      </w:r>
      <w:r>
        <w:rPr>
          <w:lang w:val="es-ES_tradnl"/>
        </w:rPr>
        <w:tab/>
        <w:t>1.250.000 sucres</w:t>
      </w:r>
    </w:p>
    <w:p w:rsidR="00000000" w:rsidRDefault="00000000">
      <w:pPr>
        <w:tabs>
          <w:tab w:val="left" w:pos="1131"/>
          <w:tab w:val="right" w:pos="5655"/>
        </w:tabs>
        <w:spacing w:after="240"/>
        <w:ind w:left="567"/>
      </w:pPr>
      <w:r>
        <w:rPr>
          <w:lang w:val="es-ES_tradnl"/>
        </w:rPr>
        <w:tab/>
        <w:t>Costo académico</w:t>
      </w:r>
      <w:r>
        <w:rPr>
          <w:lang w:val="es-ES_tradnl"/>
        </w:rPr>
        <w:tab/>
        <w:t>15.000.000 sucres</w:t>
      </w:r>
    </w:p>
    <w:p w:rsidR="00000000" w:rsidRDefault="00000000">
      <w:pPr>
        <w:tabs>
          <w:tab w:val="right" w:pos="5655"/>
        </w:tabs>
        <w:spacing w:after="240"/>
        <w:ind w:left="567"/>
        <w:rPr>
          <w:lang w:val="es-ES_tradnl"/>
        </w:rPr>
      </w:pPr>
      <w:r>
        <w:rPr>
          <w:i/>
          <w:iCs/>
          <w:lang w:val="es-ES_tradnl"/>
        </w:rPr>
        <w:t xml:space="preserve">Universidad Internacional del Ecuador </w:t>
      </w:r>
      <w:r>
        <w:rPr>
          <w:lang w:val="es-ES_tradnl"/>
        </w:rPr>
        <w:t>(año 1999)</w:t>
      </w:r>
    </w:p>
    <w:p w:rsidR="00000000" w:rsidRDefault="00000000">
      <w:pPr>
        <w:tabs>
          <w:tab w:val="left" w:pos="1131"/>
          <w:tab w:val="right" w:pos="5655"/>
        </w:tabs>
        <w:ind w:left="567"/>
      </w:pPr>
      <w:r>
        <w:rPr>
          <w:lang w:val="es-ES_tradnl"/>
        </w:rPr>
        <w:tab/>
        <w:t>Inscripción anual</w:t>
      </w:r>
      <w:r>
        <w:rPr>
          <w:lang w:val="es-ES_tradnl"/>
        </w:rPr>
        <w:tab/>
        <w:t>700.000,00 sucres</w:t>
      </w:r>
    </w:p>
    <w:p w:rsidR="00000000" w:rsidRDefault="00000000">
      <w:pPr>
        <w:tabs>
          <w:tab w:val="left" w:pos="1131"/>
          <w:tab w:val="right" w:pos="5655"/>
        </w:tabs>
        <w:ind w:left="567"/>
      </w:pPr>
      <w:r>
        <w:rPr>
          <w:lang w:val="es-ES_tradnl"/>
        </w:rPr>
        <w:tab/>
        <w:t>Matrícula anual</w:t>
      </w:r>
      <w:r>
        <w:rPr>
          <w:lang w:val="es-ES_tradnl"/>
        </w:rPr>
        <w:tab/>
        <w:t>1.900.000,00 sucres</w:t>
      </w:r>
    </w:p>
    <w:p w:rsidR="00000000" w:rsidRDefault="00000000">
      <w:pPr>
        <w:tabs>
          <w:tab w:val="left" w:pos="1131"/>
          <w:tab w:val="right" w:pos="5655"/>
        </w:tabs>
        <w:spacing w:after="240"/>
        <w:ind w:left="567"/>
      </w:pPr>
      <w:r>
        <w:rPr>
          <w:lang w:val="es-ES_tradnl"/>
        </w:rPr>
        <w:tab/>
        <w:t>Colegiatura anual</w:t>
      </w:r>
      <w:r>
        <w:rPr>
          <w:lang w:val="es-ES_tradnl"/>
        </w:rPr>
        <w:tab/>
        <w:t>13.300.000,00 sucres</w:t>
      </w:r>
    </w:p>
    <w:p w:rsidR="00000000" w:rsidRDefault="00000000">
      <w:pPr>
        <w:tabs>
          <w:tab w:val="left" w:pos="1131"/>
          <w:tab w:val="left" w:pos="1404"/>
          <w:tab w:val="right" w:pos="5655"/>
        </w:tabs>
        <w:spacing w:after="240"/>
        <w:ind w:left="567"/>
      </w:pPr>
      <w:r>
        <w:rPr>
          <w:lang w:val="es-ES_tradnl"/>
        </w:rPr>
        <w:tab/>
      </w:r>
      <w:r>
        <w:rPr>
          <w:lang w:val="es-ES_tradnl"/>
        </w:rPr>
        <w:tab/>
        <w:t>Precio total por año</w:t>
      </w:r>
      <w:r>
        <w:rPr>
          <w:lang w:val="es-ES_tradnl"/>
        </w:rPr>
        <w:tab/>
        <w:t>15.900.000,00 sucres</w:t>
      </w:r>
    </w:p>
    <w:p w:rsidR="00000000" w:rsidRDefault="00000000">
      <w:pPr>
        <w:spacing w:after="240"/>
      </w:pPr>
      <w:r>
        <w:rPr>
          <w:lang w:val="es-ES_tradnl"/>
        </w:rPr>
        <w:t>491.</w:t>
      </w:r>
      <w:r>
        <w:rPr>
          <w:lang w:val="es-ES_tradnl"/>
        </w:rPr>
        <w:tab/>
        <w:t>La evidencia de que se introduce progresivamente la enseñanza gratuita está en la creación de instituciones fiscales en todos los niveles, como también el número de partidas docentes creadas.</w:t>
      </w:r>
    </w:p>
    <w:p w:rsidR="00000000" w:rsidRDefault="00000000">
      <w:pPr>
        <w:spacing w:after="240"/>
        <w:jc w:val="center"/>
      </w:pPr>
      <w:r>
        <w:rPr>
          <w:b/>
          <w:bCs/>
          <w:szCs w:val="21"/>
          <w:lang w:val="es-ES_tradnl"/>
        </w:rPr>
        <w:t>Serie histórica de planteles, profesores y alumnos</w:t>
      </w:r>
    </w:p>
    <w:tbl>
      <w:tblPr>
        <w:tblW w:w="0" w:type="auto"/>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170" w:type="dxa"/>
        </w:tblCellMar>
        <w:tblLook w:val="0000" w:firstRow="0" w:lastRow="0" w:firstColumn="0" w:lastColumn="0" w:noHBand="0" w:noVBand="0"/>
      </w:tblPr>
      <w:tblGrid>
        <w:gridCol w:w="1919"/>
        <w:gridCol w:w="1794"/>
        <w:gridCol w:w="1764"/>
        <w:gridCol w:w="1788"/>
      </w:tblGrid>
      <w:tr w:rsidR="00000000">
        <w:tblPrEx>
          <w:tblCellMar>
            <w:top w:w="0" w:type="dxa"/>
            <w:bottom w:w="0" w:type="dxa"/>
          </w:tblCellMar>
        </w:tblPrEx>
        <w:trPr>
          <w:jc w:val="center"/>
        </w:trPr>
        <w:tc>
          <w:tcPr>
            <w:tcW w:w="1919" w:type="dxa"/>
          </w:tcPr>
          <w:p w:rsidR="00000000" w:rsidRDefault="00000000">
            <w:pPr>
              <w:jc w:val="center"/>
              <w:rPr>
                <w:szCs w:val="21"/>
                <w:lang w:val="es-ES_tradnl"/>
              </w:rPr>
            </w:pPr>
            <w:r>
              <w:rPr>
                <w:szCs w:val="21"/>
                <w:lang w:val="es-ES_tradnl"/>
              </w:rPr>
              <w:t>Años</w:t>
            </w:r>
          </w:p>
        </w:tc>
        <w:tc>
          <w:tcPr>
            <w:tcW w:w="1794" w:type="dxa"/>
          </w:tcPr>
          <w:p w:rsidR="00000000" w:rsidRDefault="00000000">
            <w:pPr>
              <w:jc w:val="center"/>
              <w:rPr>
                <w:szCs w:val="21"/>
                <w:lang w:val="es-ES_tradnl"/>
              </w:rPr>
            </w:pPr>
            <w:r>
              <w:rPr>
                <w:szCs w:val="21"/>
                <w:lang w:val="es-ES_tradnl"/>
              </w:rPr>
              <w:t>Planteles</w:t>
            </w:r>
          </w:p>
        </w:tc>
        <w:tc>
          <w:tcPr>
            <w:tcW w:w="1764" w:type="dxa"/>
          </w:tcPr>
          <w:p w:rsidR="00000000" w:rsidRDefault="00000000">
            <w:pPr>
              <w:jc w:val="center"/>
              <w:rPr>
                <w:szCs w:val="21"/>
                <w:lang w:val="es-ES_tradnl"/>
              </w:rPr>
            </w:pPr>
            <w:r>
              <w:rPr>
                <w:szCs w:val="21"/>
                <w:lang w:val="es-ES_tradnl"/>
              </w:rPr>
              <w:t>Profesores</w:t>
            </w:r>
          </w:p>
        </w:tc>
        <w:tc>
          <w:tcPr>
            <w:tcW w:w="1788" w:type="dxa"/>
          </w:tcPr>
          <w:p w:rsidR="00000000" w:rsidRDefault="00000000">
            <w:pPr>
              <w:jc w:val="center"/>
            </w:pPr>
            <w:r>
              <w:rPr>
                <w:szCs w:val="21"/>
                <w:lang w:val="es-ES_tradnl"/>
              </w:rPr>
              <w:t>Alumnos</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1970-1972</w:t>
            </w:r>
          </w:p>
        </w:tc>
        <w:tc>
          <w:tcPr>
            <w:tcW w:w="1794" w:type="dxa"/>
          </w:tcPr>
          <w:p w:rsidR="00000000" w:rsidRDefault="00000000">
            <w:pPr>
              <w:jc w:val="right"/>
              <w:rPr>
                <w:szCs w:val="22"/>
                <w:lang w:val="es-ES_tradnl"/>
              </w:rPr>
            </w:pPr>
            <w:r>
              <w:rPr>
                <w:szCs w:val="22"/>
                <w:lang w:val="es-ES_tradnl"/>
              </w:rPr>
              <w:t>8.687</w:t>
            </w:r>
          </w:p>
        </w:tc>
        <w:tc>
          <w:tcPr>
            <w:tcW w:w="1764" w:type="dxa"/>
          </w:tcPr>
          <w:p w:rsidR="00000000" w:rsidRDefault="00000000">
            <w:pPr>
              <w:jc w:val="right"/>
              <w:rPr>
                <w:szCs w:val="22"/>
                <w:lang w:val="es-ES_tradnl"/>
              </w:rPr>
            </w:pPr>
            <w:r>
              <w:rPr>
                <w:szCs w:val="22"/>
                <w:lang w:val="es-ES_tradnl"/>
              </w:rPr>
              <w:t>47.741</w:t>
            </w:r>
          </w:p>
        </w:tc>
        <w:tc>
          <w:tcPr>
            <w:tcW w:w="1788" w:type="dxa"/>
          </w:tcPr>
          <w:p w:rsidR="00000000" w:rsidRDefault="00000000">
            <w:pPr>
              <w:jc w:val="right"/>
            </w:pPr>
            <w:r>
              <w:rPr>
                <w:szCs w:val="22"/>
                <w:lang w:val="es-ES_tradnl"/>
              </w:rPr>
              <w:t>1.246.965</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1979-1980</w:t>
            </w:r>
          </w:p>
        </w:tc>
        <w:tc>
          <w:tcPr>
            <w:tcW w:w="1794" w:type="dxa"/>
          </w:tcPr>
          <w:p w:rsidR="00000000" w:rsidRDefault="00000000">
            <w:pPr>
              <w:jc w:val="right"/>
              <w:rPr>
                <w:szCs w:val="22"/>
                <w:lang w:val="es-ES_tradnl"/>
              </w:rPr>
            </w:pPr>
            <w:r>
              <w:rPr>
                <w:szCs w:val="22"/>
                <w:lang w:val="es-ES_tradnl"/>
              </w:rPr>
              <w:t>12.916</w:t>
            </w:r>
          </w:p>
        </w:tc>
        <w:tc>
          <w:tcPr>
            <w:tcW w:w="1764" w:type="dxa"/>
          </w:tcPr>
          <w:p w:rsidR="00000000" w:rsidRDefault="00000000">
            <w:pPr>
              <w:jc w:val="right"/>
              <w:rPr>
                <w:szCs w:val="22"/>
                <w:lang w:val="es-ES_tradnl"/>
              </w:rPr>
            </w:pPr>
            <w:r>
              <w:rPr>
                <w:szCs w:val="22"/>
                <w:lang w:val="es-ES_tradnl"/>
              </w:rPr>
              <w:t>72.704</w:t>
            </w:r>
          </w:p>
        </w:tc>
        <w:tc>
          <w:tcPr>
            <w:tcW w:w="1788" w:type="dxa"/>
          </w:tcPr>
          <w:p w:rsidR="00000000" w:rsidRDefault="00000000">
            <w:pPr>
              <w:jc w:val="right"/>
            </w:pPr>
            <w:r>
              <w:rPr>
                <w:szCs w:val="22"/>
                <w:lang w:val="es-ES_tradnl"/>
              </w:rPr>
              <w:t>2.005.927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1985-1986</w:t>
            </w:r>
          </w:p>
        </w:tc>
        <w:tc>
          <w:tcPr>
            <w:tcW w:w="1794" w:type="dxa"/>
          </w:tcPr>
          <w:p w:rsidR="00000000" w:rsidRDefault="00000000">
            <w:pPr>
              <w:jc w:val="right"/>
              <w:rPr>
                <w:szCs w:val="22"/>
                <w:lang w:val="es-ES_tradnl"/>
              </w:rPr>
            </w:pPr>
            <w:r>
              <w:rPr>
                <w:szCs w:val="22"/>
                <w:lang w:val="es-ES_tradnl"/>
              </w:rPr>
              <w:t>17.454</w:t>
            </w:r>
          </w:p>
        </w:tc>
        <w:tc>
          <w:tcPr>
            <w:tcW w:w="1764" w:type="dxa"/>
          </w:tcPr>
          <w:p w:rsidR="00000000" w:rsidRDefault="00000000">
            <w:pPr>
              <w:jc w:val="right"/>
              <w:rPr>
                <w:szCs w:val="22"/>
                <w:lang w:val="es-ES_tradnl"/>
              </w:rPr>
            </w:pPr>
            <w:r>
              <w:rPr>
                <w:szCs w:val="22"/>
                <w:lang w:val="es-ES_tradnl"/>
              </w:rPr>
              <w:t>103.572</w:t>
            </w:r>
          </w:p>
        </w:tc>
        <w:tc>
          <w:tcPr>
            <w:tcW w:w="1788" w:type="dxa"/>
          </w:tcPr>
          <w:p w:rsidR="00000000" w:rsidRDefault="00000000">
            <w:pPr>
              <w:jc w:val="right"/>
            </w:pPr>
            <w:r>
              <w:rPr>
                <w:szCs w:val="22"/>
                <w:lang w:val="es-ES_tradnl"/>
              </w:rPr>
              <w:t>2.533.287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1989-1990</w:t>
            </w:r>
          </w:p>
        </w:tc>
        <w:tc>
          <w:tcPr>
            <w:tcW w:w="1794" w:type="dxa"/>
          </w:tcPr>
          <w:p w:rsidR="00000000" w:rsidRDefault="00000000">
            <w:pPr>
              <w:jc w:val="right"/>
              <w:rPr>
                <w:szCs w:val="22"/>
                <w:lang w:val="es-ES_tradnl"/>
              </w:rPr>
            </w:pPr>
            <w:r>
              <w:rPr>
                <w:szCs w:val="22"/>
                <w:lang w:val="es-ES_tradnl"/>
              </w:rPr>
              <w:t>19.684</w:t>
            </w:r>
          </w:p>
        </w:tc>
        <w:tc>
          <w:tcPr>
            <w:tcW w:w="1764" w:type="dxa"/>
          </w:tcPr>
          <w:p w:rsidR="00000000" w:rsidRDefault="00000000">
            <w:pPr>
              <w:jc w:val="right"/>
              <w:rPr>
                <w:szCs w:val="22"/>
                <w:lang w:val="es-ES_tradnl"/>
              </w:rPr>
            </w:pPr>
            <w:r>
              <w:rPr>
                <w:szCs w:val="22"/>
                <w:lang w:val="es-ES_tradnl"/>
              </w:rPr>
              <w:t>125.066</w:t>
            </w:r>
          </w:p>
        </w:tc>
        <w:tc>
          <w:tcPr>
            <w:tcW w:w="1788" w:type="dxa"/>
          </w:tcPr>
          <w:p w:rsidR="00000000" w:rsidRDefault="00000000">
            <w:pPr>
              <w:jc w:val="right"/>
            </w:pPr>
            <w:r>
              <w:rPr>
                <w:szCs w:val="22"/>
                <w:lang w:val="es-ES_tradnl"/>
              </w:rPr>
              <w:t>2.749.432</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1990-1991</w:t>
            </w:r>
          </w:p>
        </w:tc>
        <w:tc>
          <w:tcPr>
            <w:tcW w:w="1794" w:type="dxa"/>
          </w:tcPr>
          <w:p w:rsidR="00000000" w:rsidRDefault="00000000">
            <w:pPr>
              <w:jc w:val="right"/>
              <w:rPr>
                <w:szCs w:val="22"/>
                <w:lang w:val="es-ES_tradnl"/>
              </w:rPr>
            </w:pPr>
            <w:r>
              <w:rPr>
                <w:szCs w:val="22"/>
                <w:lang w:val="es-ES_tradnl"/>
              </w:rPr>
              <w:t>19.887</w:t>
            </w:r>
          </w:p>
        </w:tc>
        <w:tc>
          <w:tcPr>
            <w:tcW w:w="1764" w:type="dxa"/>
          </w:tcPr>
          <w:p w:rsidR="00000000" w:rsidRDefault="00000000">
            <w:pPr>
              <w:jc w:val="right"/>
              <w:rPr>
                <w:szCs w:val="22"/>
                <w:lang w:val="es-ES_tradnl"/>
              </w:rPr>
            </w:pPr>
            <w:r>
              <w:rPr>
                <w:szCs w:val="22"/>
                <w:lang w:val="es-ES_tradnl"/>
              </w:rPr>
              <w:t>127.466</w:t>
            </w:r>
          </w:p>
        </w:tc>
        <w:tc>
          <w:tcPr>
            <w:tcW w:w="1788" w:type="dxa"/>
          </w:tcPr>
          <w:p w:rsidR="00000000" w:rsidRDefault="00000000">
            <w:pPr>
              <w:jc w:val="right"/>
            </w:pPr>
            <w:r>
              <w:rPr>
                <w:szCs w:val="22"/>
                <w:lang w:val="es-ES_tradnl"/>
              </w:rPr>
              <w:t>2.747.206</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1991-1992</w:t>
            </w:r>
          </w:p>
        </w:tc>
        <w:tc>
          <w:tcPr>
            <w:tcW w:w="1794" w:type="dxa"/>
          </w:tcPr>
          <w:p w:rsidR="00000000" w:rsidRDefault="00000000">
            <w:pPr>
              <w:jc w:val="right"/>
              <w:rPr>
                <w:szCs w:val="22"/>
                <w:lang w:val="es-ES_tradnl"/>
              </w:rPr>
            </w:pPr>
            <w:r>
              <w:rPr>
                <w:szCs w:val="22"/>
                <w:lang w:val="es-ES_tradnl"/>
              </w:rPr>
              <w:t>21.133</w:t>
            </w:r>
          </w:p>
        </w:tc>
        <w:tc>
          <w:tcPr>
            <w:tcW w:w="1764" w:type="dxa"/>
          </w:tcPr>
          <w:p w:rsidR="00000000" w:rsidRDefault="00000000">
            <w:pPr>
              <w:jc w:val="right"/>
              <w:rPr>
                <w:szCs w:val="22"/>
                <w:lang w:val="es-ES_tradnl"/>
              </w:rPr>
            </w:pPr>
            <w:r>
              <w:rPr>
                <w:szCs w:val="22"/>
                <w:lang w:val="es-ES_tradnl"/>
              </w:rPr>
              <w:t>131.040</w:t>
            </w:r>
          </w:p>
        </w:tc>
        <w:tc>
          <w:tcPr>
            <w:tcW w:w="1788" w:type="dxa"/>
          </w:tcPr>
          <w:p w:rsidR="00000000" w:rsidRDefault="00000000">
            <w:pPr>
              <w:jc w:val="right"/>
            </w:pPr>
            <w:r>
              <w:rPr>
                <w:szCs w:val="22"/>
                <w:lang w:val="es-ES_tradnl"/>
              </w:rPr>
              <w:t>2.834.590</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1992-1993</w:t>
            </w:r>
          </w:p>
        </w:tc>
        <w:tc>
          <w:tcPr>
            <w:tcW w:w="1794" w:type="dxa"/>
          </w:tcPr>
          <w:p w:rsidR="00000000" w:rsidRDefault="00000000">
            <w:pPr>
              <w:jc w:val="right"/>
              <w:rPr>
                <w:szCs w:val="22"/>
                <w:lang w:val="es-ES_tradnl"/>
              </w:rPr>
            </w:pPr>
            <w:r>
              <w:rPr>
                <w:szCs w:val="22"/>
                <w:lang w:val="es-ES_tradnl"/>
              </w:rPr>
              <w:t>20.728</w:t>
            </w:r>
          </w:p>
        </w:tc>
        <w:tc>
          <w:tcPr>
            <w:tcW w:w="1764" w:type="dxa"/>
          </w:tcPr>
          <w:p w:rsidR="00000000" w:rsidRDefault="00000000">
            <w:pPr>
              <w:jc w:val="right"/>
              <w:rPr>
                <w:szCs w:val="22"/>
                <w:lang w:val="es-ES_tradnl"/>
              </w:rPr>
            </w:pPr>
            <w:r>
              <w:rPr>
                <w:szCs w:val="22"/>
                <w:lang w:val="es-ES_tradnl"/>
              </w:rPr>
              <w:t>131.872</w:t>
            </w:r>
          </w:p>
        </w:tc>
        <w:tc>
          <w:tcPr>
            <w:tcW w:w="1788" w:type="dxa"/>
          </w:tcPr>
          <w:p w:rsidR="00000000" w:rsidRDefault="00000000">
            <w:pPr>
              <w:jc w:val="right"/>
            </w:pPr>
            <w:r>
              <w:rPr>
                <w:szCs w:val="22"/>
                <w:lang w:val="es-ES_tradnl"/>
              </w:rPr>
              <w:t>2.800.524</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1993-1994</w:t>
            </w:r>
          </w:p>
        </w:tc>
        <w:tc>
          <w:tcPr>
            <w:tcW w:w="1794" w:type="dxa"/>
          </w:tcPr>
          <w:p w:rsidR="00000000" w:rsidRDefault="00000000">
            <w:pPr>
              <w:jc w:val="right"/>
              <w:rPr>
                <w:szCs w:val="22"/>
                <w:lang w:val="es-ES_tradnl"/>
              </w:rPr>
            </w:pPr>
            <w:r>
              <w:rPr>
                <w:szCs w:val="22"/>
                <w:lang w:val="es-ES_tradnl"/>
              </w:rPr>
              <w:t>22.753</w:t>
            </w:r>
          </w:p>
        </w:tc>
        <w:tc>
          <w:tcPr>
            <w:tcW w:w="1764" w:type="dxa"/>
          </w:tcPr>
          <w:p w:rsidR="00000000" w:rsidRDefault="00000000">
            <w:pPr>
              <w:jc w:val="right"/>
              <w:rPr>
                <w:szCs w:val="22"/>
                <w:lang w:val="es-ES_tradnl"/>
              </w:rPr>
            </w:pPr>
            <w:r>
              <w:rPr>
                <w:szCs w:val="22"/>
                <w:lang w:val="es-ES_tradnl"/>
              </w:rPr>
              <w:t>130.177</w:t>
            </w:r>
          </w:p>
        </w:tc>
        <w:tc>
          <w:tcPr>
            <w:tcW w:w="1788" w:type="dxa"/>
          </w:tcPr>
          <w:p w:rsidR="00000000" w:rsidRDefault="00000000">
            <w:pPr>
              <w:jc w:val="right"/>
            </w:pPr>
            <w:r>
              <w:rPr>
                <w:szCs w:val="22"/>
                <w:lang w:val="es-ES_tradnl"/>
              </w:rPr>
              <w:t>2.655.621</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1994-1995</w:t>
            </w:r>
          </w:p>
        </w:tc>
        <w:tc>
          <w:tcPr>
            <w:tcW w:w="1794" w:type="dxa"/>
          </w:tcPr>
          <w:p w:rsidR="00000000" w:rsidRDefault="00000000">
            <w:pPr>
              <w:jc w:val="right"/>
              <w:rPr>
                <w:szCs w:val="22"/>
                <w:lang w:val="es-ES_tradnl"/>
              </w:rPr>
            </w:pPr>
            <w:r>
              <w:rPr>
                <w:szCs w:val="22"/>
                <w:lang w:val="es-ES_tradnl"/>
              </w:rPr>
              <w:t>23.334</w:t>
            </w:r>
          </w:p>
        </w:tc>
        <w:tc>
          <w:tcPr>
            <w:tcW w:w="1764" w:type="dxa"/>
          </w:tcPr>
          <w:p w:rsidR="00000000" w:rsidRDefault="00000000">
            <w:pPr>
              <w:jc w:val="right"/>
              <w:rPr>
                <w:szCs w:val="22"/>
                <w:lang w:val="es-ES_tradnl"/>
              </w:rPr>
            </w:pPr>
            <w:r>
              <w:rPr>
                <w:szCs w:val="22"/>
                <w:lang w:val="es-ES_tradnl"/>
              </w:rPr>
              <w:t>139.827</w:t>
            </w:r>
          </w:p>
        </w:tc>
        <w:tc>
          <w:tcPr>
            <w:tcW w:w="1788" w:type="dxa"/>
          </w:tcPr>
          <w:p w:rsidR="00000000" w:rsidRDefault="00000000">
            <w:pPr>
              <w:jc w:val="right"/>
            </w:pPr>
            <w:r>
              <w:rPr>
                <w:szCs w:val="22"/>
                <w:lang w:val="es-ES_tradnl"/>
              </w:rPr>
              <w:t>2.713.457</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1995-1996</w:t>
            </w:r>
          </w:p>
        </w:tc>
        <w:tc>
          <w:tcPr>
            <w:tcW w:w="1794" w:type="dxa"/>
          </w:tcPr>
          <w:p w:rsidR="00000000" w:rsidRDefault="00000000">
            <w:pPr>
              <w:jc w:val="right"/>
              <w:rPr>
                <w:szCs w:val="22"/>
                <w:lang w:val="es-ES_tradnl"/>
              </w:rPr>
            </w:pPr>
            <w:r>
              <w:rPr>
                <w:szCs w:val="22"/>
                <w:lang w:val="es-ES_tradnl"/>
              </w:rPr>
              <w:t>23.322</w:t>
            </w:r>
          </w:p>
        </w:tc>
        <w:tc>
          <w:tcPr>
            <w:tcW w:w="1764" w:type="dxa"/>
          </w:tcPr>
          <w:p w:rsidR="00000000" w:rsidRDefault="00000000">
            <w:pPr>
              <w:jc w:val="right"/>
              <w:rPr>
                <w:szCs w:val="22"/>
                <w:lang w:val="es-ES_tradnl"/>
              </w:rPr>
            </w:pPr>
            <w:r>
              <w:rPr>
                <w:szCs w:val="22"/>
                <w:lang w:val="es-ES_tradnl"/>
              </w:rPr>
              <w:t>146.392</w:t>
            </w:r>
          </w:p>
        </w:tc>
        <w:tc>
          <w:tcPr>
            <w:tcW w:w="1788" w:type="dxa"/>
          </w:tcPr>
          <w:p w:rsidR="00000000" w:rsidRDefault="00000000">
            <w:pPr>
              <w:jc w:val="right"/>
            </w:pPr>
            <w:r>
              <w:rPr>
                <w:szCs w:val="22"/>
                <w:lang w:val="es-ES_tradnl"/>
              </w:rPr>
              <w:t>2.753.485</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1996-1997</w:t>
            </w:r>
          </w:p>
        </w:tc>
        <w:tc>
          <w:tcPr>
            <w:tcW w:w="1794" w:type="dxa"/>
          </w:tcPr>
          <w:p w:rsidR="00000000" w:rsidRDefault="00000000">
            <w:pPr>
              <w:jc w:val="right"/>
              <w:rPr>
                <w:szCs w:val="22"/>
                <w:lang w:val="es-ES_tradnl"/>
              </w:rPr>
            </w:pPr>
            <w:r>
              <w:rPr>
                <w:szCs w:val="22"/>
                <w:lang w:val="es-ES_tradnl"/>
              </w:rPr>
              <w:t>24.171</w:t>
            </w:r>
          </w:p>
        </w:tc>
        <w:tc>
          <w:tcPr>
            <w:tcW w:w="1764" w:type="dxa"/>
          </w:tcPr>
          <w:p w:rsidR="00000000" w:rsidRDefault="00000000">
            <w:pPr>
              <w:jc w:val="right"/>
              <w:rPr>
                <w:szCs w:val="22"/>
                <w:lang w:val="es-ES_tradnl"/>
              </w:rPr>
            </w:pPr>
            <w:r>
              <w:rPr>
                <w:szCs w:val="22"/>
                <w:lang w:val="es-ES_tradnl"/>
              </w:rPr>
              <w:t>156.163</w:t>
            </w:r>
          </w:p>
        </w:tc>
        <w:tc>
          <w:tcPr>
            <w:tcW w:w="1788" w:type="dxa"/>
          </w:tcPr>
          <w:p w:rsidR="00000000" w:rsidRDefault="00000000">
            <w:pPr>
              <w:jc w:val="right"/>
            </w:pPr>
            <w:r>
              <w:rPr>
                <w:szCs w:val="22"/>
                <w:lang w:val="es-ES_tradnl"/>
              </w:rPr>
              <w:t>2.886.279</w:t>
            </w:r>
          </w:p>
        </w:tc>
      </w:tr>
      <w:tr w:rsidR="00000000">
        <w:tblPrEx>
          <w:tblCellMar>
            <w:top w:w="0" w:type="dxa"/>
            <w:bottom w:w="0" w:type="dxa"/>
          </w:tblCellMar>
        </w:tblPrEx>
        <w:trPr>
          <w:jc w:val="center"/>
        </w:trPr>
        <w:tc>
          <w:tcPr>
            <w:tcW w:w="1919" w:type="dxa"/>
          </w:tcPr>
          <w:p w:rsidR="00000000" w:rsidRDefault="00000000">
            <w:pPr>
              <w:jc w:val="center"/>
              <w:rPr>
                <w:szCs w:val="22"/>
                <w:lang w:val="es-ES_tradnl"/>
              </w:rPr>
            </w:pPr>
            <w:r>
              <w:rPr>
                <w:szCs w:val="22"/>
                <w:lang w:val="es-ES_tradnl"/>
              </w:rPr>
              <w:t>1997-1998</w:t>
            </w:r>
          </w:p>
        </w:tc>
        <w:tc>
          <w:tcPr>
            <w:tcW w:w="1794" w:type="dxa"/>
          </w:tcPr>
          <w:p w:rsidR="00000000" w:rsidRDefault="00000000">
            <w:pPr>
              <w:jc w:val="right"/>
              <w:rPr>
                <w:szCs w:val="22"/>
                <w:lang w:val="es-ES_tradnl"/>
              </w:rPr>
            </w:pPr>
            <w:r>
              <w:rPr>
                <w:szCs w:val="22"/>
                <w:lang w:val="es-ES_tradnl"/>
              </w:rPr>
              <w:t>24.827</w:t>
            </w:r>
          </w:p>
        </w:tc>
        <w:tc>
          <w:tcPr>
            <w:tcW w:w="1764" w:type="dxa"/>
          </w:tcPr>
          <w:p w:rsidR="00000000" w:rsidRDefault="00000000">
            <w:pPr>
              <w:jc w:val="right"/>
              <w:rPr>
                <w:szCs w:val="22"/>
                <w:lang w:val="es-ES_tradnl"/>
              </w:rPr>
            </w:pPr>
            <w:r>
              <w:rPr>
                <w:szCs w:val="22"/>
                <w:lang w:val="es-ES_tradnl"/>
              </w:rPr>
              <w:t>162.273</w:t>
            </w:r>
          </w:p>
        </w:tc>
        <w:tc>
          <w:tcPr>
            <w:tcW w:w="1788" w:type="dxa"/>
          </w:tcPr>
          <w:p w:rsidR="00000000" w:rsidRDefault="00000000">
            <w:pPr>
              <w:jc w:val="right"/>
            </w:pPr>
            <w:r>
              <w:rPr>
                <w:szCs w:val="22"/>
                <w:lang w:val="es-ES_tradnl"/>
              </w:rPr>
              <w:t>2.952.503</w:t>
            </w:r>
          </w:p>
        </w:tc>
      </w:tr>
    </w:tbl>
    <w:p w:rsidR="00000000" w:rsidRDefault="00000000">
      <w:pPr>
        <w:tabs>
          <w:tab w:val="left" w:pos="1092"/>
        </w:tabs>
        <w:spacing w:before="240" w:after="480"/>
      </w:pPr>
      <w:r>
        <w:rPr>
          <w:szCs w:val="22"/>
        </w:rPr>
        <w:tab/>
      </w:r>
      <w:r>
        <w:rPr>
          <w:i/>
          <w:iCs/>
          <w:szCs w:val="22"/>
          <w:lang w:val="es-ES_tradnl"/>
        </w:rPr>
        <w:t>Fuente</w:t>
      </w:r>
      <w:r>
        <w:rPr>
          <w:szCs w:val="22"/>
          <w:lang w:val="es-ES_tradnl"/>
        </w:rPr>
        <w:t xml:space="preserve">:  Pobreza y capital humano en el Ecuador, </w:t>
      </w:r>
      <w:proofErr w:type="spellStart"/>
      <w:r>
        <w:rPr>
          <w:szCs w:val="22"/>
          <w:lang w:val="es-ES_tradnl"/>
        </w:rPr>
        <w:t>SIISE</w:t>
      </w:r>
      <w:proofErr w:type="spellEnd"/>
      <w:r>
        <w:rPr>
          <w:szCs w:val="22"/>
          <w:lang w:val="es-ES_tradnl"/>
        </w:rPr>
        <w:t>, 1997.</w:t>
      </w:r>
    </w:p>
    <w:p w:rsidR="00000000" w:rsidRDefault="00000000">
      <w:pPr>
        <w:keepNext/>
        <w:spacing w:after="240"/>
        <w:rPr>
          <w:i/>
          <w:iCs/>
        </w:rPr>
      </w:pPr>
      <w:r>
        <w:rPr>
          <w:i/>
          <w:iCs/>
          <w:lang w:val="es-ES_tradnl"/>
        </w:rPr>
        <w:t>Sistema de Enseñanza Fundamental</w:t>
      </w:r>
    </w:p>
    <w:p w:rsidR="00000000" w:rsidRDefault="00000000">
      <w:pPr>
        <w:keepNext/>
        <w:spacing w:after="240"/>
      </w:pPr>
      <w:r>
        <w:rPr>
          <w:lang w:val="es-ES_tradnl"/>
        </w:rPr>
        <w:t>492.</w:t>
      </w:r>
      <w:r>
        <w:rPr>
          <w:lang w:val="es-ES_tradnl"/>
        </w:rPr>
        <w:tab/>
        <w:t>El sistema educativo nacional es único y comprende dos subsistemas:</w:t>
      </w:r>
    </w:p>
    <w:p w:rsidR="00000000" w:rsidRDefault="00000000">
      <w:pPr>
        <w:spacing w:after="240"/>
      </w:pPr>
      <w:r>
        <w:rPr>
          <w:lang w:val="es-ES_tradnl"/>
        </w:rPr>
        <w:tab/>
        <w:t>a)</w:t>
      </w:r>
      <w:r>
        <w:rPr>
          <w:lang w:val="es-ES_tradnl"/>
        </w:rPr>
        <w:tab/>
        <w:t>escolarizado:  hispano e indígena; y</w:t>
      </w:r>
    </w:p>
    <w:p w:rsidR="00000000" w:rsidRDefault="00000000">
      <w:pPr>
        <w:spacing w:after="240"/>
      </w:pPr>
      <w:r>
        <w:rPr>
          <w:lang w:val="es-ES_tradnl"/>
        </w:rPr>
        <w:tab/>
        <w:t>b)</w:t>
      </w:r>
      <w:r>
        <w:rPr>
          <w:lang w:val="es-ES_tradnl"/>
        </w:rPr>
        <w:tab/>
        <w:t>no escolarizado:  hispano e indígena.</w:t>
      </w:r>
    </w:p>
    <w:p w:rsidR="00000000" w:rsidRDefault="00000000">
      <w:pPr>
        <w:spacing w:after="240"/>
      </w:pPr>
      <w:r>
        <w:rPr>
          <w:lang w:val="es-ES_tradnl"/>
        </w:rPr>
        <w:t>493.</w:t>
      </w:r>
      <w:r>
        <w:rPr>
          <w:lang w:val="es-ES_tradnl"/>
        </w:rPr>
        <w:tab/>
        <w:t>El subsistema escolarizado comprende la educación que se imparte en los establecimientos determinados en la ley y en los reglamentos generales y especiales; abarca:</w:t>
      </w:r>
    </w:p>
    <w:p w:rsidR="00000000" w:rsidRDefault="00000000">
      <w:pPr>
        <w:spacing w:after="240"/>
      </w:pPr>
      <w:r>
        <w:rPr>
          <w:lang w:val="es-ES_tradnl"/>
        </w:rPr>
        <w:tab/>
        <w:t>a)</w:t>
      </w:r>
      <w:r>
        <w:rPr>
          <w:lang w:val="es-ES_tradnl"/>
        </w:rPr>
        <w:tab/>
        <w:t>Educación regular:  hispana e indígena;</w:t>
      </w:r>
    </w:p>
    <w:p w:rsidR="00000000" w:rsidRDefault="00000000">
      <w:pPr>
        <w:spacing w:after="240"/>
      </w:pPr>
      <w:r>
        <w:rPr>
          <w:lang w:val="es-ES_tradnl"/>
        </w:rPr>
        <w:tab/>
        <w:t>b)</w:t>
      </w:r>
      <w:r>
        <w:rPr>
          <w:lang w:val="es-ES_tradnl"/>
        </w:rPr>
        <w:tab/>
        <w:t>Educación compensatoria:  hispana e indígena;</w:t>
      </w:r>
    </w:p>
    <w:p w:rsidR="00000000" w:rsidRDefault="00000000">
      <w:pPr>
        <w:spacing w:after="240"/>
      </w:pPr>
      <w:r>
        <w:rPr>
          <w:lang w:val="es-ES_tradnl"/>
        </w:rPr>
        <w:tab/>
        <w:t>c)</w:t>
      </w:r>
      <w:r>
        <w:rPr>
          <w:lang w:val="es-ES_tradnl"/>
        </w:rPr>
        <w:tab/>
        <w:t>Educación especial:  hispana e indígena.</w:t>
      </w:r>
    </w:p>
    <w:p w:rsidR="00000000" w:rsidRDefault="00000000">
      <w:pPr>
        <w:spacing w:after="240"/>
      </w:pPr>
      <w:r>
        <w:rPr>
          <w:lang w:val="es-ES_tradnl"/>
        </w:rPr>
        <w:t>494.</w:t>
      </w:r>
      <w:r>
        <w:rPr>
          <w:lang w:val="es-ES_tradnl"/>
        </w:rPr>
        <w:tab/>
        <w:t>En el sistema escolarizado hispano e indígena se podrán establecer modalidades.  La educación compensatoria tiene la finalidad esencial de restablecer la igualdad de oportunidades para quienes no ingresaron a los niveles de educación regular o no los concluyeron y permite que puedan integrarse al sistema regular, en cualquier época de su vida, de acuerdo con sus necesidades y aspiraciones.</w:t>
      </w:r>
    </w:p>
    <w:p w:rsidR="00000000" w:rsidRDefault="00000000">
      <w:pPr>
        <w:spacing w:after="240"/>
      </w:pPr>
      <w:r>
        <w:rPr>
          <w:lang w:val="es-ES_tradnl"/>
        </w:rPr>
        <w:t>495.</w:t>
      </w:r>
      <w:r>
        <w:rPr>
          <w:lang w:val="es-ES_tradnl"/>
        </w:rPr>
        <w:tab/>
        <w:t>La educación compensatoria comprende:</w:t>
      </w:r>
    </w:p>
    <w:p w:rsidR="00000000" w:rsidRDefault="00000000">
      <w:pPr>
        <w:spacing w:after="240"/>
        <w:ind w:left="1134" w:hanging="567"/>
      </w:pPr>
      <w:r>
        <w:rPr>
          <w:lang w:val="es-ES_tradnl"/>
        </w:rPr>
        <w:t>a)</w:t>
      </w:r>
      <w:r>
        <w:rPr>
          <w:lang w:val="es-ES_tradnl"/>
        </w:rPr>
        <w:tab/>
        <w:t>Nivel de educación básica popular:</w:t>
      </w:r>
    </w:p>
    <w:p w:rsidR="00000000" w:rsidRDefault="00000000">
      <w:pPr>
        <w:tabs>
          <w:tab w:val="right" w:pos="1304"/>
        </w:tabs>
        <w:spacing w:after="240"/>
        <w:ind w:left="1701" w:hanging="1701"/>
        <w:rPr>
          <w:lang w:val="es-ES_tradnl"/>
        </w:rPr>
      </w:pPr>
      <w:r>
        <w:rPr>
          <w:lang w:val="es-ES_tradnl"/>
        </w:rPr>
        <w:tab/>
      </w:r>
      <w:proofErr w:type="spellStart"/>
      <w:r>
        <w:rPr>
          <w:lang w:val="es-ES_tradnl"/>
        </w:rPr>
        <w:t>i</w:t>
      </w:r>
      <w:proofErr w:type="spellEnd"/>
      <w:r>
        <w:rPr>
          <w:lang w:val="es-ES_tradnl"/>
        </w:rPr>
        <w:t>)</w:t>
      </w:r>
      <w:r>
        <w:rPr>
          <w:lang w:val="es-ES_tradnl"/>
        </w:rPr>
        <w:tab/>
        <w:t>Alfabetización;</w:t>
      </w:r>
    </w:p>
    <w:p w:rsidR="00000000" w:rsidRDefault="00000000">
      <w:pPr>
        <w:tabs>
          <w:tab w:val="right" w:pos="1304"/>
        </w:tabs>
        <w:spacing w:after="240"/>
        <w:ind w:left="1701" w:hanging="1701"/>
        <w:rPr>
          <w:lang w:val="es-ES_tradnl"/>
        </w:rPr>
      </w:pPr>
      <w:r>
        <w:rPr>
          <w:lang w:val="es-ES_tradnl"/>
        </w:rPr>
        <w:tab/>
        <w:t>ii)</w:t>
      </w:r>
      <w:r>
        <w:rPr>
          <w:lang w:val="es-ES_tradnl"/>
        </w:rPr>
        <w:tab/>
      </w:r>
      <w:proofErr w:type="spellStart"/>
      <w:r>
        <w:rPr>
          <w:lang w:val="es-ES_tradnl"/>
        </w:rPr>
        <w:t>Posalfabetización</w:t>
      </w:r>
      <w:proofErr w:type="spellEnd"/>
      <w:r>
        <w:rPr>
          <w:lang w:val="es-ES_tradnl"/>
        </w:rPr>
        <w:t>;</w:t>
      </w:r>
    </w:p>
    <w:p w:rsidR="00000000" w:rsidRDefault="00000000">
      <w:pPr>
        <w:tabs>
          <w:tab w:val="right" w:pos="1304"/>
        </w:tabs>
        <w:spacing w:after="240"/>
        <w:ind w:left="1701" w:hanging="1701"/>
      </w:pPr>
      <w:r>
        <w:rPr>
          <w:lang w:val="es-ES_tradnl"/>
        </w:rPr>
        <w:tab/>
        <w:t>iii)</w:t>
      </w:r>
      <w:r>
        <w:rPr>
          <w:lang w:val="es-ES_tradnl"/>
        </w:rPr>
        <w:tab/>
        <w:t>Ciclo básico;</w:t>
      </w:r>
    </w:p>
    <w:p w:rsidR="00000000" w:rsidRDefault="00000000">
      <w:pPr>
        <w:spacing w:after="240"/>
        <w:ind w:left="1134" w:hanging="567"/>
      </w:pPr>
      <w:r>
        <w:rPr>
          <w:lang w:val="es-ES_tradnl"/>
        </w:rPr>
        <w:t>b)</w:t>
      </w:r>
      <w:r>
        <w:rPr>
          <w:lang w:val="es-ES_tradnl"/>
        </w:rPr>
        <w:tab/>
        <w:t>Nivel diversificado popular;</w:t>
      </w:r>
    </w:p>
    <w:p w:rsidR="00000000" w:rsidRDefault="00000000">
      <w:pPr>
        <w:spacing w:after="240"/>
        <w:ind w:left="1134" w:hanging="567"/>
      </w:pPr>
      <w:r>
        <w:rPr>
          <w:lang w:val="es-ES_tradnl"/>
        </w:rPr>
        <w:t>c)</w:t>
      </w:r>
      <w:r>
        <w:rPr>
          <w:lang w:val="es-ES_tradnl"/>
        </w:rPr>
        <w:tab/>
        <w:t>Formación profesional en el ámbito artesanal;</w:t>
      </w:r>
    </w:p>
    <w:p w:rsidR="00000000" w:rsidRDefault="00000000">
      <w:pPr>
        <w:spacing w:after="240"/>
        <w:ind w:left="1134" w:hanging="567"/>
      </w:pPr>
      <w:r>
        <w:rPr>
          <w:lang w:val="es-ES_tradnl"/>
        </w:rPr>
        <w:t>d)</w:t>
      </w:r>
      <w:r>
        <w:rPr>
          <w:lang w:val="es-ES_tradnl"/>
        </w:rPr>
        <w:tab/>
        <w:t>En el ámbito de la educación popular permanente podrán funcionar unidades educativas de producción, las que regirán por el reglamento que para el efecto expedirá el Ministerio de Educación y Cultura.</w:t>
      </w:r>
    </w:p>
    <w:p w:rsidR="00000000" w:rsidRDefault="00000000">
      <w:pPr>
        <w:spacing w:after="240"/>
      </w:pPr>
      <w:r>
        <w:rPr>
          <w:lang w:val="es-ES_tradnl"/>
        </w:rPr>
        <w:t>496.</w:t>
      </w:r>
      <w:r>
        <w:rPr>
          <w:lang w:val="es-ES_tradnl"/>
        </w:rPr>
        <w:tab/>
        <w:t>En este sentido podemos establecer una visión retrospectiva de dichas acciones.</w:t>
      </w:r>
    </w:p>
    <w:p w:rsidR="00000000" w:rsidRDefault="00000000">
      <w:pPr>
        <w:spacing w:after="240"/>
        <w:ind w:left="1134" w:hanging="567"/>
      </w:pPr>
      <w:r>
        <w:rPr>
          <w:lang w:val="es-ES_tradnl"/>
        </w:rPr>
        <w:t>a)</w:t>
      </w:r>
      <w:r>
        <w:rPr>
          <w:lang w:val="es-ES_tradnl"/>
        </w:rPr>
        <w:tab/>
        <w:t>Campaña Nacional de Alfabetización-UNP, efectuada de 1944 a 1963;</w:t>
      </w:r>
    </w:p>
    <w:p w:rsidR="00000000" w:rsidRDefault="00000000">
      <w:pPr>
        <w:spacing w:after="240"/>
        <w:ind w:left="1134" w:hanging="567"/>
      </w:pPr>
      <w:r>
        <w:rPr>
          <w:lang w:val="es-ES_tradnl"/>
        </w:rPr>
        <w:t>b)</w:t>
      </w:r>
      <w:r>
        <w:rPr>
          <w:lang w:val="es-ES_tradnl"/>
        </w:rPr>
        <w:tab/>
        <w:t>Campaña Nacional de Alfabetización-Ministerio de Educación, ejecutada de 1963 a 1972.</w:t>
      </w:r>
    </w:p>
    <w:p w:rsidR="00000000" w:rsidRDefault="00000000">
      <w:pPr>
        <w:spacing w:after="240"/>
        <w:ind w:left="1134" w:hanging="567"/>
      </w:pPr>
      <w:r>
        <w:rPr>
          <w:lang w:val="es-ES_tradnl"/>
        </w:rPr>
        <w:t>c)</w:t>
      </w:r>
      <w:r>
        <w:rPr>
          <w:lang w:val="es-ES_tradnl"/>
        </w:rPr>
        <w:tab/>
        <w:t xml:space="preserve">Proyecto Piloto de Alfabetización-Ministerio de </w:t>
      </w:r>
      <w:proofErr w:type="spellStart"/>
      <w:r>
        <w:rPr>
          <w:lang w:val="es-ES_tradnl"/>
        </w:rPr>
        <w:t>Educación/UNESCO/PNUD</w:t>
      </w:r>
      <w:proofErr w:type="spellEnd"/>
      <w:r>
        <w:rPr>
          <w:lang w:val="es-ES_tradnl"/>
        </w:rPr>
        <w:t xml:space="preserve"> de 1967 a 1972;</w:t>
      </w:r>
    </w:p>
    <w:p w:rsidR="00000000" w:rsidRDefault="00000000">
      <w:pPr>
        <w:spacing w:after="240"/>
        <w:ind w:left="1134" w:hanging="567"/>
      </w:pPr>
      <w:r>
        <w:rPr>
          <w:lang w:val="es-ES_tradnl"/>
        </w:rPr>
        <w:t>d)</w:t>
      </w:r>
      <w:r>
        <w:rPr>
          <w:lang w:val="es-ES_tradnl"/>
        </w:rPr>
        <w:tab/>
        <w:t>Programa Nacional de Alfabetización-Ministerio de Educación, Departamento de Educación de Adultos y Alfabetización, de 1972-1979;</w:t>
      </w:r>
    </w:p>
    <w:p w:rsidR="00000000" w:rsidRDefault="00000000">
      <w:pPr>
        <w:spacing w:after="240"/>
        <w:ind w:left="1134" w:hanging="567"/>
      </w:pPr>
      <w:r>
        <w:rPr>
          <w:lang w:val="es-ES_tradnl"/>
        </w:rPr>
        <w:t>e)</w:t>
      </w:r>
      <w:r>
        <w:rPr>
          <w:lang w:val="es-ES_tradnl"/>
        </w:rPr>
        <w:tab/>
        <w:t>Programa Nacional de Alfabetización-</w:t>
      </w:r>
      <w:proofErr w:type="spellStart"/>
      <w:r>
        <w:rPr>
          <w:lang w:val="es-ES_tradnl"/>
        </w:rPr>
        <w:t>JRA/Ministerio</w:t>
      </w:r>
      <w:proofErr w:type="spellEnd"/>
      <w:r>
        <w:rPr>
          <w:lang w:val="es-ES_tradnl"/>
        </w:rPr>
        <w:t xml:space="preserve"> de </w:t>
      </w:r>
      <w:proofErr w:type="spellStart"/>
      <w:r>
        <w:rPr>
          <w:lang w:val="es-ES_tradnl"/>
        </w:rPr>
        <w:t>Educación/Oficina</w:t>
      </w:r>
      <w:proofErr w:type="spellEnd"/>
      <w:r>
        <w:rPr>
          <w:lang w:val="es-ES_tradnl"/>
        </w:rPr>
        <w:t xml:space="preserve"> Nacional de Alfabetización de 1980 a 1984;</w:t>
      </w:r>
    </w:p>
    <w:p w:rsidR="00000000" w:rsidRDefault="00000000">
      <w:pPr>
        <w:spacing w:after="240"/>
        <w:ind w:left="1134" w:hanging="567"/>
      </w:pPr>
      <w:r>
        <w:rPr>
          <w:lang w:val="es-ES_tradnl"/>
        </w:rPr>
        <w:t>f)</w:t>
      </w:r>
      <w:r>
        <w:rPr>
          <w:lang w:val="es-ES_tradnl"/>
        </w:rPr>
        <w:tab/>
        <w:t>Programa de Educación Compensatoria, Dirección Nacional de Educación Compensatoria y No Escolarizada (</w:t>
      </w:r>
      <w:proofErr w:type="spellStart"/>
      <w:r>
        <w:rPr>
          <w:lang w:val="es-ES_tradnl"/>
        </w:rPr>
        <w:t>DINECNE</w:t>
      </w:r>
      <w:proofErr w:type="spellEnd"/>
      <w:r>
        <w:rPr>
          <w:lang w:val="es-ES_tradnl"/>
        </w:rPr>
        <w:t>), de 1984 a 1988;</w:t>
      </w:r>
    </w:p>
    <w:p w:rsidR="00000000" w:rsidRDefault="00000000">
      <w:pPr>
        <w:spacing w:after="240"/>
        <w:ind w:left="1134" w:hanging="567"/>
      </w:pPr>
      <w:r>
        <w:rPr>
          <w:lang w:val="es-ES_tradnl"/>
        </w:rPr>
        <w:t>g)</w:t>
      </w:r>
      <w:r>
        <w:rPr>
          <w:lang w:val="es-ES_tradnl"/>
        </w:rPr>
        <w:tab/>
        <w:t>Campaña Nacional de Alfabetización Leónidas Proaño, 1989;</w:t>
      </w:r>
    </w:p>
    <w:p w:rsidR="00000000" w:rsidRDefault="00000000">
      <w:pPr>
        <w:spacing w:after="240"/>
        <w:ind w:left="1134" w:hanging="567"/>
      </w:pPr>
      <w:r>
        <w:rPr>
          <w:lang w:val="es-ES_tradnl"/>
        </w:rPr>
        <w:t>h)</w:t>
      </w:r>
      <w:r>
        <w:rPr>
          <w:lang w:val="es-ES_tradnl"/>
        </w:rPr>
        <w:tab/>
        <w:t>Programa adaptado, El Ecuador estudia 1990;</w:t>
      </w:r>
    </w:p>
    <w:p w:rsidR="00000000" w:rsidRDefault="00000000">
      <w:pPr>
        <w:spacing w:after="240"/>
        <w:ind w:left="1134" w:hanging="567"/>
      </w:pPr>
      <w:proofErr w:type="spellStart"/>
      <w:r>
        <w:rPr>
          <w:lang w:val="es-ES_tradnl"/>
        </w:rPr>
        <w:t>i</w:t>
      </w:r>
      <w:proofErr w:type="spellEnd"/>
      <w:r>
        <w:rPr>
          <w:lang w:val="es-ES_tradnl"/>
        </w:rPr>
        <w:t>)</w:t>
      </w:r>
      <w:r>
        <w:rPr>
          <w:lang w:val="es-ES_tradnl"/>
        </w:rPr>
        <w:tab/>
        <w:t>Nuevo Rumbo Cultural, 1996.</w:t>
      </w:r>
    </w:p>
    <w:p w:rsidR="00000000" w:rsidRDefault="00000000">
      <w:pPr>
        <w:spacing w:after="240"/>
      </w:pPr>
      <w:r>
        <w:rPr>
          <w:lang w:val="es-ES_tradnl"/>
        </w:rPr>
        <w:t>497.</w:t>
      </w:r>
      <w:r>
        <w:rPr>
          <w:lang w:val="es-ES_tradnl"/>
        </w:rPr>
        <w:tab/>
        <w:t>Cada uno de estos programas y proyectos han aplicado modalidades en su ejecución, tal es el caso cuando los estudiantes secundarios participaron directamente de la campaña alfabetizando.</w:t>
      </w:r>
    </w:p>
    <w:p w:rsidR="00000000" w:rsidRDefault="00000000">
      <w:pPr>
        <w:spacing w:after="240"/>
      </w:pPr>
      <w:r>
        <w:rPr>
          <w:b/>
          <w:bCs/>
          <w:lang w:val="es-ES_tradnl"/>
        </w:rPr>
        <w:t>Principales problemas</w:t>
      </w:r>
    </w:p>
    <w:p w:rsidR="00000000" w:rsidRDefault="00000000">
      <w:pPr>
        <w:spacing w:after="240"/>
      </w:pPr>
      <w:r>
        <w:rPr>
          <w:lang w:val="es-ES_tradnl"/>
        </w:rPr>
        <w:t>498.</w:t>
      </w:r>
      <w:r>
        <w:rPr>
          <w:lang w:val="es-ES_tradnl"/>
        </w:rPr>
        <w:tab/>
        <w:t>A pesar de que la Constitución contempla la entrega a la educación no menos del 30% del presupuesto general del Estado, en la práctica esto no ha sido posible debido a que la educación ha sufrido los efectos de los problemas económicos nacionales y responde a la política de los gobiernos de turno.</w:t>
      </w:r>
    </w:p>
    <w:p w:rsidR="00000000" w:rsidRDefault="00000000">
      <w:pPr>
        <w:spacing w:after="240"/>
      </w:pPr>
      <w:r>
        <w:rPr>
          <w:lang w:val="es-ES_tradnl"/>
        </w:rPr>
        <w:t>499.</w:t>
      </w:r>
      <w:r>
        <w:rPr>
          <w:lang w:val="es-ES_tradnl"/>
        </w:rPr>
        <w:tab/>
        <w:t>Otro factor que debe considerarse es la gran crisis económica que en los últimos años soporta el país, lo que no sólo no permite que la asignación presupuestaria para educación sea mayor sino que, al contrario, va decreciendo.</w:t>
      </w:r>
    </w:p>
    <w:p w:rsidR="00000000" w:rsidRDefault="00000000">
      <w:pPr>
        <w:spacing w:after="240"/>
      </w:pPr>
      <w:r>
        <w:rPr>
          <w:lang w:val="es-ES_tradnl"/>
        </w:rPr>
        <w:t>500.</w:t>
      </w:r>
      <w:r>
        <w:rPr>
          <w:lang w:val="es-ES_tradnl"/>
        </w:rPr>
        <w:tab/>
        <w:t>Es necesario contar con una ley de educación, que está en proceso de elaboración, que responderá a los cambios y transformaciones sociales que se generan en el país, que propicie la desconcentración administrativa y financiera, la participación de la sociedad, la rendición de cuentas y el mejoramiento de la calidad de la educación.</w:t>
      </w:r>
    </w:p>
    <w:p w:rsidR="00000000" w:rsidRDefault="00000000">
      <w:pPr>
        <w:spacing w:after="240"/>
        <w:rPr>
          <w:i/>
          <w:iCs/>
        </w:rPr>
      </w:pPr>
      <w:r>
        <w:rPr>
          <w:i/>
          <w:iCs/>
          <w:lang w:val="es-ES_tradnl"/>
        </w:rPr>
        <w:t>Niveles de educación.  Estadística</w:t>
      </w:r>
    </w:p>
    <w:p w:rsidR="00000000" w:rsidRDefault="00000000">
      <w:pPr>
        <w:spacing w:after="240"/>
      </w:pPr>
      <w:r>
        <w:rPr>
          <w:lang w:val="es-ES_tradnl"/>
        </w:rPr>
        <w:t>501.</w:t>
      </w:r>
      <w:r>
        <w:rPr>
          <w:lang w:val="es-ES_tradnl"/>
        </w:rPr>
        <w:tab/>
        <w:t>La población analfabeta está constituida por aquel grupo de personas que no están en capacidad de leer y escribir.</w:t>
      </w:r>
    </w:p>
    <w:p w:rsidR="00000000" w:rsidRDefault="00000000">
      <w:pPr>
        <w:spacing w:after="240"/>
        <w:rPr>
          <w:lang w:val="es-ES_tradnl"/>
        </w:rPr>
      </w:pPr>
      <w:r>
        <w:rPr>
          <w:lang w:val="es-ES_tradnl"/>
        </w:rPr>
        <w:t>502.</w:t>
      </w:r>
      <w:r>
        <w:rPr>
          <w:lang w:val="es-ES_tradnl"/>
        </w:rPr>
        <w:tab/>
        <w:t>En el país, a pesar de que en los últimos años, con la finalidad de disminuir el porcentaje de personas iletradas, se vienen implementando programas de alfabetización y campañas educacionales dedicadas sobre todo a los adultos, aún persisten niveles altos de analfabetismo, especialmente en las personas de 15 años y más.  Sin embargo entre 1994 y 1998 se observa una reducción lenta pero regular del analfabetismo en el ámbito nacional.  En 1999, y especialmente en al área rural, se registran tasas de analfabetismo más altas que el promedio nacional</w:t>
      </w:r>
      <w:r>
        <w:rPr>
          <w:rStyle w:val="FootnoteReference"/>
          <w:lang w:val="es-ES_tradnl"/>
        </w:rPr>
        <w:footnoteReference w:id="71"/>
      </w:r>
      <w:r>
        <w:rPr>
          <w:lang w:val="es-ES_tradnl"/>
        </w:rPr>
        <w:t>.</w:t>
      </w:r>
    </w:p>
    <w:p w:rsidR="00000000" w:rsidRDefault="00000000">
      <w:pPr>
        <w:spacing w:after="240"/>
      </w:pPr>
      <w:r>
        <w:rPr>
          <w:lang w:val="es-ES_tradnl"/>
        </w:rPr>
        <w:t>503.</w:t>
      </w:r>
      <w:r>
        <w:rPr>
          <w:lang w:val="es-ES_tradnl"/>
        </w:rPr>
        <w:tab/>
        <w:t>Entre las principales causas para explicar el analfabetismo se pueden mencionar las siguientes:  los efectos de la crisis económica han impedido que se destinen los recursos necesarios para cubrir esta necesidad; la lejanía de los centros educativos, así como la insuficiente dotación de infraestructura básica de educación, especialmente en el área rural; y, la mayor inserción de la población en el mercado de trabajo</w:t>
      </w:r>
      <w:r>
        <w:rPr>
          <w:rStyle w:val="FootnoteReference"/>
          <w:lang w:val="es-ES_tradnl"/>
        </w:rPr>
        <w:footnoteReference w:id="72"/>
      </w:r>
      <w:r>
        <w:rPr>
          <w:lang w:val="es-ES_tradnl"/>
        </w:rPr>
        <w:t>.</w:t>
      </w:r>
    </w:p>
    <w:p w:rsidR="00000000" w:rsidRDefault="00000000">
      <w:pPr>
        <w:keepNext/>
        <w:spacing w:after="240"/>
        <w:jc w:val="center"/>
        <w:rPr>
          <w:b/>
          <w:bCs/>
          <w:szCs w:val="22"/>
          <w:lang w:val="es-ES_tradnl"/>
        </w:rPr>
      </w:pPr>
      <w:r>
        <w:rPr>
          <w:b/>
          <w:bCs/>
          <w:szCs w:val="22"/>
          <w:lang w:val="es-ES_tradnl"/>
        </w:rPr>
        <w:t>Población analfabeta a nivel nacional por área, según grupos de edad</w:t>
      </w:r>
    </w:p>
    <w:p w:rsidR="00000000" w:rsidRDefault="00000000">
      <w:pPr>
        <w:keepNext/>
        <w:spacing w:after="240"/>
        <w:jc w:val="center"/>
        <w:rPr>
          <w:b/>
          <w:bCs/>
        </w:rPr>
      </w:pPr>
      <w:r>
        <w:rPr>
          <w:b/>
          <w:bCs/>
          <w:szCs w:val="22"/>
          <w:lang w:val="es-ES_tradnl"/>
        </w:rPr>
        <w:t>(En porcentaje)</w:t>
      </w:r>
    </w:p>
    <w:tbl>
      <w:tblPr>
        <w:tblW w:w="0" w:type="auto"/>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2"/>
        <w:gridCol w:w="1365"/>
        <w:gridCol w:w="1443"/>
        <w:gridCol w:w="1443"/>
        <w:gridCol w:w="1248"/>
      </w:tblGrid>
      <w:tr w:rsidR="00000000">
        <w:tblPrEx>
          <w:tblCellMar>
            <w:top w:w="0" w:type="dxa"/>
            <w:bottom w:w="0" w:type="dxa"/>
          </w:tblCellMar>
        </w:tblPrEx>
        <w:tc>
          <w:tcPr>
            <w:tcW w:w="2652" w:type="dxa"/>
          </w:tcPr>
          <w:p w:rsidR="00000000" w:rsidRDefault="00000000">
            <w:pPr>
              <w:keepNext/>
              <w:jc w:val="center"/>
              <w:rPr>
                <w:szCs w:val="22"/>
                <w:lang w:val="es-ES_tradnl"/>
              </w:rPr>
            </w:pPr>
            <w:r>
              <w:rPr>
                <w:szCs w:val="22"/>
                <w:lang w:val="es-ES_tradnl"/>
              </w:rPr>
              <w:t>Grupos de edad</w:t>
            </w:r>
          </w:p>
        </w:tc>
        <w:tc>
          <w:tcPr>
            <w:tcW w:w="1365" w:type="dxa"/>
          </w:tcPr>
          <w:p w:rsidR="00000000" w:rsidRDefault="00000000">
            <w:pPr>
              <w:keepNext/>
              <w:jc w:val="center"/>
              <w:rPr>
                <w:szCs w:val="22"/>
                <w:lang w:val="es-ES_tradnl"/>
              </w:rPr>
            </w:pPr>
            <w:r>
              <w:rPr>
                <w:szCs w:val="22"/>
                <w:lang w:val="es-ES_tradnl"/>
              </w:rPr>
              <w:t>1994</w:t>
            </w:r>
          </w:p>
        </w:tc>
        <w:tc>
          <w:tcPr>
            <w:tcW w:w="1443" w:type="dxa"/>
          </w:tcPr>
          <w:p w:rsidR="00000000" w:rsidRDefault="00000000">
            <w:pPr>
              <w:keepNext/>
              <w:jc w:val="center"/>
              <w:rPr>
                <w:szCs w:val="22"/>
                <w:lang w:val="es-ES_tradnl"/>
              </w:rPr>
            </w:pPr>
            <w:r>
              <w:rPr>
                <w:szCs w:val="22"/>
                <w:lang w:val="es-ES_tradnl"/>
              </w:rPr>
              <w:t>1995</w:t>
            </w:r>
          </w:p>
        </w:tc>
        <w:tc>
          <w:tcPr>
            <w:tcW w:w="1443" w:type="dxa"/>
          </w:tcPr>
          <w:p w:rsidR="00000000" w:rsidRDefault="00000000">
            <w:pPr>
              <w:keepNext/>
              <w:jc w:val="center"/>
              <w:rPr>
                <w:szCs w:val="22"/>
                <w:lang w:val="es-ES_tradnl"/>
              </w:rPr>
            </w:pPr>
            <w:r>
              <w:rPr>
                <w:szCs w:val="22"/>
                <w:lang w:val="es-ES_tradnl"/>
              </w:rPr>
              <w:t>1998</w:t>
            </w:r>
          </w:p>
        </w:tc>
        <w:tc>
          <w:tcPr>
            <w:tcW w:w="1248" w:type="dxa"/>
          </w:tcPr>
          <w:p w:rsidR="00000000" w:rsidRDefault="00000000">
            <w:pPr>
              <w:keepNext/>
              <w:jc w:val="center"/>
              <w:rPr>
                <w:szCs w:val="22"/>
                <w:lang w:val="es-ES_tradnl"/>
              </w:rPr>
            </w:pPr>
            <w:r>
              <w:rPr>
                <w:szCs w:val="22"/>
                <w:lang w:val="es-ES_tradnl"/>
              </w:rPr>
              <w:t>1999</w:t>
            </w:r>
          </w:p>
        </w:tc>
      </w:tr>
      <w:tr w:rsidR="00000000">
        <w:tblPrEx>
          <w:tblCellMar>
            <w:top w:w="0" w:type="dxa"/>
            <w:bottom w:w="0" w:type="dxa"/>
          </w:tblCellMar>
        </w:tblPrEx>
        <w:tc>
          <w:tcPr>
            <w:tcW w:w="2652" w:type="dxa"/>
          </w:tcPr>
          <w:p w:rsidR="00000000" w:rsidRDefault="00000000">
            <w:pPr>
              <w:keepNext/>
              <w:rPr>
                <w:szCs w:val="22"/>
                <w:lang w:val="es-ES_tradnl"/>
              </w:rPr>
            </w:pPr>
            <w:r>
              <w:rPr>
                <w:szCs w:val="22"/>
                <w:lang w:val="es-ES_tradnl"/>
              </w:rPr>
              <w:t>Nacional</w:t>
            </w:r>
          </w:p>
        </w:tc>
        <w:tc>
          <w:tcPr>
            <w:tcW w:w="1365" w:type="dxa"/>
          </w:tcPr>
          <w:p w:rsidR="00000000" w:rsidRDefault="00000000">
            <w:pPr>
              <w:keepNext/>
              <w:jc w:val="right"/>
              <w:rPr>
                <w:szCs w:val="22"/>
                <w:lang w:val="es-ES_tradnl"/>
              </w:rPr>
            </w:pPr>
          </w:p>
        </w:tc>
        <w:tc>
          <w:tcPr>
            <w:tcW w:w="1443" w:type="dxa"/>
          </w:tcPr>
          <w:p w:rsidR="00000000" w:rsidRDefault="00000000">
            <w:pPr>
              <w:keepNext/>
              <w:jc w:val="right"/>
              <w:rPr>
                <w:szCs w:val="22"/>
                <w:lang w:val="es-ES_tradnl"/>
              </w:rPr>
            </w:pPr>
          </w:p>
        </w:tc>
        <w:tc>
          <w:tcPr>
            <w:tcW w:w="1443" w:type="dxa"/>
          </w:tcPr>
          <w:p w:rsidR="00000000" w:rsidRDefault="00000000">
            <w:pPr>
              <w:keepNext/>
              <w:jc w:val="right"/>
              <w:rPr>
                <w:szCs w:val="22"/>
                <w:lang w:val="es-ES_tradnl"/>
              </w:rPr>
            </w:pPr>
          </w:p>
        </w:tc>
        <w:tc>
          <w:tcPr>
            <w:tcW w:w="1248" w:type="dxa"/>
          </w:tcPr>
          <w:p w:rsidR="00000000" w:rsidRDefault="00000000">
            <w:pPr>
              <w:keepNext/>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10 años y más</w:t>
            </w:r>
          </w:p>
        </w:tc>
        <w:tc>
          <w:tcPr>
            <w:tcW w:w="1365" w:type="dxa"/>
          </w:tcPr>
          <w:p w:rsidR="00000000" w:rsidRDefault="00000000">
            <w:pPr>
              <w:jc w:val="right"/>
              <w:rPr>
                <w:szCs w:val="22"/>
                <w:lang w:val="es-ES_tradnl"/>
              </w:rPr>
            </w:pPr>
            <w:r>
              <w:rPr>
                <w:szCs w:val="22"/>
                <w:lang w:val="es-ES_tradnl"/>
              </w:rPr>
              <w:t>9,9</w:t>
            </w:r>
          </w:p>
        </w:tc>
        <w:tc>
          <w:tcPr>
            <w:tcW w:w="1443" w:type="dxa"/>
          </w:tcPr>
          <w:p w:rsidR="00000000" w:rsidRDefault="00000000">
            <w:pPr>
              <w:jc w:val="right"/>
              <w:rPr>
                <w:szCs w:val="22"/>
                <w:lang w:val="es-ES_tradnl"/>
              </w:rPr>
            </w:pPr>
            <w:r>
              <w:rPr>
                <w:szCs w:val="22"/>
                <w:lang w:val="es-ES_tradnl"/>
              </w:rPr>
              <w:t>9,5</w:t>
            </w:r>
          </w:p>
        </w:tc>
        <w:tc>
          <w:tcPr>
            <w:tcW w:w="1443" w:type="dxa"/>
          </w:tcPr>
          <w:p w:rsidR="00000000" w:rsidRDefault="00000000">
            <w:pPr>
              <w:jc w:val="right"/>
              <w:rPr>
                <w:szCs w:val="22"/>
                <w:lang w:val="es-ES_tradnl"/>
              </w:rPr>
            </w:pPr>
            <w:r>
              <w:rPr>
                <w:szCs w:val="22"/>
                <w:lang w:val="es-ES_tradnl"/>
              </w:rPr>
              <w:t>9,9</w:t>
            </w:r>
          </w:p>
        </w:tc>
        <w:tc>
          <w:tcPr>
            <w:tcW w:w="1248" w:type="dxa"/>
          </w:tcPr>
          <w:p w:rsidR="00000000" w:rsidRDefault="00000000">
            <w:pPr>
              <w:jc w:val="right"/>
              <w:rPr>
                <w:szCs w:val="22"/>
                <w:lang w:val="es-ES_tradnl"/>
              </w:rPr>
            </w:pPr>
            <w:r>
              <w:rPr>
                <w:szCs w:val="22"/>
                <w:lang w:val="es-ES_tradnl"/>
              </w:rPr>
              <w:t>9,9</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15 años y más</w:t>
            </w:r>
          </w:p>
        </w:tc>
        <w:tc>
          <w:tcPr>
            <w:tcW w:w="1365" w:type="dxa"/>
          </w:tcPr>
          <w:p w:rsidR="00000000" w:rsidRDefault="00000000">
            <w:pPr>
              <w:jc w:val="right"/>
              <w:rPr>
                <w:szCs w:val="22"/>
                <w:lang w:val="es-ES_tradnl"/>
              </w:rPr>
            </w:pPr>
            <w:r>
              <w:rPr>
                <w:szCs w:val="22"/>
                <w:lang w:val="es-ES_tradnl"/>
              </w:rPr>
              <w:t>11,2</w:t>
            </w:r>
          </w:p>
        </w:tc>
        <w:tc>
          <w:tcPr>
            <w:tcW w:w="1443" w:type="dxa"/>
          </w:tcPr>
          <w:p w:rsidR="00000000" w:rsidRDefault="00000000">
            <w:pPr>
              <w:jc w:val="right"/>
              <w:rPr>
                <w:szCs w:val="22"/>
                <w:lang w:val="es-ES_tradnl"/>
              </w:rPr>
            </w:pPr>
            <w:r>
              <w:rPr>
                <w:szCs w:val="22"/>
                <w:lang w:val="es-ES_tradnl"/>
              </w:rPr>
              <w:t>10,5</w:t>
            </w:r>
          </w:p>
        </w:tc>
        <w:tc>
          <w:tcPr>
            <w:tcW w:w="1443" w:type="dxa"/>
          </w:tcPr>
          <w:p w:rsidR="00000000" w:rsidRDefault="00000000">
            <w:pPr>
              <w:jc w:val="right"/>
              <w:rPr>
                <w:szCs w:val="22"/>
                <w:lang w:val="es-ES_tradnl"/>
              </w:rPr>
            </w:pPr>
            <w:r>
              <w:rPr>
                <w:szCs w:val="22"/>
                <w:lang w:val="es-ES_tradnl"/>
              </w:rPr>
              <w:t>10,2</w:t>
            </w:r>
          </w:p>
        </w:tc>
        <w:tc>
          <w:tcPr>
            <w:tcW w:w="1248" w:type="dxa"/>
          </w:tcPr>
          <w:p w:rsidR="00000000" w:rsidRDefault="00000000">
            <w:pPr>
              <w:jc w:val="right"/>
              <w:rPr>
                <w:szCs w:val="22"/>
                <w:lang w:val="es-ES_tradnl"/>
              </w:rPr>
            </w:pPr>
            <w:r>
              <w:rPr>
                <w:szCs w:val="22"/>
                <w:lang w:val="es-ES_tradnl"/>
              </w:rPr>
              <w:t>11,0</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Urbano</w:t>
            </w:r>
          </w:p>
        </w:tc>
        <w:tc>
          <w:tcPr>
            <w:tcW w:w="1365" w:type="dxa"/>
          </w:tcPr>
          <w:p w:rsidR="00000000" w:rsidRDefault="00000000">
            <w:pPr>
              <w:jc w:val="right"/>
              <w:rPr>
                <w:szCs w:val="22"/>
                <w:lang w:val="es-ES_tradnl"/>
              </w:rPr>
            </w:pPr>
          </w:p>
        </w:tc>
        <w:tc>
          <w:tcPr>
            <w:tcW w:w="1443" w:type="dxa"/>
          </w:tcPr>
          <w:p w:rsidR="00000000" w:rsidRDefault="00000000">
            <w:pPr>
              <w:jc w:val="right"/>
              <w:rPr>
                <w:szCs w:val="22"/>
                <w:lang w:val="es-ES_tradnl"/>
              </w:rPr>
            </w:pPr>
          </w:p>
        </w:tc>
        <w:tc>
          <w:tcPr>
            <w:tcW w:w="1443" w:type="dxa"/>
          </w:tcPr>
          <w:p w:rsidR="00000000" w:rsidRDefault="00000000">
            <w:pPr>
              <w:jc w:val="right"/>
              <w:rPr>
                <w:szCs w:val="22"/>
                <w:lang w:val="es-ES_tradnl"/>
              </w:rPr>
            </w:pPr>
          </w:p>
        </w:tc>
        <w:tc>
          <w:tcPr>
            <w:tcW w:w="1248" w:type="dxa"/>
          </w:tcPr>
          <w:p w:rsidR="00000000" w:rsidRDefault="00000000">
            <w:pPr>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10 años y más</w:t>
            </w:r>
          </w:p>
        </w:tc>
        <w:tc>
          <w:tcPr>
            <w:tcW w:w="1365" w:type="dxa"/>
          </w:tcPr>
          <w:p w:rsidR="00000000" w:rsidRDefault="00000000">
            <w:pPr>
              <w:jc w:val="right"/>
              <w:rPr>
                <w:szCs w:val="22"/>
                <w:lang w:val="es-ES_tradnl"/>
              </w:rPr>
            </w:pPr>
            <w:r>
              <w:rPr>
                <w:szCs w:val="22"/>
                <w:lang w:val="es-ES_tradnl"/>
              </w:rPr>
              <w:t>4,9</w:t>
            </w:r>
          </w:p>
        </w:tc>
        <w:tc>
          <w:tcPr>
            <w:tcW w:w="1443" w:type="dxa"/>
          </w:tcPr>
          <w:p w:rsidR="00000000" w:rsidRDefault="00000000">
            <w:pPr>
              <w:jc w:val="right"/>
              <w:rPr>
                <w:szCs w:val="22"/>
                <w:lang w:val="es-ES_tradnl"/>
              </w:rPr>
            </w:pPr>
            <w:r>
              <w:rPr>
                <w:szCs w:val="22"/>
                <w:lang w:val="es-ES_tradnl"/>
              </w:rPr>
              <w:t>5,4</w:t>
            </w:r>
          </w:p>
        </w:tc>
        <w:tc>
          <w:tcPr>
            <w:tcW w:w="1443" w:type="dxa"/>
          </w:tcPr>
          <w:p w:rsidR="00000000" w:rsidRDefault="00000000">
            <w:pPr>
              <w:jc w:val="right"/>
              <w:rPr>
                <w:szCs w:val="22"/>
                <w:lang w:val="es-ES_tradnl"/>
              </w:rPr>
            </w:pPr>
            <w:r>
              <w:rPr>
                <w:szCs w:val="22"/>
                <w:lang w:val="es-ES_tradnl"/>
              </w:rPr>
              <w:t>4,6</w:t>
            </w:r>
          </w:p>
        </w:tc>
        <w:tc>
          <w:tcPr>
            <w:tcW w:w="1248" w:type="dxa"/>
          </w:tcPr>
          <w:p w:rsidR="00000000" w:rsidRDefault="00000000">
            <w:pPr>
              <w:jc w:val="right"/>
              <w:rPr>
                <w:szCs w:val="22"/>
                <w:lang w:val="es-ES_tradnl"/>
              </w:rPr>
            </w:pPr>
            <w:r>
              <w:rPr>
                <w:szCs w:val="22"/>
                <w:lang w:val="es-ES_tradnl"/>
              </w:rPr>
              <w:t>5,3</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15 años y más</w:t>
            </w:r>
          </w:p>
        </w:tc>
        <w:tc>
          <w:tcPr>
            <w:tcW w:w="1365" w:type="dxa"/>
          </w:tcPr>
          <w:p w:rsidR="00000000" w:rsidRDefault="00000000">
            <w:pPr>
              <w:jc w:val="right"/>
              <w:rPr>
                <w:szCs w:val="22"/>
                <w:lang w:val="es-ES_tradnl"/>
              </w:rPr>
            </w:pPr>
            <w:r>
              <w:rPr>
                <w:szCs w:val="22"/>
                <w:lang w:val="es-ES_tradnl"/>
              </w:rPr>
              <w:t>5,4</w:t>
            </w:r>
          </w:p>
        </w:tc>
        <w:tc>
          <w:tcPr>
            <w:tcW w:w="1443" w:type="dxa"/>
          </w:tcPr>
          <w:p w:rsidR="00000000" w:rsidRDefault="00000000">
            <w:pPr>
              <w:jc w:val="right"/>
              <w:rPr>
                <w:szCs w:val="22"/>
                <w:lang w:val="es-ES_tradnl"/>
              </w:rPr>
            </w:pPr>
            <w:r>
              <w:rPr>
                <w:szCs w:val="22"/>
                <w:lang w:val="es-ES_tradnl"/>
              </w:rPr>
              <w:t>6,0</w:t>
            </w:r>
          </w:p>
        </w:tc>
        <w:tc>
          <w:tcPr>
            <w:tcW w:w="1443" w:type="dxa"/>
          </w:tcPr>
          <w:p w:rsidR="00000000" w:rsidRDefault="00000000">
            <w:pPr>
              <w:jc w:val="right"/>
              <w:rPr>
                <w:szCs w:val="22"/>
                <w:lang w:val="es-ES_tradnl"/>
              </w:rPr>
            </w:pPr>
            <w:r>
              <w:rPr>
                <w:szCs w:val="22"/>
                <w:lang w:val="es-ES_tradnl"/>
              </w:rPr>
              <w:t>5,0</w:t>
            </w:r>
          </w:p>
        </w:tc>
        <w:tc>
          <w:tcPr>
            <w:tcW w:w="1248" w:type="dxa"/>
          </w:tcPr>
          <w:p w:rsidR="00000000" w:rsidRDefault="00000000">
            <w:pPr>
              <w:jc w:val="right"/>
              <w:rPr>
                <w:szCs w:val="22"/>
                <w:lang w:val="es-ES_tradnl"/>
              </w:rPr>
            </w:pPr>
            <w:r>
              <w:rPr>
                <w:szCs w:val="22"/>
                <w:lang w:val="es-ES_tradnl"/>
              </w:rPr>
              <w:t>5,7</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Rural</w:t>
            </w:r>
          </w:p>
        </w:tc>
        <w:tc>
          <w:tcPr>
            <w:tcW w:w="1365" w:type="dxa"/>
          </w:tcPr>
          <w:p w:rsidR="00000000" w:rsidRDefault="00000000">
            <w:pPr>
              <w:jc w:val="right"/>
              <w:rPr>
                <w:szCs w:val="22"/>
                <w:lang w:val="es-ES_tradnl"/>
              </w:rPr>
            </w:pPr>
          </w:p>
        </w:tc>
        <w:tc>
          <w:tcPr>
            <w:tcW w:w="1443" w:type="dxa"/>
          </w:tcPr>
          <w:p w:rsidR="00000000" w:rsidRDefault="00000000">
            <w:pPr>
              <w:jc w:val="right"/>
              <w:rPr>
                <w:szCs w:val="22"/>
                <w:lang w:val="es-ES_tradnl"/>
              </w:rPr>
            </w:pPr>
          </w:p>
        </w:tc>
        <w:tc>
          <w:tcPr>
            <w:tcW w:w="1443" w:type="dxa"/>
          </w:tcPr>
          <w:p w:rsidR="00000000" w:rsidRDefault="00000000">
            <w:pPr>
              <w:jc w:val="right"/>
              <w:rPr>
                <w:szCs w:val="22"/>
                <w:lang w:val="es-ES_tradnl"/>
              </w:rPr>
            </w:pPr>
          </w:p>
        </w:tc>
        <w:tc>
          <w:tcPr>
            <w:tcW w:w="1248" w:type="dxa"/>
          </w:tcPr>
          <w:p w:rsidR="00000000" w:rsidRDefault="00000000">
            <w:pPr>
              <w:jc w:val="right"/>
              <w:rPr>
                <w:szCs w:val="22"/>
                <w:lang w:val="es-ES_tradnl"/>
              </w:rPr>
            </w:pP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10 años y más</w:t>
            </w:r>
          </w:p>
        </w:tc>
        <w:tc>
          <w:tcPr>
            <w:tcW w:w="1365" w:type="dxa"/>
          </w:tcPr>
          <w:p w:rsidR="00000000" w:rsidRDefault="00000000">
            <w:pPr>
              <w:jc w:val="right"/>
              <w:rPr>
                <w:szCs w:val="22"/>
                <w:lang w:val="es-ES_tradnl"/>
              </w:rPr>
            </w:pPr>
            <w:r>
              <w:rPr>
                <w:szCs w:val="22"/>
                <w:lang w:val="es-ES_tradnl"/>
              </w:rPr>
              <w:t>16,8</w:t>
            </w:r>
          </w:p>
        </w:tc>
        <w:tc>
          <w:tcPr>
            <w:tcW w:w="1443" w:type="dxa"/>
          </w:tcPr>
          <w:p w:rsidR="00000000" w:rsidRDefault="00000000">
            <w:pPr>
              <w:jc w:val="right"/>
              <w:rPr>
                <w:szCs w:val="22"/>
                <w:lang w:val="es-ES_tradnl"/>
              </w:rPr>
            </w:pPr>
            <w:r>
              <w:rPr>
                <w:szCs w:val="22"/>
                <w:lang w:val="es-ES_tradnl"/>
              </w:rPr>
              <w:t>15,9</w:t>
            </w:r>
          </w:p>
        </w:tc>
        <w:tc>
          <w:tcPr>
            <w:tcW w:w="1443" w:type="dxa"/>
          </w:tcPr>
          <w:p w:rsidR="00000000" w:rsidRDefault="00000000">
            <w:pPr>
              <w:jc w:val="right"/>
              <w:rPr>
                <w:szCs w:val="22"/>
                <w:lang w:val="es-ES_tradnl"/>
              </w:rPr>
            </w:pPr>
            <w:r>
              <w:rPr>
                <w:szCs w:val="22"/>
                <w:lang w:val="es-ES_tradnl"/>
              </w:rPr>
              <w:t>15,5</w:t>
            </w:r>
          </w:p>
        </w:tc>
        <w:tc>
          <w:tcPr>
            <w:tcW w:w="1248" w:type="dxa"/>
          </w:tcPr>
          <w:p w:rsidR="00000000" w:rsidRDefault="00000000">
            <w:pPr>
              <w:jc w:val="right"/>
              <w:rPr>
                <w:szCs w:val="22"/>
                <w:lang w:val="es-ES_tradnl"/>
              </w:rPr>
            </w:pPr>
            <w:r>
              <w:rPr>
                <w:szCs w:val="22"/>
                <w:lang w:val="es-ES_tradnl"/>
              </w:rPr>
              <w:t>16,8</w:t>
            </w:r>
          </w:p>
        </w:tc>
      </w:tr>
      <w:tr w:rsidR="00000000">
        <w:tblPrEx>
          <w:tblCellMar>
            <w:top w:w="0" w:type="dxa"/>
            <w:bottom w:w="0" w:type="dxa"/>
          </w:tblCellMar>
        </w:tblPrEx>
        <w:tc>
          <w:tcPr>
            <w:tcW w:w="2652" w:type="dxa"/>
          </w:tcPr>
          <w:p w:rsidR="00000000" w:rsidRDefault="00000000">
            <w:pPr>
              <w:tabs>
                <w:tab w:val="left" w:pos="312"/>
              </w:tabs>
              <w:rPr>
                <w:szCs w:val="22"/>
                <w:lang w:val="es-ES_tradnl"/>
              </w:rPr>
            </w:pPr>
            <w:r>
              <w:rPr>
                <w:szCs w:val="22"/>
                <w:lang w:val="es-ES_tradnl"/>
              </w:rPr>
              <w:tab/>
              <w:t>De 15 años y más</w:t>
            </w:r>
          </w:p>
        </w:tc>
        <w:tc>
          <w:tcPr>
            <w:tcW w:w="1365" w:type="dxa"/>
          </w:tcPr>
          <w:p w:rsidR="00000000" w:rsidRDefault="00000000">
            <w:pPr>
              <w:jc w:val="right"/>
              <w:rPr>
                <w:szCs w:val="22"/>
                <w:lang w:val="es-ES_tradnl"/>
              </w:rPr>
            </w:pPr>
            <w:r>
              <w:rPr>
                <w:szCs w:val="22"/>
                <w:lang w:val="es-ES_tradnl"/>
              </w:rPr>
              <w:t>19,3</w:t>
            </w:r>
          </w:p>
        </w:tc>
        <w:tc>
          <w:tcPr>
            <w:tcW w:w="1443" w:type="dxa"/>
          </w:tcPr>
          <w:p w:rsidR="00000000" w:rsidRDefault="00000000">
            <w:pPr>
              <w:jc w:val="right"/>
              <w:rPr>
                <w:szCs w:val="22"/>
                <w:lang w:val="es-ES_tradnl"/>
              </w:rPr>
            </w:pPr>
            <w:r>
              <w:rPr>
                <w:szCs w:val="22"/>
                <w:lang w:val="es-ES_tradnl"/>
              </w:rPr>
              <w:t>17,9</w:t>
            </w:r>
          </w:p>
        </w:tc>
        <w:tc>
          <w:tcPr>
            <w:tcW w:w="1443" w:type="dxa"/>
          </w:tcPr>
          <w:p w:rsidR="00000000" w:rsidRDefault="00000000">
            <w:pPr>
              <w:jc w:val="right"/>
              <w:rPr>
                <w:szCs w:val="22"/>
                <w:lang w:val="es-ES_tradnl"/>
              </w:rPr>
            </w:pPr>
            <w:r>
              <w:rPr>
                <w:szCs w:val="22"/>
                <w:lang w:val="es-ES_tradnl"/>
              </w:rPr>
              <w:t>17,9</w:t>
            </w:r>
          </w:p>
        </w:tc>
        <w:tc>
          <w:tcPr>
            <w:tcW w:w="1248" w:type="dxa"/>
          </w:tcPr>
          <w:p w:rsidR="00000000" w:rsidRDefault="00000000">
            <w:pPr>
              <w:jc w:val="right"/>
              <w:rPr>
                <w:szCs w:val="22"/>
                <w:lang w:val="es-ES_tradnl"/>
              </w:rPr>
            </w:pPr>
            <w:r>
              <w:rPr>
                <w:szCs w:val="22"/>
                <w:lang w:val="es-ES_tradnl"/>
              </w:rPr>
              <w:t>19,2</w:t>
            </w:r>
          </w:p>
        </w:tc>
      </w:tr>
    </w:tbl>
    <w:p w:rsidR="00000000" w:rsidRDefault="00000000">
      <w:pPr>
        <w:spacing w:before="160" w:after="480"/>
      </w:pPr>
      <w:r>
        <w:rPr>
          <w:szCs w:val="23"/>
          <w:lang w:val="es-ES_tradnl"/>
        </w:rPr>
        <w:tab/>
      </w:r>
      <w:r>
        <w:rPr>
          <w:i/>
          <w:iCs/>
          <w:szCs w:val="23"/>
          <w:lang w:val="es-ES_tradnl"/>
        </w:rPr>
        <w:t>Fuente</w:t>
      </w:r>
      <w:r>
        <w:rPr>
          <w:szCs w:val="23"/>
          <w:lang w:val="es-ES_tradnl"/>
        </w:rPr>
        <w:t>:  INEC - Encuesta de condiciones de vida, 1994-1999.</w:t>
      </w:r>
    </w:p>
    <w:p w:rsidR="00000000" w:rsidRDefault="00000000">
      <w:pPr>
        <w:spacing w:after="200"/>
        <w:jc w:val="center"/>
        <w:rPr>
          <w:b/>
          <w:bCs/>
          <w:sz w:val="20"/>
          <w:lang w:val="es-ES_tradnl"/>
        </w:rPr>
      </w:pPr>
      <w:r>
        <w:rPr>
          <w:b/>
          <w:bCs/>
          <w:sz w:val="20"/>
          <w:lang w:val="es-ES_tradnl"/>
        </w:rPr>
        <w:t>Matrícula de la educación regular en los tres niveles educativos</w:t>
      </w:r>
      <w:r>
        <w:rPr>
          <w:b/>
          <w:bCs/>
          <w:sz w:val="20"/>
          <w:lang w:val="es-ES_tradnl"/>
        </w:rPr>
        <w:br/>
        <w:t>por zona, según años escolares y sexo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0"/>
        <w:gridCol w:w="875"/>
        <w:gridCol w:w="842"/>
        <w:gridCol w:w="804"/>
        <w:gridCol w:w="824"/>
        <w:gridCol w:w="940"/>
        <w:gridCol w:w="830"/>
        <w:gridCol w:w="940"/>
        <w:gridCol w:w="845"/>
        <w:gridCol w:w="805"/>
        <w:gridCol w:w="790"/>
      </w:tblGrid>
      <w:tr w:rsidR="00000000">
        <w:tblPrEx>
          <w:tblCellMar>
            <w:top w:w="0" w:type="dxa"/>
            <w:bottom w:w="0" w:type="dxa"/>
          </w:tblCellMar>
        </w:tblPrEx>
        <w:trPr>
          <w:cantSplit/>
        </w:trPr>
        <w:tc>
          <w:tcPr>
            <w:tcW w:w="930" w:type="dxa"/>
            <w:vMerge w:val="restart"/>
            <w:vAlign w:val="center"/>
          </w:tcPr>
          <w:p w:rsidR="00000000" w:rsidRDefault="00000000">
            <w:pPr>
              <w:jc w:val="center"/>
              <w:rPr>
                <w:sz w:val="20"/>
                <w:szCs w:val="22"/>
                <w:lang w:val="es-ES_tradnl"/>
              </w:rPr>
            </w:pPr>
            <w:r>
              <w:rPr>
                <w:sz w:val="20"/>
                <w:szCs w:val="22"/>
                <w:lang w:val="es-ES_tradnl"/>
              </w:rPr>
              <w:t>Años escolares</w:t>
            </w:r>
          </w:p>
        </w:tc>
        <w:tc>
          <w:tcPr>
            <w:tcW w:w="875" w:type="dxa"/>
            <w:vMerge w:val="restart"/>
            <w:vAlign w:val="center"/>
          </w:tcPr>
          <w:p w:rsidR="00000000" w:rsidRDefault="00000000">
            <w:pPr>
              <w:jc w:val="center"/>
              <w:rPr>
                <w:sz w:val="20"/>
                <w:szCs w:val="22"/>
                <w:lang w:val="es-ES_tradnl"/>
              </w:rPr>
            </w:pPr>
            <w:r>
              <w:rPr>
                <w:sz w:val="20"/>
                <w:szCs w:val="22"/>
                <w:lang w:val="es-ES_tradnl"/>
              </w:rPr>
              <w:t>Sexo</w:t>
            </w:r>
          </w:p>
        </w:tc>
        <w:tc>
          <w:tcPr>
            <w:tcW w:w="2470" w:type="dxa"/>
            <w:gridSpan w:val="3"/>
            <w:vAlign w:val="center"/>
          </w:tcPr>
          <w:p w:rsidR="00000000" w:rsidRDefault="00000000">
            <w:pPr>
              <w:jc w:val="center"/>
              <w:rPr>
                <w:sz w:val="20"/>
                <w:szCs w:val="22"/>
                <w:lang w:val="es-ES_tradnl"/>
              </w:rPr>
            </w:pPr>
            <w:proofErr w:type="spellStart"/>
            <w:r>
              <w:rPr>
                <w:sz w:val="20"/>
                <w:szCs w:val="22"/>
                <w:lang w:val="es-ES_tradnl"/>
              </w:rPr>
              <w:t>Preprimaria</w:t>
            </w:r>
            <w:proofErr w:type="spellEnd"/>
          </w:p>
        </w:tc>
        <w:tc>
          <w:tcPr>
            <w:tcW w:w="2710" w:type="dxa"/>
            <w:gridSpan w:val="3"/>
            <w:vAlign w:val="center"/>
          </w:tcPr>
          <w:p w:rsidR="00000000" w:rsidRDefault="00000000">
            <w:pPr>
              <w:jc w:val="center"/>
              <w:rPr>
                <w:sz w:val="20"/>
                <w:szCs w:val="22"/>
                <w:lang w:val="es-ES_tradnl"/>
              </w:rPr>
            </w:pPr>
            <w:r>
              <w:rPr>
                <w:sz w:val="20"/>
                <w:szCs w:val="22"/>
                <w:lang w:val="es-ES_tradnl"/>
              </w:rPr>
              <w:t>Primaria</w:t>
            </w:r>
          </w:p>
        </w:tc>
        <w:tc>
          <w:tcPr>
            <w:tcW w:w="2440" w:type="dxa"/>
            <w:gridSpan w:val="3"/>
            <w:vAlign w:val="center"/>
          </w:tcPr>
          <w:p w:rsidR="00000000" w:rsidRDefault="00000000">
            <w:pPr>
              <w:jc w:val="center"/>
              <w:rPr>
                <w:sz w:val="20"/>
                <w:szCs w:val="22"/>
                <w:lang w:val="es-ES_tradnl"/>
              </w:rPr>
            </w:pPr>
            <w:r>
              <w:rPr>
                <w:sz w:val="20"/>
                <w:szCs w:val="22"/>
                <w:lang w:val="es-ES_tradnl"/>
              </w:rPr>
              <w:t>Ciclo básico</w:t>
            </w:r>
          </w:p>
        </w:tc>
      </w:tr>
      <w:tr w:rsidR="00000000">
        <w:tblPrEx>
          <w:tblCellMar>
            <w:top w:w="0" w:type="dxa"/>
            <w:bottom w:w="0" w:type="dxa"/>
          </w:tblCellMar>
        </w:tblPrEx>
        <w:trPr>
          <w:cantSplit/>
        </w:trPr>
        <w:tc>
          <w:tcPr>
            <w:tcW w:w="930" w:type="dxa"/>
            <w:vMerge/>
            <w:vAlign w:val="center"/>
          </w:tcPr>
          <w:p w:rsidR="00000000" w:rsidRDefault="00000000">
            <w:pPr>
              <w:jc w:val="center"/>
              <w:rPr>
                <w:sz w:val="20"/>
                <w:szCs w:val="22"/>
                <w:lang w:val="es-ES_tradnl"/>
              </w:rPr>
            </w:pPr>
          </w:p>
        </w:tc>
        <w:tc>
          <w:tcPr>
            <w:tcW w:w="875" w:type="dxa"/>
            <w:vMerge/>
            <w:vAlign w:val="center"/>
          </w:tcPr>
          <w:p w:rsidR="00000000" w:rsidRDefault="00000000">
            <w:pPr>
              <w:jc w:val="center"/>
              <w:rPr>
                <w:sz w:val="20"/>
                <w:szCs w:val="22"/>
                <w:lang w:val="es-ES_tradnl"/>
              </w:rPr>
            </w:pPr>
          </w:p>
        </w:tc>
        <w:tc>
          <w:tcPr>
            <w:tcW w:w="842" w:type="dxa"/>
            <w:vAlign w:val="center"/>
          </w:tcPr>
          <w:p w:rsidR="00000000" w:rsidRDefault="00000000">
            <w:pPr>
              <w:jc w:val="center"/>
              <w:rPr>
                <w:sz w:val="20"/>
                <w:szCs w:val="22"/>
                <w:lang w:val="en-US"/>
              </w:rPr>
            </w:pPr>
            <w:proofErr w:type="spellStart"/>
            <w:r>
              <w:rPr>
                <w:sz w:val="20"/>
                <w:szCs w:val="22"/>
                <w:lang w:val="en-US"/>
              </w:rPr>
              <w:t>Urbano</w:t>
            </w:r>
            <w:proofErr w:type="spellEnd"/>
          </w:p>
        </w:tc>
        <w:tc>
          <w:tcPr>
            <w:tcW w:w="804" w:type="dxa"/>
            <w:vAlign w:val="center"/>
          </w:tcPr>
          <w:p w:rsidR="00000000" w:rsidRDefault="00000000">
            <w:pPr>
              <w:jc w:val="center"/>
              <w:rPr>
                <w:sz w:val="20"/>
                <w:szCs w:val="22"/>
                <w:lang w:val="en-US"/>
              </w:rPr>
            </w:pPr>
            <w:r>
              <w:rPr>
                <w:sz w:val="20"/>
                <w:szCs w:val="22"/>
                <w:lang w:val="en-US"/>
              </w:rPr>
              <w:t>Rural</w:t>
            </w:r>
          </w:p>
        </w:tc>
        <w:tc>
          <w:tcPr>
            <w:tcW w:w="824" w:type="dxa"/>
            <w:vAlign w:val="center"/>
          </w:tcPr>
          <w:p w:rsidR="00000000" w:rsidRDefault="00000000">
            <w:pPr>
              <w:jc w:val="center"/>
              <w:rPr>
                <w:sz w:val="20"/>
                <w:szCs w:val="22"/>
                <w:lang w:val="en-US"/>
              </w:rPr>
            </w:pPr>
            <w:r>
              <w:rPr>
                <w:sz w:val="20"/>
                <w:szCs w:val="22"/>
                <w:lang w:val="en-US"/>
              </w:rPr>
              <w:t>Total</w:t>
            </w:r>
          </w:p>
        </w:tc>
        <w:tc>
          <w:tcPr>
            <w:tcW w:w="940" w:type="dxa"/>
            <w:vAlign w:val="center"/>
          </w:tcPr>
          <w:p w:rsidR="00000000" w:rsidRDefault="00000000">
            <w:pPr>
              <w:jc w:val="center"/>
              <w:rPr>
                <w:sz w:val="20"/>
                <w:szCs w:val="22"/>
                <w:lang w:val="en-US"/>
              </w:rPr>
            </w:pPr>
            <w:proofErr w:type="spellStart"/>
            <w:r>
              <w:rPr>
                <w:sz w:val="20"/>
                <w:szCs w:val="22"/>
                <w:lang w:val="en-US"/>
              </w:rPr>
              <w:t>Urbano</w:t>
            </w:r>
            <w:proofErr w:type="spellEnd"/>
          </w:p>
        </w:tc>
        <w:tc>
          <w:tcPr>
            <w:tcW w:w="830" w:type="dxa"/>
            <w:vAlign w:val="center"/>
          </w:tcPr>
          <w:p w:rsidR="00000000" w:rsidRDefault="00000000">
            <w:pPr>
              <w:jc w:val="center"/>
              <w:rPr>
                <w:sz w:val="20"/>
                <w:szCs w:val="22"/>
                <w:lang w:val="en-US"/>
              </w:rPr>
            </w:pPr>
            <w:r>
              <w:rPr>
                <w:sz w:val="20"/>
                <w:szCs w:val="22"/>
                <w:lang w:val="en-US"/>
              </w:rPr>
              <w:t>Rural</w:t>
            </w:r>
          </w:p>
        </w:tc>
        <w:tc>
          <w:tcPr>
            <w:tcW w:w="940" w:type="dxa"/>
            <w:vAlign w:val="center"/>
          </w:tcPr>
          <w:p w:rsidR="00000000" w:rsidRDefault="00000000">
            <w:pPr>
              <w:jc w:val="center"/>
              <w:rPr>
                <w:sz w:val="20"/>
                <w:szCs w:val="22"/>
                <w:lang w:val="en-US"/>
              </w:rPr>
            </w:pPr>
            <w:r>
              <w:rPr>
                <w:sz w:val="20"/>
                <w:szCs w:val="22"/>
                <w:lang w:val="en-US"/>
              </w:rPr>
              <w:t>Total</w:t>
            </w:r>
          </w:p>
        </w:tc>
        <w:tc>
          <w:tcPr>
            <w:tcW w:w="845" w:type="dxa"/>
            <w:vAlign w:val="center"/>
          </w:tcPr>
          <w:p w:rsidR="00000000" w:rsidRDefault="00000000">
            <w:pPr>
              <w:jc w:val="center"/>
              <w:rPr>
                <w:sz w:val="20"/>
                <w:szCs w:val="22"/>
                <w:lang w:val="en-US"/>
              </w:rPr>
            </w:pPr>
            <w:proofErr w:type="spellStart"/>
            <w:r>
              <w:rPr>
                <w:sz w:val="20"/>
                <w:szCs w:val="22"/>
                <w:lang w:val="en-US"/>
              </w:rPr>
              <w:t>Urbano</w:t>
            </w:r>
            <w:proofErr w:type="spellEnd"/>
          </w:p>
        </w:tc>
        <w:tc>
          <w:tcPr>
            <w:tcW w:w="805" w:type="dxa"/>
            <w:vAlign w:val="center"/>
          </w:tcPr>
          <w:p w:rsidR="00000000" w:rsidRDefault="00000000">
            <w:pPr>
              <w:jc w:val="center"/>
              <w:rPr>
                <w:sz w:val="20"/>
                <w:szCs w:val="22"/>
                <w:lang w:val="en-US"/>
              </w:rPr>
            </w:pPr>
            <w:r>
              <w:rPr>
                <w:sz w:val="20"/>
                <w:szCs w:val="22"/>
                <w:lang w:val="en-US"/>
              </w:rPr>
              <w:t>Rural</w:t>
            </w:r>
          </w:p>
        </w:tc>
        <w:tc>
          <w:tcPr>
            <w:tcW w:w="790" w:type="dxa"/>
            <w:vAlign w:val="center"/>
          </w:tcPr>
          <w:p w:rsidR="00000000" w:rsidRDefault="00000000">
            <w:pPr>
              <w:jc w:val="center"/>
              <w:rPr>
                <w:sz w:val="20"/>
                <w:szCs w:val="22"/>
                <w:lang w:val="en-US"/>
              </w:rPr>
            </w:pPr>
            <w:r>
              <w:rPr>
                <w:sz w:val="20"/>
                <w:szCs w:val="22"/>
                <w:lang w:val="en-US"/>
              </w:rPr>
              <w:t>Total</w:t>
            </w:r>
          </w:p>
        </w:tc>
      </w:tr>
      <w:tr w:rsidR="00000000">
        <w:tblPrEx>
          <w:tblCellMar>
            <w:top w:w="0" w:type="dxa"/>
            <w:bottom w:w="0" w:type="dxa"/>
          </w:tblCellMar>
        </w:tblPrEx>
        <w:trPr>
          <w:cantSplit/>
        </w:trPr>
        <w:tc>
          <w:tcPr>
            <w:tcW w:w="930" w:type="dxa"/>
            <w:vMerge w:val="restart"/>
          </w:tcPr>
          <w:p w:rsidR="00000000" w:rsidRDefault="00000000">
            <w:pPr>
              <w:rPr>
                <w:sz w:val="20"/>
                <w:szCs w:val="22"/>
                <w:lang w:val="es-ES_tradnl"/>
              </w:rPr>
            </w:pPr>
            <w:r>
              <w:rPr>
                <w:sz w:val="20"/>
                <w:szCs w:val="22"/>
                <w:lang w:val="es-ES_tradnl"/>
              </w:rPr>
              <w:t>1993/94</w:t>
            </w:r>
          </w:p>
        </w:tc>
        <w:tc>
          <w:tcPr>
            <w:tcW w:w="875" w:type="dxa"/>
          </w:tcPr>
          <w:p w:rsidR="00000000" w:rsidRDefault="00000000">
            <w:pPr>
              <w:rPr>
                <w:sz w:val="20"/>
                <w:szCs w:val="22"/>
                <w:lang w:val="es-ES_tradnl"/>
              </w:rPr>
            </w:pPr>
            <w:r>
              <w:rPr>
                <w:sz w:val="20"/>
                <w:szCs w:val="22"/>
                <w:lang w:val="es-ES_tradnl"/>
              </w:rPr>
              <w:t>Hombres</w:t>
            </w:r>
          </w:p>
        </w:tc>
        <w:tc>
          <w:tcPr>
            <w:tcW w:w="842" w:type="dxa"/>
          </w:tcPr>
          <w:p w:rsidR="00000000" w:rsidRDefault="00000000">
            <w:pPr>
              <w:jc w:val="right"/>
              <w:rPr>
                <w:sz w:val="20"/>
                <w:szCs w:val="22"/>
                <w:lang w:val="es-ES_tradnl"/>
              </w:rPr>
            </w:pPr>
            <w:r>
              <w:rPr>
                <w:sz w:val="20"/>
                <w:szCs w:val="22"/>
                <w:lang w:val="es-ES_tradnl"/>
              </w:rPr>
              <w:t>50.854</w:t>
            </w:r>
          </w:p>
        </w:tc>
        <w:tc>
          <w:tcPr>
            <w:tcW w:w="804" w:type="dxa"/>
          </w:tcPr>
          <w:p w:rsidR="00000000" w:rsidRDefault="00000000">
            <w:pPr>
              <w:jc w:val="right"/>
              <w:rPr>
                <w:sz w:val="20"/>
                <w:szCs w:val="22"/>
                <w:lang w:val="es-ES_tradnl"/>
              </w:rPr>
            </w:pPr>
            <w:r>
              <w:rPr>
                <w:sz w:val="20"/>
                <w:szCs w:val="22"/>
                <w:lang w:val="es-ES_tradnl"/>
              </w:rPr>
              <w:t>11.222</w:t>
            </w:r>
          </w:p>
        </w:tc>
        <w:tc>
          <w:tcPr>
            <w:tcW w:w="824" w:type="dxa"/>
          </w:tcPr>
          <w:p w:rsidR="00000000" w:rsidRDefault="00000000">
            <w:pPr>
              <w:jc w:val="right"/>
              <w:rPr>
                <w:sz w:val="20"/>
                <w:szCs w:val="22"/>
                <w:lang w:val="es-ES_tradnl"/>
              </w:rPr>
            </w:pPr>
            <w:r>
              <w:rPr>
                <w:sz w:val="20"/>
                <w:szCs w:val="22"/>
                <w:lang w:val="es-ES_tradnl"/>
              </w:rPr>
              <w:t>62.076</w:t>
            </w:r>
          </w:p>
        </w:tc>
        <w:tc>
          <w:tcPr>
            <w:tcW w:w="940" w:type="dxa"/>
          </w:tcPr>
          <w:p w:rsidR="00000000" w:rsidRDefault="00000000">
            <w:pPr>
              <w:jc w:val="right"/>
              <w:rPr>
                <w:sz w:val="20"/>
                <w:szCs w:val="22"/>
                <w:lang w:val="es-ES_tradnl"/>
              </w:rPr>
            </w:pPr>
            <w:r>
              <w:rPr>
                <w:sz w:val="20"/>
                <w:szCs w:val="22"/>
                <w:lang w:val="es-ES_tradnl"/>
              </w:rPr>
              <w:t>502.901</w:t>
            </w:r>
          </w:p>
        </w:tc>
        <w:tc>
          <w:tcPr>
            <w:tcW w:w="830" w:type="dxa"/>
          </w:tcPr>
          <w:p w:rsidR="00000000" w:rsidRDefault="00000000">
            <w:pPr>
              <w:jc w:val="right"/>
              <w:rPr>
                <w:sz w:val="20"/>
                <w:szCs w:val="22"/>
                <w:lang w:val="es-ES_tradnl"/>
              </w:rPr>
            </w:pPr>
            <w:r>
              <w:rPr>
                <w:sz w:val="20"/>
                <w:szCs w:val="22"/>
                <w:lang w:val="es-ES_tradnl"/>
              </w:rPr>
              <w:t>389.981</w:t>
            </w:r>
          </w:p>
        </w:tc>
        <w:tc>
          <w:tcPr>
            <w:tcW w:w="940" w:type="dxa"/>
          </w:tcPr>
          <w:p w:rsidR="00000000" w:rsidRDefault="00000000">
            <w:pPr>
              <w:jc w:val="right"/>
              <w:rPr>
                <w:sz w:val="20"/>
                <w:szCs w:val="22"/>
                <w:lang w:val="es-ES_tradnl"/>
              </w:rPr>
            </w:pPr>
            <w:r>
              <w:rPr>
                <w:sz w:val="20"/>
                <w:szCs w:val="22"/>
                <w:lang w:val="es-ES_tradnl"/>
              </w:rPr>
              <w:t>892.882</w:t>
            </w:r>
          </w:p>
        </w:tc>
        <w:tc>
          <w:tcPr>
            <w:tcW w:w="845" w:type="dxa"/>
          </w:tcPr>
          <w:p w:rsidR="00000000" w:rsidRDefault="00000000">
            <w:pPr>
              <w:jc w:val="right"/>
              <w:rPr>
                <w:sz w:val="20"/>
                <w:szCs w:val="22"/>
                <w:lang w:val="es-ES_tradnl"/>
              </w:rPr>
            </w:pPr>
            <w:r>
              <w:rPr>
                <w:sz w:val="20"/>
                <w:szCs w:val="22"/>
                <w:lang w:val="es-ES_tradnl"/>
              </w:rPr>
              <w:t>187.190</w:t>
            </w:r>
          </w:p>
        </w:tc>
        <w:tc>
          <w:tcPr>
            <w:tcW w:w="805" w:type="dxa"/>
          </w:tcPr>
          <w:p w:rsidR="00000000" w:rsidRDefault="00000000">
            <w:pPr>
              <w:jc w:val="right"/>
              <w:rPr>
                <w:sz w:val="20"/>
                <w:szCs w:val="22"/>
                <w:lang w:val="es-ES_tradnl"/>
              </w:rPr>
            </w:pPr>
            <w:r>
              <w:rPr>
                <w:sz w:val="20"/>
                <w:szCs w:val="22"/>
                <w:lang w:val="es-ES_tradnl"/>
              </w:rPr>
              <w:t>36.075</w:t>
            </w:r>
          </w:p>
        </w:tc>
        <w:tc>
          <w:tcPr>
            <w:tcW w:w="790" w:type="dxa"/>
          </w:tcPr>
          <w:p w:rsidR="00000000" w:rsidRDefault="00000000">
            <w:pPr>
              <w:jc w:val="right"/>
              <w:rPr>
                <w:sz w:val="20"/>
                <w:szCs w:val="22"/>
                <w:lang w:val="es-ES_tradnl"/>
              </w:rPr>
            </w:pPr>
            <w:r>
              <w:rPr>
                <w:sz w:val="20"/>
                <w:szCs w:val="22"/>
                <w:lang w:val="es-ES_tradnl"/>
              </w:rPr>
              <w:t>223.265</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Mujeres</w:t>
            </w:r>
          </w:p>
        </w:tc>
        <w:tc>
          <w:tcPr>
            <w:tcW w:w="842" w:type="dxa"/>
          </w:tcPr>
          <w:p w:rsidR="00000000" w:rsidRDefault="00000000">
            <w:pPr>
              <w:jc w:val="right"/>
              <w:rPr>
                <w:sz w:val="20"/>
                <w:szCs w:val="22"/>
                <w:lang w:val="es-ES_tradnl"/>
              </w:rPr>
            </w:pPr>
            <w:r>
              <w:rPr>
                <w:sz w:val="20"/>
                <w:szCs w:val="22"/>
                <w:lang w:val="es-ES_tradnl"/>
              </w:rPr>
              <w:t>51.079</w:t>
            </w:r>
          </w:p>
        </w:tc>
        <w:tc>
          <w:tcPr>
            <w:tcW w:w="804" w:type="dxa"/>
          </w:tcPr>
          <w:p w:rsidR="00000000" w:rsidRDefault="00000000">
            <w:pPr>
              <w:jc w:val="right"/>
              <w:rPr>
                <w:sz w:val="20"/>
                <w:szCs w:val="22"/>
                <w:lang w:val="es-ES_tradnl"/>
              </w:rPr>
            </w:pPr>
            <w:r>
              <w:rPr>
                <w:sz w:val="20"/>
                <w:szCs w:val="22"/>
                <w:lang w:val="es-ES_tradnl"/>
              </w:rPr>
              <w:t>11.281</w:t>
            </w:r>
          </w:p>
        </w:tc>
        <w:tc>
          <w:tcPr>
            <w:tcW w:w="824" w:type="dxa"/>
          </w:tcPr>
          <w:p w:rsidR="00000000" w:rsidRDefault="00000000">
            <w:pPr>
              <w:jc w:val="right"/>
              <w:rPr>
                <w:sz w:val="20"/>
                <w:szCs w:val="22"/>
                <w:lang w:val="es-ES_tradnl"/>
              </w:rPr>
            </w:pPr>
            <w:r>
              <w:rPr>
                <w:sz w:val="20"/>
                <w:szCs w:val="22"/>
                <w:lang w:val="es-ES_tradnl"/>
              </w:rPr>
              <w:t>62.360</w:t>
            </w:r>
          </w:p>
        </w:tc>
        <w:tc>
          <w:tcPr>
            <w:tcW w:w="940" w:type="dxa"/>
          </w:tcPr>
          <w:p w:rsidR="00000000" w:rsidRDefault="00000000">
            <w:pPr>
              <w:jc w:val="right"/>
              <w:rPr>
                <w:sz w:val="20"/>
                <w:szCs w:val="22"/>
                <w:lang w:val="es-ES_tradnl"/>
              </w:rPr>
            </w:pPr>
            <w:r>
              <w:rPr>
                <w:sz w:val="20"/>
                <w:szCs w:val="22"/>
                <w:lang w:val="es-ES_tradnl"/>
              </w:rPr>
              <w:t>493.007</w:t>
            </w:r>
          </w:p>
        </w:tc>
        <w:tc>
          <w:tcPr>
            <w:tcW w:w="830" w:type="dxa"/>
          </w:tcPr>
          <w:p w:rsidR="00000000" w:rsidRDefault="00000000">
            <w:pPr>
              <w:jc w:val="right"/>
              <w:rPr>
                <w:sz w:val="20"/>
                <w:szCs w:val="22"/>
                <w:lang w:val="es-ES_tradnl"/>
              </w:rPr>
            </w:pPr>
            <w:r>
              <w:rPr>
                <w:sz w:val="20"/>
                <w:szCs w:val="22"/>
                <w:lang w:val="es-ES_tradnl"/>
              </w:rPr>
              <w:t>365.234</w:t>
            </w:r>
          </w:p>
        </w:tc>
        <w:tc>
          <w:tcPr>
            <w:tcW w:w="940" w:type="dxa"/>
          </w:tcPr>
          <w:p w:rsidR="00000000" w:rsidRDefault="00000000">
            <w:pPr>
              <w:jc w:val="right"/>
              <w:rPr>
                <w:sz w:val="20"/>
                <w:szCs w:val="22"/>
                <w:lang w:val="es-ES_tradnl"/>
              </w:rPr>
            </w:pPr>
            <w:r>
              <w:rPr>
                <w:sz w:val="20"/>
                <w:szCs w:val="22"/>
                <w:lang w:val="es-ES_tradnl"/>
              </w:rPr>
              <w:t>858.241</w:t>
            </w:r>
          </w:p>
        </w:tc>
        <w:tc>
          <w:tcPr>
            <w:tcW w:w="845" w:type="dxa"/>
          </w:tcPr>
          <w:p w:rsidR="00000000" w:rsidRDefault="00000000">
            <w:pPr>
              <w:jc w:val="right"/>
              <w:rPr>
                <w:sz w:val="20"/>
                <w:szCs w:val="22"/>
                <w:lang w:val="es-ES_tradnl"/>
              </w:rPr>
            </w:pPr>
            <w:r>
              <w:rPr>
                <w:sz w:val="20"/>
                <w:szCs w:val="22"/>
                <w:lang w:val="es-ES_tradnl"/>
              </w:rPr>
              <w:t>181.105</w:t>
            </w:r>
          </w:p>
        </w:tc>
        <w:tc>
          <w:tcPr>
            <w:tcW w:w="805" w:type="dxa"/>
          </w:tcPr>
          <w:p w:rsidR="00000000" w:rsidRDefault="00000000">
            <w:pPr>
              <w:jc w:val="right"/>
              <w:rPr>
                <w:sz w:val="20"/>
                <w:szCs w:val="22"/>
                <w:lang w:val="es-ES_tradnl"/>
              </w:rPr>
            </w:pPr>
            <w:r>
              <w:rPr>
                <w:sz w:val="20"/>
                <w:szCs w:val="22"/>
                <w:lang w:val="es-ES_tradnl"/>
              </w:rPr>
              <w:t>26.288</w:t>
            </w:r>
          </w:p>
        </w:tc>
        <w:tc>
          <w:tcPr>
            <w:tcW w:w="790" w:type="dxa"/>
          </w:tcPr>
          <w:p w:rsidR="00000000" w:rsidRDefault="00000000">
            <w:pPr>
              <w:jc w:val="right"/>
              <w:rPr>
                <w:sz w:val="20"/>
                <w:szCs w:val="22"/>
                <w:lang w:val="es-ES_tradnl"/>
              </w:rPr>
            </w:pPr>
            <w:r>
              <w:rPr>
                <w:sz w:val="20"/>
                <w:szCs w:val="22"/>
                <w:lang w:val="es-ES_tradnl"/>
              </w:rPr>
              <w:t>207.393</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 xml:space="preserve">   Total</w:t>
            </w:r>
          </w:p>
        </w:tc>
        <w:tc>
          <w:tcPr>
            <w:tcW w:w="842" w:type="dxa"/>
          </w:tcPr>
          <w:p w:rsidR="00000000" w:rsidRDefault="00000000">
            <w:pPr>
              <w:jc w:val="right"/>
              <w:rPr>
                <w:sz w:val="20"/>
                <w:szCs w:val="22"/>
                <w:lang w:val="es-ES_tradnl"/>
              </w:rPr>
            </w:pPr>
            <w:r>
              <w:rPr>
                <w:sz w:val="20"/>
                <w:szCs w:val="22"/>
                <w:lang w:val="es-ES_tradnl"/>
              </w:rPr>
              <w:t>101.933</w:t>
            </w:r>
          </w:p>
        </w:tc>
        <w:tc>
          <w:tcPr>
            <w:tcW w:w="804" w:type="dxa"/>
          </w:tcPr>
          <w:p w:rsidR="00000000" w:rsidRDefault="00000000">
            <w:pPr>
              <w:jc w:val="right"/>
              <w:rPr>
                <w:sz w:val="20"/>
                <w:szCs w:val="22"/>
                <w:lang w:val="es-ES_tradnl"/>
              </w:rPr>
            </w:pPr>
            <w:r>
              <w:rPr>
                <w:sz w:val="20"/>
                <w:szCs w:val="22"/>
                <w:lang w:val="es-ES_tradnl"/>
              </w:rPr>
              <w:t>22.503</w:t>
            </w:r>
          </w:p>
        </w:tc>
        <w:tc>
          <w:tcPr>
            <w:tcW w:w="824" w:type="dxa"/>
          </w:tcPr>
          <w:p w:rsidR="00000000" w:rsidRDefault="00000000">
            <w:pPr>
              <w:jc w:val="right"/>
              <w:rPr>
                <w:sz w:val="20"/>
                <w:szCs w:val="22"/>
                <w:lang w:val="es-ES_tradnl"/>
              </w:rPr>
            </w:pPr>
            <w:r>
              <w:rPr>
                <w:sz w:val="20"/>
                <w:szCs w:val="22"/>
                <w:lang w:val="es-ES_tradnl"/>
              </w:rPr>
              <w:t>124.436</w:t>
            </w:r>
          </w:p>
        </w:tc>
        <w:tc>
          <w:tcPr>
            <w:tcW w:w="940" w:type="dxa"/>
          </w:tcPr>
          <w:p w:rsidR="00000000" w:rsidRDefault="00000000">
            <w:pPr>
              <w:jc w:val="right"/>
              <w:rPr>
                <w:sz w:val="20"/>
                <w:szCs w:val="22"/>
                <w:lang w:val="es-ES_tradnl"/>
              </w:rPr>
            </w:pPr>
            <w:r>
              <w:rPr>
                <w:sz w:val="20"/>
                <w:szCs w:val="22"/>
                <w:lang w:val="es-ES_tradnl"/>
              </w:rPr>
              <w:t>995.908</w:t>
            </w:r>
          </w:p>
        </w:tc>
        <w:tc>
          <w:tcPr>
            <w:tcW w:w="830" w:type="dxa"/>
          </w:tcPr>
          <w:p w:rsidR="00000000" w:rsidRDefault="00000000">
            <w:pPr>
              <w:jc w:val="right"/>
              <w:rPr>
                <w:sz w:val="20"/>
                <w:szCs w:val="22"/>
                <w:lang w:val="es-ES_tradnl"/>
              </w:rPr>
            </w:pPr>
            <w:r>
              <w:rPr>
                <w:sz w:val="20"/>
                <w:szCs w:val="22"/>
                <w:lang w:val="es-ES_tradnl"/>
              </w:rPr>
              <w:t>755.215</w:t>
            </w:r>
          </w:p>
        </w:tc>
        <w:tc>
          <w:tcPr>
            <w:tcW w:w="940" w:type="dxa"/>
          </w:tcPr>
          <w:p w:rsidR="00000000" w:rsidRDefault="00000000">
            <w:pPr>
              <w:jc w:val="right"/>
              <w:rPr>
                <w:sz w:val="20"/>
                <w:szCs w:val="22"/>
                <w:lang w:val="es-ES_tradnl"/>
              </w:rPr>
            </w:pPr>
            <w:r>
              <w:rPr>
                <w:sz w:val="20"/>
                <w:szCs w:val="22"/>
                <w:lang w:val="es-ES_tradnl"/>
              </w:rPr>
              <w:t>1.751.123</w:t>
            </w:r>
          </w:p>
        </w:tc>
        <w:tc>
          <w:tcPr>
            <w:tcW w:w="845" w:type="dxa"/>
          </w:tcPr>
          <w:p w:rsidR="00000000" w:rsidRDefault="00000000">
            <w:pPr>
              <w:jc w:val="right"/>
              <w:rPr>
                <w:sz w:val="20"/>
                <w:szCs w:val="22"/>
                <w:lang w:val="es-ES_tradnl"/>
              </w:rPr>
            </w:pPr>
            <w:r>
              <w:rPr>
                <w:sz w:val="20"/>
                <w:szCs w:val="22"/>
                <w:lang w:val="es-ES_tradnl"/>
              </w:rPr>
              <w:t>368.295</w:t>
            </w:r>
          </w:p>
        </w:tc>
        <w:tc>
          <w:tcPr>
            <w:tcW w:w="805" w:type="dxa"/>
          </w:tcPr>
          <w:p w:rsidR="00000000" w:rsidRDefault="00000000">
            <w:pPr>
              <w:jc w:val="right"/>
              <w:rPr>
                <w:sz w:val="20"/>
                <w:szCs w:val="22"/>
                <w:lang w:val="es-ES_tradnl"/>
              </w:rPr>
            </w:pPr>
            <w:r>
              <w:rPr>
                <w:sz w:val="20"/>
                <w:szCs w:val="22"/>
                <w:lang w:val="es-ES_tradnl"/>
              </w:rPr>
              <w:t>62.363</w:t>
            </w:r>
          </w:p>
        </w:tc>
        <w:tc>
          <w:tcPr>
            <w:tcW w:w="790" w:type="dxa"/>
          </w:tcPr>
          <w:p w:rsidR="00000000" w:rsidRDefault="00000000">
            <w:pPr>
              <w:jc w:val="right"/>
              <w:rPr>
                <w:sz w:val="20"/>
                <w:szCs w:val="22"/>
                <w:lang w:val="es-ES_tradnl"/>
              </w:rPr>
            </w:pPr>
            <w:r>
              <w:rPr>
                <w:sz w:val="20"/>
                <w:szCs w:val="22"/>
                <w:lang w:val="es-ES_tradnl"/>
              </w:rPr>
              <w:t>430.658</w:t>
            </w:r>
          </w:p>
        </w:tc>
      </w:tr>
      <w:tr w:rsidR="00000000">
        <w:tblPrEx>
          <w:tblCellMar>
            <w:top w:w="0" w:type="dxa"/>
            <w:bottom w:w="0" w:type="dxa"/>
          </w:tblCellMar>
        </w:tblPrEx>
        <w:trPr>
          <w:cantSplit/>
        </w:trPr>
        <w:tc>
          <w:tcPr>
            <w:tcW w:w="930" w:type="dxa"/>
            <w:vMerge w:val="restart"/>
          </w:tcPr>
          <w:p w:rsidR="00000000" w:rsidRDefault="00000000">
            <w:pPr>
              <w:rPr>
                <w:sz w:val="20"/>
                <w:szCs w:val="22"/>
                <w:lang w:val="es-ES_tradnl"/>
              </w:rPr>
            </w:pPr>
            <w:r>
              <w:rPr>
                <w:sz w:val="20"/>
                <w:szCs w:val="22"/>
                <w:lang w:val="es-ES_tradnl"/>
              </w:rPr>
              <w:t>1994/95</w:t>
            </w:r>
          </w:p>
        </w:tc>
        <w:tc>
          <w:tcPr>
            <w:tcW w:w="875" w:type="dxa"/>
          </w:tcPr>
          <w:p w:rsidR="00000000" w:rsidRDefault="00000000">
            <w:pPr>
              <w:rPr>
                <w:sz w:val="20"/>
                <w:szCs w:val="22"/>
                <w:lang w:val="es-ES_tradnl"/>
              </w:rPr>
            </w:pPr>
            <w:r>
              <w:rPr>
                <w:sz w:val="20"/>
                <w:szCs w:val="22"/>
                <w:lang w:val="es-ES_tradnl"/>
              </w:rPr>
              <w:t>Hombres</w:t>
            </w:r>
          </w:p>
        </w:tc>
        <w:tc>
          <w:tcPr>
            <w:tcW w:w="842" w:type="dxa"/>
          </w:tcPr>
          <w:p w:rsidR="00000000" w:rsidRDefault="00000000">
            <w:pPr>
              <w:jc w:val="right"/>
              <w:rPr>
                <w:sz w:val="20"/>
                <w:szCs w:val="22"/>
                <w:lang w:val="es-ES_tradnl"/>
              </w:rPr>
            </w:pPr>
            <w:r>
              <w:rPr>
                <w:sz w:val="20"/>
                <w:szCs w:val="22"/>
                <w:lang w:val="es-ES_tradnl"/>
              </w:rPr>
              <w:t>55.843</w:t>
            </w:r>
          </w:p>
        </w:tc>
        <w:tc>
          <w:tcPr>
            <w:tcW w:w="804" w:type="dxa"/>
          </w:tcPr>
          <w:p w:rsidR="00000000" w:rsidRDefault="00000000">
            <w:pPr>
              <w:jc w:val="right"/>
              <w:rPr>
                <w:sz w:val="20"/>
                <w:szCs w:val="22"/>
                <w:lang w:val="es-ES_tradnl"/>
              </w:rPr>
            </w:pPr>
            <w:r>
              <w:rPr>
                <w:sz w:val="20"/>
                <w:szCs w:val="22"/>
                <w:lang w:val="es-ES_tradnl"/>
              </w:rPr>
              <w:t>12.866</w:t>
            </w:r>
          </w:p>
        </w:tc>
        <w:tc>
          <w:tcPr>
            <w:tcW w:w="824" w:type="dxa"/>
          </w:tcPr>
          <w:p w:rsidR="00000000" w:rsidRDefault="00000000">
            <w:pPr>
              <w:jc w:val="right"/>
              <w:rPr>
                <w:sz w:val="20"/>
                <w:szCs w:val="22"/>
                <w:lang w:val="es-ES_tradnl"/>
              </w:rPr>
            </w:pPr>
            <w:r>
              <w:rPr>
                <w:sz w:val="20"/>
                <w:szCs w:val="22"/>
                <w:lang w:val="es-ES_tradnl"/>
              </w:rPr>
              <w:t>68.709</w:t>
            </w:r>
          </w:p>
        </w:tc>
        <w:tc>
          <w:tcPr>
            <w:tcW w:w="940" w:type="dxa"/>
          </w:tcPr>
          <w:p w:rsidR="00000000" w:rsidRDefault="00000000">
            <w:pPr>
              <w:jc w:val="right"/>
              <w:rPr>
                <w:sz w:val="20"/>
                <w:szCs w:val="22"/>
                <w:lang w:val="es-ES_tradnl"/>
              </w:rPr>
            </w:pPr>
            <w:r>
              <w:rPr>
                <w:sz w:val="20"/>
                <w:szCs w:val="22"/>
                <w:lang w:val="es-ES_tradnl"/>
              </w:rPr>
              <w:t>511.215</w:t>
            </w:r>
          </w:p>
        </w:tc>
        <w:tc>
          <w:tcPr>
            <w:tcW w:w="830" w:type="dxa"/>
          </w:tcPr>
          <w:p w:rsidR="00000000" w:rsidRDefault="00000000">
            <w:pPr>
              <w:jc w:val="right"/>
              <w:rPr>
                <w:sz w:val="20"/>
                <w:szCs w:val="22"/>
                <w:lang w:val="es-ES_tradnl"/>
              </w:rPr>
            </w:pPr>
            <w:r>
              <w:rPr>
                <w:sz w:val="20"/>
                <w:szCs w:val="22"/>
                <w:lang w:val="es-ES_tradnl"/>
              </w:rPr>
              <w:t>395.072</w:t>
            </w:r>
          </w:p>
        </w:tc>
        <w:tc>
          <w:tcPr>
            <w:tcW w:w="940" w:type="dxa"/>
          </w:tcPr>
          <w:p w:rsidR="00000000" w:rsidRDefault="00000000">
            <w:pPr>
              <w:jc w:val="right"/>
              <w:rPr>
                <w:sz w:val="20"/>
                <w:szCs w:val="22"/>
                <w:lang w:val="es-ES_tradnl"/>
              </w:rPr>
            </w:pPr>
            <w:r>
              <w:rPr>
                <w:sz w:val="20"/>
                <w:szCs w:val="22"/>
                <w:lang w:val="es-ES_tradnl"/>
              </w:rPr>
              <w:t>906.287</w:t>
            </w:r>
          </w:p>
        </w:tc>
        <w:tc>
          <w:tcPr>
            <w:tcW w:w="845" w:type="dxa"/>
          </w:tcPr>
          <w:p w:rsidR="00000000" w:rsidRDefault="00000000">
            <w:pPr>
              <w:jc w:val="right"/>
              <w:rPr>
                <w:sz w:val="20"/>
                <w:szCs w:val="22"/>
                <w:lang w:val="es-ES_tradnl"/>
              </w:rPr>
            </w:pPr>
            <w:r>
              <w:rPr>
                <w:sz w:val="20"/>
                <w:szCs w:val="22"/>
                <w:lang w:val="es-ES_tradnl"/>
              </w:rPr>
              <w:t>197.938</w:t>
            </w:r>
          </w:p>
        </w:tc>
        <w:tc>
          <w:tcPr>
            <w:tcW w:w="805" w:type="dxa"/>
          </w:tcPr>
          <w:p w:rsidR="00000000" w:rsidRDefault="00000000">
            <w:pPr>
              <w:jc w:val="right"/>
              <w:rPr>
                <w:sz w:val="20"/>
                <w:szCs w:val="22"/>
                <w:lang w:val="es-ES_tradnl"/>
              </w:rPr>
            </w:pPr>
            <w:r>
              <w:rPr>
                <w:sz w:val="20"/>
                <w:szCs w:val="22"/>
                <w:lang w:val="es-ES_tradnl"/>
              </w:rPr>
              <w:t>38.028</w:t>
            </w:r>
          </w:p>
        </w:tc>
        <w:tc>
          <w:tcPr>
            <w:tcW w:w="790" w:type="dxa"/>
          </w:tcPr>
          <w:p w:rsidR="00000000" w:rsidRDefault="00000000">
            <w:pPr>
              <w:jc w:val="right"/>
              <w:rPr>
                <w:sz w:val="20"/>
                <w:szCs w:val="22"/>
                <w:lang w:val="es-ES_tradnl"/>
              </w:rPr>
            </w:pPr>
            <w:r>
              <w:rPr>
                <w:sz w:val="20"/>
                <w:szCs w:val="22"/>
                <w:lang w:val="es-ES_tradnl"/>
              </w:rPr>
              <w:t>235.966</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Mujeres</w:t>
            </w:r>
          </w:p>
        </w:tc>
        <w:tc>
          <w:tcPr>
            <w:tcW w:w="842" w:type="dxa"/>
          </w:tcPr>
          <w:p w:rsidR="00000000" w:rsidRDefault="00000000">
            <w:pPr>
              <w:jc w:val="right"/>
              <w:rPr>
                <w:sz w:val="20"/>
                <w:szCs w:val="22"/>
                <w:lang w:val="es-ES_tradnl"/>
              </w:rPr>
            </w:pPr>
            <w:r>
              <w:rPr>
                <w:sz w:val="20"/>
                <w:szCs w:val="22"/>
                <w:lang w:val="es-ES_tradnl"/>
              </w:rPr>
              <w:t>54.711</w:t>
            </w:r>
          </w:p>
        </w:tc>
        <w:tc>
          <w:tcPr>
            <w:tcW w:w="804" w:type="dxa"/>
          </w:tcPr>
          <w:p w:rsidR="00000000" w:rsidRDefault="00000000">
            <w:pPr>
              <w:jc w:val="right"/>
              <w:rPr>
                <w:sz w:val="20"/>
                <w:szCs w:val="22"/>
                <w:lang w:val="es-ES_tradnl"/>
              </w:rPr>
            </w:pPr>
            <w:r>
              <w:rPr>
                <w:sz w:val="20"/>
                <w:szCs w:val="22"/>
                <w:lang w:val="es-ES_tradnl"/>
              </w:rPr>
              <w:t>12.738</w:t>
            </w:r>
          </w:p>
        </w:tc>
        <w:tc>
          <w:tcPr>
            <w:tcW w:w="824" w:type="dxa"/>
          </w:tcPr>
          <w:p w:rsidR="00000000" w:rsidRDefault="00000000">
            <w:pPr>
              <w:jc w:val="right"/>
              <w:rPr>
                <w:sz w:val="20"/>
                <w:szCs w:val="22"/>
                <w:lang w:val="es-ES_tradnl"/>
              </w:rPr>
            </w:pPr>
            <w:r>
              <w:rPr>
                <w:sz w:val="20"/>
                <w:szCs w:val="22"/>
                <w:lang w:val="es-ES_tradnl"/>
              </w:rPr>
              <w:t>67.449</w:t>
            </w:r>
          </w:p>
        </w:tc>
        <w:tc>
          <w:tcPr>
            <w:tcW w:w="940" w:type="dxa"/>
          </w:tcPr>
          <w:p w:rsidR="00000000" w:rsidRDefault="00000000">
            <w:pPr>
              <w:jc w:val="right"/>
              <w:rPr>
                <w:sz w:val="20"/>
                <w:szCs w:val="22"/>
                <w:lang w:val="es-ES_tradnl"/>
              </w:rPr>
            </w:pPr>
            <w:r>
              <w:rPr>
                <w:sz w:val="20"/>
                <w:szCs w:val="22"/>
                <w:lang w:val="es-ES_tradnl"/>
              </w:rPr>
              <w:t>502.039</w:t>
            </w:r>
          </w:p>
        </w:tc>
        <w:tc>
          <w:tcPr>
            <w:tcW w:w="830" w:type="dxa"/>
          </w:tcPr>
          <w:p w:rsidR="00000000" w:rsidRDefault="00000000">
            <w:pPr>
              <w:jc w:val="right"/>
              <w:rPr>
                <w:sz w:val="20"/>
                <w:szCs w:val="22"/>
                <w:lang w:val="es-ES_tradnl"/>
              </w:rPr>
            </w:pPr>
            <w:r>
              <w:rPr>
                <w:sz w:val="20"/>
                <w:szCs w:val="22"/>
                <w:lang w:val="es-ES_tradnl"/>
              </w:rPr>
              <w:t>368.978</w:t>
            </w:r>
          </w:p>
        </w:tc>
        <w:tc>
          <w:tcPr>
            <w:tcW w:w="940" w:type="dxa"/>
          </w:tcPr>
          <w:p w:rsidR="00000000" w:rsidRDefault="00000000">
            <w:pPr>
              <w:jc w:val="right"/>
              <w:rPr>
                <w:sz w:val="20"/>
                <w:szCs w:val="22"/>
                <w:lang w:val="es-ES_tradnl"/>
              </w:rPr>
            </w:pPr>
            <w:r>
              <w:rPr>
                <w:sz w:val="20"/>
                <w:szCs w:val="22"/>
                <w:lang w:val="es-ES_tradnl"/>
              </w:rPr>
              <w:t>871.017</w:t>
            </w:r>
          </w:p>
        </w:tc>
        <w:tc>
          <w:tcPr>
            <w:tcW w:w="845" w:type="dxa"/>
          </w:tcPr>
          <w:p w:rsidR="00000000" w:rsidRDefault="00000000">
            <w:pPr>
              <w:jc w:val="right"/>
              <w:rPr>
                <w:sz w:val="20"/>
                <w:szCs w:val="22"/>
                <w:lang w:val="es-ES_tradnl"/>
              </w:rPr>
            </w:pPr>
            <w:r>
              <w:rPr>
                <w:sz w:val="20"/>
                <w:szCs w:val="22"/>
                <w:lang w:val="es-ES_tradnl"/>
              </w:rPr>
              <w:t>188.973</w:t>
            </w:r>
          </w:p>
        </w:tc>
        <w:tc>
          <w:tcPr>
            <w:tcW w:w="805" w:type="dxa"/>
          </w:tcPr>
          <w:p w:rsidR="00000000" w:rsidRDefault="00000000">
            <w:pPr>
              <w:jc w:val="right"/>
              <w:rPr>
                <w:sz w:val="20"/>
                <w:szCs w:val="22"/>
                <w:lang w:val="es-ES_tradnl"/>
              </w:rPr>
            </w:pPr>
            <w:r>
              <w:rPr>
                <w:sz w:val="20"/>
                <w:szCs w:val="22"/>
                <w:lang w:val="es-ES_tradnl"/>
              </w:rPr>
              <w:t>27.306</w:t>
            </w:r>
          </w:p>
        </w:tc>
        <w:tc>
          <w:tcPr>
            <w:tcW w:w="790" w:type="dxa"/>
          </w:tcPr>
          <w:p w:rsidR="00000000" w:rsidRDefault="00000000">
            <w:pPr>
              <w:jc w:val="right"/>
              <w:rPr>
                <w:sz w:val="20"/>
                <w:szCs w:val="22"/>
                <w:lang w:val="es-ES_tradnl"/>
              </w:rPr>
            </w:pPr>
            <w:r>
              <w:rPr>
                <w:sz w:val="20"/>
                <w:szCs w:val="22"/>
                <w:lang w:val="es-ES_tradnl"/>
              </w:rPr>
              <w:t>216.279</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 xml:space="preserve">   Total</w:t>
            </w:r>
          </w:p>
        </w:tc>
        <w:tc>
          <w:tcPr>
            <w:tcW w:w="842" w:type="dxa"/>
          </w:tcPr>
          <w:p w:rsidR="00000000" w:rsidRDefault="00000000">
            <w:pPr>
              <w:jc w:val="right"/>
              <w:rPr>
                <w:sz w:val="20"/>
                <w:szCs w:val="22"/>
                <w:lang w:val="es-ES_tradnl"/>
              </w:rPr>
            </w:pPr>
            <w:r>
              <w:rPr>
                <w:sz w:val="20"/>
                <w:szCs w:val="22"/>
                <w:lang w:val="es-ES_tradnl"/>
              </w:rPr>
              <w:t>110.554</w:t>
            </w:r>
          </w:p>
        </w:tc>
        <w:tc>
          <w:tcPr>
            <w:tcW w:w="804" w:type="dxa"/>
          </w:tcPr>
          <w:p w:rsidR="00000000" w:rsidRDefault="00000000">
            <w:pPr>
              <w:jc w:val="right"/>
              <w:rPr>
                <w:sz w:val="20"/>
                <w:szCs w:val="22"/>
                <w:lang w:val="es-ES_tradnl"/>
              </w:rPr>
            </w:pPr>
            <w:r>
              <w:rPr>
                <w:sz w:val="20"/>
                <w:szCs w:val="22"/>
                <w:lang w:val="es-ES_tradnl"/>
              </w:rPr>
              <w:t>25.604</w:t>
            </w:r>
          </w:p>
        </w:tc>
        <w:tc>
          <w:tcPr>
            <w:tcW w:w="824" w:type="dxa"/>
          </w:tcPr>
          <w:p w:rsidR="00000000" w:rsidRDefault="00000000">
            <w:pPr>
              <w:jc w:val="right"/>
              <w:rPr>
                <w:sz w:val="20"/>
                <w:szCs w:val="22"/>
                <w:lang w:val="es-ES_tradnl"/>
              </w:rPr>
            </w:pPr>
            <w:r>
              <w:rPr>
                <w:sz w:val="20"/>
                <w:szCs w:val="22"/>
                <w:lang w:val="es-ES_tradnl"/>
              </w:rPr>
              <w:t>136.158</w:t>
            </w:r>
          </w:p>
        </w:tc>
        <w:tc>
          <w:tcPr>
            <w:tcW w:w="940" w:type="dxa"/>
          </w:tcPr>
          <w:p w:rsidR="00000000" w:rsidRDefault="00000000">
            <w:pPr>
              <w:jc w:val="right"/>
              <w:rPr>
                <w:sz w:val="20"/>
                <w:szCs w:val="22"/>
                <w:lang w:val="es-ES_tradnl"/>
              </w:rPr>
            </w:pPr>
            <w:r>
              <w:rPr>
                <w:sz w:val="20"/>
                <w:szCs w:val="22"/>
                <w:lang w:val="es-ES_tradnl"/>
              </w:rPr>
              <w:t>1.013.254</w:t>
            </w:r>
          </w:p>
        </w:tc>
        <w:tc>
          <w:tcPr>
            <w:tcW w:w="830" w:type="dxa"/>
          </w:tcPr>
          <w:p w:rsidR="00000000" w:rsidRDefault="00000000">
            <w:pPr>
              <w:jc w:val="right"/>
              <w:rPr>
                <w:sz w:val="20"/>
                <w:szCs w:val="22"/>
                <w:lang w:val="es-ES_tradnl"/>
              </w:rPr>
            </w:pPr>
            <w:r>
              <w:rPr>
                <w:sz w:val="20"/>
                <w:szCs w:val="22"/>
                <w:lang w:val="es-ES_tradnl"/>
              </w:rPr>
              <w:t>764.050</w:t>
            </w:r>
          </w:p>
        </w:tc>
        <w:tc>
          <w:tcPr>
            <w:tcW w:w="940" w:type="dxa"/>
          </w:tcPr>
          <w:p w:rsidR="00000000" w:rsidRDefault="00000000">
            <w:pPr>
              <w:jc w:val="right"/>
              <w:rPr>
                <w:sz w:val="20"/>
                <w:szCs w:val="22"/>
                <w:lang w:val="es-ES_tradnl"/>
              </w:rPr>
            </w:pPr>
            <w:r>
              <w:rPr>
                <w:sz w:val="20"/>
                <w:szCs w:val="22"/>
                <w:lang w:val="es-ES_tradnl"/>
              </w:rPr>
              <w:t>1.777.304</w:t>
            </w:r>
          </w:p>
        </w:tc>
        <w:tc>
          <w:tcPr>
            <w:tcW w:w="845" w:type="dxa"/>
          </w:tcPr>
          <w:p w:rsidR="00000000" w:rsidRDefault="00000000">
            <w:pPr>
              <w:jc w:val="right"/>
              <w:rPr>
                <w:sz w:val="20"/>
                <w:szCs w:val="22"/>
                <w:lang w:val="es-ES_tradnl"/>
              </w:rPr>
            </w:pPr>
            <w:r>
              <w:rPr>
                <w:sz w:val="20"/>
                <w:szCs w:val="22"/>
                <w:lang w:val="es-ES_tradnl"/>
              </w:rPr>
              <w:t>386.911</w:t>
            </w:r>
          </w:p>
        </w:tc>
        <w:tc>
          <w:tcPr>
            <w:tcW w:w="805" w:type="dxa"/>
          </w:tcPr>
          <w:p w:rsidR="00000000" w:rsidRDefault="00000000">
            <w:pPr>
              <w:jc w:val="right"/>
              <w:rPr>
                <w:sz w:val="20"/>
                <w:szCs w:val="22"/>
                <w:lang w:val="es-ES_tradnl"/>
              </w:rPr>
            </w:pPr>
            <w:r>
              <w:rPr>
                <w:sz w:val="20"/>
                <w:szCs w:val="22"/>
                <w:lang w:val="es-ES_tradnl"/>
              </w:rPr>
              <w:t>65.334</w:t>
            </w:r>
          </w:p>
        </w:tc>
        <w:tc>
          <w:tcPr>
            <w:tcW w:w="790" w:type="dxa"/>
          </w:tcPr>
          <w:p w:rsidR="00000000" w:rsidRDefault="00000000">
            <w:pPr>
              <w:jc w:val="right"/>
              <w:rPr>
                <w:sz w:val="20"/>
                <w:szCs w:val="22"/>
                <w:lang w:val="es-ES_tradnl"/>
              </w:rPr>
            </w:pPr>
            <w:r>
              <w:rPr>
                <w:sz w:val="20"/>
                <w:szCs w:val="22"/>
                <w:lang w:val="es-ES_tradnl"/>
              </w:rPr>
              <w:t>452.245</w:t>
            </w:r>
          </w:p>
        </w:tc>
      </w:tr>
      <w:tr w:rsidR="00000000">
        <w:tblPrEx>
          <w:tblCellMar>
            <w:top w:w="0" w:type="dxa"/>
            <w:bottom w:w="0" w:type="dxa"/>
          </w:tblCellMar>
        </w:tblPrEx>
        <w:trPr>
          <w:cantSplit/>
        </w:trPr>
        <w:tc>
          <w:tcPr>
            <w:tcW w:w="930" w:type="dxa"/>
            <w:vMerge w:val="restart"/>
          </w:tcPr>
          <w:p w:rsidR="00000000" w:rsidRDefault="00000000">
            <w:pPr>
              <w:rPr>
                <w:sz w:val="20"/>
                <w:szCs w:val="22"/>
                <w:lang w:val="es-ES_tradnl"/>
              </w:rPr>
            </w:pPr>
            <w:r>
              <w:rPr>
                <w:sz w:val="20"/>
                <w:szCs w:val="22"/>
                <w:lang w:val="es-ES_tradnl"/>
              </w:rPr>
              <w:t>1995/96</w:t>
            </w:r>
          </w:p>
        </w:tc>
        <w:tc>
          <w:tcPr>
            <w:tcW w:w="875" w:type="dxa"/>
          </w:tcPr>
          <w:p w:rsidR="00000000" w:rsidRDefault="00000000">
            <w:pPr>
              <w:rPr>
                <w:sz w:val="20"/>
                <w:szCs w:val="22"/>
                <w:lang w:val="es-ES_tradnl"/>
              </w:rPr>
            </w:pPr>
            <w:r>
              <w:rPr>
                <w:sz w:val="20"/>
                <w:szCs w:val="22"/>
                <w:lang w:val="es-ES_tradnl"/>
              </w:rPr>
              <w:t>Hombres</w:t>
            </w:r>
          </w:p>
        </w:tc>
        <w:tc>
          <w:tcPr>
            <w:tcW w:w="842" w:type="dxa"/>
          </w:tcPr>
          <w:p w:rsidR="00000000" w:rsidRDefault="00000000">
            <w:pPr>
              <w:jc w:val="right"/>
              <w:rPr>
                <w:sz w:val="20"/>
                <w:szCs w:val="22"/>
                <w:lang w:val="es-ES_tradnl"/>
              </w:rPr>
            </w:pPr>
            <w:r>
              <w:rPr>
                <w:sz w:val="20"/>
                <w:szCs w:val="22"/>
                <w:lang w:val="es-ES_tradnl"/>
              </w:rPr>
              <w:t>58.357</w:t>
            </w:r>
          </w:p>
        </w:tc>
        <w:tc>
          <w:tcPr>
            <w:tcW w:w="804" w:type="dxa"/>
          </w:tcPr>
          <w:p w:rsidR="00000000" w:rsidRDefault="00000000">
            <w:pPr>
              <w:jc w:val="right"/>
              <w:rPr>
                <w:sz w:val="20"/>
                <w:szCs w:val="22"/>
                <w:lang w:val="es-ES_tradnl"/>
              </w:rPr>
            </w:pPr>
            <w:r>
              <w:rPr>
                <w:sz w:val="20"/>
                <w:szCs w:val="22"/>
                <w:lang w:val="es-ES_tradnl"/>
              </w:rPr>
              <w:t>14.583</w:t>
            </w:r>
          </w:p>
        </w:tc>
        <w:tc>
          <w:tcPr>
            <w:tcW w:w="824" w:type="dxa"/>
          </w:tcPr>
          <w:p w:rsidR="00000000" w:rsidRDefault="00000000">
            <w:pPr>
              <w:jc w:val="right"/>
              <w:rPr>
                <w:sz w:val="20"/>
                <w:szCs w:val="22"/>
                <w:lang w:val="es-ES_tradnl"/>
              </w:rPr>
            </w:pPr>
            <w:r>
              <w:rPr>
                <w:sz w:val="20"/>
                <w:szCs w:val="22"/>
                <w:lang w:val="es-ES_tradnl"/>
              </w:rPr>
              <w:t>72.940</w:t>
            </w:r>
          </w:p>
        </w:tc>
        <w:tc>
          <w:tcPr>
            <w:tcW w:w="940" w:type="dxa"/>
          </w:tcPr>
          <w:p w:rsidR="00000000" w:rsidRDefault="00000000">
            <w:pPr>
              <w:jc w:val="right"/>
              <w:rPr>
                <w:sz w:val="20"/>
                <w:szCs w:val="22"/>
                <w:lang w:val="es-ES_tradnl"/>
              </w:rPr>
            </w:pPr>
            <w:r>
              <w:rPr>
                <w:sz w:val="20"/>
                <w:szCs w:val="22"/>
                <w:lang w:val="es-ES_tradnl"/>
              </w:rPr>
              <w:t>524.840</w:t>
            </w:r>
          </w:p>
        </w:tc>
        <w:tc>
          <w:tcPr>
            <w:tcW w:w="830" w:type="dxa"/>
          </w:tcPr>
          <w:p w:rsidR="00000000" w:rsidRDefault="00000000">
            <w:pPr>
              <w:jc w:val="right"/>
              <w:rPr>
                <w:sz w:val="20"/>
                <w:szCs w:val="22"/>
                <w:lang w:val="es-ES_tradnl"/>
              </w:rPr>
            </w:pPr>
            <w:r>
              <w:rPr>
                <w:sz w:val="20"/>
                <w:szCs w:val="22"/>
                <w:lang w:val="es-ES_tradnl"/>
              </w:rPr>
              <w:t>399.714</w:t>
            </w:r>
          </w:p>
        </w:tc>
        <w:tc>
          <w:tcPr>
            <w:tcW w:w="940" w:type="dxa"/>
          </w:tcPr>
          <w:p w:rsidR="00000000" w:rsidRDefault="00000000">
            <w:pPr>
              <w:jc w:val="right"/>
              <w:rPr>
                <w:sz w:val="20"/>
                <w:szCs w:val="22"/>
                <w:lang w:val="es-ES_tradnl"/>
              </w:rPr>
            </w:pPr>
            <w:r>
              <w:rPr>
                <w:sz w:val="20"/>
                <w:szCs w:val="22"/>
                <w:lang w:val="es-ES_tradnl"/>
              </w:rPr>
              <w:t>924.554</w:t>
            </w:r>
          </w:p>
        </w:tc>
        <w:tc>
          <w:tcPr>
            <w:tcW w:w="845" w:type="dxa"/>
          </w:tcPr>
          <w:p w:rsidR="00000000" w:rsidRDefault="00000000">
            <w:pPr>
              <w:jc w:val="right"/>
              <w:rPr>
                <w:sz w:val="20"/>
                <w:szCs w:val="22"/>
                <w:lang w:val="es-ES_tradnl"/>
              </w:rPr>
            </w:pPr>
            <w:r>
              <w:rPr>
                <w:sz w:val="20"/>
                <w:szCs w:val="22"/>
                <w:lang w:val="es-ES_tradnl"/>
              </w:rPr>
              <w:t>194.060</w:t>
            </w:r>
          </w:p>
        </w:tc>
        <w:tc>
          <w:tcPr>
            <w:tcW w:w="805" w:type="dxa"/>
          </w:tcPr>
          <w:p w:rsidR="00000000" w:rsidRDefault="00000000">
            <w:pPr>
              <w:jc w:val="right"/>
              <w:rPr>
                <w:sz w:val="20"/>
                <w:szCs w:val="22"/>
                <w:lang w:val="es-ES_tradnl"/>
              </w:rPr>
            </w:pPr>
            <w:r>
              <w:rPr>
                <w:sz w:val="20"/>
                <w:szCs w:val="22"/>
                <w:lang w:val="es-ES_tradnl"/>
              </w:rPr>
              <w:t>41.231</w:t>
            </w:r>
          </w:p>
        </w:tc>
        <w:tc>
          <w:tcPr>
            <w:tcW w:w="790" w:type="dxa"/>
          </w:tcPr>
          <w:p w:rsidR="00000000" w:rsidRDefault="00000000">
            <w:pPr>
              <w:jc w:val="right"/>
              <w:rPr>
                <w:sz w:val="20"/>
                <w:szCs w:val="22"/>
                <w:lang w:val="es-ES_tradnl"/>
              </w:rPr>
            </w:pPr>
            <w:r>
              <w:rPr>
                <w:sz w:val="20"/>
                <w:szCs w:val="22"/>
                <w:lang w:val="es-ES_tradnl"/>
              </w:rPr>
              <w:t>235.291</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Mujeres</w:t>
            </w:r>
          </w:p>
        </w:tc>
        <w:tc>
          <w:tcPr>
            <w:tcW w:w="842" w:type="dxa"/>
          </w:tcPr>
          <w:p w:rsidR="00000000" w:rsidRDefault="00000000">
            <w:pPr>
              <w:jc w:val="right"/>
              <w:rPr>
                <w:sz w:val="20"/>
                <w:szCs w:val="22"/>
                <w:lang w:val="es-ES_tradnl"/>
              </w:rPr>
            </w:pPr>
            <w:r>
              <w:rPr>
                <w:sz w:val="20"/>
                <w:szCs w:val="22"/>
                <w:lang w:val="es-ES_tradnl"/>
              </w:rPr>
              <w:t>58.620</w:t>
            </w:r>
          </w:p>
        </w:tc>
        <w:tc>
          <w:tcPr>
            <w:tcW w:w="804" w:type="dxa"/>
          </w:tcPr>
          <w:p w:rsidR="00000000" w:rsidRDefault="00000000">
            <w:pPr>
              <w:jc w:val="right"/>
              <w:rPr>
                <w:sz w:val="20"/>
                <w:szCs w:val="22"/>
                <w:lang w:val="es-ES_tradnl"/>
              </w:rPr>
            </w:pPr>
            <w:r>
              <w:rPr>
                <w:sz w:val="20"/>
                <w:szCs w:val="22"/>
                <w:lang w:val="es-ES_tradnl"/>
              </w:rPr>
              <w:t>14.298</w:t>
            </w:r>
          </w:p>
        </w:tc>
        <w:tc>
          <w:tcPr>
            <w:tcW w:w="824" w:type="dxa"/>
          </w:tcPr>
          <w:p w:rsidR="00000000" w:rsidRDefault="00000000">
            <w:pPr>
              <w:jc w:val="right"/>
              <w:rPr>
                <w:sz w:val="20"/>
                <w:szCs w:val="22"/>
                <w:lang w:val="es-ES_tradnl"/>
              </w:rPr>
            </w:pPr>
            <w:r>
              <w:rPr>
                <w:sz w:val="20"/>
                <w:szCs w:val="22"/>
                <w:lang w:val="es-ES_tradnl"/>
              </w:rPr>
              <w:t>72.918</w:t>
            </w:r>
          </w:p>
        </w:tc>
        <w:tc>
          <w:tcPr>
            <w:tcW w:w="940" w:type="dxa"/>
          </w:tcPr>
          <w:p w:rsidR="00000000" w:rsidRDefault="00000000">
            <w:pPr>
              <w:jc w:val="right"/>
              <w:rPr>
                <w:sz w:val="20"/>
                <w:szCs w:val="22"/>
                <w:lang w:val="es-ES_tradnl"/>
              </w:rPr>
            </w:pPr>
            <w:r>
              <w:rPr>
                <w:sz w:val="20"/>
                <w:szCs w:val="22"/>
                <w:lang w:val="es-ES_tradnl"/>
              </w:rPr>
              <w:t>515.048</w:t>
            </w:r>
          </w:p>
        </w:tc>
        <w:tc>
          <w:tcPr>
            <w:tcW w:w="830" w:type="dxa"/>
          </w:tcPr>
          <w:p w:rsidR="00000000" w:rsidRDefault="00000000">
            <w:pPr>
              <w:jc w:val="right"/>
              <w:rPr>
                <w:sz w:val="20"/>
                <w:szCs w:val="22"/>
                <w:lang w:val="es-ES_tradnl"/>
              </w:rPr>
            </w:pPr>
            <w:r>
              <w:rPr>
                <w:sz w:val="20"/>
                <w:szCs w:val="22"/>
                <w:lang w:val="es-ES_tradnl"/>
              </w:rPr>
              <w:t>372.653</w:t>
            </w:r>
          </w:p>
        </w:tc>
        <w:tc>
          <w:tcPr>
            <w:tcW w:w="940" w:type="dxa"/>
          </w:tcPr>
          <w:p w:rsidR="00000000" w:rsidRDefault="00000000">
            <w:pPr>
              <w:jc w:val="right"/>
              <w:rPr>
                <w:sz w:val="20"/>
                <w:szCs w:val="22"/>
                <w:lang w:val="es-ES_tradnl"/>
              </w:rPr>
            </w:pPr>
            <w:r>
              <w:rPr>
                <w:sz w:val="20"/>
                <w:szCs w:val="22"/>
                <w:lang w:val="es-ES_tradnl"/>
              </w:rPr>
              <w:t>887.701</w:t>
            </w:r>
          </w:p>
        </w:tc>
        <w:tc>
          <w:tcPr>
            <w:tcW w:w="845" w:type="dxa"/>
          </w:tcPr>
          <w:p w:rsidR="00000000" w:rsidRDefault="00000000">
            <w:pPr>
              <w:jc w:val="right"/>
              <w:rPr>
                <w:sz w:val="20"/>
                <w:szCs w:val="22"/>
                <w:lang w:val="es-ES_tradnl"/>
              </w:rPr>
            </w:pPr>
            <w:r>
              <w:rPr>
                <w:sz w:val="20"/>
                <w:szCs w:val="22"/>
                <w:lang w:val="es-ES_tradnl"/>
              </w:rPr>
              <w:t>192.392</w:t>
            </w:r>
          </w:p>
        </w:tc>
        <w:tc>
          <w:tcPr>
            <w:tcW w:w="805" w:type="dxa"/>
          </w:tcPr>
          <w:p w:rsidR="00000000" w:rsidRDefault="00000000">
            <w:pPr>
              <w:jc w:val="right"/>
              <w:rPr>
                <w:sz w:val="20"/>
                <w:szCs w:val="22"/>
                <w:lang w:val="es-ES_tradnl"/>
              </w:rPr>
            </w:pPr>
            <w:r>
              <w:rPr>
                <w:sz w:val="20"/>
                <w:szCs w:val="22"/>
                <w:lang w:val="es-ES_tradnl"/>
              </w:rPr>
              <w:t>29.832</w:t>
            </w:r>
          </w:p>
        </w:tc>
        <w:tc>
          <w:tcPr>
            <w:tcW w:w="790" w:type="dxa"/>
          </w:tcPr>
          <w:p w:rsidR="00000000" w:rsidRDefault="00000000">
            <w:pPr>
              <w:jc w:val="right"/>
              <w:rPr>
                <w:sz w:val="20"/>
                <w:szCs w:val="22"/>
                <w:lang w:val="es-ES_tradnl"/>
              </w:rPr>
            </w:pPr>
            <w:r>
              <w:rPr>
                <w:sz w:val="20"/>
                <w:szCs w:val="22"/>
                <w:lang w:val="es-ES_tradnl"/>
              </w:rPr>
              <w:t>222.224</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 xml:space="preserve">  Total</w:t>
            </w:r>
          </w:p>
        </w:tc>
        <w:tc>
          <w:tcPr>
            <w:tcW w:w="842" w:type="dxa"/>
          </w:tcPr>
          <w:p w:rsidR="00000000" w:rsidRDefault="00000000">
            <w:pPr>
              <w:jc w:val="right"/>
              <w:rPr>
                <w:sz w:val="20"/>
                <w:szCs w:val="22"/>
                <w:lang w:val="es-ES_tradnl"/>
              </w:rPr>
            </w:pPr>
            <w:r>
              <w:rPr>
                <w:sz w:val="20"/>
                <w:szCs w:val="22"/>
                <w:lang w:val="es-ES_tradnl"/>
              </w:rPr>
              <w:t>116.977</w:t>
            </w:r>
          </w:p>
        </w:tc>
        <w:tc>
          <w:tcPr>
            <w:tcW w:w="804" w:type="dxa"/>
          </w:tcPr>
          <w:p w:rsidR="00000000" w:rsidRDefault="00000000">
            <w:pPr>
              <w:jc w:val="right"/>
              <w:rPr>
                <w:sz w:val="20"/>
                <w:szCs w:val="22"/>
                <w:lang w:val="es-ES_tradnl"/>
              </w:rPr>
            </w:pPr>
            <w:r>
              <w:rPr>
                <w:sz w:val="20"/>
                <w:szCs w:val="22"/>
                <w:lang w:val="es-ES_tradnl"/>
              </w:rPr>
              <w:t>28.881</w:t>
            </w:r>
          </w:p>
        </w:tc>
        <w:tc>
          <w:tcPr>
            <w:tcW w:w="824" w:type="dxa"/>
          </w:tcPr>
          <w:p w:rsidR="00000000" w:rsidRDefault="00000000">
            <w:pPr>
              <w:jc w:val="right"/>
              <w:rPr>
                <w:sz w:val="20"/>
                <w:szCs w:val="22"/>
                <w:lang w:val="es-ES_tradnl"/>
              </w:rPr>
            </w:pPr>
            <w:r>
              <w:rPr>
                <w:sz w:val="20"/>
                <w:szCs w:val="22"/>
                <w:lang w:val="es-ES_tradnl"/>
              </w:rPr>
              <w:t>145.858</w:t>
            </w:r>
          </w:p>
        </w:tc>
        <w:tc>
          <w:tcPr>
            <w:tcW w:w="940" w:type="dxa"/>
          </w:tcPr>
          <w:p w:rsidR="00000000" w:rsidRDefault="00000000">
            <w:pPr>
              <w:jc w:val="right"/>
              <w:rPr>
                <w:sz w:val="20"/>
                <w:szCs w:val="22"/>
                <w:lang w:val="es-ES_tradnl"/>
              </w:rPr>
            </w:pPr>
            <w:r>
              <w:rPr>
                <w:sz w:val="20"/>
                <w:szCs w:val="22"/>
                <w:lang w:val="es-ES_tradnl"/>
              </w:rPr>
              <w:t>1.039.888</w:t>
            </w:r>
          </w:p>
        </w:tc>
        <w:tc>
          <w:tcPr>
            <w:tcW w:w="830" w:type="dxa"/>
          </w:tcPr>
          <w:p w:rsidR="00000000" w:rsidRDefault="00000000">
            <w:pPr>
              <w:jc w:val="right"/>
              <w:rPr>
                <w:sz w:val="20"/>
                <w:szCs w:val="22"/>
                <w:lang w:val="es-ES_tradnl"/>
              </w:rPr>
            </w:pPr>
            <w:r>
              <w:rPr>
                <w:sz w:val="20"/>
                <w:szCs w:val="22"/>
                <w:lang w:val="es-ES_tradnl"/>
              </w:rPr>
              <w:t>772.367</w:t>
            </w:r>
          </w:p>
        </w:tc>
        <w:tc>
          <w:tcPr>
            <w:tcW w:w="940" w:type="dxa"/>
          </w:tcPr>
          <w:p w:rsidR="00000000" w:rsidRDefault="00000000">
            <w:pPr>
              <w:jc w:val="right"/>
              <w:rPr>
                <w:sz w:val="20"/>
                <w:szCs w:val="22"/>
                <w:lang w:val="es-ES_tradnl"/>
              </w:rPr>
            </w:pPr>
            <w:r>
              <w:rPr>
                <w:sz w:val="20"/>
                <w:szCs w:val="22"/>
                <w:lang w:val="es-ES_tradnl"/>
              </w:rPr>
              <w:t>1.812.255</w:t>
            </w:r>
          </w:p>
        </w:tc>
        <w:tc>
          <w:tcPr>
            <w:tcW w:w="845" w:type="dxa"/>
          </w:tcPr>
          <w:p w:rsidR="00000000" w:rsidRDefault="00000000">
            <w:pPr>
              <w:jc w:val="right"/>
              <w:rPr>
                <w:sz w:val="20"/>
                <w:szCs w:val="22"/>
                <w:lang w:val="es-ES_tradnl"/>
              </w:rPr>
            </w:pPr>
            <w:r>
              <w:rPr>
                <w:sz w:val="20"/>
                <w:szCs w:val="22"/>
                <w:lang w:val="es-ES_tradnl"/>
              </w:rPr>
              <w:t>386.452</w:t>
            </w:r>
          </w:p>
        </w:tc>
        <w:tc>
          <w:tcPr>
            <w:tcW w:w="805" w:type="dxa"/>
          </w:tcPr>
          <w:p w:rsidR="00000000" w:rsidRDefault="00000000">
            <w:pPr>
              <w:jc w:val="right"/>
              <w:rPr>
                <w:sz w:val="20"/>
                <w:szCs w:val="22"/>
                <w:lang w:val="es-ES_tradnl"/>
              </w:rPr>
            </w:pPr>
            <w:r>
              <w:rPr>
                <w:sz w:val="20"/>
                <w:szCs w:val="22"/>
                <w:lang w:val="es-ES_tradnl"/>
              </w:rPr>
              <w:t>71.063</w:t>
            </w:r>
          </w:p>
        </w:tc>
        <w:tc>
          <w:tcPr>
            <w:tcW w:w="790" w:type="dxa"/>
          </w:tcPr>
          <w:p w:rsidR="00000000" w:rsidRDefault="00000000">
            <w:pPr>
              <w:jc w:val="right"/>
              <w:rPr>
                <w:sz w:val="20"/>
                <w:szCs w:val="22"/>
                <w:lang w:val="es-ES_tradnl"/>
              </w:rPr>
            </w:pPr>
            <w:r>
              <w:rPr>
                <w:sz w:val="20"/>
                <w:szCs w:val="22"/>
                <w:lang w:val="es-ES_tradnl"/>
              </w:rPr>
              <w:t>457.515</w:t>
            </w:r>
          </w:p>
        </w:tc>
      </w:tr>
      <w:tr w:rsidR="00000000">
        <w:tblPrEx>
          <w:tblCellMar>
            <w:top w:w="0" w:type="dxa"/>
            <w:bottom w:w="0" w:type="dxa"/>
          </w:tblCellMar>
        </w:tblPrEx>
        <w:trPr>
          <w:cantSplit/>
        </w:trPr>
        <w:tc>
          <w:tcPr>
            <w:tcW w:w="930" w:type="dxa"/>
            <w:vMerge w:val="restart"/>
          </w:tcPr>
          <w:p w:rsidR="00000000" w:rsidRDefault="00000000">
            <w:pPr>
              <w:rPr>
                <w:sz w:val="20"/>
                <w:szCs w:val="22"/>
                <w:lang w:val="es-ES_tradnl"/>
              </w:rPr>
            </w:pPr>
            <w:r>
              <w:rPr>
                <w:sz w:val="20"/>
                <w:szCs w:val="22"/>
                <w:lang w:val="es-ES_tradnl"/>
              </w:rPr>
              <w:t>1996/97</w:t>
            </w:r>
          </w:p>
        </w:tc>
        <w:tc>
          <w:tcPr>
            <w:tcW w:w="875" w:type="dxa"/>
          </w:tcPr>
          <w:p w:rsidR="00000000" w:rsidRDefault="00000000">
            <w:pPr>
              <w:rPr>
                <w:sz w:val="20"/>
                <w:szCs w:val="22"/>
                <w:lang w:val="es-ES_tradnl"/>
              </w:rPr>
            </w:pPr>
            <w:r>
              <w:rPr>
                <w:sz w:val="20"/>
                <w:szCs w:val="22"/>
                <w:lang w:val="es-ES_tradnl"/>
              </w:rPr>
              <w:t>Hombres</w:t>
            </w:r>
          </w:p>
        </w:tc>
        <w:tc>
          <w:tcPr>
            <w:tcW w:w="842" w:type="dxa"/>
          </w:tcPr>
          <w:p w:rsidR="00000000" w:rsidRDefault="00000000">
            <w:pPr>
              <w:jc w:val="right"/>
              <w:rPr>
                <w:sz w:val="20"/>
                <w:szCs w:val="22"/>
                <w:lang w:val="es-ES_tradnl"/>
              </w:rPr>
            </w:pPr>
            <w:r>
              <w:rPr>
                <w:sz w:val="20"/>
                <w:szCs w:val="22"/>
                <w:lang w:val="es-ES_tradnl"/>
              </w:rPr>
              <w:t>63.037</w:t>
            </w:r>
          </w:p>
        </w:tc>
        <w:tc>
          <w:tcPr>
            <w:tcW w:w="804" w:type="dxa"/>
          </w:tcPr>
          <w:p w:rsidR="00000000" w:rsidRDefault="00000000">
            <w:pPr>
              <w:jc w:val="right"/>
              <w:rPr>
                <w:sz w:val="20"/>
                <w:szCs w:val="22"/>
                <w:lang w:val="es-ES_tradnl"/>
              </w:rPr>
            </w:pPr>
            <w:r>
              <w:rPr>
                <w:sz w:val="20"/>
                <w:szCs w:val="22"/>
                <w:lang w:val="es-ES_tradnl"/>
              </w:rPr>
              <w:t>15.455</w:t>
            </w:r>
          </w:p>
        </w:tc>
        <w:tc>
          <w:tcPr>
            <w:tcW w:w="824" w:type="dxa"/>
          </w:tcPr>
          <w:p w:rsidR="00000000" w:rsidRDefault="00000000">
            <w:pPr>
              <w:jc w:val="right"/>
              <w:rPr>
                <w:sz w:val="20"/>
                <w:szCs w:val="22"/>
                <w:lang w:val="es-ES_tradnl"/>
              </w:rPr>
            </w:pPr>
            <w:r>
              <w:rPr>
                <w:sz w:val="20"/>
                <w:szCs w:val="22"/>
                <w:lang w:val="es-ES_tradnl"/>
              </w:rPr>
              <w:t>78.492</w:t>
            </w:r>
          </w:p>
        </w:tc>
        <w:tc>
          <w:tcPr>
            <w:tcW w:w="940" w:type="dxa"/>
          </w:tcPr>
          <w:p w:rsidR="00000000" w:rsidRDefault="00000000">
            <w:pPr>
              <w:jc w:val="right"/>
              <w:rPr>
                <w:sz w:val="20"/>
                <w:szCs w:val="22"/>
                <w:lang w:val="es-ES_tradnl"/>
              </w:rPr>
            </w:pPr>
            <w:r>
              <w:rPr>
                <w:sz w:val="20"/>
                <w:szCs w:val="22"/>
                <w:lang w:val="es-ES_tradnl"/>
              </w:rPr>
              <w:t>548.810</w:t>
            </w:r>
          </w:p>
        </w:tc>
        <w:tc>
          <w:tcPr>
            <w:tcW w:w="830" w:type="dxa"/>
          </w:tcPr>
          <w:p w:rsidR="00000000" w:rsidRDefault="00000000">
            <w:pPr>
              <w:jc w:val="right"/>
              <w:rPr>
                <w:sz w:val="20"/>
                <w:szCs w:val="22"/>
                <w:lang w:val="es-ES_tradnl"/>
              </w:rPr>
            </w:pPr>
            <w:r>
              <w:rPr>
                <w:sz w:val="20"/>
                <w:szCs w:val="22"/>
                <w:lang w:val="es-ES_tradnl"/>
              </w:rPr>
              <w:t>414.801</w:t>
            </w:r>
          </w:p>
        </w:tc>
        <w:tc>
          <w:tcPr>
            <w:tcW w:w="940" w:type="dxa"/>
          </w:tcPr>
          <w:p w:rsidR="00000000" w:rsidRDefault="00000000">
            <w:pPr>
              <w:jc w:val="right"/>
              <w:rPr>
                <w:sz w:val="20"/>
                <w:szCs w:val="22"/>
                <w:lang w:val="es-ES_tradnl"/>
              </w:rPr>
            </w:pPr>
            <w:r>
              <w:rPr>
                <w:sz w:val="20"/>
                <w:szCs w:val="22"/>
                <w:lang w:val="es-ES_tradnl"/>
              </w:rPr>
              <w:t>963.611</w:t>
            </w:r>
          </w:p>
        </w:tc>
        <w:tc>
          <w:tcPr>
            <w:tcW w:w="845" w:type="dxa"/>
          </w:tcPr>
          <w:p w:rsidR="00000000" w:rsidRDefault="00000000">
            <w:pPr>
              <w:jc w:val="right"/>
              <w:rPr>
                <w:sz w:val="20"/>
                <w:szCs w:val="22"/>
                <w:lang w:val="es-ES_tradnl"/>
              </w:rPr>
            </w:pPr>
            <w:r>
              <w:rPr>
                <w:sz w:val="20"/>
                <w:szCs w:val="22"/>
                <w:lang w:val="es-ES_tradnl"/>
              </w:rPr>
              <w:t>211.472</w:t>
            </w:r>
          </w:p>
        </w:tc>
        <w:tc>
          <w:tcPr>
            <w:tcW w:w="805" w:type="dxa"/>
          </w:tcPr>
          <w:p w:rsidR="00000000" w:rsidRDefault="00000000">
            <w:pPr>
              <w:jc w:val="right"/>
              <w:rPr>
                <w:sz w:val="20"/>
                <w:szCs w:val="22"/>
                <w:lang w:val="es-ES_tradnl"/>
              </w:rPr>
            </w:pPr>
            <w:r>
              <w:rPr>
                <w:sz w:val="20"/>
                <w:szCs w:val="22"/>
                <w:lang w:val="es-ES_tradnl"/>
              </w:rPr>
              <w:t>44.608</w:t>
            </w:r>
          </w:p>
        </w:tc>
        <w:tc>
          <w:tcPr>
            <w:tcW w:w="790" w:type="dxa"/>
          </w:tcPr>
          <w:p w:rsidR="00000000" w:rsidRDefault="00000000">
            <w:pPr>
              <w:jc w:val="right"/>
              <w:rPr>
                <w:sz w:val="20"/>
                <w:szCs w:val="22"/>
                <w:lang w:val="es-ES_tradnl"/>
              </w:rPr>
            </w:pPr>
            <w:r>
              <w:rPr>
                <w:sz w:val="20"/>
                <w:szCs w:val="22"/>
                <w:lang w:val="es-ES_tradnl"/>
              </w:rPr>
              <w:t>256.080</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Mujeres</w:t>
            </w:r>
          </w:p>
        </w:tc>
        <w:tc>
          <w:tcPr>
            <w:tcW w:w="842" w:type="dxa"/>
          </w:tcPr>
          <w:p w:rsidR="00000000" w:rsidRDefault="00000000">
            <w:pPr>
              <w:jc w:val="right"/>
              <w:rPr>
                <w:sz w:val="20"/>
                <w:szCs w:val="22"/>
                <w:lang w:val="es-ES_tradnl"/>
              </w:rPr>
            </w:pPr>
            <w:r>
              <w:rPr>
                <w:sz w:val="20"/>
                <w:szCs w:val="22"/>
                <w:lang w:val="es-ES_tradnl"/>
              </w:rPr>
              <w:t>63.305</w:t>
            </w:r>
          </w:p>
        </w:tc>
        <w:tc>
          <w:tcPr>
            <w:tcW w:w="804" w:type="dxa"/>
          </w:tcPr>
          <w:p w:rsidR="00000000" w:rsidRDefault="00000000">
            <w:pPr>
              <w:jc w:val="right"/>
              <w:rPr>
                <w:sz w:val="20"/>
                <w:szCs w:val="22"/>
                <w:lang w:val="es-ES_tradnl"/>
              </w:rPr>
            </w:pPr>
            <w:r>
              <w:rPr>
                <w:sz w:val="20"/>
                <w:szCs w:val="22"/>
                <w:lang w:val="es-ES_tradnl"/>
              </w:rPr>
              <w:t>14.975</w:t>
            </w:r>
          </w:p>
        </w:tc>
        <w:tc>
          <w:tcPr>
            <w:tcW w:w="824" w:type="dxa"/>
          </w:tcPr>
          <w:p w:rsidR="00000000" w:rsidRDefault="00000000">
            <w:pPr>
              <w:jc w:val="right"/>
              <w:rPr>
                <w:sz w:val="20"/>
                <w:szCs w:val="22"/>
                <w:lang w:val="es-ES_tradnl"/>
              </w:rPr>
            </w:pPr>
            <w:r>
              <w:rPr>
                <w:sz w:val="20"/>
                <w:szCs w:val="22"/>
                <w:lang w:val="es-ES_tradnl"/>
              </w:rPr>
              <w:t>78.280</w:t>
            </w:r>
          </w:p>
        </w:tc>
        <w:tc>
          <w:tcPr>
            <w:tcW w:w="940" w:type="dxa"/>
          </w:tcPr>
          <w:p w:rsidR="00000000" w:rsidRDefault="00000000">
            <w:pPr>
              <w:jc w:val="right"/>
              <w:rPr>
                <w:sz w:val="20"/>
                <w:szCs w:val="22"/>
                <w:lang w:val="es-ES_tradnl"/>
              </w:rPr>
            </w:pPr>
            <w:r>
              <w:rPr>
                <w:sz w:val="20"/>
                <w:szCs w:val="22"/>
                <w:lang w:val="es-ES_tradnl"/>
              </w:rPr>
              <w:t>537.425</w:t>
            </w:r>
          </w:p>
        </w:tc>
        <w:tc>
          <w:tcPr>
            <w:tcW w:w="830" w:type="dxa"/>
          </w:tcPr>
          <w:p w:rsidR="00000000" w:rsidRDefault="00000000">
            <w:pPr>
              <w:jc w:val="right"/>
              <w:rPr>
                <w:sz w:val="20"/>
                <w:szCs w:val="22"/>
                <w:lang w:val="es-ES_tradnl"/>
              </w:rPr>
            </w:pPr>
            <w:r>
              <w:rPr>
                <w:sz w:val="20"/>
                <w:szCs w:val="22"/>
                <w:lang w:val="es-ES_tradnl"/>
              </w:rPr>
              <w:t>387.136</w:t>
            </w:r>
          </w:p>
        </w:tc>
        <w:tc>
          <w:tcPr>
            <w:tcW w:w="940" w:type="dxa"/>
          </w:tcPr>
          <w:p w:rsidR="00000000" w:rsidRDefault="00000000">
            <w:pPr>
              <w:jc w:val="right"/>
              <w:rPr>
                <w:sz w:val="20"/>
                <w:szCs w:val="22"/>
                <w:lang w:val="es-ES_tradnl"/>
              </w:rPr>
            </w:pPr>
            <w:r>
              <w:rPr>
                <w:sz w:val="20"/>
                <w:szCs w:val="22"/>
                <w:lang w:val="es-ES_tradnl"/>
              </w:rPr>
              <w:t>924.561</w:t>
            </w:r>
          </w:p>
        </w:tc>
        <w:tc>
          <w:tcPr>
            <w:tcW w:w="845" w:type="dxa"/>
          </w:tcPr>
          <w:p w:rsidR="00000000" w:rsidRDefault="00000000">
            <w:pPr>
              <w:jc w:val="right"/>
              <w:rPr>
                <w:sz w:val="20"/>
                <w:szCs w:val="22"/>
                <w:lang w:val="es-ES_tradnl"/>
              </w:rPr>
            </w:pPr>
            <w:r>
              <w:rPr>
                <w:sz w:val="20"/>
                <w:szCs w:val="22"/>
                <w:lang w:val="es-ES_tradnl"/>
              </w:rPr>
              <w:t>211.151</w:t>
            </w:r>
          </w:p>
        </w:tc>
        <w:tc>
          <w:tcPr>
            <w:tcW w:w="805" w:type="dxa"/>
          </w:tcPr>
          <w:p w:rsidR="00000000" w:rsidRDefault="00000000">
            <w:pPr>
              <w:jc w:val="right"/>
              <w:rPr>
                <w:sz w:val="20"/>
                <w:szCs w:val="22"/>
                <w:lang w:val="es-ES_tradnl"/>
              </w:rPr>
            </w:pPr>
            <w:r>
              <w:rPr>
                <w:sz w:val="20"/>
                <w:szCs w:val="22"/>
                <w:lang w:val="es-ES_tradnl"/>
              </w:rPr>
              <w:t>32.071</w:t>
            </w:r>
          </w:p>
        </w:tc>
        <w:tc>
          <w:tcPr>
            <w:tcW w:w="790" w:type="dxa"/>
          </w:tcPr>
          <w:p w:rsidR="00000000" w:rsidRDefault="00000000">
            <w:pPr>
              <w:jc w:val="right"/>
              <w:rPr>
                <w:sz w:val="20"/>
                <w:szCs w:val="22"/>
                <w:lang w:val="es-ES_tradnl"/>
              </w:rPr>
            </w:pPr>
            <w:r>
              <w:rPr>
                <w:sz w:val="20"/>
                <w:szCs w:val="22"/>
                <w:lang w:val="es-ES_tradnl"/>
              </w:rPr>
              <w:t>243.222</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 xml:space="preserve">   Total</w:t>
            </w:r>
          </w:p>
        </w:tc>
        <w:tc>
          <w:tcPr>
            <w:tcW w:w="842" w:type="dxa"/>
          </w:tcPr>
          <w:p w:rsidR="00000000" w:rsidRDefault="00000000">
            <w:pPr>
              <w:jc w:val="right"/>
              <w:rPr>
                <w:sz w:val="20"/>
                <w:szCs w:val="22"/>
                <w:lang w:val="es-ES_tradnl"/>
              </w:rPr>
            </w:pPr>
            <w:r>
              <w:rPr>
                <w:sz w:val="20"/>
                <w:szCs w:val="22"/>
                <w:lang w:val="es-ES_tradnl"/>
              </w:rPr>
              <w:t>126.342</w:t>
            </w:r>
          </w:p>
        </w:tc>
        <w:tc>
          <w:tcPr>
            <w:tcW w:w="804" w:type="dxa"/>
          </w:tcPr>
          <w:p w:rsidR="00000000" w:rsidRDefault="00000000">
            <w:pPr>
              <w:jc w:val="right"/>
              <w:rPr>
                <w:sz w:val="20"/>
                <w:szCs w:val="22"/>
                <w:lang w:val="es-ES_tradnl"/>
              </w:rPr>
            </w:pPr>
            <w:r>
              <w:rPr>
                <w:sz w:val="20"/>
                <w:szCs w:val="22"/>
                <w:lang w:val="es-ES_tradnl"/>
              </w:rPr>
              <w:t>30.430</w:t>
            </w:r>
          </w:p>
        </w:tc>
        <w:tc>
          <w:tcPr>
            <w:tcW w:w="824" w:type="dxa"/>
          </w:tcPr>
          <w:p w:rsidR="00000000" w:rsidRDefault="00000000">
            <w:pPr>
              <w:jc w:val="right"/>
              <w:rPr>
                <w:sz w:val="20"/>
                <w:szCs w:val="22"/>
                <w:lang w:val="es-ES_tradnl"/>
              </w:rPr>
            </w:pPr>
            <w:r>
              <w:rPr>
                <w:sz w:val="20"/>
                <w:szCs w:val="22"/>
                <w:lang w:val="es-ES_tradnl"/>
              </w:rPr>
              <w:t>156.772</w:t>
            </w:r>
          </w:p>
        </w:tc>
        <w:tc>
          <w:tcPr>
            <w:tcW w:w="940" w:type="dxa"/>
          </w:tcPr>
          <w:p w:rsidR="00000000" w:rsidRDefault="00000000">
            <w:pPr>
              <w:jc w:val="right"/>
              <w:rPr>
                <w:sz w:val="20"/>
                <w:szCs w:val="22"/>
                <w:lang w:val="es-ES_tradnl"/>
              </w:rPr>
            </w:pPr>
            <w:r>
              <w:rPr>
                <w:sz w:val="20"/>
                <w:szCs w:val="22"/>
                <w:lang w:val="es-ES_tradnl"/>
              </w:rPr>
              <w:t>1.086.235</w:t>
            </w:r>
          </w:p>
        </w:tc>
        <w:tc>
          <w:tcPr>
            <w:tcW w:w="830" w:type="dxa"/>
          </w:tcPr>
          <w:p w:rsidR="00000000" w:rsidRDefault="00000000">
            <w:pPr>
              <w:jc w:val="right"/>
              <w:rPr>
                <w:sz w:val="20"/>
                <w:szCs w:val="22"/>
                <w:lang w:val="es-ES_tradnl"/>
              </w:rPr>
            </w:pPr>
            <w:r>
              <w:rPr>
                <w:sz w:val="20"/>
                <w:szCs w:val="22"/>
                <w:lang w:val="es-ES_tradnl"/>
              </w:rPr>
              <w:t>801.937</w:t>
            </w:r>
          </w:p>
        </w:tc>
        <w:tc>
          <w:tcPr>
            <w:tcW w:w="940" w:type="dxa"/>
          </w:tcPr>
          <w:p w:rsidR="00000000" w:rsidRDefault="00000000">
            <w:pPr>
              <w:jc w:val="right"/>
              <w:rPr>
                <w:sz w:val="20"/>
                <w:szCs w:val="22"/>
                <w:lang w:val="es-ES_tradnl"/>
              </w:rPr>
            </w:pPr>
            <w:r>
              <w:rPr>
                <w:sz w:val="20"/>
                <w:szCs w:val="22"/>
                <w:lang w:val="es-ES_tradnl"/>
              </w:rPr>
              <w:t>1.888.172</w:t>
            </w:r>
          </w:p>
        </w:tc>
        <w:tc>
          <w:tcPr>
            <w:tcW w:w="845" w:type="dxa"/>
          </w:tcPr>
          <w:p w:rsidR="00000000" w:rsidRDefault="00000000">
            <w:pPr>
              <w:jc w:val="right"/>
              <w:rPr>
                <w:sz w:val="20"/>
                <w:szCs w:val="22"/>
                <w:lang w:val="es-ES_tradnl"/>
              </w:rPr>
            </w:pPr>
            <w:r>
              <w:rPr>
                <w:sz w:val="20"/>
                <w:szCs w:val="22"/>
                <w:lang w:val="es-ES_tradnl"/>
              </w:rPr>
              <w:t>422.623</w:t>
            </w:r>
          </w:p>
        </w:tc>
        <w:tc>
          <w:tcPr>
            <w:tcW w:w="805" w:type="dxa"/>
          </w:tcPr>
          <w:p w:rsidR="00000000" w:rsidRDefault="00000000">
            <w:pPr>
              <w:jc w:val="right"/>
              <w:rPr>
                <w:sz w:val="20"/>
                <w:szCs w:val="22"/>
                <w:lang w:val="es-ES_tradnl"/>
              </w:rPr>
            </w:pPr>
            <w:r>
              <w:rPr>
                <w:sz w:val="20"/>
                <w:szCs w:val="22"/>
                <w:lang w:val="es-ES_tradnl"/>
              </w:rPr>
              <w:t>76.679</w:t>
            </w:r>
          </w:p>
        </w:tc>
        <w:tc>
          <w:tcPr>
            <w:tcW w:w="790" w:type="dxa"/>
          </w:tcPr>
          <w:p w:rsidR="00000000" w:rsidRDefault="00000000">
            <w:pPr>
              <w:jc w:val="right"/>
              <w:rPr>
                <w:sz w:val="20"/>
                <w:szCs w:val="22"/>
                <w:lang w:val="es-ES_tradnl"/>
              </w:rPr>
            </w:pPr>
            <w:r>
              <w:rPr>
                <w:sz w:val="20"/>
                <w:szCs w:val="22"/>
                <w:lang w:val="es-ES_tradnl"/>
              </w:rPr>
              <w:t>499.302</w:t>
            </w:r>
          </w:p>
        </w:tc>
      </w:tr>
      <w:tr w:rsidR="00000000">
        <w:tblPrEx>
          <w:tblCellMar>
            <w:top w:w="0" w:type="dxa"/>
            <w:bottom w:w="0" w:type="dxa"/>
          </w:tblCellMar>
        </w:tblPrEx>
        <w:trPr>
          <w:cantSplit/>
        </w:trPr>
        <w:tc>
          <w:tcPr>
            <w:tcW w:w="930" w:type="dxa"/>
            <w:vMerge w:val="restart"/>
          </w:tcPr>
          <w:p w:rsidR="00000000" w:rsidRDefault="00000000">
            <w:pPr>
              <w:rPr>
                <w:sz w:val="20"/>
                <w:szCs w:val="22"/>
                <w:lang w:val="es-ES_tradnl"/>
              </w:rPr>
            </w:pPr>
            <w:r>
              <w:rPr>
                <w:sz w:val="20"/>
                <w:szCs w:val="22"/>
                <w:lang w:val="es-ES_tradnl"/>
              </w:rPr>
              <w:t>1997/98</w:t>
            </w:r>
          </w:p>
        </w:tc>
        <w:tc>
          <w:tcPr>
            <w:tcW w:w="875" w:type="dxa"/>
          </w:tcPr>
          <w:p w:rsidR="00000000" w:rsidRDefault="00000000">
            <w:pPr>
              <w:rPr>
                <w:sz w:val="20"/>
                <w:szCs w:val="22"/>
                <w:lang w:val="es-ES_tradnl"/>
              </w:rPr>
            </w:pPr>
            <w:r>
              <w:rPr>
                <w:sz w:val="20"/>
                <w:szCs w:val="22"/>
                <w:lang w:val="es-ES_tradnl"/>
              </w:rPr>
              <w:t>Hombres</w:t>
            </w:r>
          </w:p>
        </w:tc>
        <w:tc>
          <w:tcPr>
            <w:tcW w:w="842" w:type="dxa"/>
          </w:tcPr>
          <w:p w:rsidR="00000000" w:rsidRDefault="00000000">
            <w:pPr>
              <w:jc w:val="right"/>
              <w:rPr>
                <w:sz w:val="20"/>
                <w:szCs w:val="22"/>
                <w:lang w:val="es-ES_tradnl"/>
              </w:rPr>
            </w:pPr>
            <w:r>
              <w:rPr>
                <w:sz w:val="20"/>
                <w:szCs w:val="22"/>
                <w:lang w:val="es-ES_tradnl"/>
              </w:rPr>
              <w:t>66.920</w:t>
            </w:r>
          </w:p>
        </w:tc>
        <w:tc>
          <w:tcPr>
            <w:tcW w:w="804" w:type="dxa"/>
          </w:tcPr>
          <w:p w:rsidR="00000000" w:rsidRDefault="00000000">
            <w:pPr>
              <w:jc w:val="right"/>
              <w:rPr>
                <w:sz w:val="20"/>
                <w:szCs w:val="22"/>
                <w:lang w:val="es-ES_tradnl"/>
              </w:rPr>
            </w:pPr>
            <w:r>
              <w:rPr>
                <w:sz w:val="20"/>
                <w:szCs w:val="22"/>
                <w:lang w:val="es-ES_tradnl"/>
              </w:rPr>
              <w:t>17.007</w:t>
            </w:r>
          </w:p>
        </w:tc>
        <w:tc>
          <w:tcPr>
            <w:tcW w:w="824" w:type="dxa"/>
          </w:tcPr>
          <w:p w:rsidR="00000000" w:rsidRDefault="00000000">
            <w:pPr>
              <w:jc w:val="right"/>
              <w:rPr>
                <w:sz w:val="20"/>
                <w:szCs w:val="22"/>
                <w:lang w:val="es-ES_tradnl"/>
              </w:rPr>
            </w:pPr>
            <w:r>
              <w:rPr>
                <w:sz w:val="20"/>
                <w:szCs w:val="22"/>
                <w:lang w:val="es-ES_tradnl"/>
              </w:rPr>
              <w:t>83.927</w:t>
            </w:r>
          </w:p>
        </w:tc>
        <w:tc>
          <w:tcPr>
            <w:tcW w:w="940" w:type="dxa"/>
          </w:tcPr>
          <w:p w:rsidR="00000000" w:rsidRDefault="00000000">
            <w:pPr>
              <w:jc w:val="right"/>
              <w:rPr>
                <w:sz w:val="20"/>
                <w:szCs w:val="22"/>
                <w:lang w:val="es-ES_tradnl"/>
              </w:rPr>
            </w:pPr>
            <w:r>
              <w:rPr>
                <w:sz w:val="20"/>
                <w:szCs w:val="22"/>
                <w:lang w:val="es-ES_tradnl"/>
              </w:rPr>
              <w:t>553.101</w:t>
            </w:r>
          </w:p>
        </w:tc>
        <w:tc>
          <w:tcPr>
            <w:tcW w:w="830" w:type="dxa"/>
          </w:tcPr>
          <w:p w:rsidR="00000000" w:rsidRDefault="00000000">
            <w:pPr>
              <w:jc w:val="right"/>
              <w:rPr>
                <w:sz w:val="20"/>
                <w:szCs w:val="22"/>
                <w:lang w:val="es-ES_tradnl"/>
              </w:rPr>
            </w:pPr>
            <w:r>
              <w:rPr>
                <w:sz w:val="20"/>
                <w:szCs w:val="22"/>
                <w:lang w:val="es-ES_tradnl"/>
              </w:rPr>
              <w:t>406.000</w:t>
            </w:r>
          </w:p>
        </w:tc>
        <w:tc>
          <w:tcPr>
            <w:tcW w:w="940" w:type="dxa"/>
          </w:tcPr>
          <w:p w:rsidR="00000000" w:rsidRDefault="00000000">
            <w:pPr>
              <w:jc w:val="right"/>
              <w:rPr>
                <w:sz w:val="20"/>
                <w:szCs w:val="22"/>
                <w:lang w:val="es-ES_tradnl"/>
              </w:rPr>
            </w:pPr>
            <w:r>
              <w:rPr>
                <w:sz w:val="20"/>
                <w:szCs w:val="22"/>
                <w:lang w:val="es-ES_tradnl"/>
              </w:rPr>
              <w:t>959.101</w:t>
            </w:r>
          </w:p>
        </w:tc>
        <w:tc>
          <w:tcPr>
            <w:tcW w:w="845" w:type="dxa"/>
          </w:tcPr>
          <w:p w:rsidR="00000000" w:rsidRDefault="00000000">
            <w:pPr>
              <w:jc w:val="right"/>
              <w:rPr>
                <w:sz w:val="20"/>
                <w:szCs w:val="22"/>
                <w:lang w:val="es-ES_tradnl"/>
              </w:rPr>
            </w:pPr>
            <w:r>
              <w:rPr>
                <w:sz w:val="20"/>
                <w:szCs w:val="22"/>
                <w:lang w:val="es-ES_tradnl"/>
              </w:rPr>
              <w:t>208.797</w:t>
            </w:r>
          </w:p>
        </w:tc>
        <w:tc>
          <w:tcPr>
            <w:tcW w:w="805" w:type="dxa"/>
          </w:tcPr>
          <w:p w:rsidR="00000000" w:rsidRDefault="00000000">
            <w:pPr>
              <w:jc w:val="right"/>
              <w:rPr>
                <w:sz w:val="20"/>
                <w:szCs w:val="22"/>
                <w:lang w:val="es-ES_tradnl"/>
              </w:rPr>
            </w:pPr>
            <w:r>
              <w:rPr>
                <w:sz w:val="20"/>
                <w:szCs w:val="22"/>
                <w:lang w:val="es-ES_tradnl"/>
              </w:rPr>
              <w:t>46.696</w:t>
            </w:r>
          </w:p>
        </w:tc>
        <w:tc>
          <w:tcPr>
            <w:tcW w:w="790" w:type="dxa"/>
          </w:tcPr>
          <w:p w:rsidR="00000000" w:rsidRDefault="00000000">
            <w:pPr>
              <w:jc w:val="right"/>
              <w:rPr>
                <w:sz w:val="20"/>
                <w:szCs w:val="22"/>
                <w:lang w:val="es-ES_tradnl"/>
              </w:rPr>
            </w:pPr>
            <w:r>
              <w:rPr>
                <w:sz w:val="20"/>
                <w:szCs w:val="22"/>
                <w:lang w:val="es-ES_tradnl"/>
              </w:rPr>
              <w:t>255.493</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Mujeres</w:t>
            </w:r>
          </w:p>
        </w:tc>
        <w:tc>
          <w:tcPr>
            <w:tcW w:w="842" w:type="dxa"/>
          </w:tcPr>
          <w:p w:rsidR="00000000" w:rsidRDefault="00000000">
            <w:pPr>
              <w:jc w:val="right"/>
              <w:rPr>
                <w:sz w:val="20"/>
                <w:szCs w:val="22"/>
                <w:lang w:val="es-ES_tradnl"/>
              </w:rPr>
            </w:pPr>
            <w:r>
              <w:rPr>
                <w:sz w:val="20"/>
                <w:szCs w:val="22"/>
                <w:lang w:val="es-ES_tradnl"/>
              </w:rPr>
              <w:t>67.354</w:t>
            </w:r>
          </w:p>
        </w:tc>
        <w:tc>
          <w:tcPr>
            <w:tcW w:w="804" w:type="dxa"/>
          </w:tcPr>
          <w:p w:rsidR="00000000" w:rsidRDefault="00000000">
            <w:pPr>
              <w:jc w:val="right"/>
              <w:rPr>
                <w:sz w:val="20"/>
                <w:szCs w:val="22"/>
                <w:lang w:val="es-ES_tradnl"/>
              </w:rPr>
            </w:pPr>
            <w:r>
              <w:rPr>
                <w:sz w:val="20"/>
                <w:szCs w:val="22"/>
                <w:lang w:val="es-ES_tradnl"/>
              </w:rPr>
              <w:t>16.847</w:t>
            </w:r>
          </w:p>
        </w:tc>
        <w:tc>
          <w:tcPr>
            <w:tcW w:w="824" w:type="dxa"/>
          </w:tcPr>
          <w:p w:rsidR="00000000" w:rsidRDefault="00000000">
            <w:pPr>
              <w:jc w:val="right"/>
              <w:rPr>
                <w:sz w:val="20"/>
                <w:szCs w:val="22"/>
                <w:lang w:val="es-ES_tradnl"/>
              </w:rPr>
            </w:pPr>
            <w:r>
              <w:rPr>
                <w:sz w:val="20"/>
                <w:szCs w:val="22"/>
                <w:lang w:val="es-ES_tradnl"/>
              </w:rPr>
              <w:t>84.201</w:t>
            </w:r>
          </w:p>
        </w:tc>
        <w:tc>
          <w:tcPr>
            <w:tcW w:w="940" w:type="dxa"/>
          </w:tcPr>
          <w:p w:rsidR="00000000" w:rsidRDefault="00000000">
            <w:pPr>
              <w:jc w:val="right"/>
              <w:rPr>
                <w:sz w:val="20"/>
                <w:szCs w:val="22"/>
                <w:lang w:val="es-ES_tradnl"/>
              </w:rPr>
            </w:pPr>
            <w:r>
              <w:rPr>
                <w:sz w:val="20"/>
                <w:szCs w:val="22"/>
                <w:lang w:val="es-ES_tradnl"/>
              </w:rPr>
              <w:t>544.943</w:t>
            </w:r>
          </w:p>
        </w:tc>
        <w:tc>
          <w:tcPr>
            <w:tcW w:w="830" w:type="dxa"/>
          </w:tcPr>
          <w:p w:rsidR="00000000" w:rsidRDefault="00000000">
            <w:pPr>
              <w:jc w:val="right"/>
              <w:rPr>
                <w:sz w:val="20"/>
                <w:szCs w:val="22"/>
                <w:lang w:val="es-ES_tradnl"/>
              </w:rPr>
            </w:pPr>
            <w:r>
              <w:rPr>
                <w:sz w:val="20"/>
                <w:szCs w:val="22"/>
                <w:lang w:val="es-ES_tradnl"/>
              </w:rPr>
              <w:t>378.901</w:t>
            </w:r>
          </w:p>
        </w:tc>
        <w:tc>
          <w:tcPr>
            <w:tcW w:w="940" w:type="dxa"/>
          </w:tcPr>
          <w:p w:rsidR="00000000" w:rsidRDefault="00000000">
            <w:pPr>
              <w:jc w:val="right"/>
              <w:rPr>
                <w:sz w:val="20"/>
                <w:szCs w:val="22"/>
                <w:lang w:val="es-ES_tradnl"/>
              </w:rPr>
            </w:pPr>
            <w:r>
              <w:rPr>
                <w:sz w:val="20"/>
                <w:szCs w:val="22"/>
                <w:lang w:val="es-ES_tradnl"/>
              </w:rPr>
              <w:t>923.844</w:t>
            </w:r>
          </w:p>
        </w:tc>
        <w:tc>
          <w:tcPr>
            <w:tcW w:w="845" w:type="dxa"/>
          </w:tcPr>
          <w:p w:rsidR="00000000" w:rsidRDefault="00000000">
            <w:pPr>
              <w:jc w:val="right"/>
              <w:rPr>
                <w:sz w:val="20"/>
                <w:szCs w:val="22"/>
                <w:lang w:val="es-ES_tradnl"/>
              </w:rPr>
            </w:pPr>
            <w:r>
              <w:rPr>
                <w:sz w:val="20"/>
                <w:szCs w:val="22"/>
                <w:lang w:val="es-ES_tradnl"/>
              </w:rPr>
              <w:t>209.329</w:t>
            </w:r>
          </w:p>
        </w:tc>
        <w:tc>
          <w:tcPr>
            <w:tcW w:w="805" w:type="dxa"/>
          </w:tcPr>
          <w:p w:rsidR="00000000" w:rsidRDefault="00000000">
            <w:pPr>
              <w:jc w:val="right"/>
              <w:rPr>
                <w:sz w:val="20"/>
                <w:szCs w:val="22"/>
                <w:lang w:val="es-ES_tradnl"/>
              </w:rPr>
            </w:pPr>
            <w:r>
              <w:rPr>
                <w:sz w:val="20"/>
                <w:szCs w:val="22"/>
                <w:lang w:val="es-ES_tradnl"/>
              </w:rPr>
              <w:t>34.020</w:t>
            </w:r>
          </w:p>
        </w:tc>
        <w:tc>
          <w:tcPr>
            <w:tcW w:w="790" w:type="dxa"/>
          </w:tcPr>
          <w:p w:rsidR="00000000" w:rsidRDefault="00000000">
            <w:pPr>
              <w:jc w:val="right"/>
              <w:rPr>
                <w:sz w:val="20"/>
                <w:szCs w:val="22"/>
                <w:lang w:val="es-ES_tradnl"/>
              </w:rPr>
            </w:pPr>
            <w:r>
              <w:rPr>
                <w:sz w:val="20"/>
                <w:szCs w:val="22"/>
                <w:lang w:val="es-ES_tradnl"/>
              </w:rPr>
              <w:t>243.349</w:t>
            </w:r>
          </w:p>
        </w:tc>
      </w:tr>
      <w:tr w:rsidR="00000000">
        <w:tblPrEx>
          <w:tblCellMar>
            <w:top w:w="0" w:type="dxa"/>
            <w:bottom w:w="0" w:type="dxa"/>
          </w:tblCellMar>
        </w:tblPrEx>
        <w:trPr>
          <w:cantSplit/>
        </w:trPr>
        <w:tc>
          <w:tcPr>
            <w:tcW w:w="930" w:type="dxa"/>
            <w:vMerge/>
          </w:tcPr>
          <w:p w:rsidR="00000000" w:rsidRDefault="00000000">
            <w:pPr>
              <w:rPr>
                <w:sz w:val="20"/>
                <w:szCs w:val="22"/>
                <w:lang w:val="es-ES_tradnl"/>
              </w:rPr>
            </w:pPr>
          </w:p>
        </w:tc>
        <w:tc>
          <w:tcPr>
            <w:tcW w:w="875" w:type="dxa"/>
          </w:tcPr>
          <w:p w:rsidR="00000000" w:rsidRDefault="00000000">
            <w:pPr>
              <w:rPr>
                <w:sz w:val="20"/>
                <w:szCs w:val="22"/>
                <w:lang w:val="es-ES_tradnl"/>
              </w:rPr>
            </w:pPr>
            <w:r>
              <w:rPr>
                <w:sz w:val="20"/>
                <w:szCs w:val="22"/>
                <w:lang w:val="es-ES_tradnl"/>
              </w:rPr>
              <w:t xml:space="preserve">   Total</w:t>
            </w:r>
          </w:p>
        </w:tc>
        <w:tc>
          <w:tcPr>
            <w:tcW w:w="842" w:type="dxa"/>
          </w:tcPr>
          <w:p w:rsidR="00000000" w:rsidRDefault="00000000">
            <w:pPr>
              <w:jc w:val="right"/>
              <w:rPr>
                <w:sz w:val="20"/>
                <w:szCs w:val="22"/>
                <w:lang w:val="es-ES_tradnl"/>
              </w:rPr>
            </w:pPr>
            <w:r>
              <w:rPr>
                <w:sz w:val="20"/>
                <w:szCs w:val="22"/>
                <w:lang w:val="es-ES_tradnl"/>
              </w:rPr>
              <w:t>134.274</w:t>
            </w:r>
          </w:p>
        </w:tc>
        <w:tc>
          <w:tcPr>
            <w:tcW w:w="804" w:type="dxa"/>
          </w:tcPr>
          <w:p w:rsidR="00000000" w:rsidRDefault="00000000">
            <w:pPr>
              <w:jc w:val="right"/>
              <w:rPr>
                <w:sz w:val="20"/>
                <w:szCs w:val="22"/>
                <w:lang w:val="es-ES_tradnl"/>
              </w:rPr>
            </w:pPr>
            <w:r>
              <w:rPr>
                <w:sz w:val="20"/>
                <w:szCs w:val="22"/>
                <w:lang w:val="es-ES_tradnl"/>
              </w:rPr>
              <w:t>33.854</w:t>
            </w:r>
          </w:p>
        </w:tc>
        <w:tc>
          <w:tcPr>
            <w:tcW w:w="824" w:type="dxa"/>
          </w:tcPr>
          <w:p w:rsidR="00000000" w:rsidRDefault="00000000">
            <w:pPr>
              <w:jc w:val="right"/>
              <w:rPr>
                <w:sz w:val="20"/>
                <w:szCs w:val="22"/>
                <w:lang w:val="es-ES_tradnl"/>
              </w:rPr>
            </w:pPr>
            <w:r>
              <w:rPr>
                <w:sz w:val="20"/>
                <w:szCs w:val="22"/>
                <w:lang w:val="es-ES_tradnl"/>
              </w:rPr>
              <w:t>168.128</w:t>
            </w:r>
          </w:p>
        </w:tc>
        <w:tc>
          <w:tcPr>
            <w:tcW w:w="940" w:type="dxa"/>
          </w:tcPr>
          <w:p w:rsidR="00000000" w:rsidRDefault="00000000">
            <w:pPr>
              <w:jc w:val="right"/>
              <w:rPr>
                <w:sz w:val="20"/>
                <w:szCs w:val="22"/>
                <w:lang w:val="es-ES_tradnl"/>
              </w:rPr>
            </w:pPr>
            <w:r>
              <w:rPr>
                <w:sz w:val="20"/>
                <w:szCs w:val="22"/>
                <w:lang w:val="es-ES_tradnl"/>
              </w:rPr>
              <w:t>1.098.044</w:t>
            </w:r>
          </w:p>
        </w:tc>
        <w:tc>
          <w:tcPr>
            <w:tcW w:w="830" w:type="dxa"/>
          </w:tcPr>
          <w:p w:rsidR="00000000" w:rsidRDefault="00000000">
            <w:pPr>
              <w:jc w:val="right"/>
              <w:rPr>
                <w:sz w:val="20"/>
                <w:szCs w:val="22"/>
                <w:lang w:val="es-ES_tradnl"/>
              </w:rPr>
            </w:pPr>
            <w:r>
              <w:rPr>
                <w:sz w:val="20"/>
                <w:szCs w:val="22"/>
                <w:lang w:val="es-ES_tradnl"/>
              </w:rPr>
              <w:t>784.901</w:t>
            </w:r>
          </w:p>
        </w:tc>
        <w:tc>
          <w:tcPr>
            <w:tcW w:w="940" w:type="dxa"/>
          </w:tcPr>
          <w:p w:rsidR="00000000" w:rsidRDefault="00000000">
            <w:pPr>
              <w:jc w:val="right"/>
              <w:rPr>
                <w:sz w:val="20"/>
                <w:szCs w:val="22"/>
                <w:lang w:val="es-ES_tradnl"/>
              </w:rPr>
            </w:pPr>
            <w:r>
              <w:rPr>
                <w:sz w:val="20"/>
                <w:szCs w:val="22"/>
                <w:lang w:val="es-ES_tradnl"/>
              </w:rPr>
              <w:t>1.882.945</w:t>
            </w:r>
          </w:p>
        </w:tc>
        <w:tc>
          <w:tcPr>
            <w:tcW w:w="845" w:type="dxa"/>
          </w:tcPr>
          <w:p w:rsidR="00000000" w:rsidRDefault="00000000">
            <w:pPr>
              <w:jc w:val="right"/>
              <w:rPr>
                <w:sz w:val="20"/>
                <w:szCs w:val="22"/>
                <w:lang w:val="es-ES_tradnl"/>
              </w:rPr>
            </w:pPr>
            <w:r>
              <w:rPr>
                <w:sz w:val="20"/>
                <w:szCs w:val="22"/>
                <w:lang w:val="es-ES_tradnl"/>
              </w:rPr>
              <w:t>418.126</w:t>
            </w:r>
          </w:p>
        </w:tc>
        <w:tc>
          <w:tcPr>
            <w:tcW w:w="805" w:type="dxa"/>
          </w:tcPr>
          <w:p w:rsidR="00000000" w:rsidRDefault="00000000">
            <w:pPr>
              <w:jc w:val="right"/>
              <w:rPr>
                <w:sz w:val="20"/>
                <w:szCs w:val="22"/>
                <w:lang w:val="es-ES_tradnl"/>
              </w:rPr>
            </w:pPr>
            <w:r>
              <w:rPr>
                <w:sz w:val="20"/>
                <w:szCs w:val="22"/>
                <w:lang w:val="es-ES_tradnl"/>
              </w:rPr>
              <w:t>80.716</w:t>
            </w:r>
          </w:p>
        </w:tc>
        <w:tc>
          <w:tcPr>
            <w:tcW w:w="790" w:type="dxa"/>
          </w:tcPr>
          <w:p w:rsidR="00000000" w:rsidRDefault="00000000">
            <w:pPr>
              <w:jc w:val="right"/>
              <w:rPr>
                <w:sz w:val="20"/>
                <w:szCs w:val="22"/>
                <w:lang w:val="es-ES_tradnl"/>
              </w:rPr>
            </w:pPr>
            <w:r>
              <w:rPr>
                <w:sz w:val="20"/>
                <w:szCs w:val="22"/>
                <w:lang w:val="es-ES_tradnl"/>
              </w:rPr>
              <w:t>498.842</w:t>
            </w:r>
          </w:p>
        </w:tc>
      </w:tr>
    </w:tbl>
    <w:p w:rsidR="00000000" w:rsidRDefault="00000000">
      <w:pPr>
        <w:spacing w:before="120" w:after="200"/>
        <w:rPr>
          <w:sz w:val="20"/>
          <w:szCs w:val="22"/>
          <w:lang w:val="es-ES_tradnl"/>
        </w:rPr>
      </w:pPr>
      <w:r>
        <w:rPr>
          <w:i/>
          <w:iCs/>
          <w:sz w:val="20"/>
          <w:szCs w:val="22"/>
          <w:lang w:val="es-ES_tradnl"/>
        </w:rPr>
        <w:t>Fuente</w:t>
      </w:r>
      <w:r>
        <w:rPr>
          <w:sz w:val="20"/>
          <w:szCs w:val="22"/>
          <w:lang w:val="es-ES_tradnl"/>
        </w:rPr>
        <w:t>:  Sistema Nacional de Estadísticas Educativas del Ecuador (</w:t>
      </w:r>
      <w:proofErr w:type="spellStart"/>
      <w:r>
        <w:rPr>
          <w:sz w:val="20"/>
          <w:szCs w:val="22"/>
          <w:lang w:val="es-ES_tradnl"/>
        </w:rPr>
        <w:t>SINEC</w:t>
      </w:r>
      <w:proofErr w:type="spellEnd"/>
      <w:r>
        <w:rPr>
          <w:sz w:val="20"/>
          <w:szCs w:val="22"/>
          <w:lang w:val="es-ES_tradnl"/>
        </w:rPr>
        <w:t>).</w:t>
      </w:r>
    </w:p>
    <w:p w:rsidR="00000000" w:rsidRDefault="00000000">
      <w:pPr>
        <w:spacing w:before="120" w:after="240"/>
        <w:rPr>
          <w:sz w:val="20"/>
        </w:rPr>
      </w:pPr>
      <w:r>
        <w:rPr>
          <w:i/>
          <w:iCs/>
          <w:sz w:val="20"/>
          <w:szCs w:val="22"/>
          <w:lang w:val="es-ES_tradnl"/>
        </w:rPr>
        <w:t>Nota</w:t>
      </w:r>
      <w:r>
        <w:rPr>
          <w:sz w:val="20"/>
          <w:szCs w:val="22"/>
          <w:lang w:val="es-ES_tradnl"/>
        </w:rPr>
        <w:t>:  Elaboración:  Equipo de Estadísticas del Ministerio de Educación y Cultura.</w:t>
      </w:r>
    </w:p>
    <w:p w:rsidR="00000000" w:rsidRDefault="00000000">
      <w:pPr>
        <w:spacing w:after="240"/>
        <w:jc w:val="center"/>
        <w:rPr>
          <w:b/>
          <w:bCs/>
          <w:szCs w:val="22"/>
          <w:lang w:val="es-ES_tradnl"/>
        </w:rPr>
      </w:pPr>
      <w:r>
        <w:rPr>
          <w:b/>
          <w:bCs/>
          <w:szCs w:val="22"/>
          <w:lang w:val="es-ES_tradnl"/>
        </w:rPr>
        <w:t xml:space="preserve">Alumnos promovidos de la educación regular en el nivel </w:t>
      </w:r>
      <w:proofErr w:type="spellStart"/>
      <w:r>
        <w:rPr>
          <w:b/>
          <w:bCs/>
          <w:szCs w:val="22"/>
          <w:lang w:val="es-ES_tradnl"/>
        </w:rPr>
        <w:t>preprimario</w:t>
      </w:r>
      <w:proofErr w:type="spellEnd"/>
      <w:r>
        <w:rPr>
          <w:b/>
          <w:bCs/>
          <w:szCs w:val="22"/>
          <w:lang w:val="es-ES_tradnl"/>
        </w:rPr>
        <w:br/>
        <w:t>por zona, según años escolares y sexo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1"/>
        <w:gridCol w:w="1020"/>
        <w:gridCol w:w="1137"/>
        <w:gridCol w:w="1343"/>
        <w:gridCol w:w="1212"/>
        <w:gridCol w:w="1137"/>
        <w:gridCol w:w="1343"/>
        <w:gridCol w:w="1212"/>
      </w:tblGrid>
      <w:tr w:rsidR="00000000">
        <w:tblPrEx>
          <w:tblCellMar>
            <w:top w:w="0" w:type="dxa"/>
            <w:bottom w:w="0" w:type="dxa"/>
          </w:tblCellMar>
        </w:tblPrEx>
        <w:trPr>
          <w:cantSplit/>
        </w:trPr>
        <w:tc>
          <w:tcPr>
            <w:tcW w:w="1021" w:type="dxa"/>
            <w:vMerge w:val="restart"/>
            <w:vAlign w:val="center"/>
          </w:tcPr>
          <w:p w:rsidR="00000000" w:rsidRDefault="00000000">
            <w:pPr>
              <w:jc w:val="center"/>
            </w:pPr>
            <w:r>
              <w:t>Años escolares</w:t>
            </w:r>
          </w:p>
        </w:tc>
        <w:tc>
          <w:tcPr>
            <w:tcW w:w="8404" w:type="dxa"/>
            <w:gridSpan w:val="7"/>
            <w:vAlign w:val="center"/>
          </w:tcPr>
          <w:p w:rsidR="00000000" w:rsidRDefault="00000000">
            <w:pPr>
              <w:jc w:val="center"/>
            </w:pPr>
            <w:proofErr w:type="spellStart"/>
            <w:r>
              <w:t>Preprimaria</w:t>
            </w:r>
            <w:proofErr w:type="spellEnd"/>
          </w:p>
        </w:tc>
      </w:tr>
      <w:tr w:rsidR="00000000">
        <w:tblPrEx>
          <w:tblCellMar>
            <w:top w:w="0" w:type="dxa"/>
            <w:bottom w:w="0" w:type="dxa"/>
          </w:tblCellMar>
        </w:tblPrEx>
        <w:trPr>
          <w:cantSplit/>
        </w:trPr>
        <w:tc>
          <w:tcPr>
            <w:tcW w:w="1021" w:type="dxa"/>
            <w:vMerge/>
            <w:vAlign w:val="center"/>
          </w:tcPr>
          <w:p w:rsidR="00000000" w:rsidRDefault="00000000">
            <w:pPr>
              <w:jc w:val="center"/>
            </w:pPr>
          </w:p>
        </w:tc>
        <w:tc>
          <w:tcPr>
            <w:tcW w:w="1020" w:type="dxa"/>
            <w:vAlign w:val="center"/>
          </w:tcPr>
          <w:p w:rsidR="00000000" w:rsidRDefault="00000000">
            <w:pPr>
              <w:jc w:val="center"/>
            </w:pPr>
            <w:r>
              <w:t>Sexo</w:t>
            </w:r>
          </w:p>
        </w:tc>
        <w:tc>
          <w:tcPr>
            <w:tcW w:w="1137" w:type="dxa"/>
            <w:vAlign w:val="center"/>
          </w:tcPr>
          <w:p w:rsidR="00000000" w:rsidRDefault="00000000">
            <w:pPr>
              <w:jc w:val="center"/>
            </w:pPr>
            <w:r>
              <w:t>Matrícula neta urbana</w:t>
            </w:r>
          </w:p>
        </w:tc>
        <w:tc>
          <w:tcPr>
            <w:tcW w:w="1343" w:type="dxa"/>
            <w:vAlign w:val="center"/>
          </w:tcPr>
          <w:p w:rsidR="00000000" w:rsidRDefault="00000000">
            <w:pPr>
              <w:jc w:val="center"/>
            </w:pPr>
            <w:r>
              <w:t>Promovidos urbana</w:t>
            </w:r>
            <w:r>
              <w:rPr>
                <w:b/>
                <w:bCs/>
              </w:rPr>
              <w:t>*</w:t>
            </w:r>
          </w:p>
        </w:tc>
        <w:tc>
          <w:tcPr>
            <w:tcW w:w="1212" w:type="dxa"/>
            <w:vAlign w:val="center"/>
          </w:tcPr>
          <w:p w:rsidR="00000000" w:rsidRDefault="00000000">
            <w:pPr>
              <w:jc w:val="center"/>
            </w:pPr>
            <w:r>
              <w:t>Porcentaje</w:t>
            </w:r>
          </w:p>
        </w:tc>
        <w:tc>
          <w:tcPr>
            <w:tcW w:w="1137" w:type="dxa"/>
            <w:vAlign w:val="center"/>
          </w:tcPr>
          <w:p w:rsidR="00000000" w:rsidRDefault="00000000">
            <w:pPr>
              <w:jc w:val="center"/>
            </w:pPr>
            <w:r>
              <w:t>Matrícula neta rural</w:t>
            </w:r>
          </w:p>
        </w:tc>
        <w:tc>
          <w:tcPr>
            <w:tcW w:w="1343" w:type="dxa"/>
            <w:vAlign w:val="center"/>
          </w:tcPr>
          <w:p w:rsidR="00000000" w:rsidRDefault="00000000">
            <w:pPr>
              <w:jc w:val="center"/>
            </w:pPr>
            <w:r>
              <w:t>Promovidos rural</w:t>
            </w:r>
          </w:p>
        </w:tc>
        <w:tc>
          <w:tcPr>
            <w:tcW w:w="1212" w:type="dxa"/>
            <w:vAlign w:val="center"/>
          </w:tcPr>
          <w:p w:rsidR="00000000" w:rsidRDefault="00000000">
            <w:pPr>
              <w:jc w:val="center"/>
            </w:pPr>
            <w:r>
              <w:t>Porcentaje</w:t>
            </w:r>
          </w:p>
        </w:tc>
      </w:tr>
      <w:tr w:rsidR="00000000">
        <w:tblPrEx>
          <w:tblCellMar>
            <w:top w:w="0" w:type="dxa"/>
            <w:bottom w:w="0" w:type="dxa"/>
          </w:tblCellMar>
        </w:tblPrEx>
        <w:trPr>
          <w:cantSplit/>
        </w:trPr>
        <w:tc>
          <w:tcPr>
            <w:tcW w:w="1021" w:type="dxa"/>
            <w:vMerge w:val="restart"/>
          </w:tcPr>
          <w:p w:rsidR="00000000" w:rsidRDefault="00000000">
            <w:r>
              <w:t>1993/94</w:t>
            </w:r>
          </w:p>
        </w:tc>
        <w:tc>
          <w:tcPr>
            <w:tcW w:w="1020" w:type="dxa"/>
          </w:tcPr>
          <w:p w:rsidR="00000000" w:rsidRDefault="00000000">
            <w:r>
              <w:t>Hombres</w:t>
            </w:r>
          </w:p>
        </w:tc>
        <w:tc>
          <w:tcPr>
            <w:tcW w:w="1137" w:type="dxa"/>
          </w:tcPr>
          <w:p w:rsidR="00000000" w:rsidRDefault="00000000">
            <w:pPr>
              <w:jc w:val="right"/>
            </w:pPr>
            <w:r>
              <w:t>50.854</w:t>
            </w:r>
          </w:p>
        </w:tc>
        <w:tc>
          <w:tcPr>
            <w:tcW w:w="1343" w:type="dxa"/>
          </w:tcPr>
          <w:p w:rsidR="00000000" w:rsidRDefault="00000000">
            <w:pPr>
              <w:jc w:val="right"/>
            </w:pPr>
            <w:r>
              <w:t>48.366</w:t>
            </w:r>
          </w:p>
        </w:tc>
        <w:tc>
          <w:tcPr>
            <w:tcW w:w="1212" w:type="dxa"/>
          </w:tcPr>
          <w:p w:rsidR="00000000" w:rsidRDefault="00000000">
            <w:pPr>
              <w:jc w:val="right"/>
            </w:pPr>
            <w:r>
              <w:t>95,11</w:t>
            </w:r>
          </w:p>
        </w:tc>
        <w:tc>
          <w:tcPr>
            <w:tcW w:w="1137" w:type="dxa"/>
          </w:tcPr>
          <w:p w:rsidR="00000000" w:rsidRDefault="00000000">
            <w:pPr>
              <w:jc w:val="right"/>
            </w:pPr>
            <w:r>
              <w:t>11.222</w:t>
            </w:r>
          </w:p>
        </w:tc>
        <w:tc>
          <w:tcPr>
            <w:tcW w:w="1343" w:type="dxa"/>
          </w:tcPr>
          <w:p w:rsidR="00000000" w:rsidRDefault="00000000">
            <w:pPr>
              <w:jc w:val="right"/>
            </w:pPr>
            <w:r>
              <w:t>10.562</w:t>
            </w:r>
          </w:p>
        </w:tc>
        <w:tc>
          <w:tcPr>
            <w:tcW w:w="1212" w:type="dxa"/>
          </w:tcPr>
          <w:p w:rsidR="00000000" w:rsidRDefault="00000000">
            <w:pPr>
              <w:jc w:val="right"/>
            </w:pPr>
            <w:r>
              <w:t>94,12</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Mujeres</w:t>
            </w:r>
          </w:p>
        </w:tc>
        <w:tc>
          <w:tcPr>
            <w:tcW w:w="1137" w:type="dxa"/>
          </w:tcPr>
          <w:p w:rsidR="00000000" w:rsidRDefault="00000000">
            <w:pPr>
              <w:jc w:val="right"/>
            </w:pPr>
            <w:r>
              <w:t>51.079</w:t>
            </w:r>
          </w:p>
        </w:tc>
        <w:tc>
          <w:tcPr>
            <w:tcW w:w="1343" w:type="dxa"/>
          </w:tcPr>
          <w:p w:rsidR="00000000" w:rsidRDefault="00000000">
            <w:pPr>
              <w:jc w:val="right"/>
            </w:pPr>
            <w:r>
              <w:t>48.681</w:t>
            </w:r>
          </w:p>
        </w:tc>
        <w:tc>
          <w:tcPr>
            <w:tcW w:w="1212" w:type="dxa"/>
          </w:tcPr>
          <w:p w:rsidR="00000000" w:rsidRDefault="00000000">
            <w:pPr>
              <w:jc w:val="right"/>
            </w:pPr>
            <w:r>
              <w:t>95,31</w:t>
            </w:r>
          </w:p>
        </w:tc>
        <w:tc>
          <w:tcPr>
            <w:tcW w:w="1137" w:type="dxa"/>
          </w:tcPr>
          <w:p w:rsidR="00000000" w:rsidRDefault="00000000">
            <w:pPr>
              <w:jc w:val="right"/>
            </w:pPr>
            <w:r>
              <w:t>11.281</w:t>
            </w:r>
          </w:p>
        </w:tc>
        <w:tc>
          <w:tcPr>
            <w:tcW w:w="1343" w:type="dxa"/>
          </w:tcPr>
          <w:p w:rsidR="00000000" w:rsidRDefault="00000000">
            <w:pPr>
              <w:jc w:val="right"/>
            </w:pPr>
            <w:r>
              <w:t>10.637</w:t>
            </w:r>
          </w:p>
        </w:tc>
        <w:tc>
          <w:tcPr>
            <w:tcW w:w="1212" w:type="dxa"/>
          </w:tcPr>
          <w:p w:rsidR="00000000" w:rsidRDefault="00000000">
            <w:pPr>
              <w:jc w:val="right"/>
            </w:pPr>
            <w:r>
              <w:t>94,29</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 xml:space="preserve">    Total</w:t>
            </w:r>
          </w:p>
        </w:tc>
        <w:tc>
          <w:tcPr>
            <w:tcW w:w="1137" w:type="dxa"/>
          </w:tcPr>
          <w:p w:rsidR="00000000" w:rsidRDefault="00000000">
            <w:pPr>
              <w:jc w:val="right"/>
            </w:pPr>
            <w:r>
              <w:t>101.933</w:t>
            </w:r>
          </w:p>
        </w:tc>
        <w:tc>
          <w:tcPr>
            <w:tcW w:w="1343" w:type="dxa"/>
          </w:tcPr>
          <w:p w:rsidR="00000000" w:rsidRDefault="00000000">
            <w:pPr>
              <w:jc w:val="right"/>
            </w:pPr>
            <w:r>
              <w:t>97.047</w:t>
            </w:r>
          </w:p>
        </w:tc>
        <w:tc>
          <w:tcPr>
            <w:tcW w:w="1212" w:type="dxa"/>
          </w:tcPr>
          <w:p w:rsidR="00000000" w:rsidRDefault="00000000">
            <w:pPr>
              <w:jc w:val="right"/>
            </w:pPr>
            <w:r>
              <w:t>95,21</w:t>
            </w:r>
          </w:p>
        </w:tc>
        <w:tc>
          <w:tcPr>
            <w:tcW w:w="1137" w:type="dxa"/>
          </w:tcPr>
          <w:p w:rsidR="00000000" w:rsidRDefault="00000000">
            <w:pPr>
              <w:jc w:val="right"/>
            </w:pPr>
            <w:r>
              <w:t>22.503</w:t>
            </w:r>
          </w:p>
        </w:tc>
        <w:tc>
          <w:tcPr>
            <w:tcW w:w="1343" w:type="dxa"/>
          </w:tcPr>
          <w:p w:rsidR="00000000" w:rsidRDefault="00000000">
            <w:pPr>
              <w:jc w:val="right"/>
            </w:pPr>
            <w:r>
              <w:t>21.199</w:t>
            </w:r>
          </w:p>
        </w:tc>
        <w:tc>
          <w:tcPr>
            <w:tcW w:w="1212" w:type="dxa"/>
          </w:tcPr>
          <w:p w:rsidR="00000000" w:rsidRDefault="00000000">
            <w:pPr>
              <w:jc w:val="right"/>
            </w:pPr>
            <w:r>
              <w:t>94,21</w:t>
            </w:r>
          </w:p>
        </w:tc>
      </w:tr>
      <w:tr w:rsidR="00000000">
        <w:tblPrEx>
          <w:tblCellMar>
            <w:top w:w="0" w:type="dxa"/>
            <w:bottom w:w="0" w:type="dxa"/>
          </w:tblCellMar>
        </w:tblPrEx>
        <w:trPr>
          <w:cantSplit/>
        </w:trPr>
        <w:tc>
          <w:tcPr>
            <w:tcW w:w="1021" w:type="dxa"/>
            <w:vMerge w:val="restart"/>
          </w:tcPr>
          <w:p w:rsidR="00000000" w:rsidRDefault="00000000">
            <w:r>
              <w:t>1994/95</w:t>
            </w:r>
          </w:p>
        </w:tc>
        <w:tc>
          <w:tcPr>
            <w:tcW w:w="1020" w:type="dxa"/>
          </w:tcPr>
          <w:p w:rsidR="00000000" w:rsidRDefault="00000000">
            <w:r>
              <w:t>Hombres</w:t>
            </w:r>
          </w:p>
        </w:tc>
        <w:tc>
          <w:tcPr>
            <w:tcW w:w="1137" w:type="dxa"/>
          </w:tcPr>
          <w:p w:rsidR="00000000" w:rsidRDefault="00000000">
            <w:pPr>
              <w:jc w:val="right"/>
            </w:pPr>
            <w:r>
              <w:t>55.843</w:t>
            </w:r>
          </w:p>
        </w:tc>
        <w:tc>
          <w:tcPr>
            <w:tcW w:w="1343" w:type="dxa"/>
          </w:tcPr>
          <w:p w:rsidR="00000000" w:rsidRDefault="00000000">
            <w:pPr>
              <w:jc w:val="right"/>
            </w:pPr>
            <w:r>
              <w:t>53.487</w:t>
            </w:r>
          </w:p>
        </w:tc>
        <w:tc>
          <w:tcPr>
            <w:tcW w:w="1212" w:type="dxa"/>
          </w:tcPr>
          <w:p w:rsidR="00000000" w:rsidRDefault="00000000">
            <w:pPr>
              <w:jc w:val="right"/>
            </w:pPr>
            <w:r>
              <w:t>95,78</w:t>
            </w:r>
          </w:p>
        </w:tc>
        <w:tc>
          <w:tcPr>
            <w:tcW w:w="1137" w:type="dxa"/>
          </w:tcPr>
          <w:p w:rsidR="00000000" w:rsidRDefault="00000000">
            <w:pPr>
              <w:jc w:val="right"/>
            </w:pPr>
            <w:r>
              <w:t>12.866</w:t>
            </w:r>
          </w:p>
        </w:tc>
        <w:tc>
          <w:tcPr>
            <w:tcW w:w="1343" w:type="dxa"/>
          </w:tcPr>
          <w:p w:rsidR="00000000" w:rsidRDefault="00000000">
            <w:pPr>
              <w:jc w:val="right"/>
            </w:pPr>
            <w:r>
              <w:t>12.259</w:t>
            </w:r>
          </w:p>
        </w:tc>
        <w:tc>
          <w:tcPr>
            <w:tcW w:w="1212" w:type="dxa"/>
          </w:tcPr>
          <w:p w:rsidR="00000000" w:rsidRDefault="00000000">
            <w:pPr>
              <w:jc w:val="right"/>
            </w:pPr>
            <w:r>
              <w:t>95,28</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Mujeres</w:t>
            </w:r>
          </w:p>
        </w:tc>
        <w:tc>
          <w:tcPr>
            <w:tcW w:w="1137" w:type="dxa"/>
          </w:tcPr>
          <w:p w:rsidR="00000000" w:rsidRDefault="00000000">
            <w:pPr>
              <w:jc w:val="right"/>
            </w:pPr>
            <w:r>
              <w:t>54.711</w:t>
            </w:r>
          </w:p>
        </w:tc>
        <w:tc>
          <w:tcPr>
            <w:tcW w:w="1343" w:type="dxa"/>
          </w:tcPr>
          <w:p w:rsidR="00000000" w:rsidRDefault="00000000">
            <w:pPr>
              <w:jc w:val="right"/>
            </w:pPr>
            <w:r>
              <w:t>52.348</w:t>
            </w:r>
          </w:p>
        </w:tc>
        <w:tc>
          <w:tcPr>
            <w:tcW w:w="1212" w:type="dxa"/>
          </w:tcPr>
          <w:p w:rsidR="00000000" w:rsidRDefault="00000000">
            <w:pPr>
              <w:jc w:val="right"/>
            </w:pPr>
            <w:r>
              <w:t>95,68</w:t>
            </w:r>
          </w:p>
        </w:tc>
        <w:tc>
          <w:tcPr>
            <w:tcW w:w="1137" w:type="dxa"/>
          </w:tcPr>
          <w:p w:rsidR="00000000" w:rsidRDefault="00000000">
            <w:pPr>
              <w:jc w:val="right"/>
            </w:pPr>
            <w:r>
              <w:t>12.738</w:t>
            </w:r>
          </w:p>
        </w:tc>
        <w:tc>
          <w:tcPr>
            <w:tcW w:w="1343" w:type="dxa"/>
          </w:tcPr>
          <w:p w:rsidR="00000000" w:rsidRDefault="00000000">
            <w:pPr>
              <w:jc w:val="right"/>
            </w:pPr>
            <w:r>
              <w:t>12.183</w:t>
            </w:r>
          </w:p>
        </w:tc>
        <w:tc>
          <w:tcPr>
            <w:tcW w:w="1212" w:type="dxa"/>
          </w:tcPr>
          <w:p w:rsidR="00000000" w:rsidRDefault="00000000">
            <w:pPr>
              <w:jc w:val="right"/>
            </w:pPr>
            <w:r>
              <w:t>95,64</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 xml:space="preserve">    Total</w:t>
            </w:r>
          </w:p>
        </w:tc>
        <w:tc>
          <w:tcPr>
            <w:tcW w:w="1137" w:type="dxa"/>
          </w:tcPr>
          <w:p w:rsidR="00000000" w:rsidRDefault="00000000">
            <w:pPr>
              <w:jc w:val="right"/>
            </w:pPr>
            <w:r>
              <w:t>110.554</w:t>
            </w:r>
          </w:p>
        </w:tc>
        <w:tc>
          <w:tcPr>
            <w:tcW w:w="1343" w:type="dxa"/>
          </w:tcPr>
          <w:p w:rsidR="00000000" w:rsidRDefault="00000000">
            <w:pPr>
              <w:jc w:val="right"/>
            </w:pPr>
            <w:r>
              <w:t>105.835</w:t>
            </w:r>
          </w:p>
        </w:tc>
        <w:tc>
          <w:tcPr>
            <w:tcW w:w="1212" w:type="dxa"/>
          </w:tcPr>
          <w:p w:rsidR="00000000" w:rsidRDefault="00000000">
            <w:pPr>
              <w:jc w:val="right"/>
            </w:pPr>
            <w:r>
              <w:t>95,73</w:t>
            </w:r>
          </w:p>
        </w:tc>
        <w:tc>
          <w:tcPr>
            <w:tcW w:w="1137" w:type="dxa"/>
          </w:tcPr>
          <w:p w:rsidR="00000000" w:rsidRDefault="00000000">
            <w:pPr>
              <w:jc w:val="right"/>
            </w:pPr>
            <w:r>
              <w:t>25.604</w:t>
            </w:r>
          </w:p>
        </w:tc>
        <w:tc>
          <w:tcPr>
            <w:tcW w:w="1343" w:type="dxa"/>
          </w:tcPr>
          <w:p w:rsidR="00000000" w:rsidRDefault="00000000">
            <w:pPr>
              <w:jc w:val="right"/>
            </w:pPr>
          </w:p>
        </w:tc>
        <w:tc>
          <w:tcPr>
            <w:tcW w:w="1212" w:type="dxa"/>
          </w:tcPr>
          <w:p w:rsidR="00000000" w:rsidRDefault="00000000">
            <w:pPr>
              <w:jc w:val="right"/>
            </w:pPr>
            <w:r>
              <w:t>0,00</w:t>
            </w:r>
          </w:p>
        </w:tc>
      </w:tr>
      <w:tr w:rsidR="00000000">
        <w:tblPrEx>
          <w:tblCellMar>
            <w:top w:w="0" w:type="dxa"/>
            <w:bottom w:w="0" w:type="dxa"/>
          </w:tblCellMar>
        </w:tblPrEx>
        <w:trPr>
          <w:cantSplit/>
        </w:trPr>
        <w:tc>
          <w:tcPr>
            <w:tcW w:w="1021" w:type="dxa"/>
            <w:vMerge w:val="restart"/>
          </w:tcPr>
          <w:p w:rsidR="00000000" w:rsidRDefault="00000000">
            <w:r>
              <w:t>1995/96</w:t>
            </w:r>
          </w:p>
        </w:tc>
        <w:tc>
          <w:tcPr>
            <w:tcW w:w="1020" w:type="dxa"/>
          </w:tcPr>
          <w:p w:rsidR="00000000" w:rsidRDefault="00000000">
            <w:r>
              <w:t>Hombres</w:t>
            </w:r>
          </w:p>
        </w:tc>
        <w:tc>
          <w:tcPr>
            <w:tcW w:w="1137" w:type="dxa"/>
          </w:tcPr>
          <w:p w:rsidR="00000000" w:rsidRDefault="00000000">
            <w:pPr>
              <w:jc w:val="right"/>
            </w:pPr>
            <w:r>
              <w:t>58.357</w:t>
            </w:r>
          </w:p>
        </w:tc>
        <w:tc>
          <w:tcPr>
            <w:tcW w:w="1343" w:type="dxa"/>
          </w:tcPr>
          <w:p w:rsidR="00000000" w:rsidRDefault="00000000">
            <w:pPr>
              <w:jc w:val="right"/>
            </w:pPr>
            <w:r>
              <w:t>55.840</w:t>
            </w:r>
          </w:p>
        </w:tc>
        <w:tc>
          <w:tcPr>
            <w:tcW w:w="1212" w:type="dxa"/>
          </w:tcPr>
          <w:p w:rsidR="00000000" w:rsidRDefault="00000000">
            <w:pPr>
              <w:jc w:val="right"/>
            </w:pPr>
            <w:r>
              <w:t>95,69</w:t>
            </w:r>
          </w:p>
        </w:tc>
        <w:tc>
          <w:tcPr>
            <w:tcW w:w="1137" w:type="dxa"/>
          </w:tcPr>
          <w:p w:rsidR="00000000" w:rsidRDefault="00000000">
            <w:pPr>
              <w:jc w:val="right"/>
            </w:pPr>
            <w:r>
              <w:t>14.583</w:t>
            </w:r>
          </w:p>
        </w:tc>
        <w:tc>
          <w:tcPr>
            <w:tcW w:w="1343" w:type="dxa"/>
          </w:tcPr>
          <w:p w:rsidR="00000000" w:rsidRDefault="00000000">
            <w:pPr>
              <w:jc w:val="right"/>
            </w:pPr>
            <w:r>
              <w:t>13.380</w:t>
            </w:r>
          </w:p>
        </w:tc>
        <w:tc>
          <w:tcPr>
            <w:tcW w:w="1212" w:type="dxa"/>
          </w:tcPr>
          <w:p w:rsidR="00000000" w:rsidRDefault="00000000">
            <w:pPr>
              <w:jc w:val="right"/>
            </w:pPr>
            <w:r>
              <w:t>91,75</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Mujeres</w:t>
            </w:r>
          </w:p>
        </w:tc>
        <w:tc>
          <w:tcPr>
            <w:tcW w:w="1137" w:type="dxa"/>
          </w:tcPr>
          <w:p w:rsidR="00000000" w:rsidRDefault="00000000">
            <w:pPr>
              <w:jc w:val="right"/>
            </w:pPr>
            <w:r>
              <w:t>58.620</w:t>
            </w:r>
          </w:p>
        </w:tc>
        <w:tc>
          <w:tcPr>
            <w:tcW w:w="1343" w:type="dxa"/>
          </w:tcPr>
          <w:p w:rsidR="00000000" w:rsidRDefault="00000000">
            <w:pPr>
              <w:jc w:val="right"/>
            </w:pPr>
            <w:r>
              <w:t>56.163</w:t>
            </w:r>
          </w:p>
        </w:tc>
        <w:tc>
          <w:tcPr>
            <w:tcW w:w="1212" w:type="dxa"/>
          </w:tcPr>
          <w:p w:rsidR="00000000" w:rsidRDefault="00000000">
            <w:pPr>
              <w:jc w:val="right"/>
            </w:pPr>
            <w:r>
              <w:t>95,81</w:t>
            </w:r>
          </w:p>
        </w:tc>
        <w:tc>
          <w:tcPr>
            <w:tcW w:w="1137" w:type="dxa"/>
          </w:tcPr>
          <w:p w:rsidR="00000000" w:rsidRDefault="00000000">
            <w:pPr>
              <w:jc w:val="right"/>
            </w:pPr>
            <w:r>
              <w:t>14.298</w:t>
            </w:r>
          </w:p>
        </w:tc>
        <w:tc>
          <w:tcPr>
            <w:tcW w:w="1343" w:type="dxa"/>
          </w:tcPr>
          <w:p w:rsidR="00000000" w:rsidRDefault="00000000">
            <w:pPr>
              <w:jc w:val="right"/>
            </w:pPr>
            <w:r>
              <w:t>13.634</w:t>
            </w:r>
          </w:p>
        </w:tc>
        <w:tc>
          <w:tcPr>
            <w:tcW w:w="1212" w:type="dxa"/>
          </w:tcPr>
          <w:p w:rsidR="00000000" w:rsidRDefault="00000000">
            <w:pPr>
              <w:jc w:val="right"/>
            </w:pPr>
            <w:r>
              <w:t>95,36</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 xml:space="preserve">    Total</w:t>
            </w:r>
          </w:p>
        </w:tc>
        <w:tc>
          <w:tcPr>
            <w:tcW w:w="1137" w:type="dxa"/>
          </w:tcPr>
          <w:p w:rsidR="00000000" w:rsidRDefault="00000000">
            <w:pPr>
              <w:jc w:val="right"/>
            </w:pPr>
            <w:r>
              <w:t>116.977</w:t>
            </w:r>
          </w:p>
        </w:tc>
        <w:tc>
          <w:tcPr>
            <w:tcW w:w="1343" w:type="dxa"/>
          </w:tcPr>
          <w:p w:rsidR="00000000" w:rsidRDefault="00000000">
            <w:pPr>
              <w:jc w:val="right"/>
            </w:pPr>
            <w:r>
              <w:t>112.003</w:t>
            </w:r>
          </w:p>
        </w:tc>
        <w:tc>
          <w:tcPr>
            <w:tcW w:w="1212" w:type="dxa"/>
          </w:tcPr>
          <w:p w:rsidR="00000000" w:rsidRDefault="00000000">
            <w:pPr>
              <w:jc w:val="right"/>
            </w:pPr>
            <w:r>
              <w:t>95,75</w:t>
            </w:r>
          </w:p>
        </w:tc>
        <w:tc>
          <w:tcPr>
            <w:tcW w:w="1137" w:type="dxa"/>
          </w:tcPr>
          <w:p w:rsidR="00000000" w:rsidRDefault="00000000">
            <w:pPr>
              <w:jc w:val="right"/>
            </w:pPr>
            <w:r>
              <w:t>28.881</w:t>
            </w:r>
          </w:p>
        </w:tc>
        <w:tc>
          <w:tcPr>
            <w:tcW w:w="1343" w:type="dxa"/>
          </w:tcPr>
          <w:p w:rsidR="00000000" w:rsidRDefault="00000000">
            <w:pPr>
              <w:jc w:val="right"/>
            </w:pPr>
          </w:p>
        </w:tc>
        <w:tc>
          <w:tcPr>
            <w:tcW w:w="1212" w:type="dxa"/>
          </w:tcPr>
          <w:p w:rsidR="00000000" w:rsidRDefault="00000000">
            <w:pPr>
              <w:jc w:val="right"/>
            </w:pPr>
            <w:r>
              <w:t>0,00</w:t>
            </w:r>
          </w:p>
        </w:tc>
      </w:tr>
      <w:tr w:rsidR="00000000">
        <w:tblPrEx>
          <w:tblCellMar>
            <w:top w:w="0" w:type="dxa"/>
            <w:bottom w:w="0" w:type="dxa"/>
          </w:tblCellMar>
        </w:tblPrEx>
        <w:trPr>
          <w:cantSplit/>
        </w:trPr>
        <w:tc>
          <w:tcPr>
            <w:tcW w:w="1021" w:type="dxa"/>
            <w:vMerge w:val="restart"/>
          </w:tcPr>
          <w:p w:rsidR="00000000" w:rsidRDefault="00000000">
            <w:r>
              <w:t>1996/97</w:t>
            </w:r>
          </w:p>
        </w:tc>
        <w:tc>
          <w:tcPr>
            <w:tcW w:w="1020" w:type="dxa"/>
          </w:tcPr>
          <w:p w:rsidR="00000000" w:rsidRDefault="00000000">
            <w:r>
              <w:t>Hombres</w:t>
            </w:r>
          </w:p>
        </w:tc>
        <w:tc>
          <w:tcPr>
            <w:tcW w:w="1137" w:type="dxa"/>
          </w:tcPr>
          <w:p w:rsidR="00000000" w:rsidRDefault="00000000">
            <w:pPr>
              <w:jc w:val="right"/>
            </w:pPr>
            <w:r>
              <w:t>63.037</w:t>
            </w:r>
          </w:p>
        </w:tc>
        <w:tc>
          <w:tcPr>
            <w:tcW w:w="1343" w:type="dxa"/>
          </w:tcPr>
          <w:p w:rsidR="00000000" w:rsidRDefault="00000000">
            <w:pPr>
              <w:jc w:val="right"/>
            </w:pPr>
            <w:r>
              <w:t>60.484</w:t>
            </w:r>
          </w:p>
        </w:tc>
        <w:tc>
          <w:tcPr>
            <w:tcW w:w="1212" w:type="dxa"/>
          </w:tcPr>
          <w:p w:rsidR="00000000" w:rsidRDefault="00000000">
            <w:pPr>
              <w:jc w:val="right"/>
            </w:pPr>
            <w:r>
              <w:t>95,95</w:t>
            </w:r>
          </w:p>
        </w:tc>
        <w:tc>
          <w:tcPr>
            <w:tcW w:w="1137" w:type="dxa"/>
          </w:tcPr>
          <w:p w:rsidR="00000000" w:rsidRDefault="00000000">
            <w:pPr>
              <w:jc w:val="right"/>
            </w:pPr>
            <w:r>
              <w:t>15.455</w:t>
            </w:r>
          </w:p>
        </w:tc>
        <w:tc>
          <w:tcPr>
            <w:tcW w:w="1343" w:type="dxa"/>
          </w:tcPr>
          <w:p w:rsidR="00000000" w:rsidRDefault="00000000">
            <w:pPr>
              <w:jc w:val="right"/>
            </w:pPr>
            <w:r>
              <w:t>14.718</w:t>
            </w:r>
          </w:p>
        </w:tc>
        <w:tc>
          <w:tcPr>
            <w:tcW w:w="1212" w:type="dxa"/>
          </w:tcPr>
          <w:p w:rsidR="00000000" w:rsidRDefault="00000000">
            <w:pPr>
              <w:jc w:val="right"/>
            </w:pPr>
            <w:r>
              <w:t>95,23</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Mujeres</w:t>
            </w:r>
          </w:p>
        </w:tc>
        <w:tc>
          <w:tcPr>
            <w:tcW w:w="1137" w:type="dxa"/>
          </w:tcPr>
          <w:p w:rsidR="00000000" w:rsidRDefault="00000000">
            <w:pPr>
              <w:jc w:val="right"/>
            </w:pPr>
            <w:r>
              <w:t>63.305</w:t>
            </w:r>
          </w:p>
        </w:tc>
        <w:tc>
          <w:tcPr>
            <w:tcW w:w="1343" w:type="dxa"/>
          </w:tcPr>
          <w:p w:rsidR="00000000" w:rsidRDefault="00000000">
            <w:pPr>
              <w:jc w:val="right"/>
            </w:pPr>
            <w:r>
              <w:t>60.817</w:t>
            </w:r>
          </w:p>
        </w:tc>
        <w:tc>
          <w:tcPr>
            <w:tcW w:w="1212" w:type="dxa"/>
          </w:tcPr>
          <w:p w:rsidR="00000000" w:rsidRDefault="00000000">
            <w:pPr>
              <w:jc w:val="right"/>
            </w:pPr>
            <w:r>
              <w:t>96,07</w:t>
            </w:r>
          </w:p>
        </w:tc>
        <w:tc>
          <w:tcPr>
            <w:tcW w:w="1137" w:type="dxa"/>
          </w:tcPr>
          <w:p w:rsidR="00000000" w:rsidRDefault="00000000">
            <w:pPr>
              <w:jc w:val="right"/>
            </w:pPr>
            <w:r>
              <w:t>14.975</w:t>
            </w:r>
          </w:p>
        </w:tc>
        <w:tc>
          <w:tcPr>
            <w:tcW w:w="1343" w:type="dxa"/>
          </w:tcPr>
          <w:p w:rsidR="00000000" w:rsidRDefault="00000000">
            <w:pPr>
              <w:jc w:val="right"/>
            </w:pPr>
            <w:r>
              <w:t>14.291</w:t>
            </w:r>
          </w:p>
        </w:tc>
        <w:tc>
          <w:tcPr>
            <w:tcW w:w="1212" w:type="dxa"/>
          </w:tcPr>
          <w:p w:rsidR="00000000" w:rsidRDefault="00000000">
            <w:pPr>
              <w:jc w:val="right"/>
            </w:pPr>
            <w:r>
              <w:t>95,43</w:t>
            </w:r>
          </w:p>
        </w:tc>
      </w:tr>
      <w:tr w:rsidR="00000000">
        <w:tblPrEx>
          <w:tblCellMar>
            <w:top w:w="0" w:type="dxa"/>
            <w:bottom w:w="0" w:type="dxa"/>
          </w:tblCellMar>
        </w:tblPrEx>
        <w:trPr>
          <w:cantSplit/>
        </w:trPr>
        <w:tc>
          <w:tcPr>
            <w:tcW w:w="1021" w:type="dxa"/>
            <w:vMerge/>
          </w:tcPr>
          <w:p w:rsidR="00000000" w:rsidRDefault="00000000"/>
        </w:tc>
        <w:tc>
          <w:tcPr>
            <w:tcW w:w="1020" w:type="dxa"/>
          </w:tcPr>
          <w:p w:rsidR="00000000" w:rsidRDefault="00000000">
            <w:r>
              <w:t xml:space="preserve">    Total</w:t>
            </w:r>
          </w:p>
        </w:tc>
        <w:tc>
          <w:tcPr>
            <w:tcW w:w="1137" w:type="dxa"/>
          </w:tcPr>
          <w:p w:rsidR="00000000" w:rsidRDefault="00000000">
            <w:pPr>
              <w:jc w:val="right"/>
            </w:pPr>
            <w:r>
              <w:t>126.342</w:t>
            </w:r>
          </w:p>
        </w:tc>
        <w:tc>
          <w:tcPr>
            <w:tcW w:w="1343" w:type="dxa"/>
          </w:tcPr>
          <w:p w:rsidR="00000000" w:rsidRDefault="00000000">
            <w:pPr>
              <w:jc w:val="right"/>
            </w:pPr>
            <w:r>
              <w:t>121.301</w:t>
            </w:r>
          </w:p>
        </w:tc>
        <w:tc>
          <w:tcPr>
            <w:tcW w:w="1212" w:type="dxa"/>
          </w:tcPr>
          <w:p w:rsidR="00000000" w:rsidRDefault="00000000">
            <w:pPr>
              <w:jc w:val="right"/>
            </w:pPr>
            <w:r>
              <w:t>96,01</w:t>
            </w:r>
          </w:p>
        </w:tc>
        <w:tc>
          <w:tcPr>
            <w:tcW w:w="1137" w:type="dxa"/>
          </w:tcPr>
          <w:p w:rsidR="00000000" w:rsidRDefault="00000000">
            <w:pPr>
              <w:jc w:val="right"/>
            </w:pPr>
            <w:r>
              <w:t>30.430</w:t>
            </w:r>
          </w:p>
        </w:tc>
        <w:tc>
          <w:tcPr>
            <w:tcW w:w="1343" w:type="dxa"/>
          </w:tcPr>
          <w:p w:rsidR="00000000" w:rsidRDefault="00000000">
            <w:pPr>
              <w:jc w:val="right"/>
            </w:pPr>
          </w:p>
        </w:tc>
        <w:tc>
          <w:tcPr>
            <w:tcW w:w="1212" w:type="dxa"/>
          </w:tcPr>
          <w:p w:rsidR="00000000" w:rsidRDefault="00000000">
            <w:pPr>
              <w:jc w:val="right"/>
            </w:pPr>
            <w:r>
              <w:t>0,00</w:t>
            </w:r>
          </w:p>
        </w:tc>
      </w:tr>
      <w:tr w:rsidR="00000000">
        <w:tblPrEx>
          <w:tblCellMar>
            <w:top w:w="0" w:type="dxa"/>
            <w:bottom w:w="0" w:type="dxa"/>
          </w:tblCellMar>
        </w:tblPrEx>
        <w:trPr>
          <w:cantSplit/>
        </w:trPr>
        <w:tc>
          <w:tcPr>
            <w:tcW w:w="1021" w:type="dxa"/>
            <w:vMerge w:val="restart"/>
          </w:tcPr>
          <w:p w:rsidR="00000000" w:rsidRDefault="00000000">
            <w:r>
              <w:t>1997/98</w:t>
            </w:r>
          </w:p>
        </w:tc>
        <w:tc>
          <w:tcPr>
            <w:tcW w:w="1020" w:type="dxa"/>
          </w:tcPr>
          <w:p w:rsidR="00000000" w:rsidRDefault="00000000">
            <w:r>
              <w:t>Hombres</w:t>
            </w:r>
          </w:p>
        </w:tc>
        <w:tc>
          <w:tcPr>
            <w:tcW w:w="1137" w:type="dxa"/>
          </w:tcPr>
          <w:p w:rsidR="00000000" w:rsidRDefault="00000000">
            <w:pPr>
              <w:jc w:val="right"/>
            </w:pPr>
            <w:r>
              <w:t>66.920</w:t>
            </w:r>
          </w:p>
        </w:tc>
        <w:tc>
          <w:tcPr>
            <w:tcW w:w="1343" w:type="dxa"/>
          </w:tcPr>
          <w:p w:rsidR="00000000" w:rsidRDefault="00000000">
            <w:pPr>
              <w:jc w:val="right"/>
            </w:pPr>
            <w:r>
              <w:t>64.428</w:t>
            </w:r>
          </w:p>
        </w:tc>
        <w:tc>
          <w:tcPr>
            <w:tcW w:w="1212" w:type="dxa"/>
          </w:tcPr>
          <w:p w:rsidR="00000000" w:rsidRDefault="00000000">
            <w:pPr>
              <w:jc w:val="right"/>
            </w:pPr>
            <w:r>
              <w:t>96,28</w:t>
            </w:r>
          </w:p>
        </w:tc>
        <w:tc>
          <w:tcPr>
            <w:tcW w:w="1137" w:type="dxa"/>
          </w:tcPr>
          <w:p w:rsidR="00000000" w:rsidRDefault="00000000">
            <w:pPr>
              <w:jc w:val="right"/>
            </w:pPr>
            <w:r>
              <w:t>17.007</w:t>
            </w:r>
          </w:p>
        </w:tc>
        <w:tc>
          <w:tcPr>
            <w:tcW w:w="1343" w:type="dxa"/>
          </w:tcPr>
          <w:p w:rsidR="00000000" w:rsidRDefault="00000000">
            <w:pPr>
              <w:jc w:val="right"/>
            </w:pPr>
            <w:r>
              <w:t>16.252</w:t>
            </w:r>
          </w:p>
        </w:tc>
        <w:tc>
          <w:tcPr>
            <w:tcW w:w="1212" w:type="dxa"/>
          </w:tcPr>
          <w:p w:rsidR="00000000" w:rsidRDefault="00000000">
            <w:pPr>
              <w:jc w:val="right"/>
            </w:pPr>
            <w:r>
              <w:t>95,56</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67.354</w:t>
            </w:r>
          </w:p>
        </w:tc>
        <w:tc>
          <w:tcPr>
            <w:tcW w:w="1343" w:type="dxa"/>
          </w:tcPr>
          <w:p w:rsidR="00000000" w:rsidRDefault="00000000">
            <w:pPr>
              <w:jc w:val="right"/>
            </w:pPr>
            <w:r>
              <w:t>64.927</w:t>
            </w:r>
          </w:p>
        </w:tc>
        <w:tc>
          <w:tcPr>
            <w:tcW w:w="1212" w:type="dxa"/>
          </w:tcPr>
          <w:p w:rsidR="00000000" w:rsidRDefault="00000000">
            <w:pPr>
              <w:jc w:val="right"/>
            </w:pPr>
            <w:r>
              <w:t>96,40</w:t>
            </w:r>
          </w:p>
        </w:tc>
        <w:tc>
          <w:tcPr>
            <w:tcW w:w="1137" w:type="dxa"/>
          </w:tcPr>
          <w:p w:rsidR="00000000" w:rsidRDefault="00000000">
            <w:pPr>
              <w:jc w:val="right"/>
            </w:pPr>
            <w:r>
              <w:t>16.847</w:t>
            </w:r>
          </w:p>
        </w:tc>
        <w:tc>
          <w:tcPr>
            <w:tcW w:w="1343" w:type="dxa"/>
          </w:tcPr>
          <w:p w:rsidR="00000000" w:rsidRDefault="00000000">
            <w:pPr>
              <w:jc w:val="right"/>
            </w:pPr>
            <w:r>
              <w:t>16.203</w:t>
            </w:r>
          </w:p>
        </w:tc>
        <w:tc>
          <w:tcPr>
            <w:tcW w:w="1212" w:type="dxa"/>
          </w:tcPr>
          <w:p w:rsidR="00000000" w:rsidRDefault="00000000">
            <w:pPr>
              <w:jc w:val="right"/>
            </w:pPr>
            <w:r>
              <w:t>96,18</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134.274</w:t>
            </w:r>
          </w:p>
        </w:tc>
        <w:tc>
          <w:tcPr>
            <w:tcW w:w="1343" w:type="dxa"/>
          </w:tcPr>
          <w:p w:rsidR="00000000" w:rsidRDefault="00000000">
            <w:pPr>
              <w:jc w:val="right"/>
            </w:pPr>
            <w:r>
              <w:t>129.355</w:t>
            </w:r>
          </w:p>
        </w:tc>
        <w:tc>
          <w:tcPr>
            <w:tcW w:w="1212" w:type="dxa"/>
          </w:tcPr>
          <w:p w:rsidR="00000000" w:rsidRDefault="00000000">
            <w:pPr>
              <w:jc w:val="right"/>
            </w:pPr>
            <w:r>
              <w:t>96,34</w:t>
            </w:r>
          </w:p>
        </w:tc>
        <w:tc>
          <w:tcPr>
            <w:tcW w:w="1137" w:type="dxa"/>
          </w:tcPr>
          <w:p w:rsidR="00000000" w:rsidRDefault="00000000">
            <w:pPr>
              <w:jc w:val="right"/>
            </w:pPr>
            <w:r>
              <w:t>33.854</w:t>
            </w:r>
          </w:p>
        </w:tc>
        <w:tc>
          <w:tcPr>
            <w:tcW w:w="1343" w:type="dxa"/>
          </w:tcPr>
          <w:p w:rsidR="00000000" w:rsidRDefault="00000000">
            <w:pPr>
              <w:jc w:val="right"/>
            </w:pPr>
          </w:p>
        </w:tc>
        <w:tc>
          <w:tcPr>
            <w:tcW w:w="1212" w:type="dxa"/>
          </w:tcPr>
          <w:p w:rsidR="00000000" w:rsidRDefault="00000000">
            <w:pPr>
              <w:jc w:val="right"/>
            </w:pPr>
            <w:r>
              <w:t>0,00</w:t>
            </w:r>
          </w:p>
        </w:tc>
      </w:tr>
    </w:tbl>
    <w:p w:rsidR="00000000" w:rsidRDefault="00000000">
      <w:pPr>
        <w:spacing w:before="240" w:after="240"/>
        <w:rPr>
          <w:szCs w:val="23"/>
          <w:lang w:val="es-ES_tradnl"/>
        </w:rPr>
      </w:pPr>
      <w:r>
        <w:rPr>
          <w:i/>
          <w:iCs/>
          <w:szCs w:val="23"/>
          <w:lang w:val="es-ES_tradnl"/>
        </w:rPr>
        <w:t>Nota</w:t>
      </w:r>
      <w:r>
        <w:rPr>
          <w:szCs w:val="23"/>
          <w:lang w:val="es-ES_tradnl"/>
        </w:rPr>
        <w:t>:  Elaboración : Equipo de Estadísticas del Ministerio de Educación y Cultura.</w:t>
      </w:r>
    </w:p>
    <w:p w:rsidR="00000000" w:rsidRDefault="00000000">
      <w:pPr>
        <w:spacing w:after="480"/>
      </w:pPr>
      <w:r>
        <w:rPr>
          <w:szCs w:val="22"/>
          <w:lang w:val="es-ES_tradnl"/>
        </w:rPr>
        <w:t xml:space="preserve">* Alumnos promovidos de </w:t>
      </w:r>
      <w:proofErr w:type="spellStart"/>
      <w:r>
        <w:rPr>
          <w:szCs w:val="22"/>
          <w:lang w:val="es-ES_tradnl"/>
        </w:rPr>
        <w:t>preprimaria</w:t>
      </w:r>
      <w:proofErr w:type="spellEnd"/>
      <w:r>
        <w:rPr>
          <w:szCs w:val="22"/>
          <w:lang w:val="es-ES_tradnl"/>
        </w:rPr>
        <w:t>.  En este nivel no existe la no promoción, por lo tanto del total de la matrícula se resta la deserción.</w:t>
      </w:r>
    </w:p>
    <w:p w:rsidR="00000000" w:rsidRDefault="00000000">
      <w:pPr>
        <w:spacing w:after="240"/>
        <w:jc w:val="center"/>
        <w:rPr>
          <w:b/>
          <w:bCs/>
          <w:szCs w:val="22"/>
          <w:lang w:val="es-ES_tradnl"/>
        </w:rPr>
      </w:pPr>
      <w:r>
        <w:rPr>
          <w:b/>
          <w:bCs/>
          <w:szCs w:val="22"/>
          <w:lang w:val="es-ES_tradnl"/>
        </w:rPr>
        <w:t>Alumnos promovidos de la educación regular en el nivel primario</w:t>
      </w:r>
      <w:r>
        <w:rPr>
          <w:b/>
          <w:bCs/>
          <w:szCs w:val="22"/>
          <w:lang w:val="es-ES_tradnl"/>
        </w:rPr>
        <w:br/>
        <w:t>por zona, según años escolares y sexo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
        <w:gridCol w:w="1020"/>
        <w:gridCol w:w="1138"/>
        <w:gridCol w:w="1343"/>
        <w:gridCol w:w="1212"/>
        <w:gridCol w:w="1137"/>
        <w:gridCol w:w="1343"/>
        <w:gridCol w:w="1212"/>
      </w:tblGrid>
      <w:tr w:rsidR="00000000">
        <w:tblPrEx>
          <w:tblCellMar>
            <w:top w:w="0" w:type="dxa"/>
            <w:bottom w:w="0" w:type="dxa"/>
          </w:tblCellMar>
        </w:tblPrEx>
        <w:trPr>
          <w:cantSplit/>
          <w:tblHeader/>
        </w:trPr>
        <w:tc>
          <w:tcPr>
            <w:tcW w:w="1020" w:type="dxa"/>
            <w:vMerge w:val="restart"/>
            <w:vAlign w:val="center"/>
          </w:tcPr>
          <w:p w:rsidR="00000000" w:rsidRDefault="00000000">
            <w:pPr>
              <w:jc w:val="center"/>
            </w:pPr>
            <w:r>
              <w:t>Años escolares</w:t>
            </w:r>
          </w:p>
        </w:tc>
        <w:tc>
          <w:tcPr>
            <w:tcW w:w="8405" w:type="dxa"/>
            <w:gridSpan w:val="7"/>
            <w:vAlign w:val="center"/>
          </w:tcPr>
          <w:p w:rsidR="00000000" w:rsidRDefault="00000000">
            <w:pPr>
              <w:jc w:val="center"/>
            </w:pPr>
            <w:r>
              <w:t>Primaria</w:t>
            </w:r>
          </w:p>
        </w:tc>
      </w:tr>
      <w:tr w:rsidR="00000000">
        <w:tblPrEx>
          <w:tblCellMar>
            <w:top w:w="0" w:type="dxa"/>
            <w:bottom w:w="0" w:type="dxa"/>
          </w:tblCellMar>
        </w:tblPrEx>
        <w:trPr>
          <w:cantSplit/>
          <w:tblHeader/>
        </w:trPr>
        <w:tc>
          <w:tcPr>
            <w:tcW w:w="1020" w:type="dxa"/>
            <w:vMerge/>
            <w:vAlign w:val="center"/>
          </w:tcPr>
          <w:p w:rsidR="00000000" w:rsidRDefault="00000000">
            <w:pPr>
              <w:jc w:val="center"/>
            </w:pPr>
          </w:p>
        </w:tc>
        <w:tc>
          <w:tcPr>
            <w:tcW w:w="1020" w:type="dxa"/>
            <w:vAlign w:val="center"/>
          </w:tcPr>
          <w:p w:rsidR="00000000" w:rsidRDefault="00000000">
            <w:pPr>
              <w:jc w:val="center"/>
            </w:pPr>
            <w:r>
              <w:t>Sexo</w:t>
            </w:r>
          </w:p>
        </w:tc>
        <w:tc>
          <w:tcPr>
            <w:tcW w:w="1138" w:type="dxa"/>
            <w:vAlign w:val="center"/>
          </w:tcPr>
          <w:p w:rsidR="00000000" w:rsidRDefault="00000000">
            <w:pPr>
              <w:jc w:val="center"/>
            </w:pPr>
            <w:r>
              <w:t>Matrícula neta urbana</w:t>
            </w:r>
          </w:p>
        </w:tc>
        <w:tc>
          <w:tcPr>
            <w:tcW w:w="1343" w:type="dxa"/>
            <w:vAlign w:val="center"/>
          </w:tcPr>
          <w:p w:rsidR="00000000" w:rsidRDefault="00000000">
            <w:pPr>
              <w:jc w:val="center"/>
            </w:pPr>
            <w:r>
              <w:t>Promovidos urbana</w:t>
            </w:r>
            <w:r>
              <w:rPr>
                <w:b/>
                <w:bCs/>
              </w:rPr>
              <w:t>*</w:t>
            </w:r>
          </w:p>
        </w:tc>
        <w:tc>
          <w:tcPr>
            <w:tcW w:w="1212" w:type="dxa"/>
            <w:vAlign w:val="center"/>
          </w:tcPr>
          <w:p w:rsidR="00000000" w:rsidRDefault="00000000">
            <w:pPr>
              <w:jc w:val="center"/>
            </w:pPr>
            <w:r>
              <w:t>Porcentaje</w:t>
            </w:r>
          </w:p>
        </w:tc>
        <w:tc>
          <w:tcPr>
            <w:tcW w:w="1137" w:type="dxa"/>
            <w:vAlign w:val="center"/>
          </w:tcPr>
          <w:p w:rsidR="00000000" w:rsidRDefault="00000000">
            <w:pPr>
              <w:jc w:val="center"/>
            </w:pPr>
            <w:r>
              <w:t>Matrícula neta rural</w:t>
            </w:r>
          </w:p>
        </w:tc>
        <w:tc>
          <w:tcPr>
            <w:tcW w:w="1343" w:type="dxa"/>
            <w:vAlign w:val="center"/>
          </w:tcPr>
          <w:p w:rsidR="00000000" w:rsidRDefault="00000000">
            <w:pPr>
              <w:jc w:val="center"/>
            </w:pPr>
            <w:r>
              <w:t>Promovidos rural</w:t>
            </w:r>
          </w:p>
        </w:tc>
        <w:tc>
          <w:tcPr>
            <w:tcW w:w="1212" w:type="dxa"/>
            <w:vAlign w:val="center"/>
          </w:tcPr>
          <w:p w:rsidR="00000000" w:rsidRDefault="00000000">
            <w:pPr>
              <w:jc w:val="center"/>
            </w:pPr>
            <w:r>
              <w:t>Porcentaje</w:t>
            </w:r>
          </w:p>
        </w:tc>
      </w:tr>
      <w:tr w:rsidR="00000000">
        <w:tblPrEx>
          <w:tblCellMar>
            <w:top w:w="0" w:type="dxa"/>
            <w:bottom w:w="0" w:type="dxa"/>
          </w:tblCellMar>
        </w:tblPrEx>
        <w:trPr>
          <w:cantSplit/>
        </w:trPr>
        <w:tc>
          <w:tcPr>
            <w:tcW w:w="1020" w:type="dxa"/>
            <w:vMerge w:val="restart"/>
          </w:tcPr>
          <w:p w:rsidR="00000000" w:rsidRDefault="00000000">
            <w:pPr>
              <w:jc w:val="center"/>
            </w:pPr>
            <w:r>
              <w:t>1993/94</w:t>
            </w:r>
          </w:p>
        </w:tc>
        <w:tc>
          <w:tcPr>
            <w:tcW w:w="1020" w:type="dxa"/>
          </w:tcPr>
          <w:p w:rsidR="00000000" w:rsidRDefault="00000000">
            <w:r>
              <w:t>Hombres</w:t>
            </w:r>
          </w:p>
        </w:tc>
        <w:tc>
          <w:tcPr>
            <w:tcW w:w="1138" w:type="dxa"/>
          </w:tcPr>
          <w:p w:rsidR="00000000" w:rsidRDefault="00000000">
            <w:pPr>
              <w:jc w:val="right"/>
            </w:pPr>
            <w:r>
              <w:t>502.901</w:t>
            </w:r>
          </w:p>
        </w:tc>
        <w:tc>
          <w:tcPr>
            <w:tcW w:w="1343" w:type="dxa"/>
          </w:tcPr>
          <w:p w:rsidR="00000000" w:rsidRDefault="00000000">
            <w:pPr>
              <w:jc w:val="right"/>
            </w:pPr>
            <w:r>
              <w:t>72.176</w:t>
            </w:r>
          </w:p>
        </w:tc>
        <w:tc>
          <w:tcPr>
            <w:tcW w:w="1212" w:type="dxa"/>
          </w:tcPr>
          <w:p w:rsidR="00000000" w:rsidRDefault="00000000">
            <w:pPr>
              <w:jc w:val="right"/>
            </w:pPr>
            <w:r>
              <w:t>14,35</w:t>
            </w:r>
          </w:p>
        </w:tc>
        <w:tc>
          <w:tcPr>
            <w:tcW w:w="1137" w:type="dxa"/>
          </w:tcPr>
          <w:p w:rsidR="00000000" w:rsidRDefault="00000000">
            <w:pPr>
              <w:jc w:val="right"/>
            </w:pPr>
            <w:r>
              <w:t>389.981</w:t>
            </w:r>
          </w:p>
        </w:tc>
        <w:tc>
          <w:tcPr>
            <w:tcW w:w="1343" w:type="dxa"/>
          </w:tcPr>
          <w:p w:rsidR="00000000" w:rsidRDefault="00000000">
            <w:pPr>
              <w:jc w:val="right"/>
            </w:pPr>
            <w:r>
              <w:t>45.963</w:t>
            </w:r>
          </w:p>
        </w:tc>
        <w:tc>
          <w:tcPr>
            <w:tcW w:w="1212" w:type="dxa"/>
          </w:tcPr>
          <w:p w:rsidR="00000000" w:rsidRDefault="00000000">
            <w:pPr>
              <w:jc w:val="right"/>
            </w:pPr>
            <w:r>
              <w:t>11,79</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Mujeres</w:t>
            </w:r>
          </w:p>
        </w:tc>
        <w:tc>
          <w:tcPr>
            <w:tcW w:w="1138" w:type="dxa"/>
          </w:tcPr>
          <w:p w:rsidR="00000000" w:rsidRDefault="00000000">
            <w:pPr>
              <w:jc w:val="right"/>
            </w:pPr>
            <w:r>
              <w:t>493.007</w:t>
            </w:r>
          </w:p>
        </w:tc>
        <w:tc>
          <w:tcPr>
            <w:tcW w:w="1343" w:type="dxa"/>
          </w:tcPr>
          <w:p w:rsidR="00000000" w:rsidRDefault="00000000">
            <w:pPr>
              <w:jc w:val="right"/>
            </w:pPr>
            <w:r>
              <w:t>72.455</w:t>
            </w:r>
          </w:p>
        </w:tc>
        <w:tc>
          <w:tcPr>
            <w:tcW w:w="1212" w:type="dxa"/>
          </w:tcPr>
          <w:p w:rsidR="00000000" w:rsidRDefault="00000000">
            <w:pPr>
              <w:jc w:val="right"/>
            </w:pPr>
            <w:r>
              <w:t>14,70</w:t>
            </w:r>
          </w:p>
        </w:tc>
        <w:tc>
          <w:tcPr>
            <w:tcW w:w="1137" w:type="dxa"/>
          </w:tcPr>
          <w:p w:rsidR="00000000" w:rsidRDefault="00000000">
            <w:pPr>
              <w:jc w:val="right"/>
            </w:pPr>
            <w:r>
              <w:t>365.234</w:t>
            </w:r>
          </w:p>
        </w:tc>
        <w:tc>
          <w:tcPr>
            <w:tcW w:w="1343" w:type="dxa"/>
          </w:tcPr>
          <w:p w:rsidR="00000000" w:rsidRDefault="00000000">
            <w:pPr>
              <w:jc w:val="right"/>
            </w:pPr>
            <w:r>
              <w:t>44.024</w:t>
            </w:r>
          </w:p>
        </w:tc>
        <w:tc>
          <w:tcPr>
            <w:tcW w:w="1212" w:type="dxa"/>
          </w:tcPr>
          <w:p w:rsidR="00000000" w:rsidRDefault="00000000">
            <w:pPr>
              <w:jc w:val="right"/>
            </w:pPr>
            <w:r>
              <w:t>12.05</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 xml:space="preserve">    Total</w:t>
            </w:r>
          </w:p>
        </w:tc>
        <w:tc>
          <w:tcPr>
            <w:tcW w:w="1138" w:type="dxa"/>
          </w:tcPr>
          <w:p w:rsidR="00000000" w:rsidRDefault="00000000">
            <w:pPr>
              <w:jc w:val="right"/>
            </w:pPr>
            <w:r>
              <w:t>995.908</w:t>
            </w:r>
          </w:p>
        </w:tc>
        <w:tc>
          <w:tcPr>
            <w:tcW w:w="1343" w:type="dxa"/>
          </w:tcPr>
          <w:p w:rsidR="00000000" w:rsidRDefault="00000000">
            <w:pPr>
              <w:jc w:val="right"/>
            </w:pPr>
            <w:r>
              <w:t>144.631</w:t>
            </w:r>
          </w:p>
        </w:tc>
        <w:tc>
          <w:tcPr>
            <w:tcW w:w="1212" w:type="dxa"/>
          </w:tcPr>
          <w:p w:rsidR="00000000" w:rsidRDefault="00000000">
            <w:pPr>
              <w:jc w:val="right"/>
            </w:pPr>
            <w:r>
              <w:t>14,52</w:t>
            </w:r>
          </w:p>
        </w:tc>
        <w:tc>
          <w:tcPr>
            <w:tcW w:w="1137" w:type="dxa"/>
          </w:tcPr>
          <w:p w:rsidR="00000000" w:rsidRDefault="00000000">
            <w:pPr>
              <w:jc w:val="right"/>
            </w:pPr>
            <w:r>
              <w:t>755.215</w:t>
            </w:r>
          </w:p>
        </w:tc>
        <w:tc>
          <w:tcPr>
            <w:tcW w:w="1343" w:type="dxa"/>
          </w:tcPr>
          <w:p w:rsidR="00000000" w:rsidRDefault="00000000">
            <w:pPr>
              <w:jc w:val="right"/>
            </w:pPr>
            <w:r>
              <w:t>89.987</w:t>
            </w:r>
          </w:p>
        </w:tc>
        <w:tc>
          <w:tcPr>
            <w:tcW w:w="1212" w:type="dxa"/>
          </w:tcPr>
          <w:p w:rsidR="00000000" w:rsidRDefault="00000000">
            <w:pPr>
              <w:jc w:val="right"/>
            </w:pPr>
            <w:r>
              <w:t>11,92</w:t>
            </w:r>
          </w:p>
        </w:tc>
      </w:tr>
      <w:tr w:rsidR="00000000">
        <w:tblPrEx>
          <w:tblCellMar>
            <w:top w:w="0" w:type="dxa"/>
            <w:bottom w:w="0" w:type="dxa"/>
          </w:tblCellMar>
        </w:tblPrEx>
        <w:trPr>
          <w:cantSplit/>
        </w:trPr>
        <w:tc>
          <w:tcPr>
            <w:tcW w:w="1020" w:type="dxa"/>
            <w:vMerge w:val="restart"/>
          </w:tcPr>
          <w:p w:rsidR="00000000" w:rsidRDefault="00000000">
            <w:pPr>
              <w:jc w:val="center"/>
            </w:pPr>
            <w:r>
              <w:t>1994/95</w:t>
            </w:r>
          </w:p>
        </w:tc>
        <w:tc>
          <w:tcPr>
            <w:tcW w:w="1020" w:type="dxa"/>
          </w:tcPr>
          <w:p w:rsidR="00000000" w:rsidRDefault="00000000">
            <w:r>
              <w:t>Hombres</w:t>
            </w:r>
          </w:p>
        </w:tc>
        <w:tc>
          <w:tcPr>
            <w:tcW w:w="1138" w:type="dxa"/>
          </w:tcPr>
          <w:p w:rsidR="00000000" w:rsidRDefault="00000000">
            <w:pPr>
              <w:jc w:val="right"/>
            </w:pPr>
            <w:r>
              <w:t>511.215</w:t>
            </w:r>
          </w:p>
        </w:tc>
        <w:tc>
          <w:tcPr>
            <w:tcW w:w="1343" w:type="dxa"/>
          </w:tcPr>
          <w:p w:rsidR="00000000" w:rsidRDefault="00000000">
            <w:pPr>
              <w:jc w:val="right"/>
            </w:pPr>
            <w:r>
              <w:t>71.582</w:t>
            </w:r>
          </w:p>
        </w:tc>
        <w:tc>
          <w:tcPr>
            <w:tcW w:w="1212" w:type="dxa"/>
          </w:tcPr>
          <w:p w:rsidR="00000000" w:rsidRDefault="00000000">
            <w:pPr>
              <w:jc w:val="right"/>
            </w:pPr>
            <w:r>
              <w:t>14,00</w:t>
            </w:r>
          </w:p>
        </w:tc>
        <w:tc>
          <w:tcPr>
            <w:tcW w:w="1137" w:type="dxa"/>
          </w:tcPr>
          <w:p w:rsidR="00000000" w:rsidRDefault="00000000">
            <w:pPr>
              <w:jc w:val="right"/>
            </w:pPr>
            <w:r>
              <w:t>395.072</w:t>
            </w:r>
          </w:p>
        </w:tc>
        <w:tc>
          <w:tcPr>
            <w:tcW w:w="1343" w:type="dxa"/>
          </w:tcPr>
          <w:p w:rsidR="00000000" w:rsidRDefault="00000000">
            <w:pPr>
              <w:jc w:val="right"/>
            </w:pPr>
            <w:r>
              <w:t>46.671</w:t>
            </w:r>
          </w:p>
        </w:tc>
        <w:tc>
          <w:tcPr>
            <w:tcW w:w="1212" w:type="dxa"/>
          </w:tcPr>
          <w:p w:rsidR="00000000" w:rsidRDefault="00000000">
            <w:pPr>
              <w:jc w:val="right"/>
            </w:pPr>
            <w:r>
              <w:t>11,81</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Mujeres</w:t>
            </w:r>
          </w:p>
        </w:tc>
        <w:tc>
          <w:tcPr>
            <w:tcW w:w="1138" w:type="dxa"/>
          </w:tcPr>
          <w:p w:rsidR="00000000" w:rsidRDefault="00000000">
            <w:pPr>
              <w:jc w:val="right"/>
            </w:pPr>
            <w:r>
              <w:t>502.039</w:t>
            </w:r>
          </w:p>
        </w:tc>
        <w:tc>
          <w:tcPr>
            <w:tcW w:w="1343" w:type="dxa"/>
          </w:tcPr>
          <w:p w:rsidR="00000000" w:rsidRDefault="00000000">
            <w:pPr>
              <w:jc w:val="right"/>
            </w:pPr>
            <w:r>
              <w:t>72.581</w:t>
            </w:r>
          </w:p>
        </w:tc>
        <w:tc>
          <w:tcPr>
            <w:tcW w:w="1212" w:type="dxa"/>
          </w:tcPr>
          <w:p w:rsidR="00000000" w:rsidRDefault="00000000">
            <w:pPr>
              <w:jc w:val="right"/>
            </w:pPr>
            <w:r>
              <w:t>14,46</w:t>
            </w:r>
          </w:p>
        </w:tc>
        <w:tc>
          <w:tcPr>
            <w:tcW w:w="1137" w:type="dxa"/>
          </w:tcPr>
          <w:p w:rsidR="00000000" w:rsidRDefault="00000000">
            <w:pPr>
              <w:jc w:val="right"/>
            </w:pPr>
            <w:r>
              <w:t>368.978</w:t>
            </w:r>
          </w:p>
        </w:tc>
        <w:tc>
          <w:tcPr>
            <w:tcW w:w="1343" w:type="dxa"/>
          </w:tcPr>
          <w:p w:rsidR="00000000" w:rsidRDefault="00000000">
            <w:pPr>
              <w:jc w:val="right"/>
            </w:pPr>
            <w:r>
              <w:t>44.127</w:t>
            </w:r>
          </w:p>
        </w:tc>
        <w:tc>
          <w:tcPr>
            <w:tcW w:w="1212" w:type="dxa"/>
          </w:tcPr>
          <w:p w:rsidR="00000000" w:rsidRDefault="00000000">
            <w:pPr>
              <w:jc w:val="right"/>
            </w:pPr>
            <w:r>
              <w:t>11,96</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 xml:space="preserve">    Total</w:t>
            </w:r>
          </w:p>
        </w:tc>
        <w:tc>
          <w:tcPr>
            <w:tcW w:w="1138" w:type="dxa"/>
          </w:tcPr>
          <w:p w:rsidR="00000000" w:rsidRDefault="00000000">
            <w:pPr>
              <w:jc w:val="right"/>
            </w:pPr>
            <w:r>
              <w:t>1.013.254</w:t>
            </w:r>
          </w:p>
        </w:tc>
        <w:tc>
          <w:tcPr>
            <w:tcW w:w="1343" w:type="dxa"/>
          </w:tcPr>
          <w:p w:rsidR="00000000" w:rsidRDefault="00000000">
            <w:pPr>
              <w:jc w:val="right"/>
            </w:pPr>
            <w:r>
              <w:t>144.163</w:t>
            </w:r>
          </w:p>
        </w:tc>
        <w:tc>
          <w:tcPr>
            <w:tcW w:w="1212" w:type="dxa"/>
          </w:tcPr>
          <w:p w:rsidR="00000000" w:rsidRDefault="00000000">
            <w:pPr>
              <w:jc w:val="right"/>
            </w:pPr>
            <w:r>
              <w:t>14,23</w:t>
            </w:r>
          </w:p>
        </w:tc>
        <w:tc>
          <w:tcPr>
            <w:tcW w:w="1137" w:type="dxa"/>
          </w:tcPr>
          <w:p w:rsidR="00000000" w:rsidRDefault="00000000">
            <w:pPr>
              <w:jc w:val="right"/>
            </w:pPr>
            <w:r>
              <w:t>764.050</w:t>
            </w:r>
          </w:p>
        </w:tc>
        <w:tc>
          <w:tcPr>
            <w:tcW w:w="1343" w:type="dxa"/>
          </w:tcPr>
          <w:p w:rsidR="00000000" w:rsidRDefault="00000000">
            <w:pPr>
              <w:jc w:val="right"/>
            </w:pPr>
            <w:r>
              <w:t>90.798</w:t>
            </w:r>
          </w:p>
        </w:tc>
        <w:tc>
          <w:tcPr>
            <w:tcW w:w="1212" w:type="dxa"/>
          </w:tcPr>
          <w:p w:rsidR="00000000" w:rsidRDefault="00000000">
            <w:pPr>
              <w:jc w:val="right"/>
            </w:pPr>
            <w:r>
              <w:t>11,88</w:t>
            </w:r>
          </w:p>
        </w:tc>
      </w:tr>
      <w:tr w:rsidR="00000000">
        <w:tblPrEx>
          <w:tblCellMar>
            <w:top w:w="0" w:type="dxa"/>
            <w:bottom w:w="0" w:type="dxa"/>
          </w:tblCellMar>
        </w:tblPrEx>
        <w:trPr>
          <w:cantSplit/>
        </w:trPr>
        <w:tc>
          <w:tcPr>
            <w:tcW w:w="1020" w:type="dxa"/>
            <w:vMerge w:val="restart"/>
          </w:tcPr>
          <w:p w:rsidR="00000000" w:rsidRDefault="00000000">
            <w:pPr>
              <w:jc w:val="center"/>
            </w:pPr>
            <w:r>
              <w:t>1995/96</w:t>
            </w:r>
          </w:p>
        </w:tc>
        <w:tc>
          <w:tcPr>
            <w:tcW w:w="1020" w:type="dxa"/>
          </w:tcPr>
          <w:p w:rsidR="00000000" w:rsidRDefault="00000000">
            <w:r>
              <w:t>Hombres</w:t>
            </w:r>
          </w:p>
        </w:tc>
        <w:tc>
          <w:tcPr>
            <w:tcW w:w="1138" w:type="dxa"/>
          </w:tcPr>
          <w:p w:rsidR="00000000" w:rsidRDefault="00000000">
            <w:pPr>
              <w:jc w:val="right"/>
            </w:pPr>
            <w:r>
              <w:t>524.840</w:t>
            </w:r>
          </w:p>
        </w:tc>
        <w:tc>
          <w:tcPr>
            <w:tcW w:w="1343" w:type="dxa"/>
          </w:tcPr>
          <w:p w:rsidR="00000000" w:rsidRDefault="00000000">
            <w:pPr>
              <w:jc w:val="right"/>
            </w:pPr>
            <w:r>
              <w:t>72.938</w:t>
            </w:r>
          </w:p>
        </w:tc>
        <w:tc>
          <w:tcPr>
            <w:tcW w:w="1212" w:type="dxa"/>
          </w:tcPr>
          <w:p w:rsidR="00000000" w:rsidRDefault="00000000">
            <w:pPr>
              <w:jc w:val="right"/>
            </w:pPr>
            <w:r>
              <w:t>13,90</w:t>
            </w:r>
          </w:p>
        </w:tc>
        <w:tc>
          <w:tcPr>
            <w:tcW w:w="1137" w:type="dxa"/>
          </w:tcPr>
          <w:p w:rsidR="00000000" w:rsidRDefault="00000000">
            <w:pPr>
              <w:jc w:val="right"/>
            </w:pPr>
            <w:r>
              <w:t>399.714</w:t>
            </w:r>
          </w:p>
        </w:tc>
        <w:tc>
          <w:tcPr>
            <w:tcW w:w="1343" w:type="dxa"/>
          </w:tcPr>
          <w:p w:rsidR="00000000" w:rsidRDefault="00000000">
            <w:pPr>
              <w:jc w:val="right"/>
            </w:pPr>
            <w:r>
              <w:t>46.594</w:t>
            </w:r>
          </w:p>
        </w:tc>
        <w:tc>
          <w:tcPr>
            <w:tcW w:w="1212" w:type="dxa"/>
          </w:tcPr>
          <w:p w:rsidR="00000000" w:rsidRDefault="00000000">
            <w:pPr>
              <w:jc w:val="right"/>
            </w:pPr>
            <w:r>
              <w:t>11,66</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Mujeres</w:t>
            </w:r>
          </w:p>
        </w:tc>
        <w:tc>
          <w:tcPr>
            <w:tcW w:w="1138" w:type="dxa"/>
          </w:tcPr>
          <w:p w:rsidR="00000000" w:rsidRDefault="00000000">
            <w:pPr>
              <w:jc w:val="right"/>
            </w:pPr>
            <w:r>
              <w:t>515.048</w:t>
            </w:r>
          </w:p>
        </w:tc>
        <w:tc>
          <w:tcPr>
            <w:tcW w:w="1343" w:type="dxa"/>
          </w:tcPr>
          <w:p w:rsidR="00000000" w:rsidRDefault="00000000">
            <w:pPr>
              <w:jc w:val="right"/>
            </w:pPr>
            <w:r>
              <w:t>73.347</w:t>
            </w:r>
          </w:p>
        </w:tc>
        <w:tc>
          <w:tcPr>
            <w:tcW w:w="1212" w:type="dxa"/>
          </w:tcPr>
          <w:p w:rsidR="00000000" w:rsidRDefault="00000000">
            <w:pPr>
              <w:jc w:val="right"/>
            </w:pPr>
            <w:r>
              <w:t>14,24</w:t>
            </w:r>
          </w:p>
        </w:tc>
        <w:tc>
          <w:tcPr>
            <w:tcW w:w="1137" w:type="dxa"/>
          </w:tcPr>
          <w:p w:rsidR="00000000" w:rsidRDefault="00000000">
            <w:pPr>
              <w:jc w:val="right"/>
            </w:pPr>
            <w:r>
              <w:t>372.653</w:t>
            </w:r>
          </w:p>
        </w:tc>
        <w:tc>
          <w:tcPr>
            <w:tcW w:w="1343" w:type="dxa"/>
          </w:tcPr>
          <w:p w:rsidR="00000000" w:rsidRDefault="00000000">
            <w:pPr>
              <w:jc w:val="right"/>
            </w:pPr>
            <w:r>
              <w:t>44.067</w:t>
            </w:r>
          </w:p>
        </w:tc>
        <w:tc>
          <w:tcPr>
            <w:tcW w:w="1212" w:type="dxa"/>
          </w:tcPr>
          <w:p w:rsidR="00000000" w:rsidRDefault="00000000">
            <w:pPr>
              <w:jc w:val="right"/>
            </w:pPr>
            <w:r>
              <w:t>11,83</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 xml:space="preserve">    Total</w:t>
            </w:r>
          </w:p>
        </w:tc>
        <w:tc>
          <w:tcPr>
            <w:tcW w:w="1138" w:type="dxa"/>
          </w:tcPr>
          <w:p w:rsidR="00000000" w:rsidRDefault="00000000">
            <w:pPr>
              <w:jc w:val="right"/>
            </w:pPr>
            <w:r>
              <w:t>1.039.888</w:t>
            </w:r>
          </w:p>
        </w:tc>
        <w:tc>
          <w:tcPr>
            <w:tcW w:w="1343" w:type="dxa"/>
          </w:tcPr>
          <w:p w:rsidR="00000000" w:rsidRDefault="00000000">
            <w:pPr>
              <w:jc w:val="right"/>
            </w:pPr>
            <w:r>
              <w:t>146.258</w:t>
            </w:r>
          </w:p>
        </w:tc>
        <w:tc>
          <w:tcPr>
            <w:tcW w:w="1212" w:type="dxa"/>
          </w:tcPr>
          <w:p w:rsidR="00000000" w:rsidRDefault="00000000">
            <w:pPr>
              <w:jc w:val="right"/>
            </w:pPr>
            <w:r>
              <w:t>14,07</w:t>
            </w:r>
          </w:p>
        </w:tc>
        <w:tc>
          <w:tcPr>
            <w:tcW w:w="1137" w:type="dxa"/>
          </w:tcPr>
          <w:p w:rsidR="00000000" w:rsidRDefault="00000000">
            <w:pPr>
              <w:jc w:val="right"/>
            </w:pPr>
            <w:r>
              <w:t>772.367</w:t>
            </w:r>
          </w:p>
        </w:tc>
        <w:tc>
          <w:tcPr>
            <w:tcW w:w="1343" w:type="dxa"/>
          </w:tcPr>
          <w:p w:rsidR="00000000" w:rsidRDefault="00000000">
            <w:pPr>
              <w:jc w:val="right"/>
            </w:pPr>
            <w:r>
              <w:t>90.661</w:t>
            </w:r>
          </w:p>
        </w:tc>
        <w:tc>
          <w:tcPr>
            <w:tcW w:w="1212" w:type="dxa"/>
          </w:tcPr>
          <w:p w:rsidR="00000000" w:rsidRDefault="00000000">
            <w:pPr>
              <w:jc w:val="right"/>
            </w:pPr>
            <w:r>
              <w:t>11,74</w:t>
            </w:r>
          </w:p>
        </w:tc>
      </w:tr>
      <w:tr w:rsidR="00000000">
        <w:tblPrEx>
          <w:tblCellMar>
            <w:top w:w="0" w:type="dxa"/>
            <w:bottom w:w="0" w:type="dxa"/>
          </w:tblCellMar>
        </w:tblPrEx>
        <w:trPr>
          <w:cantSplit/>
        </w:trPr>
        <w:tc>
          <w:tcPr>
            <w:tcW w:w="1020" w:type="dxa"/>
            <w:vMerge w:val="restart"/>
          </w:tcPr>
          <w:p w:rsidR="00000000" w:rsidRDefault="00000000">
            <w:pPr>
              <w:keepNext/>
              <w:keepLines/>
              <w:jc w:val="center"/>
            </w:pPr>
            <w:r>
              <w:t>1996/97</w:t>
            </w:r>
          </w:p>
        </w:tc>
        <w:tc>
          <w:tcPr>
            <w:tcW w:w="1020" w:type="dxa"/>
          </w:tcPr>
          <w:p w:rsidR="00000000" w:rsidRDefault="00000000">
            <w:pPr>
              <w:keepNext/>
              <w:keepLines/>
            </w:pPr>
            <w:r>
              <w:t>Hombres</w:t>
            </w:r>
          </w:p>
        </w:tc>
        <w:tc>
          <w:tcPr>
            <w:tcW w:w="1138" w:type="dxa"/>
          </w:tcPr>
          <w:p w:rsidR="00000000" w:rsidRDefault="00000000">
            <w:pPr>
              <w:keepNext/>
              <w:keepLines/>
              <w:jc w:val="right"/>
            </w:pPr>
            <w:r>
              <w:t>548.810</w:t>
            </w:r>
          </w:p>
        </w:tc>
        <w:tc>
          <w:tcPr>
            <w:tcW w:w="1343" w:type="dxa"/>
          </w:tcPr>
          <w:p w:rsidR="00000000" w:rsidRDefault="00000000">
            <w:pPr>
              <w:keepNext/>
              <w:keepLines/>
              <w:jc w:val="right"/>
            </w:pPr>
            <w:r>
              <w:t>76.832</w:t>
            </w:r>
          </w:p>
        </w:tc>
        <w:tc>
          <w:tcPr>
            <w:tcW w:w="1212" w:type="dxa"/>
          </w:tcPr>
          <w:p w:rsidR="00000000" w:rsidRDefault="00000000">
            <w:pPr>
              <w:keepNext/>
              <w:keepLines/>
              <w:jc w:val="right"/>
            </w:pPr>
            <w:r>
              <w:t>14,00</w:t>
            </w:r>
          </w:p>
        </w:tc>
        <w:tc>
          <w:tcPr>
            <w:tcW w:w="1137" w:type="dxa"/>
          </w:tcPr>
          <w:p w:rsidR="00000000" w:rsidRDefault="00000000">
            <w:pPr>
              <w:keepNext/>
              <w:keepLines/>
              <w:jc w:val="right"/>
            </w:pPr>
            <w:r>
              <w:t>414.801</w:t>
            </w:r>
          </w:p>
        </w:tc>
        <w:tc>
          <w:tcPr>
            <w:tcW w:w="1343" w:type="dxa"/>
          </w:tcPr>
          <w:p w:rsidR="00000000" w:rsidRDefault="00000000">
            <w:pPr>
              <w:keepNext/>
              <w:keepLines/>
              <w:jc w:val="right"/>
            </w:pPr>
            <w:r>
              <w:t>49.240</w:t>
            </w:r>
          </w:p>
        </w:tc>
        <w:tc>
          <w:tcPr>
            <w:tcW w:w="1212" w:type="dxa"/>
          </w:tcPr>
          <w:p w:rsidR="00000000" w:rsidRDefault="00000000">
            <w:pPr>
              <w:keepNext/>
              <w:keepLines/>
              <w:jc w:val="right"/>
            </w:pPr>
            <w:r>
              <w:t>11,87</w:t>
            </w:r>
          </w:p>
        </w:tc>
      </w:tr>
      <w:tr w:rsidR="00000000">
        <w:tblPrEx>
          <w:tblCellMar>
            <w:top w:w="0" w:type="dxa"/>
            <w:bottom w:w="0" w:type="dxa"/>
          </w:tblCellMar>
        </w:tblPrEx>
        <w:trPr>
          <w:cantSplit/>
        </w:trPr>
        <w:tc>
          <w:tcPr>
            <w:tcW w:w="1020" w:type="dxa"/>
            <w:vMerge/>
          </w:tcPr>
          <w:p w:rsidR="00000000" w:rsidRDefault="00000000">
            <w:pPr>
              <w:keepNext/>
              <w:keepLines/>
              <w:jc w:val="center"/>
            </w:pPr>
          </w:p>
        </w:tc>
        <w:tc>
          <w:tcPr>
            <w:tcW w:w="1020" w:type="dxa"/>
          </w:tcPr>
          <w:p w:rsidR="00000000" w:rsidRDefault="00000000">
            <w:pPr>
              <w:keepNext/>
              <w:keepLines/>
            </w:pPr>
            <w:r>
              <w:t>Mujeres</w:t>
            </w:r>
          </w:p>
        </w:tc>
        <w:tc>
          <w:tcPr>
            <w:tcW w:w="1138" w:type="dxa"/>
          </w:tcPr>
          <w:p w:rsidR="00000000" w:rsidRDefault="00000000">
            <w:pPr>
              <w:keepNext/>
              <w:keepLines/>
              <w:jc w:val="right"/>
            </w:pPr>
            <w:r>
              <w:t>537.425</w:t>
            </w:r>
          </w:p>
        </w:tc>
        <w:tc>
          <w:tcPr>
            <w:tcW w:w="1343" w:type="dxa"/>
          </w:tcPr>
          <w:p w:rsidR="00000000" w:rsidRDefault="00000000">
            <w:pPr>
              <w:keepNext/>
              <w:keepLines/>
              <w:jc w:val="right"/>
            </w:pPr>
            <w:r>
              <w:t>77.149</w:t>
            </w:r>
          </w:p>
        </w:tc>
        <w:tc>
          <w:tcPr>
            <w:tcW w:w="1212" w:type="dxa"/>
          </w:tcPr>
          <w:p w:rsidR="00000000" w:rsidRDefault="00000000">
            <w:pPr>
              <w:keepNext/>
              <w:keepLines/>
              <w:jc w:val="right"/>
            </w:pPr>
            <w:r>
              <w:t>14,36</w:t>
            </w:r>
          </w:p>
        </w:tc>
        <w:tc>
          <w:tcPr>
            <w:tcW w:w="1137" w:type="dxa"/>
          </w:tcPr>
          <w:p w:rsidR="00000000" w:rsidRDefault="00000000">
            <w:pPr>
              <w:keepNext/>
              <w:keepLines/>
              <w:jc w:val="right"/>
            </w:pPr>
            <w:r>
              <w:t>387.136</w:t>
            </w:r>
          </w:p>
        </w:tc>
        <w:tc>
          <w:tcPr>
            <w:tcW w:w="1343" w:type="dxa"/>
          </w:tcPr>
          <w:p w:rsidR="00000000" w:rsidRDefault="00000000">
            <w:pPr>
              <w:keepNext/>
              <w:keepLines/>
              <w:jc w:val="right"/>
            </w:pPr>
            <w:r>
              <w:t>46.047</w:t>
            </w:r>
          </w:p>
        </w:tc>
        <w:tc>
          <w:tcPr>
            <w:tcW w:w="1212" w:type="dxa"/>
          </w:tcPr>
          <w:p w:rsidR="00000000" w:rsidRDefault="00000000">
            <w:pPr>
              <w:keepNext/>
              <w:keepLines/>
              <w:jc w:val="right"/>
            </w:pPr>
            <w:r>
              <w:t>11,89</w:t>
            </w:r>
          </w:p>
        </w:tc>
      </w:tr>
      <w:tr w:rsidR="00000000">
        <w:tblPrEx>
          <w:tblCellMar>
            <w:top w:w="0" w:type="dxa"/>
            <w:bottom w:w="0" w:type="dxa"/>
          </w:tblCellMar>
        </w:tblPrEx>
        <w:trPr>
          <w:cantSplit/>
        </w:trPr>
        <w:tc>
          <w:tcPr>
            <w:tcW w:w="1020" w:type="dxa"/>
            <w:vMerge/>
          </w:tcPr>
          <w:p w:rsidR="00000000" w:rsidRDefault="00000000">
            <w:pPr>
              <w:keepNext/>
              <w:keepLines/>
              <w:jc w:val="center"/>
            </w:pPr>
          </w:p>
        </w:tc>
        <w:tc>
          <w:tcPr>
            <w:tcW w:w="1020" w:type="dxa"/>
          </w:tcPr>
          <w:p w:rsidR="00000000" w:rsidRDefault="00000000">
            <w:pPr>
              <w:keepNext/>
              <w:keepLines/>
            </w:pPr>
            <w:r>
              <w:t xml:space="preserve">    Total</w:t>
            </w:r>
          </w:p>
        </w:tc>
        <w:tc>
          <w:tcPr>
            <w:tcW w:w="1138" w:type="dxa"/>
          </w:tcPr>
          <w:p w:rsidR="00000000" w:rsidRDefault="00000000">
            <w:pPr>
              <w:keepNext/>
              <w:keepLines/>
              <w:jc w:val="right"/>
            </w:pPr>
            <w:r>
              <w:t>1.086.235</w:t>
            </w:r>
          </w:p>
        </w:tc>
        <w:tc>
          <w:tcPr>
            <w:tcW w:w="1343" w:type="dxa"/>
          </w:tcPr>
          <w:p w:rsidR="00000000" w:rsidRDefault="00000000">
            <w:pPr>
              <w:keepNext/>
              <w:keepLines/>
              <w:jc w:val="right"/>
            </w:pPr>
            <w:r>
              <w:t>153.981</w:t>
            </w:r>
          </w:p>
        </w:tc>
        <w:tc>
          <w:tcPr>
            <w:tcW w:w="1212" w:type="dxa"/>
          </w:tcPr>
          <w:p w:rsidR="00000000" w:rsidRDefault="00000000">
            <w:pPr>
              <w:keepNext/>
              <w:keepLines/>
              <w:jc w:val="right"/>
            </w:pPr>
            <w:r>
              <w:t>14,18</w:t>
            </w:r>
          </w:p>
        </w:tc>
        <w:tc>
          <w:tcPr>
            <w:tcW w:w="1137" w:type="dxa"/>
          </w:tcPr>
          <w:p w:rsidR="00000000" w:rsidRDefault="00000000">
            <w:pPr>
              <w:keepNext/>
              <w:keepLines/>
              <w:jc w:val="right"/>
            </w:pPr>
            <w:r>
              <w:t>801.937</w:t>
            </w:r>
          </w:p>
        </w:tc>
        <w:tc>
          <w:tcPr>
            <w:tcW w:w="1343" w:type="dxa"/>
          </w:tcPr>
          <w:p w:rsidR="00000000" w:rsidRDefault="00000000">
            <w:pPr>
              <w:keepNext/>
              <w:keepLines/>
              <w:jc w:val="right"/>
            </w:pPr>
            <w:r>
              <w:t>95.287</w:t>
            </w:r>
          </w:p>
        </w:tc>
        <w:tc>
          <w:tcPr>
            <w:tcW w:w="1212" w:type="dxa"/>
          </w:tcPr>
          <w:p w:rsidR="00000000" w:rsidRDefault="00000000">
            <w:pPr>
              <w:keepNext/>
              <w:keepLines/>
              <w:jc w:val="right"/>
            </w:pPr>
            <w:r>
              <w:t>11,88</w:t>
            </w:r>
          </w:p>
        </w:tc>
      </w:tr>
      <w:tr w:rsidR="00000000">
        <w:tblPrEx>
          <w:tblCellMar>
            <w:top w:w="0" w:type="dxa"/>
            <w:bottom w:w="0" w:type="dxa"/>
          </w:tblCellMar>
        </w:tblPrEx>
        <w:trPr>
          <w:cantSplit/>
        </w:trPr>
        <w:tc>
          <w:tcPr>
            <w:tcW w:w="1020" w:type="dxa"/>
            <w:vMerge w:val="restart"/>
          </w:tcPr>
          <w:p w:rsidR="00000000" w:rsidRDefault="00000000">
            <w:pPr>
              <w:jc w:val="center"/>
            </w:pPr>
            <w:r>
              <w:t>1997/98</w:t>
            </w:r>
          </w:p>
        </w:tc>
        <w:tc>
          <w:tcPr>
            <w:tcW w:w="1020" w:type="dxa"/>
          </w:tcPr>
          <w:p w:rsidR="00000000" w:rsidRDefault="00000000">
            <w:r>
              <w:t>Hombres</w:t>
            </w:r>
          </w:p>
        </w:tc>
        <w:tc>
          <w:tcPr>
            <w:tcW w:w="1138" w:type="dxa"/>
          </w:tcPr>
          <w:p w:rsidR="00000000" w:rsidRDefault="00000000">
            <w:pPr>
              <w:jc w:val="right"/>
            </w:pPr>
            <w:r>
              <w:t>553.101</w:t>
            </w:r>
          </w:p>
        </w:tc>
        <w:tc>
          <w:tcPr>
            <w:tcW w:w="1343" w:type="dxa"/>
          </w:tcPr>
          <w:p w:rsidR="00000000" w:rsidRDefault="00000000">
            <w:pPr>
              <w:jc w:val="right"/>
            </w:pPr>
            <w:r>
              <w:t>77.703</w:t>
            </w:r>
          </w:p>
        </w:tc>
        <w:tc>
          <w:tcPr>
            <w:tcW w:w="1212" w:type="dxa"/>
          </w:tcPr>
          <w:p w:rsidR="00000000" w:rsidRDefault="00000000">
            <w:pPr>
              <w:jc w:val="right"/>
            </w:pPr>
            <w:r>
              <w:t>14,05</w:t>
            </w:r>
          </w:p>
        </w:tc>
        <w:tc>
          <w:tcPr>
            <w:tcW w:w="1137" w:type="dxa"/>
          </w:tcPr>
          <w:p w:rsidR="00000000" w:rsidRDefault="00000000">
            <w:pPr>
              <w:jc w:val="right"/>
            </w:pPr>
            <w:r>
              <w:t>406.000</w:t>
            </w:r>
          </w:p>
        </w:tc>
        <w:tc>
          <w:tcPr>
            <w:tcW w:w="1343" w:type="dxa"/>
          </w:tcPr>
          <w:p w:rsidR="00000000" w:rsidRDefault="00000000">
            <w:pPr>
              <w:jc w:val="right"/>
            </w:pPr>
            <w:r>
              <w:t>48.973</w:t>
            </w:r>
          </w:p>
        </w:tc>
        <w:tc>
          <w:tcPr>
            <w:tcW w:w="1212" w:type="dxa"/>
          </w:tcPr>
          <w:p w:rsidR="00000000" w:rsidRDefault="00000000">
            <w:pPr>
              <w:jc w:val="right"/>
            </w:pPr>
            <w:r>
              <w:t>12,06</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Mujeres</w:t>
            </w:r>
          </w:p>
        </w:tc>
        <w:tc>
          <w:tcPr>
            <w:tcW w:w="1138" w:type="dxa"/>
          </w:tcPr>
          <w:p w:rsidR="00000000" w:rsidRDefault="00000000">
            <w:pPr>
              <w:jc w:val="right"/>
            </w:pPr>
            <w:r>
              <w:t>544.943</w:t>
            </w:r>
          </w:p>
        </w:tc>
        <w:tc>
          <w:tcPr>
            <w:tcW w:w="1343" w:type="dxa"/>
          </w:tcPr>
          <w:p w:rsidR="00000000" w:rsidRDefault="00000000">
            <w:pPr>
              <w:jc w:val="right"/>
            </w:pPr>
            <w:r>
              <w:t>79.208</w:t>
            </w:r>
          </w:p>
        </w:tc>
        <w:tc>
          <w:tcPr>
            <w:tcW w:w="1212" w:type="dxa"/>
          </w:tcPr>
          <w:p w:rsidR="00000000" w:rsidRDefault="00000000">
            <w:pPr>
              <w:jc w:val="right"/>
            </w:pPr>
            <w:r>
              <w:t>14,54</w:t>
            </w:r>
          </w:p>
        </w:tc>
        <w:tc>
          <w:tcPr>
            <w:tcW w:w="1137" w:type="dxa"/>
          </w:tcPr>
          <w:p w:rsidR="00000000" w:rsidRDefault="00000000">
            <w:pPr>
              <w:jc w:val="right"/>
            </w:pPr>
            <w:r>
              <w:t>378.901</w:t>
            </w:r>
          </w:p>
        </w:tc>
        <w:tc>
          <w:tcPr>
            <w:tcW w:w="1343" w:type="dxa"/>
          </w:tcPr>
          <w:p w:rsidR="00000000" w:rsidRDefault="00000000">
            <w:pPr>
              <w:jc w:val="right"/>
            </w:pPr>
            <w:r>
              <w:t>46.495</w:t>
            </w:r>
          </w:p>
        </w:tc>
        <w:tc>
          <w:tcPr>
            <w:tcW w:w="1212" w:type="dxa"/>
          </w:tcPr>
          <w:p w:rsidR="00000000" w:rsidRDefault="00000000">
            <w:pPr>
              <w:jc w:val="right"/>
            </w:pPr>
            <w:r>
              <w:t>12,27</w:t>
            </w:r>
          </w:p>
        </w:tc>
      </w:tr>
      <w:tr w:rsidR="00000000">
        <w:tblPrEx>
          <w:tblCellMar>
            <w:top w:w="0" w:type="dxa"/>
            <w:bottom w:w="0" w:type="dxa"/>
          </w:tblCellMar>
        </w:tblPrEx>
        <w:trPr>
          <w:cantSplit/>
        </w:trPr>
        <w:tc>
          <w:tcPr>
            <w:tcW w:w="1020" w:type="dxa"/>
            <w:vMerge/>
          </w:tcPr>
          <w:p w:rsidR="00000000" w:rsidRDefault="00000000">
            <w:pPr>
              <w:jc w:val="center"/>
            </w:pPr>
          </w:p>
        </w:tc>
        <w:tc>
          <w:tcPr>
            <w:tcW w:w="1020" w:type="dxa"/>
          </w:tcPr>
          <w:p w:rsidR="00000000" w:rsidRDefault="00000000">
            <w:r>
              <w:t xml:space="preserve">    Total</w:t>
            </w:r>
          </w:p>
        </w:tc>
        <w:tc>
          <w:tcPr>
            <w:tcW w:w="1138" w:type="dxa"/>
          </w:tcPr>
          <w:p w:rsidR="00000000" w:rsidRDefault="00000000">
            <w:pPr>
              <w:jc w:val="right"/>
            </w:pPr>
            <w:r>
              <w:t>1.098.044</w:t>
            </w:r>
          </w:p>
        </w:tc>
        <w:tc>
          <w:tcPr>
            <w:tcW w:w="1343" w:type="dxa"/>
          </w:tcPr>
          <w:p w:rsidR="00000000" w:rsidRDefault="00000000">
            <w:pPr>
              <w:jc w:val="right"/>
            </w:pPr>
            <w:r>
              <w:t>156.911</w:t>
            </w:r>
          </w:p>
        </w:tc>
        <w:tc>
          <w:tcPr>
            <w:tcW w:w="1212" w:type="dxa"/>
          </w:tcPr>
          <w:p w:rsidR="00000000" w:rsidRDefault="00000000">
            <w:pPr>
              <w:jc w:val="right"/>
            </w:pPr>
            <w:r>
              <w:t>14,29</w:t>
            </w:r>
          </w:p>
        </w:tc>
        <w:tc>
          <w:tcPr>
            <w:tcW w:w="1137" w:type="dxa"/>
          </w:tcPr>
          <w:p w:rsidR="00000000" w:rsidRDefault="00000000">
            <w:pPr>
              <w:jc w:val="right"/>
            </w:pPr>
            <w:r>
              <w:t>784.901</w:t>
            </w:r>
          </w:p>
        </w:tc>
        <w:tc>
          <w:tcPr>
            <w:tcW w:w="1343" w:type="dxa"/>
          </w:tcPr>
          <w:p w:rsidR="00000000" w:rsidRDefault="00000000">
            <w:pPr>
              <w:jc w:val="right"/>
            </w:pPr>
            <w:r>
              <w:t>95.468</w:t>
            </w:r>
          </w:p>
        </w:tc>
        <w:tc>
          <w:tcPr>
            <w:tcW w:w="1212" w:type="dxa"/>
          </w:tcPr>
          <w:p w:rsidR="00000000" w:rsidRDefault="00000000">
            <w:pPr>
              <w:jc w:val="right"/>
            </w:pPr>
            <w:r>
              <w:t>12,16</w:t>
            </w:r>
          </w:p>
        </w:tc>
      </w:tr>
    </w:tbl>
    <w:p w:rsidR="00000000" w:rsidRDefault="00000000">
      <w:pPr>
        <w:spacing w:before="240" w:after="240"/>
        <w:rPr>
          <w:szCs w:val="23"/>
          <w:lang w:val="es-ES_tradnl"/>
        </w:rPr>
      </w:pPr>
      <w:r>
        <w:rPr>
          <w:i/>
          <w:iCs/>
          <w:szCs w:val="23"/>
          <w:lang w:val="es-ES_tradnl"/>
        </w:rPr>
        <w:t>Fuente</w:t>
      </w:r>
      <w:r>
        <w:rPr>
          <w:szCs w:val="23"/>
          <w:lang w:val="es-ES_tradnl"/>
        </w:rPr>
        <w:t>:  Sistema Nacional de Estadísticas Educativas del Ecuador (</w:t>
      </w:r>
      <w:proofErr w:type="spellStart"/>
      <w:r>
        <w:rPr>
          <w:szCs w:val="23"/>
          <w:lang w:val="es-ES_tradnl"/>
        </w:rPr>
        <w:t>SINEC</w:t>
      </w:r>
      <w:proofErr w:type="spellEnd"/>
      <w:r>
        <w:rPr>
          <w:szCs w:val="23"/>
          <w:lang w:val="es-ES_tradnl"/>
        </w:rPr>
        <w:t>).</w:t>
      </w:r>
    </w:p>
    <w:p w:rsidR="00000000" w:rsidRDefault="00000000">
      <w:pPr>
        <w:spacing w:after="240"/>
        <w:rPr>
          <w:szCs w:val="23"/>
          <w:lang w:val="es-ES_tradnl"/>
        </w:rPr>
      </w:pPr>
      <w:r>
        <w:rPr>
          <w:i/>
          <w:iCs/>
          <w:szCs w:val="23"/>
          <w:lang w:val="es-ES_tradnl"/>
        </w:rPr>
        <w:t>Nota</w:t>
      </w:r>
      <w:r>
        <w:rPr>
          <w:szCs w:val="23"/>
          <w:lang w:val="es-ES_tradnl"/>
        </w:rPr>
        <w:t>:  Elaboración:  Equipo de Estadísticas del Ministerio de Educación y Cultura.</w:t>
      </w:r>
    </w:p>
    <w:p w:rsidR="00000000" w:rsidRDefault="00000000">
      <w:pPr>
        <w:spacing w:after="480"/>
      </w:pPr>
      <w:r>
        <w:rPr>
          <w:szCs w:val="22"/>
          <w:lang w:val="es-ES_tradnl"/>
        </w:rPr>
        <w:t>* Alumnos promovidos de sexto grado.</w:t>
      </w:r>
    </w:p>
    <w:p w:rsidR="00000000" w:rsidRDefault="00000000">
      <w:pPr>
        <w:spacing w:after="240"/>
        <w:jc w:val="center"/>
        <w:rPr>
          <w:b/>
          <w:bCs/>
          <w:szCs w:val="22"/>
          <w:lang w:val="es-ES_tradnl"/>
        </w:rPr>
      </w:pPr>
      <w:r>
        <w:rPr>
          <w:b/>
          <w:bCs/>
          <w:szCs w:val="22"/>
          <w:lang w:val="es-ES_tradnl"/>
        </w:rPr>
        <w:t>Alumnos promovidos de la educación regular en los tres niveles</w:t>
      </w:r>
      <w:r>
        <w:rPr>
          <w:b/>
          <w:bCs/>
          <w:szCs w:val="22"/>
          <w:lang w:val="es-ES_tradnl"/>
        </w:rPr>
        <w:br/>
        <w:t>educativos por zona, según años escolares y sexo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1"/>
        <w:gridCol w:w="1020"/>
        <w:gridCol w:w="1137"/>
        <w:gridCol w:w="1343"/>
        <w:gridCol w:w="1212"/>
        <w:gridCol w:w="1137"/>
        <w:gridCol w:w="1343"/>
        <w:gridCol w:w="1212"/>
      </w:tblGrid>
      <w:tr w:rsidR="00000000">
        <w:tblPrEx>
          <w:tblCellMar>
            <w:top w:w="0" w:type="dxa"/>
            <w:bottom w:w="0" w:type="dxa"/>
          </w:tblCellMar>
        </w:tblPrEx>
        <w:trPr>
          <w:cantSplit/>
        </w:trPr>
        <w:tc>
          <w:tcPr>
            <w:tcW w:w="1021" w:type="dxa"/>
            <w:vMerge w:val="restart"/>
            <w:vAlign w:val="center"/>
          </w:tcPr>
          <w:p w:rsidR="00000000" w:rsidRDefault="00000000">
            <w:pPr>
              <w:jc w:val="center"/>
            </w:pPr>
            <w:r>
              <w:t>Años escolares</w:t>
            </w:r>
          </w:p>
        </w:tc>
        <w:tc>
          <w:tcPr>
            <w:tcW w:w="8404" w:type="dxa"/>
            <w:gridSpan w:val="7"/>
            <w:vAlign w:val="center"/>
          </w:tcPr>
          <w:p w:rsidR="00000000" w:rsidRDefault="00000000">
            <w:pPr>
              <w:jc w:val="center"/>
            </w:pPr>
            <w:r>
              <w:t>Ciclo básico</w:t>
            </w:r>
          </w:p>
        </w:tc>
      </w:tr>
      <w:tr w:rsidR="00000000">
        <w:tblPrEx>
          <w:tblCellMar>
            <w:top w:w="0" w:type="dxa"/>
            <w:bottom w:w="0" w:type="dxa"/>
          </w:tblCellMar>
        </w:tblPrEx>
        <w:trPr>
          <w:cantSplit/>
        </w:trPr>
        <w:tc>
          <w:tcPr>
            <w:tcW w:w="1021" w:type="dxa"/>
            <w:vMerge/>
            <w:vAlign w:val="center"/>
          </w:tcPr>
          <w:p w:rsidR="00000000" w:rsidRDefault="00000000">
            <w:pPr>
              <w:jc w:val="center"/>
            </w:pPr>
          </w:p>
        </w:tc>
        <w:tc>
          <w:tcPr>
            <w:tcW w:w="1020" w:type="dxa"/>
            <w:vAlign w:val="center"/>
          </w:tcPr>
          <w:p w:rsidR="00000000" w:rsidRDefault="00000000">
            <w:pPr>
              <w:jc w:val="center"/>
            </w:pPr>
            <w:r>
              <w:t>Sexo</w:t>
            </w:r>
          </w:p>
        </w:tc>
        <w:tc>
          <w:tcPr>
            <w:tcW w:w="1137" w:type="dxa"/>
            <w:vAlign w:val="center"/>
          </w:tcPr>
          <w:p w:rsidR="00000000" w:rsidRDefault="00000000">
            <w:pPr>
              <w:jc w:val="center"/>
            </w:pPr>
            <w:r>
              <w:t>Matrícula neta urbana</w:t>
            </w:r>
          </w:p>
        </w:tc>
        <w:tc>
          <w:tcPr>
            <w:tcW w:w="1343" w:type="dxa"/>
            <w:vAlign w:val="center"/>
          </w:tcPr>
          <w:p w:rsidR="00000000" w:rsidRDefault="00000000">
            <w:pPr>
              <w:jc w:val="center"/>
            </w:pPr>
            <w:r>
              <w:t>Graduados urbana</w:t>
            </w:r>
            <w:r>
              <w:rPr>
                <w:b/>
                <w:bCs/>
              </w:rPr>
              <w:t>*</w:t>
            </w:r>
          </w:p>
        </w:tc>
        <w:tc>
          <w:tcPr>
            <w:tcW w:w="1212" w:type="dxa"/>
            <w:vAlign w:val="center"/>
          </w:tcPr>
          <w:p w:rsidR="00000000" w:rsidRDefault="00000000">
            <w:pPr>
              <w:jc w:val="center"/>
            </w:pPr>
            <w:r>
              <w:t>Porcentaje</w:t>
            </w:r>
          </w:p>
        </w:tc>
        <w:tc>
          <w:tcPr>
            <w:tcW w:w="1137" w:type="dxa"/>
            <w:vAlign w:val="center"/>
          </w:tcPr>
          <w:p w:rsidR="00000000" w:rsidRDefault="00000000">
            <w:pPr>
              <w:jc w:val="center"/>
            </w:pPr>
            <w:r>
              <w:t>Matrícula neta rural</w:t>
            </w:r>
          </w:p>
        </w:tc>
        <w:tc>
          <w:tcPr>
            <w:tcW w:w="1343" w:type="dxa"/>
            <w:vAlign w:val="center"/>
          </w:tcPr>
          <w:p w:rsidR="00000000" w:rsidRDefault="00000000">
            <w:pPr>
              <w:jc w:val="center"/>
            </w:pPr>
            <w:r>
              <w:t>Graduados rural</w:t>
            </w:r>
          </w:p>
        </w:tc>
        <w:tc>
          <w:tcPr>
            <w:tcW w:w="1212" w:type="dxa"/>
            <w:vAlign w:val="center"/>
          </w:tcPr>
          <w:p w:rsidR="00000000" w:rsidRDefault="00000000">
            <w:pPr>
              <w:jc w:val="center"/>
            </w:pPr>
            <w:r>
              <w:t>Porcentaje</w:t>
            </w:r>
          </w:p>
        </w:tc>
      </w:tr>
      <w:tr w:rsidR="00000000">
        <w:tblPrEx>
          <w:tblCellMar>
            <w:top w:w="0" w:type="dxa"/>
            <w:bottom w:w="0" w:type="dxa"/>
          </w:tblCellMar>
        </w:tblPrEx>
        <w:trPr>
          <w:cantSplit/>
        </w:trPr>
        <w:tc>
          <w:tcPr>
            <w:tcW w:w="1021" w:type="dxa"/>
            <w:vMerge w:val="restart"/>
          </w:tcPr>
          <w:p w:rsidR="00000000" w:rsidRDefault="00000000">
            <w:pPr>
              <w:jc w:val="center"/>
            </w:pPr>
            <w:r>
              <w:t>1993/94</w:t>
            </w:r>
          </w:p>
        </w:tc>
        <w:tc>
          <w:tcPr>
            <w:tcW w:w="1020" w:type="dxa"/>
          </w:tcPr>
          <w:p w:rsidR="00000000" w:rsidRDefault="00000000">
            <w:r>
              <w:t>Hombres</w:t>
            </w:r>
          </w:p>
        </w:tc>
        <w:tc>
          <w:tcPr>
            <w:tcW w:w="1137" w:type="dxa"/>
          </w:tcPr>
          <w:p w:rsidR="00000000" w:rsidRDefault="00000000">
            <w:pPr>
              <w:jc w:val="right"/>
            </w:pPr>
            <w:r>
              <w:t>187.190</w:t>
            </w:r>
          </w:p>
        </w:tc>
        <w:tc>
          <w:tcPr>
            <w:tcW w:w="1343" w:type="dxa"/>
          </w:tcPr>
          <w:p w:rsidR="00000000" w:rsidRDefault="00000000">
            <w:pPr>
              <w:jc w:val="right"/>
            </w:pPr>
            <w:r>
              <w:t>43.291</w:t>
            </w:r>
          </w:p>
        </w:tc>
        <w:tc>
          <w:tcPr>
            <w:tcW w:w="1212" w:type="dxa"/>
          </w:tcPr>
          <w:p w:rsidR="00000000" w:rsidRDefault="00000000">
            <w:pPr>
              <w:jc w:val="right"/>
            </w:pPr>
            <w:r>
              <w:t>23,13</w:t>
            </w:r>
          </w:p>
        </w:tc>
        <w:tc>
          <w:tcPr>
            <w:tcW w:w="1137" w:type="dxa"/>
          </w:tcPr>
          <w:p w:rsidR="00000000" w:rsidRDefault="00000000">
            <w:pPr>
              <w:jc w:val="right"/>
            </w:pPr>
            <w:r>
              <w:t>36.075</w:t>
            </w:r>
          </w:p>
        </w:tc>
        <w:tc>
          <w:tcPr>
            <w:tcW w:w="1343" w:type="dxa"/>
          </w:tcPr>
          <w:p w:rsidR="00000000" w:rsidRDefault="00000000">
            <w:pPr>
              <w:jc w:val="right"/>
            </w:pPr>
            <w:r>
              <w:t>8.033</w:t>
            </w:r>
          </w:p>
        </w:tc>
        <w:tc>
          <w:tcPr>
            <w:tcW w:w="1212" w:type="dxa"/>
          </w:tcPr>
          <w:p w:rsidR="00000000" w:rsidRDefault="00000000">
            <w:pPr>
              <w:jc w:val="right"/>
            </w:pPr>
            <w:r>
              <w:t>22,27</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181.105</w:t>
            </w:r>
          </w:p>
        </w:tc>
        <w:tc>
          <w:tcPr>
            <w:tcW w:w="1343" w:type="dxa"/>
          </w:tcPr>
          <w:p w:rsidR="00000000" w:rsidRDefault="00000000">
            <w:pPr>
              <w:jc w:val="right"/>
            </w:pPr>
            <w:r>
              <w:t>47.201</w:t>
            </w:r>
          </w:p>
        </w:tc>
        <w:tc>
          <w:tcPr>
            <w:tcW w:w="1212" w:type="dxa"/>
          </w:tcPr>
          <w:p w:rsidR="00000000" w:rsidRDefault="00000000">
            <w:pPr>
              <w:jc w:val="right"/>
            </w:pPr>
            <w:r>
              <w:t>26,06</w:t>
            </w:r>
          </w:p>
        </w:tc>
        <w:tc>
          <w:tcPr>
            <w:tcW w:w="1137" w:type="dxa"/>
          </w:tcPr>
          <w:p w:rsidR="00000000" w:rsidRDefault="00000000">
            <w:pPr>
              <w:jc w:val="right"/>
            </w:pPr>
            <w:r>
              <w:t>26.288</w:t>
            </w:r>
          </w:p>
        </w:tc>
        <w:tc>
          <w:tcPr>
            <w:tcW w:w="1343" w:type="dxa"/>
          </w:tcPr>
          <w:p w:rsidR="00000000" w:rsidRDefault="00000000">
            <w:pPr>
              <w:jc w:val="right"/>
            </w:pPr>
            <w:r>
              <w:t>6.411</w:t>
            </w:r>
          </w:p>
        </w:tc>
        <w:tc>
          <w:tcPr>
            <w:tcW w:w="1212" w:type="dxa"/>
          </w:tcPr>
          <w:p w:rsidR="00000000" w:rsidRDefault="00000000">
            <w:pPr>
              <w:jc w:val="right"/>
            </w:pPr>
            <w:r>
              <w:t>24,39</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368.295</w:t>
            </w:r>
          </w:p>
        </w:tc>
        <w:tc>
          <w:tcPr>
            <w:tcW w:w="1343" w:type="dxa"/>
          </w:tcPr>
          <w:p w:rsidR="00000000" w:rsidRDefault="00000000">
            <w:pPr>
              <w:jc w:val="right"/>
            </w:pPr>
            <w:r>
              <w:t>90.492</w:t>
            </w:r>
          </w:p>
        </w:tc>
        <w:tc>
          <w:tcPr>
            <w:tcW w:w="1212" w:type="dxa"/>
          </w:tcPr>
          <w:p w:rsidR="00000000" w:rsidRDefault="00000000">
            <w:pPr>
              <w:jc w:val="right"/>
            </w:pPr>
            <w:r>
              <w:t>24,57</w:t>
            </w:r>
          </w:p>
        </w:tc>
        <w:tc>
          <w:tcPr>
            <w:tcW w:w="1137" w:type="dxa"/>
          </w:tcPr>
          <w:p w:rsidR="00000000" w:rsidRDefault="00000000">
            <w:pPr>
              <w:jc w:val="right"/>
            </w:pPr>
            <w:r>
              <w:t>62.363</w:t>
            </w:r>
          </w:p>
        </w:tc>
        <w:tc>
          <w:tcPr>
            <w:tcW w:w="1343" w:type="dxa"/>
          </w:tcPr>
          <w:p w:rsidR="00000000" w:rsidRDefault="00000000">
            <w:pPr>
              <w:jc w:val="right"/>
            </w:pPr>
            <w:r>
              <w:t>14.444</w:t>
            </w:r>
          </w:p>
        </w:tc>
        <w:tc>
          <w:tcPr>
            <w:tcW w:w="1212" w:type="dxa"/>
          </w:tcPr>
          <w:p w:rsidR="00000000" w:rsidRDefault="00000000">
            <w:pPr>
              <w:jc w:val="right"/>
            </w:pPr>
            <w:r>
              <w:t>23,16</w:t>
            </w:r>
          </w:p>
        </w:tc>
      </w:tr>
      <w:tr w:rsidR="00000000">
        <w:tblPrEx>
          <w:tblCellMar>
            <w:top w:w="0" w:type="dxa"/>
            <w:bottom w:w="0" w:type="dxa"/>
          </w:tblCellMar>
        </w:tblPrEx>
        <w:trPr>
          <w:cantSplit/>
        </w:trPr>
        <w:tc>
          <w:tcPr>
            <w:tcW w:w="1021" w:type="dxa"/>
            <w:vMerge w:val="restart"/>
          </w:tcPr>
          <w:p w:rsidR="00000000" w:rsidRDefault="00000000">
            <w:pPr>
              <w:jc w:val="center"/>
            </w:pPr>
            <w:r>
              <w:t>1994/95</w:t>
            </w:r>
          </w:p>
        </w:tc>
        <w:tc>
          <w:tcPr>
            <w:tcW w:w="1020" w:type="dxa"/>
          </w:tcPr>
          <w:p w:rsidR="00000000" w:rsidRDefault="00000000">
            <w:r>
              <w:t>Hombres</w:t>
            </w:r>
          </w:p>
        </w:tc>
        <w:tc>
          <w:tcPr>
            <w:tcW w:w="1137" w:type="dxa"/>
          </w:tcPr>
          <w:p w:rsidR="00000000" w:rsidRDefault="00000000">
            <w:pPr>
              <w:jc w:val="right"/>
            </w:pPr>
            <w:r>
              <w:t>197.938</w:t>
            </w:r>
          </w:p>
        </w:tc>
        <w:tc>
          <w:tcPr>
            <w:tcW w:w="1343" w:type="dxa"/>
          </w:tcPr>
          <w:p w:rsidR="00000000" w:rsidRDefault="00000000">
            <w:pPr>
              <w:jc w:val="right"/>
            </w:pPr>
            <w:r>
              <w:t>45.997</w:t>
            </w:r>
          </w:p>
        </w:tc>
        <w:tc>
          <w:tcPr>
            <w:tcW w:w="1212" w:type="dxa"/>
          </w:tcPr>
          <w:p w:rsidR="00000000" w:rsidRDefault="00000000">
            <w:pPr>
              <w:jc w:val="right"/>
            </w:pPr>
            <w:r>
              <w:t>23,24</w:t>
            </w:r>
          </w:p>
        </w:tc>
        <w:tc>
          <w:tcPr>
            <w:tcW w:w="1137" w:type="dxa"/>
          </w:tcPr>
          <w:p w:rsidR="00000000" w:rsidRDefault="00000000">
            <w:pPr>
              <w:jc w:val="right"/>
            </w:pPr>
            <w:r>
              <w:t>38.028</w:t>
            </w:r>
          </w:p>
        </w:tc>
        <w:tc>
          <w:tcPr>
            <w:tcW w:w="1343" w:type="dxa"/>
          </w:tcPr>
          <w:p w:rsidR="00000000" w:rsidRDefault="00000000">
            <w:pPr>
              <w:jc w:val="right"/>
            </w:pPr>
            <w:r>
              <w:t>8.647</w:t>
            </w:r>
          </w:p>
        </w:tc>
        <w:tc>
          <w:tcPr>
            <w:tcW w:w="1212" w:type="dxa"/>
          </w:tcPr>
          <w:p w:rsidR="00000000" w:rsidRDefault="00000000">
            <w:pPr>
              <w:jc w:val="right"/>
            </w:pPr>
            <w:r>
              <w:t>22,74</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188.973</w:t>
            </w:r>
          </w:p>
        </w:tc>
        <w:tc>
          <w:tcPr>
            <w:tcW w:w="1343" w:type="dxa"/>
          </w:tcPr>
          <w:p w:rsidR="00000000" w:rsidRDefault="00000000">
            <w:pPr>
              <w:jc w:val="right"/>
            </w:pPr>
            <w:r>
              <w:t>49.644</w:t>
            </w:r>
          </w:p>
        </w:tc>
        <w:tc>
          <w:tcPr>
            <w:tcW w:w="1212" w:type="dxa"/>
          </w:tcPr>
          <w:p w:rsidR="00000000" w:rsidRDefault="00000000">
            <w:pPr>
              <w:jc w:val="right"/>
            </w:pPr>
            <w:r>
              <w:t>26,27</w:t>
            </w:r>
          </w:p>
        </w:tc>
        <w:tc>
          <w:tcPr>
            <w:tcW w:w="1137" w:type="dxa"/>
          </w:tcPr>
          <w:p w:rsidR="00000000" w:rsidRDefault="00000000">
            <w:pPr>
              <w:jc w:val="right"/>
            </w:pPr>
            <w:r>
              <w:t>27.306</w:t>
            </w:r>
          </w:p>
        </w:tc>
        <w:tc>
          <w:tcPr>
            <w:tcW w:w="1343" w:type="dxa"/>
          </w:tcPr>
          <w:p w:rsidR="00000000" w:rsidRDefault="00000000">
            <w:pPr>
              <w:jc w:val="right"/>
            </w:pPr>
            <w:r>
              <w:t>6.678</w:t>
            </w:r>
          </w:p>
        </w:tc>
        <w:tc>
          <w:tcPr>
            <w:tcW w:w="1212" w:type="dxa"/>
          </w:tcPr>
          <w:p w:rsidR="00000000" w:rsidRDefault="00000000">
            <w:pPr>
              <w:jc w:val="right"/>
            </w:pPr>
            <w:r>
              <w:t>24,46</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386.911</w:t>
            </w:r>
          </w:p>
        </w:tc>
        <w:tc>
          <w:tcPr>
            <w:tcW w:w="1343" w:type="dxa"/>
          </w:tcPr>
          <w:p w:rsidR="00000000" w:rsidRDefault="00000000">
            <w:pPr>
              <w:jc w:val="right"/>
            </w:pPr>
            <w:r>
              <w:t>95.641</w:t>
            </w:r>
          </w:p>
        </w:tc>
        <w:tc>
          <w:tcPr>
            <w:tcW w:w="1212" w:type="dxa"/>
          </w:tcPr>
          <w:p w:rsidR="00000000" w:rsidRDefault="00000000">
            <w:pPr>
              <w:jc w:val="right"/>
            </w:pPr>
            <w:r>
              <w:t>24,72</w:t>
            </w:r>
          </w:p>
        </w:tc>
        <w:tc>
          <w:tcPr>
            <w:tcW w:w="1137" w:type="dxa"/>
          </w:tcPr>
          <w:p w:rsidR="00000000" w:rsidRDefault="00000000">
            <w:pPr>
              <w:jc w:val="right"/>
            </w:pPr>
            <w:r>
              <w:t>65.334</w:t>
            </w:r>
          </w:p>
        </w:tc>
        <w:tc>
          <w:tcPr>
            <w:tcW w:w="1343" w:type="dxa"/>
          </w:tcPr>
          <w:p w:rsidR="00000000" w:rsidRDefault="00000000">
            <w:pPr>
              <w:jc w:val="right"/>
            </w:pPr>
            <w:r>
              <w:t>15.325</w:t>
            </w:r>
          </w:p>
        </w:tc>
        <w:tc>
          <w:tcPr>
            <w:tcW w:w="1212" w:type="dxa"/>
          </w:tcPr>
          <w:p w:rsidR="00000000" w:rsidRDefault="00000000">
            <w:pPr>
              <w:jc w:val="right"/>
            </w:pPr>
            <w:r>
              <w:t>23,46</w:t>
            </w:r>
          </w:p>
        </w:tc>
      </w:tr>
      <w:tr w:rsidR="00000000">
        <w:tblPrEx>
          <w:tblCellMar>
            <w:top w:w="0" w:type="dxa"/>
            <w:bottom w:w="0" w:type="dxa"/>
          </w:tblCellMar>
        </w:tblPrEx>
        <w:trPr>
          <w:cantSplit/>
        </w:trPr>
        <w:tc>
          <w:tcPr>
            <w:tcW w:w="1021" w:type="dxa"/>
            <w:vMerge w:val="restart"/>
          </w:tcPr>
          <w:p w:rsidR="00000000" w:rsidRDefault="00000000">
            <w:pPr>
              <w:jc w:val="center"/>
            </w:pPr>
            <w:r>
              <w:t>1995/96</w:t>
            </w:r>
          </w:p>
        </w:tc>
        <w:tc>
          <w:tcPr>
            <w:tcW w:w="1020" w:type="dxa"/>
          </w:tcPr>
          <w:p w:rsidR="00000000" w:rsidRDefault="00000000">
            <w:r>
              <w:t>Hombres</w:t>
            </w:r>
          </w:p>
        </w:tc>
        <w:tc>
          <w:tcPr>
            <w:tcW w:w="1137" w:type="dxa"/>
          </w:tcPr>
          <w:p w:rsidR="00000000" w:rsidRDefault="00000000">
            <w:pPr>
              <w:jc w:val="right"/>
            </w:pPr>
            <w:r>
              <w:t>194.060</w:t>
            </w:r>
          </w:p>
        </w:tc>
        <w:tc>
          <w:tcPr>
            <w:tcW w:w="1343" w:type="dxa"/>
          </w:tcPr>
          <w:p w:rsidR="00000000" w:rsidRDefault="00000000">
            <w:pPr>
              <w:jc w:val="right"/>
            </w:pPr>
            <w:r>
              <w:t>47.232</w:t>
            </w:r>
          </w:p>
        </w:tc>
        <w:tc>
          <w:tcPr>
            <w:tcW w:w="1212" w:type="dxa"/>
          </w:tcPr>
          <w:p w:rsidR="00000000" w:rsidRDefault="00000000">
            <w:pPr>
              <w:jc w:val="right"/>
            </w:pPr>
            <w:r>
              <w:t>24,34</w:t>
            </w:r>
          </w:p>
        </w:tc>
        <w:tc>
          <w:tcPr>
            <w:tcW w:w="1137" w:type="dxa"/>
          </w:tcPr>
          <w:p w:rsidR="00000000" w:rsidRDefault="00000000">
            <w:pPr>
              <w:jc w:val="right"/>
            </w:pPr>
            <w:r>
              <w:t>41.231</w:t>
            </w:r>
          </w:p>
        </w:tc>
        <w:tc>
          <w:tcPr>
            <w:tcW w:w="1343" w:type="dxa"/>
          </w:tcPr>
          <w:p w:rsidR="00000000" w:rsidRDefault="00000000">
            <w:pPr>
              <w:jc w:val="right"/>
            </w:pPr>
            <w:r>
              <w:t>9.217</w:t>
            </w:r>
          </w:p>
        </w:tc>
        <w:tc>
          <w:tcPr>
            <w:tcW w:w="1212" w:type="dxa"/>
          </w:tcPr>
          <w:p w:rsidR="00000000" w:rsidRDefault="00000000">
            <w:pPr>
              <w:jc w:val="right"/>
            </w:pPr>
            <w:r>
              <w:t>22,35</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192.392</w:t>
            </w:r>
          </w:p>
        </w:tc>
        <w:tc>
          <w:tcPr>
            <w:tcW w:w="1343" w:type="dxa"/>
          </w:tcPr>
          <w:p w:rsidR="00000000" w:rsidRDefault="00000000">
            <w:pPr>
              <w:jc w:val="right"/>
            </w:pPr>
            <w:r>
              <w:t>51.711</w:t>
            </w:r>
          </w:p>
        </w:tc>
        <w:tc>
          <w:tcPr>
            <w:tcW w:w="1212" w:type="dxa"/>
          </w:tcPr>
          <w:p w:rsidR="00000000" w:rsidRDefault="00000000">
            <w:pPr>
              <w:jc w:val="right"/>
            </w:pPr>
            <w:r>
              <w:t>26.88</w:t>
            </w:r>
          </w:p>
        </w:tc>
        <w:tc>
          <w:tcPr>
            <w:tcW w:w="1137" w:type="dxa"/>
          </w:tcPr>
          <w:p w:rsidR="00000000" w:rsidRDefault="00000000">
            <w:pPr>
              <w:jc w:val="right"/>
            </w:pPr>
            <w:r>
              <w:t>29.832</w:t>
            </w:r>
          </w:p>
        </w:tc>
        <w:tc>
          <w:tcPr>
            <w:tcW w:w="1343" w:type="dxa"/>
          </w:tcPr>
          <w:p w:rsidR="00000000" w:rsidRDefault="00000000">
            <w:pPr>
              <w:jc w:val="right"/>
            </w:pPr>
            <w:r>
              <w:t>7.311</w:t>
            </w:r>
          </w:p>
        </w:tc>
        <w:tc>
          <w:tcPr>
            <w:tcW w:w="1212" w:type="dxa"/>
          </w:tcPr>
          <w:p w:rsidR="00000000" w:rsidRDefault="00000000">
            <w:pPr>
              <w:jc w:val="right"/>
            </w:pPr>
            <w:r>
              <w:t>24,51</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386.452</w:t>
            </w:r>
          </w:p>
        </w:tc>
        <w:tc>
          <w:tcPr>
            <w:tcW w:w="1343" w:type="dxa"/>
          </w:tcPr>
          <w:p w:rsidR="00000000" w:rsidRDefault="00000000">
            <w:pPr>
              <w:jc w:val="right"/>
            </w:pPr>
            <w:r>
              <w:t>98.943</w:t>
            </w:r>
          </w:p>
        </w:tc>
        <w:tc>
          <w:tcPr>
            <w:tcW w:w="1212" w:type="dxa"/>
          </w:tcPr>
          <w:p w:rsidR="00000000" w:rsidRDefault="00000000">
            <w:pPr>
              <w:jc w:val="right"/>
            </w:pPr>
            <w:r>
              <w:t>25,60</w:t>
            </w:r>
          </w:p>
        </w:tc>
        <w:tc>
          <w:tcPr>
            <w:tcW w:w="1137" w:type="dxa"/>
          </w:tcPr>
          <w:p w:rsidR="00000000" w:rsidRDefault="00000000">
            <w:pPr>
              <w:jc w:val="right"/>
            </w:pPr>
            <w:r>
              <w:t>71.063</w:t>
            </w:r>
          </w:p>
        </w:tc>
        <w:tc>
          <w:tcPr>
            <w:tcW w:w="1343" w:type="dxa"/>
          </w:tcPr>
          <w:p w:rsidR="00000000" w:rsidRDefault="00000000">
            <w:pPr>
              <w:jc w:val="right"/>
            </w:pPr>
            <w:r>
              <w:t>16.528</w:t>
            </w:r>
          </w:p>
        </w:tc>
        <w:tc>
          <w:tcPr>
            <w:tcW w:w="1212" w:type="dxa"/>
          </w:tcPr>
          <w:p w:rsidR="00000000" w:rsidRDefault="00000000">
            <w:pPr>
              <w:jc w:val="right"/>
            </w:pPr>
            <w:r>
              <w:t>23,26</w:t>
            </w:r>
          </w:p>
        </w:tc>
      </w:tr>
      <w:tr w:rsidR="00000000">
        <w:tblPrEx>
          <w:tblCellMar>
            <w:top w:w="0" w:type="dxa"/>
            <w:bottom w:w="0" w:type="dxa"/>
          </w:tblCellMar>
        </w:tblPrEx>
        <w:trPr>
          <w:cantSplit/>
        </w:trPr>
        <w:tc>
          <w:tcPr>
            <w:tcW w:w="1021" w:type="dxa"/>
            <w:vMerge w:val="restart"/>
          </w:tcPr>
          <w:p w:rsidR="00000000" w:rsidRDefault="00000000">
            <w:pPr>
              <w:jc w:val="center"/>
            </w:pPr>
            <w:r>
              <w:t>1996/97</w:t>
            </w:r>
          </w:p>
        </w:tc>
        <w:tc>
          <w:tcPr>
            <w:tcW w:w="1020" w:type="dxa"/>
          </w:tcPr>
          <w:p w:rsidR="00000000" w:rsidRDefault="00000000">
            <w:r>
              <w:t>Hombres</w:t>
            </w:r>
          </w:p>
        </w:tc>
        <w:tc>
          <w:tcPr>
            <w:tcW w:w="1137" w:type="dxa"/>
          </w:tcPr>
          <w:p w:rsidR="00000000" w:rsidRDefault="00000000">
            <w:pPr>
              <w:jc w:val="right"/>
            </w:pPr>
            <w:r>
              <w:t>211.472</w:t>
            </w:r>
          </w:p>
        </w:tc>
        <w:tc>
          <w:tcPr>
            <w:tcW w:w="1343" w:type="dxa"/>
          </w:tcPr>
          <w:p w:rsidR="00000000" w:rsidRDefault="00000000">
            <w:pPr>
              <w:jc w:val="right"/>
            </w:pPr>
            <w:r>
              <w:t>52.502</w:t>
            </w:r>
          </w:p>
        </w:tc>
        <w:tc>
          <w:tcPr>
            <w:tcW w:w="1212" w:type="dxa"/>
          </w:tcPr>
          <w:p w:rsidR="00000000" w:rsidRDefault="00000000">
            <w:pPr>
              <w:jc w:val="right"/>
            </w:pPr>
            <w:r>
              <w:t>24,83</w:t>
            </w:r>
          </w:p>
        </w:tc>
        <w:tc>
          <w:tcPr>
            <w:tcW w:w="1137" w:type="dxa"/>
          </w:tcPr>
          <w:p w:rsidR="00000000" w:rsidRDefault="00000000">
            <w:pPr>
              <w:jc w:val="right"/>
            </w:pPr>
            <w:r>
              <w:t>44.608</w:t>
            </w:r>
          </w:p>
        </w:tc>
        <w:tc>
          <w:tcPr>
            <w:tcW w:w="1343" w:type="dxa"/>
          </w:tcPr>
          <w:p w:rsidR="00000000" w:rsidRDefault="00000000">
            <w:pPr>
              <w:jc w:val="right"/>
            </w:pPr>
            <w:r>
              <w:t>10.293</w:t>
            </w:r>
          </w:p>
        </w:tc>
        <w:tc>
          <w:tcPr>
            <w:tcW w:w="1212" w:type="dxa"/>
          </w:tcPr>
          <w:p w:rsidR="00000000" w:rsidRDefault="00000000">
            <w:pPr>
              <w:jc w:val="right"/>
            </w:pPr>
            <w:r>
              <w:t>23,07</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211.151</w:t>
            </w:r>
          </w:p>
        </w:tc>
        <w:tc>
          <w:tcPr>
            <w:tcW w:w="1343" w:type="dxa"/>
          </w:tcPr>
          <w:p w:rsidR="00000000" w:rsidRDefault="00000000">
            <w:pPr>
              <w:jc w:val="right"/>
            </w:pPr>
            <w:r>
              <w:t>58.034</w:t>
            </w:r>
          </w:p>
        </w:tc>
        <w:tc>
          <w:tcPr>
            <w:tcW w:w="1212" w:type="dxa"/>
          </w:tcPr>
          <w:p w:rsidR="00000000" w:rsidRDefault="00000000">
            <w:pPr>
              <w:jc w:val="right"/>
            </w:pPr>
            <w:r>
              <w:t>27,48</w:t>
            </w:r>
          </w:p>
        </w:tc>
        <w:tc>
          <w:tcPr>
            <w:tcW w:w="1137" w:type="dxa"/>
          </w:tcPr>
          <w:p w:rsidR="00000000" w:rsidRDefault="00000000">
            <w:pPr>
              <w:jc w:val="right"/>
            </w:pPr>
            <w:r>
              <w:t>32.071</w:t>
            </w:r>
          </w:p>
        </w:tc>
        <w:tc>
          <w:tcPr>
            <w:tcW w:w="1343" w:type="dxa"/>
          </w:tcPr>
          <w:p w:rsidR="00000000" w:rsidRDefault="00000000">
            <w:pPr>
              <w:jc w:val="right"/>
            </w:pPr>
            <w:r>
              <w:t>7.949</w:t>
            </w:r>
          </w:p>
        </w:tc>
        <w:tc>
          <w:tcPr>
            <w:tcW w:w="1212" w:type="dxa"/>
          </w:tcPr>
          <w:p w:rsidR="00000000" w:rsidRDefault="00000000">
            <w:pPr>
              <w:jc w:val="right"/>
            </w:pPr>
            <w:r>
              <w:t>24,79</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422.623</w:t>
            </w:r>
          </w:p>
        </w:tc>
        <w:tc>
          <w:tcPr>
            <w:tcW w:w="1343" w:type="dxa"/>
          </w:tcPr>
          <w:p w:rsidR="00000000" w:rsidRDefault="00000000">
            <w:pPr>
              <w:jc w:val="right"/>
            </w:pPr>
            <w:r>
              <w:t>110.536</w:t>
            </w:r>
          </w:p>
        </w:tc>
        <w:tc>
          <w:tcPr>
            <w:tcW w:w="1212" w:type="dxa"/>
          </w:tcPr>
          <w:p w:rsidR="00000000" w:rsidRDefault="00000000">
            <w:pPr>
              <w:jc w:val="right"/>
            </w:pPr>
            <w:r>
              <w:t>26,15</w:t>
            </w:r>
          </w:p>
        </w:tc>
        <w:tc>
          <w:tcPr>
            <w:tcW w:w="1137" w:type="dxa"/>
          </w:tcPr>
          <w:p w:rsidR="00000000" w:rsidRDefault="00000000">
            <w:pPr>
              <w:jc w:val="right"/>
            </w:pPr>
            <w:r>
              <w:t>76.679</w:t>
            </w:r>
          </w:p>
        </w:tc>
        <w:tc>
          <w:tcPr>
            <w:tcW w:w="1343" w:type="dxa"/>
          </w:tcPr>
          <w:p w:rsidR="00000000" w:rsidRDefault="00000000">
            <w:pPr>
              <w:jc w:val="right"/>
            </w:pPr>
            <w:r>
              <w:t>18.242</w:t>
            </w:r>
          </w:p>
        </w:tc>
        <w:tc>
          <w:tcPr>
            <w:tcW w:w="1212" w:type="dxa"/>
          </w:tcPr>
          <w:p w:rsidR="00000000" w:rsidRDefault="00000000">
            <w:pPr>
              <w:jc w:val="right"/>
            </w:pPr>
            <w:r>
              <w:t>23,79</w:t>
            </w:r>
          </w:p>
        </w:tc>
      </w:tr>
      <w:tr w:rsidR="00000000">
        <w:tblPrEx>
          <w:tblCellMar>
            <w:top w:w="0" w:type="dxa"/>
            <w:bottom w:w="0" w:type="dxa"/>
          </w:tblCellMar>
        </w:tblPrEx>
        <w:trPr>
          <w:cantSplit/>
        </w:trPr>
        <w:tc>
          <w:tcPr>
            <w:tcW w:w="1021" w:type="dxa"/>
            <w:vMerge w:val="restart"/>
          </w:tcPr>
          <w:p w:rsidR="00000000" w:rsidRDefault="00000000">
            <w:pPr>
              <w:jc w:val="center"/>
            </w:pPr>
            <w:r>
              <w:t>1997/98</w:t>
            </w:r>
          </w:p>
        </w:tc>
        <w:tc>
          <w:tcPr>
            <w:tcW w:w="1020" w:type="dxa"/>
          </w:tcPr>
          <w:p w:rsidR="00000000" w:rsidRDefault="00000000">
            <w:r>
              <w:t>Hombres</w:t>
            </w:r>
          </w:p>
        </w:tc>
        <w:tc>
          <w:tcPr>
            <w:tcW w:w="1137" w:type="dxa"/>
          </w:tcPr>
          <w:p w:rsidR="00000000" w:rsidRDefault="00000000">
            <w:pPr>
              <w:jc w:val="right"/>
            </w:pPr>
            <w:r>
              <w:t>208.797</w:t>
            </w:r>
          </w:p>
        </w:tc>
        <w:tc>
          <w:tcPr>
            <w:tcW w:w="1343" w:type="dxa"/>
          </w:tcPr>
          <w:p w:rsidR="00000000" w:rsidRDefault="00000000">
            <w:pPr>
              <w:jc w:val="right"/>
            </w:pPr>
          </w:p>
        </w:tc>
        <w:tc>
          <w:tcPr>
            <w:tcW w:w="1212" w:type="dxa"/>
          </w:tcPr>
          <w:p w:rsidR="00000000" w:rsidRDefault="00000000">
            <w:pPr>
              <w:jc w:val="right"/>
            </w:pPr>
            <w:r>
              <w:t>0,00</w:t>
            </w:r>
          </w:p>
        </w:tc>
        <w:tc>
          <w:tcPr>
            <w:tcW w:w="1137" w:type="dxa"/>
          </w:tcPr>
          <w:p w:rsidR="00000000" w:rsidRDefault="00000000">
            <w:pPr>
              <w:jc w:val="right"/>
            </w:pPr>
            <w:r>
              <w:t>46.696</w:t>
            </w:r>
          </w:p>
        </w:tc>
        <w:tc>
          <w:tcPr>
            <w:tcW w:w="1343" w:type="dxa"/>
          </w:tcPr>
          <w:p w:rsidR="00000000" w:rsidRDefault="00000000">
            <w:pPr>
              <w:jc w:val="right"/>
            </w:pPr>
          </w:p>
        </w:tc>
        <w:tc>
          <w:tcPr>
            <w:tcW w:w="1212" w:type="dxa"/>
          </w:tcPr>
          <w:p w:rsidR="00000000" w:rsidRDefault="00000000">
            <w:pPr>
              <w:jc w:val="right"/>
            </w:pPr>
            <w:r>
              <w:t>0,00</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Mujeres</w:t>
            </w:r>
          </w:p>
        </w:tc>
        <w:tc>
          <w:tcPr>
            <w:tcW w:w="1137" w:type="dxa"/>
          </w:tcPr>
          <w:p w:rsidR="00000000" w:rsidRDefault="00000000">
            <w:pPr>
              <w:jc w:val="right"/>
            </w:pPr>
            <w:r>
              <w:t>209.329</w:t>
            </w:r>
          </w:p>
        </w:tc>
        <w:tc>
          <w:tcPr>
            <w:tcW w:w="1343" w:type="dxa"/>
          </w:tcPr>
          <w:p w:rsidR="00000000" w:rsidRDefault="00000000">
            <w:pPr>
              <w:jc w:val="right"/>
            </w:pPr>
          </w:p>
        </w:tc>
        <w:tc>
          <w:tcPr>
            <w:tcW w:w="1212" w:type="dxa"/>
          </w:tcPr>
          <w:p w:rsidR="00000000" w:rsidRDefault="00000000">
            <w:pPr>
              <w:jc w:val="right"/>
            </w:pPr>
            <w:r>
              <w:t>0,00</w:t>
            </w:r>
          </w:p>
        </w:tc>
        <w:tc>
          <w:tcPr>
            <w:tcW w:w="1137" w:type="dxa"/>
          </w:tcPr>
          <w:p w:rsidR="00000000" w:rsidRDefault="00000000">
            <w:pPr>
              <w:jc w:val="right"/>
            </w:pPr>
            <w:r>
              <w:t>34.020</w:t>
            </w:r>
          </w:p>
        </w:tc>
        <w:tc>
          <w:tcPr>
            <w:tcW w:w="1343" w:type="dxa"/>
          </w:tcPr>
          <w:p w:rsidR="00000000" w:rsidRDefault="00000000">
            <w:pPr>
              <w:jc w:val="right"/>
            </w:pPr>
          </w:p>
        </w:tc>
        <w:tc>
          <w:tcPr>
            <w:tcW w:w="1212" w:type="dxa"/>
          </w:tcPr>
          <w:p w:rsidR="00000000" w:rsidRDefault="00000000">
            <w:pPr>
              <w:jc w:val="right"/>
            </w:pPr>
            <w:r>
              <w:t>0,00</w:t>
            </w:r>
          </w:p>
        </w:tc>
      </w:tr>
      <w:tr w:rsidR="00000000">
        <w:tblPrEx>
          <w:tblCellMar>
            <w:top w:w="0" w:type="dxa"/>
            <w:bottom w:w="0" w:type="dxa"/>
          </w:tblCellMar>
        </w:tblPrEx>
        <w:trPr>
          <w:cantSplit/>
        </w:trPr>
        <w:tc>
          <w:tcPr>
            <w:tcW w:w="1021" w:type="dxa"/>
            <w:vMerge/>
          </w:tcPr>
          <w:p w:rsidR="00000000" w:rsidRDefault="00000000">
            <w:pPr>
              <w:jc w:val="center"/>
            </w:pPr>
          </w:p>
        </w:tc>
        <w:tc>
          <w:tcPr>
            <w:tcW w:w="1020" w:type="dxa"/>
          </w:tcPr>
          <w:p w:rsidR="00000000" w:rsidRDefault="00000000">
            <w:r>
              <w:t xml:space="preserve">    Total</w:t>
            </w:r>
          </w:p>
        </w:tc>
        <w:tc>
          <w:tcPr>
            <w:tcW w:w="1137" w:type="dxa"/>
          </w:tcPr>
          <w:p w:rsidR="00000000" w:rsidRDefault="00000000">
            <w:pPr>
              <w:jc w:val="right"/>
            </w:pPr>
            <w:r>
              <w:t>418.126</w:t>
            </w:r>
          </w:p>
        </w:tc>
        <w:tc>
          <w:tcPr>
            <w:tcW w:w="1343" w:type="dxa"/>
          </w:tcPr>
          <w:p w:rsidR="00000000" w:rsidRDefault="00000000">
            <w:pPr>
              <w:jc w:val="right"/>
            </w:pPr>
          </w:p>
        </w:tc>
        <w:tc>
          <w:tcPr>
            <w:tcW w:w="1212" w:type="dxa"/>
          </w:tcPr>
          <w:p w:rsidR="00000000" w:rsidRDefault="00000000">
            <w:pPr>
              <w:jc w:val="right"/>
            </w:pPr>
            <w:r>
              <w:t>0,00</w:t>
            </w:r>
          </w:p>
        </w:tc>
        <w:tc>
          <w:tcPr>
            <w:tcW w:w="1137" w:type="dxa"/>
          </w:tcPr>
          <w:p w:rsidR="00000000" w:rsidRDefault="00000000">
            <w:pPr>
              <w:jc w:val="right"/>
            </w:pPr>
            <w:r>
              <w:t>80.716</w:t>
            </w:r>
          </w:p>
        </w:tc>
        <w:tc>
          <w:tcPr>
            <w:tcW w:w="1343" w:type="dxa"/>
          </w:tcPr>
          <w:p w:rsidR="00000000" w:rsidRDefault="00000000">
            <w:pPr>
              <w:jc w:val="right"/>
            </w:pPr>
          </w:p>
        </w:tc>
        <w:tc>
          <w:tcPr>
            <w:tcW w:w="1212" w:type="dxa"/>
          </w:tcPr>
          <w:p w:rsidR="00000000" w:rsidRDefault="00000000">
            <w:pPr>
              <w:jc w:val="right"/>
            </w:pPr>
            <w:r>
              <w:t>0,00</w:t>
            </w:r>
          </w:p>
        </w:tc>
      </w:tr>
    </w:tbl>
    <w:p w:rsidR="00000000" w:rsidRDefault="00000000">
      <w:pPr>
        <w:spacing w:before="240" w:after="240"/>
        <w:rPr>
          <w:szCs w:val="23"/>
          <w:lang w:val="es-ES_tradnl"/>
        </w:rPr>
      </w:pPr>
      <w:r>
        <w:rPr>
          <w:i/>
          <w:iCs/>
          <w:szCs w:val="23"/>
          <w:lang w:val="es-ES_tradnl"/>
        </w:rPr>
        <w:t>Fuente</w:t>
      </w:r>
      <w:r>
        <w:rPr>
          <w:szCs w:val="23"/>
          <w:lang w:val="es-ES_tradnl"/>
        </w:rPr>
        <w:t>:  Sistema Nacional de Estadísticas Educativas del Ecuador (</w:t>
      </w:r>
      <w:proofErr w:type="spellStart"/>
      <w:r>
        <w:rPr>
          <w:szCs w:val="23"/>
          <w:lang w:val="es-ES_tradnl"/>
        </w:rPr>
        <w:t>SINEC</w:t>
      </w:r>
      <w:proofErr w:type="spellEnd"/>
      <w:r>
        <w:rPr>
          <w:szCs w:val="23"/>
          <w:lang w:val="es-ES_tradnl"/>
        </w:rPr>
        <w:t>).</w:t>
      </w:r>
    </w:p>
    <w:p w:rsidR="00000000" w:rsidRDefault="00000000">
      <w:pPr>
        <w:spacing w:after="240"/>
        <w:rPr>
          <w:szCs w:val="23"/>
          <w:lang w:val="es-ES_tradnl"/>
        </w:rPr>
      </w:pPr>
      <w:r>
        <w:rPr>
          <w:i/>
          <w:iCs/>
          <w:szCs w:val="23"/>
          <w:lang w:val="es-ES_tradnl"/>
        </w:rPr>
        <w:t>Nota</w:t>
      </w:r>
      <w:r>
        <w:rPr>
          <w:szCs w:val="23"/>
          <w:lang w:val="es-ES_tradnl"/>
        </w:rPr>
        <w:t>:  Elaboración :  Equipo de Estadísticas del Ministerio de Educación y Cultura.</w:t>
      </w:r>
    </w:p>
    <w:p w:rsidR="00000000" w:rsidRDefault="00000000">
      <w:pPr>
        <w:spacing w:after="480"/>
        <w:rPr>
          <w:szCs w:val="22"/>
          <w:lang w:val="es-ES_tradnl"/>
        </w:rPr>
      </w:pPr>
      <w:r>
        <w:rPr>
          <w:szCs w:val="22"/>
          <w:lang w:val="es-ES_tradnl"/>
        </w:rPr>
        <w:t>* Alumnos promovidos del tercer curso de Ciclo Básico.</w:t>
      </w:r>
    </w:p>
    <w:p w:rsidR="00000000" w:rsidRDefault="00000000">
      <w:pPr>
        <w:spacing w:after="140"/>
        <w:jc w:val="center"/>
        <w:rPr>
          <w:b/>
          <w:bCs/>
          <w:sz w:val="18"/>
          <w:szCs w:val="25"/>
          <w:lang w:val="es-ES_tradnl"/>
        </w:rPr>
      </w:pPr>
      <w:r>
        <w:rPr>
          <w:b/>
          <w:bCs/>
          <w:sz w:val="18"/>
          <w:szCs w:val="23"/>
          <w:lang w:val="es-ES_tradnl"/>
        </w:rPr>
        <w:t xml:space="preserve">Gasto efectivo destinado al sector educación, </w:t>
      </w:r>
      <w:r>
        <w:rPr>
          <w:b/>
          <w:bCs/>
          <w:sz w:val="18"/>
          <w:szCs w:val="25"/>
          <w:lang w:val="es-ES_tradnl"/>
        </w:rPr>
        <w:t>1990</w:t>
      </w:r>
      <w:r>
        <w:rPr>
          <w:b/>
          <w:bCs/>
          <w:sz w:val="18"/>
          <w:szCs w:val="25"/>
          <w:lang w:val="es-ES_tradnl"/>
        </w:rPr>
        <w:noBreakHyphen/>
        <w:t>1998</w:t>
      </w:r>
    </w:p>
    <w:p w:rsidR="00000000" w:rsidRDefault="00000000">
      <w:pPr>
        <w:spacing w:after="140"/>
        <w:jc w:val="center"/>
        <w:rPr>
          <w:sz w:val="18"/>
        </w:rPr>
      </w:pPr>
      <w:r>
        <w:rPr>
          <w:b/>
          <w:bCs/>
          <w:sz w:val="18"/>
          <w:szCs w:val="25"/>
          <w:lang w:val="es-ES_tradnl"/>
        </w:rPr>
        <w:t xml:space="preserve">(En miles de millones de sucres, millones de dólares </w:t>
      </w:r>
      <w:r>
        <w:rPr>
          <w:b/>
          <w:bCs/>
          <w:sz w:val="18"/>
          <w:szCs w:val="25"/>
          <w:lang w:val="es-ES_tradnl"/>
        </w:rPr>
        <w:br/>
        <w:t>de los EE.UU., porcentaje del PIB)</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1"/>
        <w:gridCol w:w="810"/>
        <w:gridCol w:w="810"/>
        <w:gridCol w:w="810"/>
        <w:gridCol w:w="800"/>
        <w:gridCol w:w="880"/>
        <w:gridCol w:w="840"/>
        <w:gridCol w:w="810"/>
        <w:gridCol w:w="900"/>
        <w:gridCol w:w="859"/>
      </w:tblGrid>
      <w:tr w:rsidR="00000000">
        <w:tblPrEx>
          <w:tblCellMar>
            <w:top w:w="0" w:type="dxa"/>
            <w:bottom w:w="0" w:type="dxa"/>
          </w:tblCellMar>
        </w:tblPrEx>
        <w:tc>
          <w:tcPr>
            <w:tcW w:w="1841" w:type="dxa"/>
          </w:tcPr>
          <w:p w:rsidR="00000000" w:rsidRDefault="00000000">
            <w:pPr>
              <w:rPr>
                <w:sz w:val="18"/>
                <w:lang w:val="es-ES_tradnl"/>
              </w:rPr>
            </w:pPr>
            <w:r>
              <w:rPr>
                <w:sz w:val="18"/>
                <w:lang w:val="es-ES_tradnl"/>
              </w:rPr>
              <w:t>Sector educación</w:t>
            </w:r>
          </w:p>
        </w:tc>
        <w:tc>
          <w:tcPr>
            <w:tcW w:w="810" w:type="dxa"/>
            <w:vAlign w:val="center"/>
          </w:tcPr>
          <w:p w:rsidR="00000000" w:rsidRDefault="00000000">
            <w:pPr>
              <w:jc w:val="center"/>
              <w:rPr>
                <w:sz w:val="18"/>
                <w:lang w:val="es-ES_tradnl"/>
              </w:rPr>
            </w:pPr>
            <w:r>
              <w:rPr>
                <w:sz w:val="18"/>
                <w:lang w:val="es-ES_tradnl"/>
              </w:rPr>
              <w:t>1990</w:t>
            </w:r>
          </w:p>
        </w:tc>
        <w:tc>
          <w:tcPr>
            <w:tcW w:w="810" w:type="dxa"/>
            <w:vAlign w:val="center"/>
          </w:tcPr>
          <w:p w:rsidR="00000000" w:rsidRDefault="00000000">
            <w:pPr>
              <w:jc w:val="center"/>
              <w:rPr>
                <w:sz w:val="18"/>
                <w:lang w:val="es-ES_tradnl"/>
              </w:rPr>
            </w:pPr>
            <w:r>
              <w:rPr>
                <w:sz w:val="18"/>
                <w:lang w:val="es-ES_tradnl"/>
              </w:rPr>
              <w:t>1991</w:t>
            </w:r>
          </w:p>
        </w:tc>
        <w:tc>
          <w:tcPr>
            <w:tcW w:w="810" w:type="dxa"/>
            <w:vAlign w:val="center"/>
          </w:tcPr>
          <w:p w:rsidR="00000000" w:rsidRDefault="00000000">
            <w:pPr>
              <w:jc w:val="center"/>
              <w:rPr>
                <w:sz w:val="18"/>
                <w:lang w:val="es-ES_tradnl"/>
              </w:rPr>
            </w:pPr>
            <w:r>
              <w:rPr>
                <w:sz w:val="18"/>
                <w:lang w:val="es-ES_tradnl"/>
              </w:rPr>
              <w:t>1992</w:t>
            </w:r>
          </w:p>
        </w:tc>
        <w:tc>
          <w:tcPr>
            <w:tcW w:w="800" w:type="dxa"/>
            <w:vAlign w:val="center"/>
          </w:tcPr>
          <w:p w:rsidR="00000000" w:rsidRDefault="00000000">
            <w:pPr>
              <w:jc w:val="center"/>
              <w:rPr>
                <w:sz w:val="18"/>
                <w:lang w:val="es-ES_tradnl"/>
              </w:rPr>
            </w:pPr>
            <w:r>
              <w:rPr>
                <w:sz w:val="18"/>
                <w:lang w:val="es-ES_tradnl"/>
              </w:rPr>
              <w:t>1993</w:t>
            </w:r>
          </w:p>
        </w:tc>
        <w:tc>
          <w:tcPr>
            <w:tcW w:w="880" w:type="dxa"/>
            <w:vAlign w:val="center"/>
          </w:tcPr>
          <w:p w:rsidR="00000000" w:rsidRDefault="00000000">
            <w:pPr>
              <w:jc w:val="center"/>
              <w:rPr>
                <w:sz w:val="18"/>
                <w:lang w:val="es-ES_tradnl"/>
              </w:rPr>
            </w:pPr>
            <w:r>
              <w:rPr>
                <w:sz w:val="18"/>
                <w:lang w:val="es-ES_tradnl"/>
              </w:rPr>
              <w:t>1994</w:t>
            </w:r>
          </w:p>
        </w:tc>
        <w:tc>
          <w:tcPr>
            <w:tcW w:w="840" w:type="dxa"/>
            <w:vAlign w:val="center"/>
          </w:tcPr>
          <w:p w:rsidR="00000000" w:rsidRDefault="00000000">
            <w:pPr>
              <w:jc w:val="center"/>
              <w:rPr>
                <w:sz w:val="18"/>
                <w:lang w:val="es-ES_tradnl"/>
              </w:rPr>
            </w:pPr>
            <w:r>
              <w:rPr>
                <w:sz w:val="18"/>
                <w:lang w:val="es-ES_tradnl"/>
              </w:rPr>
              <w:t>1995</w:t>
            </w:r>
          </w:p>
        </w:tc>
        <w:tc>
          <w:tcPr>
            <w:tcW w:w="810" w:type="dxa"/>
            <w:vAlign w:val="center"/>
          </w:tcPr>
          <w:p w:rsidR="00000000" w:rsidRDefault="00000000">
            <w:pPr>
              <w:jc w:val="center"/>
              <w:rPr>
                <w:sz w:val="18"/>
                <w:lang w:val="es-ES_tradnl"/>
              </w:rPr>
            </w:pPr>
            <w:r>
              <w:rPr>
                <w:sz w:val="18"/>
                <w:lang w:val="es-ES_tradnl"/>
              </w:rPr>
              <w:t>1996*</w:t>
            </w:r>
          </w:p>
        </w:tc>
        <w:tc>
          <w:tcPr>
            <w:tcW w:w="900" w:type="dxa"/>
            <w:vAlign w:val="center"/>
          </w:tcPr>
          <w:p w:rsidR="00000000" w:rsidRDefault="00000000">
            <w:pPr>
              <w:jc w:val="center"/>
              <w:rPr>
                <w:sz w:val="18"/>
                <w:lang w:val="es-ES_tradnl"/>
              </w:rPr>
            </w:pPr>
            <w:r>
              <w:rPr>
                <w:sz w:val="18"/>
                <w:lang w:val="es-ES_tradnl"/>
              </w:rPr>
              <w:t>1997*</w:t>
            </w:r>
          </w:p>
        </w:tc>
        <w:tc>
          <w:tcPr>
            <w:tcW w:w="859" w:type="dxa"/>
            <w:vAlign w:val="center"/>
          </w:tcPr>
          <w:p w:rsidR="00000000" w:rsidRDefault="00000000">
            <w:pPr>
              <w:jc w:val="center"/>
              <w:rPr>
                <w:sz w:val="18"/>
                <w:lang w:val="es-ES_tradnl"/>
              </w:rPr>
            </w:pPr>
            <w:r>
              <w:rPr>
                <w:sz w:val="18"/>
                <w:lang w:val="es-ES_tradnl"/>
              </w:rPr>
              <w:t>1998*</w:t>
            </w:r>
          </w:p>
        </w:tc>
      </w:tr>
      <w:tr w:rsidR="00000000">
        <w:tblPrEx>
          <w:tblCellMar>
            <w:top w:w="0" w:type="dxa"/>
            <w:bottom w:w="0" w:type="dxa"/>
          </w:tblCellMar>
        </w:tblPrEx>
        <w:tc>
          <w:tcPr>
            <w:tcW w:w="1841" w:type="dxa"/>
          </w:tcPr>
          <w:p w:rsidR="00000000" w:rsidRDefault="00000000">
            <w:pPr>
              <w:rPr>
                <w:sz w:val="18"/>
                <w:szCs w:val="21"/>
                <w:lang w:val="es-ES_tradnl"/>
              </w:rPr>
            </w:pPr>
            <w:r>
              <w:rPr>
                <w:sz w:val="18"/>
                <w:szCs w:val="21"/>
                <w:lang w:val="es-ES_tradnl"/>
              </w:rPr>
              <w:t>Sucres</w:t>
            </w:r>
          </w:p>
        </w:tc>
        <w:tc>
          <w:tcPr>
            <w:tcW w:w="810" w:type="dxa"/>
          </w:tcPr>
          <w:p w:rsidR="00000000" w:rsidRDefault="00000000">
            <w:pPr>
              <w:jc w:val="right"/>
              <w:rPr>
                <w:sz w:val="18"/>
                <w:szCs w:val="21"/>
                <w:lang w:val="es-ES_tradnl"/>
              </w:rPr>
            </w:pPr>
            <w:r>
              <w:rPr>
                <w:sz w:val="18"/>
                <w:szCs w:val="21"/>
                <w:lang w:val="es-ES_tradnl"/>
              </w:rPr>
              <w:t>223,6</w:t>
            </w:r>
          </w:p>
        </w:tc>
        <w:tc>
          <w:tcPr>
            <w:tcW w:w="810" w:type="dxa"/>
          </w:tcPr>
          <w:p w:rsidR="00000000" w:rsidRDefault="00000000">
            <w:pPr>
              <w:jc w:val="right"/>
              <w:rPr>
                <w:sz w:val="18"/>
                <w:szCs w:val="21"/>
                <w:lang w:val="es-ES_tradnl"/>
              </w:rPr>
            </w:pPr>
            <w:r>
              <w:rPr>
                <w:sz w:val="18"/>
                <w:szCs w:val="21"/>
                <w:lang w:val="es-ES_tradnl"/>
              </w:rPr>
              <w:t>357,2</w:t>
            </w:r>
          </w:p>
        </w:tc>
        <w:tc>
          <w:tcPr>
            <w:tcW w:w="810" w:type="dxa"/>
          </w:tcPr>
          <w:p w:rsidR="00000000" w:rsidRDefault="00000000">
            <w:pPr>
              <w:jc w:val="right"/>
              <w:rPr>
                <w:sz w:val="18"/>
                <w:szCs w:val="21"/>
                <w:lang w:val="es-ES_tradnl"/>
              </w:rPr>
            </w:pPr>
            <w:r>
              <w:rPr>
                <w:sz w:val="18"/>
                <w:szCs w:val="21"/>
                <w:lang w:val="es-ES_tradnl"/>
              </w:rPr>
              <w:t>605,1</w:t>
            </w:r>
          </w:p>
        </w:tc>
        <w:tc>
          <w:tcPr>
            <w:tcW w:w="800" w:type="dxa"/>
          </w:tcPr>
          <w:p w:rsidR="00000000" w:rsidRDefault="00000000">
            <w:pPr>
              <w:jc w:val="right"/>
              <w:rPr>
                <w:sz w:val="18"/>
                <w:szCs w:val="21"/>
                <w:lang w:val="es-ES_tradnl"/>
              </w:rPr>
            </w:pPr>
            <w:r>
              <w:rPr>
                <w:sz w:val="18"/>
                <w:szCs w:val="21"/>
                <w:lang w:val="es-ES_tradnl"/>
              </w:rPr>
              <w:t>797,2</w:t>
            </w:r>
          </w:p>
        </w:tc>
        <w:tc>
          <w:tcPr>
            <w:tcW w:w="880" w:type="dxa"/>
          </w:tcPr>
          <w:p w:rsidR="00000000" w:rsidRDefault="00000000">
            <w:pPr>
              <w:jc w:val="right"/>
              <w:rPr>
                <w:sz w:val="18"/>
                <w:szCs w:val="21"/>
                <w:lang w:val="es-ES_tradnl"/>
              </w:rPr>
            </w:pPr>
            <w:r>
              <w:rPr>
                <w:sz w:val="18"/>
                <w:szCs w:val="21"/>
                <w:lang w:val="es-ES_tradnl"/>
              </w:rPr>
              <w:t>1.018,6</w:t>
            </w:r>
          </w:p>
        </w:tc>
        <w:tc>
          <w:tcPr>
            <w:tcW w:w="840" w:type="dxa"/>
          </w:tcPr>
          <w:p w:rsidR="00000000" w:rsidRDefault="00000000">
            <w:pPr>
              <w:jc w:val="right"/>
              <w:rPr>
                <w:sz w:val="18"/>
                <w:szCs w:val="21"/>
                <w:lang w:val="es-ES_tradnl"/>
              </w:rPr>
            </w:pPr>
            <w:r>
              <w:rPr>
                <w:sz w:val="18"/>
                <w:szCs w:val="21"/>
                <w:lang w:val="es-ES_tradnl"/>
              </w:rPr>
              <w:t>1.434,5</w:t>
            </w:r>
          </w:p>
        </w:tc>
        <w:tc>
          <w:tcPr>
            <w:tcW w:w="810" w:type="dxa"/>
          </w:tcPr>
          <w:p w:rsidR="00000000" w:rsidRDefault="00000000">
            <w:pPr>
              <w:jc w:val="right"/>
              <w:rPr>
                <w:sz w:val="18"/>
                <w:szCs w:val="21"/>
                <w:lang w:val="es-ES_tradnl"/>
              </w:rPr>
            </w:pPr>
            <w:r>
              <w:rPr>
                <w:sz w:val="18"/>
                <w:szCs w:val="21"/>
                <w:lang w:val="es-ES_tradnl"/>
              </w:rPr>
              <w:t>1.933,9</w:t>
            </w:r>
          </w:p>
        </w:tc>
        <w:tc>
          <w:tcPr>
            <w:tcW w:w="900" w:type="dxa"/>
          </w:tcPr>
          <w:p w:rsidR="00000000" w:rsidRDefault="00000000">
            <w:pPr>
              <w:jc w:val="right"/>
              <w:rPr>
                <w:sz w:val="18"/>
                <w:szCs w:val="21"/>
                <w:lang w:val="es-ES_tradnl"/>
              </w:rPr>
            </w:pPr>
            <w:r>
              <w:rPr>
                <w:sz w:val="18"/>
                <w:szCs w:val="21"/>
                <w:lang w:val="es-ES_tradnl"/>
              </w:rPr>
              <w:t>2.256,6</w:t>
            </w:r>
          </w:p>
        </w:tc>
        <w:tc>
          <w:tcPr>
            <w:tcW w:w="859" w:type="dxa"/>
          </w:tcPr>
          <w:p w:rsidR="00000000" w:rsidRDefault="00000000">
            <w:pPr>
              <w:jc w:val="right"/>
              <w:rPr>
                <w:sz w:val="18"/>
                <w:szCs w:val="21"/>
                <w:lang w:val="es-ES_tradnl"/>
              </w:rPr>
            </w:pPr>
            <w:r>
              <w:rPr>
                <w:sz w:val="18"/>
                <w:szCs w:val="21"/>
                <w:lang w:val="es-ES_tradnl"/>
              </w:rPr>
              <w:t>3.369,3</w:t>
            </w:r>
          </w:p>
        </w:tc>
      </w:tr>
      <w:tr w:rsidR="00000000">
        <w:tblPrEx>
          <w:tblCellMar>
            <w:top w:w="0" w:type="dxa"/>
            <w:bottom w:w="0" w:type="dxa"/>
          </w:tblCellMar>
        </w:tblPrEx>
        <w:tc>
          <w:tcPr>
            <w:tcW w:w="1841" w:type="dxa"/>
          </w:tcPr>
          <w:p w:rsidR="00000000" w:rsidRDefault="00000000">
            <w:pPr>
              <w:rPr>
                <w:sz w:val="18"/>
                <w:szCs w:val="21"/>
                <w:lang w:val="es-ES_tradnl"/>
              </w:rPr>
            </w:pPr>
            <w:r>
              <w:rPr>
                <w:sz w:val="18"/>
                <w:szCs w:val="21"/>
                <w:lang w:val="es-ES_tradnl"/>
              </w:rPr>
              <w:t>Dólares</w:t>
            </w:r>
          </w:p>
        </w:tc>
        <w:tc>
          <w:tcPr>
            <w:tcW w:w="810" w:type="dxa"/>
          </w:tcPr>
          <w:p w:rsidR="00000000" w:rsidRDefault="00000000">
            <w:pPr>
              <w:jc w:val="right"/>
              <w:rPr>
                <w:sz w:val="18"/>
                <w:szCs w:val="21"/>
                <w:lang w:val="es-ES_tradnl"/>
              </w:rPr>
            </w:pPr>
            <w:r>
              <w:rPr>
                <w:sz w:val="18"/>
                <w:szCs w:val="21"/>
                <w:lang w:val="es-ES_tradnl"/>
              </w:rPr>
              <w:t>269,9</w:t>
            </w:r>
          </w:p>
        </w:tc>
        <w:tc>
          <w:tcPr>
            <w:tcW w:w="810" w:type="dxa"/>
          </w:tcPr>
          <w:p w:rsidR="00000000" w:rsidRDefault="00000000">
            <w:pPr>
              <w:jc w:val="right"/>
              <w:rPr>
                <w:sz w:val="18"/>
                <w:szCs w:val="21"/>
                <w:lang w:val="es-ES_tradnl"/>
              </w:rPr>
            </w:pPr>
            <w:r>
              <w:rPr>
                <w:sz w:val="18"/>
                <w:szCs w:val="21"/>
                <w:lang w:val="es-ES_tradnl"/>
              </w:rPr>
              <w:t>322,8</w:t>
            </w:r>
          </w:p>
        </w:tc>
        <w:tc>
          <w:tcPr>
            <w:tcW w:w="810" w:type="dxa"/>
          </w:tcPr>
          <w:p w:rsidR="00000000" w:rsidRDefault="00000000">
            <w:pPr>
              <w:jc w:val="right"/>
              <w:rPr>
                <w:sz w:val="18"/>
                <w:szCs w:val="21"/>
                <w:lang w:val="es-ES_tradnl"/>
              </w:rPr>
            </w:pPr>
            <w:r>
              <w:rPr>
                <w:sz w:val="18"/>
                <w:szCs w:val="21"/>
                <w:lang w:val="es-ES_tradnl"/>
              </w:rPr>
              <w:t>378,6</w:t>
            </w:r>
          </w:p>
        </w:tc>
        <w:tc>
          <w:tcPr>
            <w:tcW w:w="800" w:type="dxa"/>
          </w:tcPr>
          <w:p w:rsidR="00000000" w:rsidRDefault="00000000">
            <w:pPr>
              <w:jc w:val="right"/>
              <w:rPr>
                <w:sz w:val="18"/>
                <w:szCs w:val="21"/>
                <w:lang w:val="es-ES_tradnl"/>
              </w:rPr>
            </w:pPr>
            <w:r>
              <w:rPr>
                <w:sz w:val="18"/>
                <w:szCs w:val="21"/>
                <w:lang w:val="es-ES_tradnl"/>
              </w:rPr>
              <w:t>415,3</w:t>
            </w:r>
          </w:p>
        </w:tc>
        <w:tc>
          <w:tcPr>
            <w:tcW w:w="880" w:type="dxa"/>
          </w:tcPr>
          <w:p w:rsidR="00000000" w:rsidRDefault="00000000">
            <w:pPr>
              <w:jc w:val="right"/>
              <w:rPr>
                <w:sz w:val="18"/>
                <w:szCs w:val="21"/>
                <w:lang w:val="es-ES_tradnl"/>
              </w:rPr>
            </w:pPr>
            <w:r>
              <w:rPr>
                <w:sz w:val="18"/>
                <w:szCs w:val="21"/>
                <w:lang w:val="es-ES_tradnl"/>
              </w:rPr>
              <w:t>463,6</w:t>
            </w:r>
          </w:p>
        </w:tc>
        <w:tc>
          <w:tcPr>
            <w:tcW w:w="840" w:type="dxa"/>
          </w:tcPr>
          <w:p w:rsidR="00000000" w:rsidRDefault="00000000">
            <w:pPr>
              <w:jc w:val="right"/>
              <w:rPr>
                <w:sz w:val="18"/>
                <w:szCs w:val="21"/>
                <w:lang w:val="es-ES_tradnl"/>
              </w:rPr>
            </w:pPr>
            <w:r>
              <w:rPr>
                <w:sz w:val="18"/>
                <w:szCs w:val="21"/>
                <w:lang w:val="es-ES_tradnl"/>
              </w:rPr>
              <w:t>559,2</w:t>
            </w:r>
          </w:p>
        </w:tc>
        <w:tc>
          <w:tcPr>
            <w:tcW w:w="810" w:type="dxa"/>
          </w:tcPr>
          <w:p w:rsidR="00000000" w:rsidRDefault="00000000">
            <w:pPr>
              <w:jc w:val="right"/>
              <w:rPr>
                <w:sz w:val="18"/>
                <w:szCs w:val="21"/>
                <w:lang w:val="es-ES_tradnl"/>
              </w:rPr>
            </w:pPr>
            <w:r>
              <w:rPr>
                <w:sz w:val="18"/>
                <w:szCs w:val="21"/>
                <w:lang w:val="es-ES_tradnl"/>
              </w:rPr>
              <w:t>606,2</w:t>
            </w:r>
          </w:p>
        </w:tc>
        <w:tc>
          <w:tcPr>
            <w:tcW w:w="900" w:type="dxa"/>
          </w:tcPr>
          <w:p w:rsidR="00000000" w:rsidRDefault="00000000">
            <w:pPr>
              <w:jc w:val="right"/>
              <w:rPr>
                <w:sz w:val="18"/>
                <w:szCs w:val="21"/>
                <w:lang w:val="es-ES_tradnl"/>
              </w:rPr>
            </w:pPr>
            <w:r>
              <w:rPr>
                <w:sz w:val="18"/>
                <w:szCs w:val="21"/>
                <w:lang w:val="es-ES_tradnl"/>
              </w:rPr>
              <w:t>564,3</w:t>
            </w:r>
          </w:p>
        </w:tc>
        <w:tc>
          <w:tcPr>
            <w:tcW w:w="859" w:type="dxa"/>
          </w:tcPr>
          <w:p w:rsidR="00000000" w:rsidRDefault="00000000">
            <w:pPr>
              <w:jc w:val="right"/>
              <w:rPr>
                <w:sz w:val="18"/>
                <w:szCs w:val="21"/>
                <w:lang w:val="es-ES_tradnl"/>
              </w:rPr>
            </w:pPr>
            <w:r>
              <w:rPr>
                <w:sz w:val="18"/>
                <w:szCs w:val="21"/>
                <w:lang w:val="es-ES_tradnl"/>
              </w:rPr>
              <w:t>618,6</w:t>
            </w:r>
          </w:p>
        </w:tc>
      </w:tr>
      <w:tr w:rsidR="00000000">
        <w:tblPrEx>
          <w:tblCellMar>
            <w:top w:w="0" w:type="dxa"/>
            <w:bottom w:w="0" w:type="dxa"/>
          </w:tblCellMar>
        </w:tblPrEx>
        <w:tc>
          <w:tcPr>
            <w:tcW w:w="1841" w:type="dxa"/>
          </w:tcPr>
          <w:p w:rsidR="00000000" w:rsidRDefault="00000000">
            <w:pPr>
              <w:rPr>
                <w:sz w:val="18"/>
                <w:szCs w:val="21"/>
                <w:lang w:val="es-ES_tradnl"/>
              </w:rPr>
            </w:pPr>
            <w:r>
              <w:rPr>
                <w:sz w:val="18"/>
                <w:szCs w:val="21"/>
                <w:lang w:val="es-ES_tradnl"/>
              </w:rPr>
              <w:t>PIB (%)</w:t>
            </w:r>
          </w:p>
        </w:tc>
        <w:tc>
          <w:tcPr>
            <w:tcW w:w="810" w:type="dxa"/>
          </w:tcPr>
          <w:p w:rsidR="00000000" w:rsidRDefault="00000000">
            <w:pPr>
              <w:jc w:val="right"/>
              <w:rPr>
                <w:sz w:val="18"/>
                <w:szCs w:val="21"/>
                <w:lang w:val="es-ES_tradnl"/>
              </w:rPr>
            </w:pPr>
            <w:r>
              <w:rPr>
                <w:sz w:val="18"/>
                <w:szCs w:val="21"/>
                <w:lang w:val="es-ES_tradnl"/>
              </w:rPr>
              <w:t>2,73</w:t>
            </w:r>
          </w:p>
        </w:tc>
        <w:tc>
          <w:tcPr>
            <w:tcW w:w="810" w:type="dxa"/>
          </w:tcPr>
          <w:p w:rsidR="00000000" w:rsidRDefault="00000000">
            <w:pPr>
              <w:jc w:val="right"/>
              <w:rPr>
                <w:sz w:val="18"/>
                <w:szCs w:val="21"/>
                <w:lang w:val="es-ES_tradnl"/>
              </w:rPr>
            </w:pPr>
            <w:r>
              <w:rPr>
                <w:sz w:val="18"/>
                <w:szCs w:val="21"/>
                <w:lang w:val="es-ES_tradnl"/>
              </w:rPr>
              <w:t>2,91</w:t>
            </w:r>
          </w:p>
        </w:tc>
        <w:tc>
          <w:tcPr>
            <w:tcW w:w="810" w:type="dxa"/>
          </w:tcPr>
          <w:p w:rsidR="00000000" w:rsidRDefault="00000000">
            <w:pPr>
              <w:jc w:val="right"/>
              <w:rPr>
                <w:sz w:val="18"/>
                <w:szCs w:val="21"/>
                <w:lang w:val="es-ES_tradnl"/>
              </w:rPr>
            </w:pPr>
            <w:r>
              <w:rPr>
                <w:sz w:val="18"/>
                <w:szCs w:val="21"/>
                <w:lang w:val="es-ES_tradnl"/>
              </w:rPr>
              <w:t>3,12</w:t>
            </w:r>
          </w:p>
        </w:tc>
        <w:tc>
          <w:tcPr>
            <w:tcW w:w="800" w:type="dxa"/>
          </w:tcPr>
          <w:p w:rsidR="00000000" w:rsidRDefault="00000000">
            <w:pPr>
              <w:jc w:val="right"/>
              <w:rPr>
                <w:sz w:val="18"/>
                <w:szCs w:val="21"/>
                <w:lang w:val="es-ES_tradnl"/>
              </w:rPr>
            </w:pPr>
            <w:r>
              <w:rPr>
                <w:sz w:val="18"/>
                <w:szCs w:val="21"/>
                <w:lang w:val="es-ES_tradnl"/>
              </w:rPr>
              <w:t>2,90</w:t>
            </w:r>
          </w:p>
        </w:tc>
        <w:tc>
          <w:tcPr>
            <w:tcW w:w="880" w:type="dxa"/>
          </w:tcPr>
          <w:p w:rsidR="00000000" w:rsidRDefault="00000000">
            <w:pPr>
              <w:jc w:val="right"/>
              <w:rPr>
                <w:sz w:val="18"/>
                <w:szCs w:val="21"/>
                <w:lang w:val="es-ES_tradnl"/>
              </w:rPr>
            </w:pPr>
            <w:r>
              <w:rPr>
                <w:sz w:val="18"/>
                <w:szCs w:val="21"/>
                <w:lang w:val="es-ES_tradnl"/>
              </w:rPr>
              <w:t>2,79</w:t>
            </w:r>
          </w:p>
        </w:tc>
        <w:tc>
          <w:tcPr>
            <w:tcW w:w="840" w:type="dxa"/>
          </w:tcPr>
          <w:p w:rsidR="00000000" w:rsidRDefault="00000000">
            <w:pPr>
              <w:jc w:val="right"/>
              <w:rPr>
                <w:sz w:val="18"/>
                <w:szCs w:val="21"/>
                <w:lang w:val="es-ES_tradnl"/>
              </w:rPr>
            </w:pPr>
            <w:r>
              <w:rPr>
                <w:sz w:val="18"/>
                <w:szCs w:val="21"/>
                <w:lang w:val="es-ES_tradnl"/>
              </w:rPr>
              <w:t>3,12</w:t>
            </w:r>
          </w:p>
        </w:tc>
        <w:tc>
          <w:tcPr>
            <w:tcW w:w="810" w:type="dxa"/>
          </w:tcPr>
          <w:p w:rsidR="00000000" w:rsidRDefault="00000000">
            <w:pPr>
              <w:jc w:val="right"/>
              <w:rPr>
                <w:sz w:val="18"/>
                <w:szCs w:val="21"/>
                <w:lang w:val="es-ES_tradnl"/>
              </w:rPr>
            </w:pPr>
            <w:r>
              <w:rPr>
                <w:sz w:val="18"/>
                <w:szCs w:val="21"/>
                <w:lang w:val="es-ES_tradnl"/>
              </w:rPr>
              <w:t>3,18</w:t>
            </w:r>
          </w:p>
        </w:tc>
        <w:tc>
          <w:tcPr>
            <w:tcW w:w="900" w:type="dxa"/>
          </w:tcPr>
          <w:p w:rsidR="00000000" w:rsidRDefault="00000000">
            <w:pPr>
              <w:jc w:val="right"/>
              <w:rPr>
                <w:sz w:val="18"/>
                <w:szCs w:val="21"/>
                <w:lang w:val="es-ES_tradnl"/>
              </w:rPr>
            </w:pPr>
            <w:r>
              <w:rPr>
                <w:sz w:val="18"/>
                <w:szCs w:val="21"/>
                <w:lang w:val="es-ES_tradnl"/>
              </w:rPr>
              <w:t>2,85</w:t>
            </w:r>
          </w:p>
        </w:tc>
        <w:tc>
          <w:tcPr>
            <w:tcW w:w="859" w:type="dxa"/>
          </w:tcPr>
          <w:p w:rsidR="00000000" w:rsidRDefault="00000000">
            <w:pPr>
              <w:jc w:val="right"/>
              <w:rPr>
                <w:sz w:val="18"/>
                <w:szCs w:val="21"/>
                <w:lang w:val="es-ES_tradnl"/>
              </w:rPr>
            </w:pPr>
            <w:r>
              <w:rPr>
                <w:sz w:val="18"/>
                <w:szCs w:val="21"/>
                <w:lang w:val="es-ES_tradnl"/>
              </w:rPr>
              <w:t>3,14</w:t>
            </w:r>
          </w:p>
        </w:tc>
      </w:tr>
      <w:tr w:rsidR="00000000">
        <w:tblPrEx>
          <w:tblCellMar>
            <w:top w:w="0" w:type="dxa"/>
            <w:bottom w:w="0" w:type="dxa"/>
          </w:tblCellMar>
        </w:tblPrEx>
        <w:tc>
          <w:tcPr>
            <w:tcW w:w="1841" w:type="dxa"/>
          </w:tcPr>
          <w:p w:rsidR="00000000" w:rsidRDefault="00000000">
            <w:pPr>
              <w:rPr>
                <w:sz w:val="18"/>
                <w:szCs w:val="21"/>
                <w:lang w:val="es-ES_tradnl"/>
              </w:rPr>
            </w:pPr>
            <w:r>
              <w:rPr>
                <w:sz w:val="18"/>
                <w:szCs w:val="21"/>
                <w:lang w:val="es-ES_tradnl"/>
              </w:rPr>
              <w:t>Del gasto total (%)</w:t>
            </w:r>
          </w:p>
        </w:tc>
        <w:tc>
          <w:tcPr>
            <w:tcW w:w="810" w:type="dxa"/>
          </w:tcPr>
          <w:p w:rsidR="00000000" w:rsidRDefault="00000000">
            <w:pPr>
              <w:jc w:val="right"/>
              <w:rPr>
                <w:sz w:val="18"/>
                <w:szCs w:val="21"/>
                <w:lang w:val="es-ES_tradnl"/>
              </w:rPr>
            </w:pPr>
            <w:r>
              <w:rPr>
                <w:sz w:val="18"/>
                <w:szCs w:val="21"/>
                <w:lang w:val="es-ES_tradnl"/>
              </w:rPr>
              <w:t>18,52</w:t>
            </w:r>
          </w:p>
        </w:tc>
        <w:tc>
          <w:tcPr>
            <w:tcW w:w="810" w:type="dxa"/>
          </w:tcPr>
          <w:p w:rsidR="00000000" w:rsidRDefault="00000000">
            <w:pPr>
              <w:jc w:val="right"/>
              <w:rPr>
                <w:sz w:val="18"/>
                <w:szCs w:val="21"/>
                <w:lang w:val="es-ES_tradnl"/>
              </w:rPr>
            </w:pPr>
            <w:r>
              <w:rPr>
                <w:sz w:val="18"/>
                <w:szCs w:val="21"/>
                <w:lang w:val="es-ES_tradnl"/>
              </w:rPr>
              <w:t>21,74</w:t>
            </w:r>
          </w:p>
        </w:tc>
        <w:tc>
          <w:tcPr>
            <w:tcW w:w="810" w:type="dxa"/>
          </w:tcPr>
          <w:p w:rsidR="00000000" w:rsidRDefault="00000000">
            <w:pPr>
              <w:jc w:val="right"/>
              <w:rPr>
                <w:sz w:val="18"/>
                <w:szCs w:val="21"/>
                <w:lang w:val="es-ES_tradnl"/>
              </w:rPr>
            </w:pPr>
            <w:r>
              <w:rPr>
                <w:sz w:val="18"/>
                <w:szCs w:val="21"/>
                <w:lang w:val="es-ES_tradnl"/>
              </w:rPr>
              <w:t>23,75</w:t>
            </w:r>
          </w:p>
        </w:tc>
        <w:tc>
          <w:tcPr>
            <w:tcW w:w="800" w:type="dxa"/>
          </w:tcPr>
          <w:p w:rsidR="00000000" w:rsidRDefault="00000000">
            <w:pPr>
              <w:jc w:val="right"/>
              <w:rPr>
                <w:sz w:val="18"/>
                <w:szCs w:val="21"/>
                <w:lang w:val="es-ES_tradnl"/>
              </w:rPr>
            </w:pPr>
            <w:r>
              <w:rPr>
                <w:sz w:val="18"/>
                <w:szCs w:val="21"/>
                <w:lang w:val="es-ES_tradnl"/>
              </w:rPr>
              <w:t>21,18</w:t>
            </w:r>
          </w:p>
        </w:tc>
        <w:tc>
          <w:tcPr>
            <w:tcW w:w="880" w:type="dxa"/>
          </w:tcPr>
          <w:p w:rsidR="00000000" w:rsidRDefault="00000000">
            <w:pPr>
              <w:jc w:val="right"/>
              <w:rPr>
                <w:sz w:val="18"/>
                <w:szCs w:val="21"/>
                <w:lang w:val="es-ES_tradnl"/>
              </w:rPr>
            </w:pPr>
            <w:r>
              <w:rPr>
                <w:sz w:val="18"/>
                <w:szCs w:val="21"/>
                <w:lang w:val="es-ES_tradnl"/>
              </w:rPr>
              <w:t>18,41</w:t>
            </w:r>
          </w:p>
        </w:tc>
        <w:tc>
          <w:tcPr>
            <w:tcW w:w="840" w:type="dxa"/>
          </w:tcPr>
          <w:p w:rsidR="00000000" w:rsidRDefault="00000000">
            <w:pPr>
              <w:jc w:val="right"/>
              <w:rPr>
                <w:sz w:val="18"/>
                <w:szCs w:val="21"/>
                <w:lang w:val="es-ES_tradnl"/>
              </w:rPr>
            </w:pPr>
            <w:r>
              <w:rPr>
                <w:sz w:val="18"/>
                <w:szCs w:val="21"/>
                <w:lang w:val="es-ES_tradnl"/>
              </w:rPr>
              <w:t>16,97</w:t>
            </w:r>
          </w:p>
        </w:tc>
        <w:tc>
          <w:tcPr>
            <w:tcW w:w="810" w:type="dxa"/>
          </w:tcPr>
          <w:p w:rsidR="00000000" w:rsidRDefault="00000000">
            <w:pPr>
              <w:jc w:val="right"/>
              <w:rPr>
                <w:sz w:val="18"/>
                <w:szCs w:val="21"/>
                <w:lang w:val="es-ES_tradnl"/>
              </w:rPr>
            </w:pPr>
            <w:r>
              <w:rPr>
                <w:sz w:val="18"/>
                <w:szCs w:val="21"/>
                <w:lang w:val="es-ES_tradnl"/>
              </w:rPr>
              <w:t>23,47</w:t>
            </w:r>
          </w:p>
        </w:tc>
        <w:tc>
          <w:tcPr>
            <w:tcW w:w="900" w:type="dxa"/>
          </w:tcPr>
          <w:p w:rsidR="00000000" w:rsidRDefault="00000000">
            <w:pPr>
              <w:jc w:val="right"/>
              <w:rPr>
                <w:sz w:val="18"/>
                <w:szCs w:val="21"/>
                <w:lang w:val="es-ES_tradnl"/>
              </w:rPr>
            </w:pPr>
            <w:r>
              <w:rPr>
                <w:sz w:val="18"/>
                <w:szCs w:val="21"/>
                <w:lang w:val="es-ES_tradnl"/>
              </w:rPr>
              <w:t>22,84</w:t>
            </w:r>
          </w:p>
        </w:tc>
        <w:tc>
          <w:tcPr>
            <w:tcW w:w="859" w:type="dxa"/>
          </w:tcPr>
          <w:p w:rsidR="00000000" w:rsidRDefault="00000000">
            <w:pPr>
              <w:jc w:val="right"/>
              <w:rPr>
                <w:sz w:val="18"/>
                <w:szCs w:val="21"/>
                <w:lang w:val="es-ES_tradnl"/>
              </w:rPr>
            </w:pPr>
            <w:r>
              <w:rPr>
                <w:sz w:val="18"/>
                <w:szCs w:val="21"/>
                <w:lang w:val="es-ES_tradnl"/>
              </w:rPr>
              <w:t>16,33</w:t>
            </w:r>
          </w:p>
        </w:tc>
      </w:tr>
    </w:tbl>
    <w:p w:rsidR="00000000" w:rsidRDefault="00000000">
      <w:pPr>
        <w:spacing w:before="180" w:after="180"/>
        <w:rPr>
          <w:sz w:val="18"/>
        </w:rPr>
      </w:pPr>
      <w:r>
        <w:rPr>
          <w:i/>
          <w:iCs/>
          <w:sz w:val="18"/>
          <w:szCs w:val="22"/>
          <w:lang w:val="es-ES_tradnl"/>
        </w:rPr>
        <w:t>Fuente</w:t>
      </w:r>
      <w:r>
        <w:rPr>
          <w:sz w:val="18"/>
          <w:szCs w:val="22"/>
          <w:lang w:val="es-ES_tradnl"/>
        </w:rPr>
        <w:t>:  Ministerio de Finanzas y Crédito Público - Elaboración:  Subsecretaría Técnica.</w:t>
      </w:r>
    </w:p>
    <w:p w:rsidR="00000000" w:rsidRDefault="00000000">
      <w:pPr>
        <w:spacing w:after="360"/>
        <w:rPr>
          <w:sz w:val="18"/>
        </w:rPr>
      </w:pPr>
      <w:r>
        <w:rPr>
          <w:sz w:val="18"/>
          <w:szCs w:val="22"/>
          <w:lang w:val="es-ES_tradnl"/>
        </w:rPr>
        <w:t>* Datos provisionales.</w:t>
      </w:r>
    </w:p>
    <w:p w:rsidR="00000000" w:rsidRDefault="00000000">
      <w:pPr>
        <w:spacing w:after="200"/>
      </w:pPr>
      <w:r>
        <w:rPr>
          <w:szCs w:val="25"/>
          <w:lang w:val="es-ES_tradnl"/>
        </w:rPr>
        <w:t>504.</w:t>
      </w:r>
      <w:r>
        <w:rPr>
          <w:szCs w:val="25"/>
          <w:lang w:val="es-ES_tradnl"/>
        </w:rPr>
        <w:tab/>
        <w:t>Considerando como gasto educativo del Gobierno central los recursos asignados en el Presupuesto General del Estado para el Sector Educación en la última década los presupuestos asignados han mantenido su participación tanto en el PIB como en el Presupuesto General del Estado, lo cual traduce la prioridad relativa que mantuvo este gasto frente a los demás gastos que se debieron realizar en el período.  De otro lado, se observa que en 1998 este gasto tuvo, en términos absolutos, un incremento de 54,3 millones de dólares, con relación al año anterior.</w:t>
      </w:r>
    </w:p>
    <w:p w:rsidR="00000000" w:rsidRDefault="00000000">
      <w:pPr>
        <w:spacing w:after="200"/>
      </w:pPr>
      <w:r>
        <w:rPr>
          <w:szCs w:val="25"/>
          <w:lang w:val="es-ES_tradnl"/>
        </w:rPr>
        <w:t>505.</w:t>
      </w:r>
      <w:r>
        <w:rPr>
          <w:szCs w:val="25"/>
          <w:lang w:val="es-ES_tradnl"/>
        </w:rPr>
        <w:tab/>
        <w:t>Dentro del presupuesto para educación, el 95% se orienta a salarios y menos del 5% para inversión.  El 78% de la matrícula de la educación general depende del sector público.  La inversión por alumno es menor en el nivel primario que en los otros niveles, hablando en términos anteriores a la de la Reforma Curricular</w:t>
      </w:r>
      <w:r>
        <w:rPr>
          <w:rStyle w:val="FootnoteReference"/>
        </w:rPr>
        <w:footnoteReference w:id="73"/>
      </w:r>
      <w:r>
        <w:rPr>
          <w:szCs w:val="25"/>
          <w:lang w:val="es-ES_tradnl"/>
        </w:rPr>
        <w:t>.</w:t>
      </w:r>
    </w:p>
    <w:p w:rsidR="00000000" w:rsidRDefault="00000000">
      <w:pPr>
        <w:spacing w:after="200"/>
        <w:rPr>
          <w:szCs w:val="25"/>
          <w:lang w:val="es-ES_tradnl"/>
        </w:rPr>
      </w:pPr>
      <w:r>
        <w:rPr>
          <w:szCs w:val="25"/>
          <w:lang w:val="es-ES_tradnl"/>
        </w:rPr>
        <w:t>506.</w:t>
      </w:r>
      <w:r>
        <w:rPr>
          <w:szCs w:val="25"/>
          <w:lang w:val="es-ES_tradnl"/>
        </w:rPr>
        <w:tab/>
        <w:t>Al mirar en detalle los sectores del Gobierno que redujeron su nivel de gasto en los dos últimos años, se observa que el gasto social es el área más sensible.  A pesar de la visible reducción que ha tenido el nivel de alfabetización situando el 8,2% para 2001</w:t>
      </w:r>
      <w:r>
        <w:rPr>
          <w:rStyle w:val="FootnoteReference"/>
          <w:szCs w:val="25"/>
          <w:lang w:val="es-ES_tradnl"/>
        </w:rPr>
        <w:footnoteReference w:id="74"/>
      </w:r>
      <w:r>
        <w:rPr>
          <w:szCs w:val="25"/>
          <w:lang w:val="es-ES_tradnl"/>
        </w:rPr>
        <w:t>.</w:t>
      </w:r>
    </w:p>
    <w:p w:rsidR="00000000" w:rsidRDefault="00000000">
      <w:pPr>
        <w:spacing w:after="200"/>
      </w:pPr>
      <w:r>
        <w:rPr>
          <w:szCs w:val="25"/>
          <w:lang w:val="es-ES_tradnl"/>
        </w:rPr>
        <w:t>507.</w:t>
      </w:r>
      <w:r>
        <w:rPr>
          <w:szCs w:val="25"/>
          <w:lang w:val="es-ES_tradnl"/>
        </w:rPr>
        <w:tab/>
        <w:t>Los niveles de alfabetización son equitativos para hombres y mujeres, pero por razones socioeconómicas y culturales las mujeres se marginan de la educación, por ello se ha visto que los índices de analfabetismo de las mujeres son más altos que los de los hombres y esto se agudiza aún más en el área rural.</w:t>
      </w:r>
    </w:p>
    <w:p w:rsidR="00000000" w:rsidRDefault="00000000">
      <w:pPr>
        <w:keepNext/>
        <w:keepLines/>
        <w:spacing w:after="200"/>
        <w:jc w:val="center"/>
        <w:rPr>
          <w:b/>
          <w:bCs/>
          <w:szCs w:val="22"/>
          <w:lang w:val="es-ES_tradnl"/>
        </w:rPr>
      </w:pPr>
      <w:r>
        <w:rPr>
          <w:b/>
          <w:bCs/>
          <w:szCs w:val="22"/>
          <w:lang w:val="es-ES_tradnl"/>
        </w:rPr>
        <w:t>Tasas de analfabetismo por grupos de edad y áreas</w:t>
      </w:r>
    </w:p>
    <w:p w:rsidR="00000000" w:rsidRDefault="00000000">
      <w:pPr>
        <w:keepNext/>
        <w:keepLines/>
        <w:spacing w:after="200"/>
        <w:jc w:val="center"/>
        <w:rPr>
          <w:b/>
          <w:bCs/>
          <w:szCs w:val="22"/>
          <w:lang w:val="es-ES_tradnl"/>
        </w:rPr>
      </w:pPr>
      <w:r>
        <w:rPr>
          <w:b/>
          <w:bCs/>
          <w:szCs w:val="22"/>
          <w:lang w:val="es-ES_tradnl"/>
        </w:rPr>
        <w:t>(En porcentaje)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0"/>
        <w:gridCol w:w="1260"/>
        <w:gridCol w:w="1260"/>
        <w:gridCol w:w="1260"/>
        <w:gridCol w:w="1260"/>
        <w:gridCol w:w="1080"/>
        <w:gridCol w:w="1324"/>
      </w:tblGrid>
      <w:tr w:rsidR="00000000">
        <w:tblPrEx>
          <w:tblCellMar>
            <w:top w:w="0" w:type="dxa"/>
            <w:bottom w:w="0" w:type="dxa"/>
          </w:tblCellMar>
        </w:tblPrEx>
        <w:trPr>
          <w:cantSplit/>
          <w:trHeight w:val="272"/>
        </w:trPr>
        <w:tc>
          <w:tcPr>
            <w:tcW w:w="2050" w:type="dxa"/>
            <w:vMerge w:val="restart"/>
            <w:vAlign w:val="center"/>
          </w:tcPr>
          <w:p w:rsidR="00000000" w:rsidRDefault="00000000">
            <w:pPr>
              <w:jc w:val="center"/>
              <w:rPr>
                <w:szCs w:val="22"/>
                <w:lang w:val="es-ES_tradnl"/>
              </w:rPr>
            </w:pPr>
            <w:r>
              <w:rPr>
                <w:szCs w:val="22"/>
                <w:lang w:val="es-ES_tradnl"/>
              </w:rPr>
              <w:t>Grupos de edad</w:t>
            </w:r>
          </w:p>
        </w:tc>
        <w:tc>
          <w:tcPr>
            <w:tcW w:w="2520" w:type="dxa"/>
            <w:gridSpan w:val="2"/>
            <w:vAlign w:val="center"/>
          </w:tcPr>
          <w:p w:rsidR="00000000" w:rsidRDefault="00000000">
            <w:pPr>
              <w:jc w:val="center"/>
              <w:rPr>
                <w:szCs w:val="22"/>
                <w:lang w:val="es-ES_tradnl"/>
              </w:rPr>
            </w:pPr>
            <w:r>
              <w:rPr>
                <w:szCs w:val="22"/>
                <w:lang w:val="es-ES_tradnl"/>
              </w:rPr>
              <w:t>Área urbana</w:t>
            </w:r>
          </w:p>
        </w:tc>
        <w:tc>
          <w:tcPr>
            <w:tcW w:w="2520" w:type="dxa"/>
            <w:gridSpan w:val="2"/>
            <w:vAlign w:val="center"/>
          </w:tcPr>
          <w:p w:rsidR="00000000" w:rsidRDefault="00000000">
            <w:pPr>
              <w:jc w:val="center"/>
              <w:rPr>
                <w:szCs w:val="22"/>
                <w:lang w:val="es-ES_tradnl"/>
              </w:rPr>
            </w:pPr>
            <w:r>
              <w:rPr>
                <w:szCs w:val="22"/>
                <w:lang w:val="es-ES_tradnl"/>
              </w:rPr>
              <w:t>Área rural</w:t>
            </w:r>
          </w:p>
        </w:tc>
        <w:tc>
          <w:tcPr>
            <w:tcW w:w="2404" w:type="dxa"/>
            <w:gridSpan w:val="2"/>
            <w:vAlign w:val="center"/>
          </w:tcPr>
          <w:p w:rsidR="00000000" w:rsidRDefault="00000000">
            <w:pPr>
              <w:jc w:val="center"/>
            </w:pPr>
            <w:r>
              <w:rPr>
                <w:szCs w:val="22"/>
                <w:lang w:val="es-ES_tradnl"/>
              </w:rPr>
              <w:t>Total nacional</w:t>
            </w:r>
          </w:p>
        </w:tc>
      </w:tr>
      <w:tr w:rsidR="00000000">
        <w:tblPrEx>
          <w:tblCellMar>
            <w:top w:w="0" w:type="dxa"/>
            <w:bottom w:w="0" w:type="dxa"/>
          </w:tblCellMar>
        </w:tblPrEx>
        <w:trPr>
          <w:cantSplit/>
          <w:trHeight w:val="272"/>
        </w:trPr>
        <w:tc>
          <w:tcPr>
            <w:tcW w:w="2050" w:type="dxa"/>
            <w:vMerge/>
            <w:vAlign w:val="center"/>
          </w:tcPr>
          <w:p w:rsidR="00000000" w:rsidRDefault="00000000">
            <w:pPr>
              <w:jc w:val="center"/>
              <w:rPr>
                <w:szCs w:val="22"/>
                <w:lang w:val="es-ES_tradnl"/>
              </w:rPr>
            </w:pPr>
          </w:p>
        </w:tc>
        <w:tc>
          <w:tcPr>
            <w:tcW w:w="1260" w:type="dxa"/>
            <w:vAlign w:val="center"/>
          </w:tcPr>
          <w:p w:rsidR="00000000" w:rsidRDefault="00000000">
            <w:pPr>
              <w:jc w:val="center"/>
              <w:rPr>
                <w:szCs w:val="22"/>
                <w:lang w:val="es-ES_tradnl"/>
              </w:rPr>
            </w:pPr>
            <w:r>
              <w:rPr>
                <w:szCs w:val="22"/>
                <w:lang w:val="es-ES_tradnl"/>
              </w:rPr>
              <w:t>Mujeres</w:t>
            </w:r>
          </w:p>
        </w:tc>
        <w:tc>
          <w:tcPr>
            <w:tcW w:w="1260" w:type="dxa"/>
            <w:vAlign w:val="center"/>
          </w:tcPr>
          <w:p w:rsidR="00000000" w:rsidRDefault="00000000">
            <w:pPr>
              <w:jc w:val="center"/>
              <w:rPr>
                <w:szCs w:val="22"/>
                <w:lang w:val="es-ES_tradnl"/>
              </w:rPr>
            </w:pPr>
            <w:r>
              <w:rPr>
                <w:szCs w:val="22"/>
                <w:lang w:val="es-ES_tradnl"/>
              </w:rPr>
              <w:t>Hombres</w:t>
            </w:r>
          </w:p>
        </w:tc>
        <w:tc>
          <w:tcPr>
            <w:tcW w:w="1260" w:type="dxa"/>
            <w:vAlign w:val="center"/>
          </w:tcPr>
          <w:p w:rsidR="00000000" w:rsidRDefault="00000000">
            <w:pPr>
              <w:jc w:val="center"/>
              <w:rPr>
                <w:szCs w:val="22"/>
                <w:lang w:val="es-ES_tradnl"/>
              </w:rPr>
            </w:pPr>
            <w:r>
              <w:rPr>
                <w:szCs w:val="22"/>
                <w:lang w:val="es-ES_tradnl"/>
              </w:rPr>
              <w:t>Mujeres</w:t>
            </w:r>
          </w:p>
        </w:tc>
        <w:tc>
          <w:tcPr>
            <w:tcW w:w="1260" w:type="dxa"/>
            <w:vAlign w:val="center"/>
          </w:tcPr>
          <w:p w:rsidR="00000000" w:rsidRDefault="00000000">
            <w:pPr>
              <w:jc w:val="center"/>
              <w:rPr>
                <w:szCs w:val="22"/>
                <w:lang w:val="es-ES_tradnl"/>
              </w:rPr>
            </w:pPr>
            <w:r>
              <w:rPr>
                <w:szCs w:val="22"/>
                <w:lang w:val="es-ES_tradnl"/>
              </w:rPr>
              <w:t>Hombres</w:t>
            </w:r>
          </w:p>
        </w:tc>
        <w:tc>
          <w:tcPr>
            <w:tcW w:w="1080" w:type="dxa"/>
            <w:vAlign w:val="center"/>
          </w:tcPr>
          <w:p w:rsidR="00000000" w:rsidRDefault="00000000">
            <w:pPr>
              <w:jc w:val="center"/>
              <w:rPr>
                <w:szCs w:val="22"/>
                <w:lang w:val="es-ES_tradnl"/>
              </w:rPr>
            </w:pPr>
            <w:r>
              <w:rPr>
                <w:szCs w:val="22"/>
                <w:lang w:val="es-ES_tradnl"/>
              </w:rPr>
              <w:t>Mujeres</w:t>
            </w:r>
          </w:p>
        </w:tc>
        <w:tc>
          <w:tcPr>
            <w:tcW w:w="1324" w:type="dxa"/>
            <w:vAlign w:val="center"/>
          </w:tcPr>
          <w:p w:rsidR="00000000" w:rsidRDefault="00000000">
            <w:pPr>
              <w:jc w:val="center"/>
            </w:pPr>
            <w:r>
              <w:rPr>
                <w:szCs w:val="22"/>
                <w:lang w:val="es-ES_tradnl"/>
              </w:rPr>
              <w:t>Hombres</w:t>
            </w:r>
          </w:p>
        </w:tc>
      </w:tr>
      <w:tr w:rsidR="00000000">
        <w:tblPrEx>
          <w:tblCellMar>
            <w:top w:w="0" w:type="dxa"/>
            <w:bottom w:w="0" w:type="dxa"/>
          </w:tblCellMar>
        </w:tblPrEx>
        <w:trPr>
          <w:trHeight w:val="273"/>
        </w:trPr>
        <w:tc>
          <w:tcPr>
            <w:tcW w:w="2050" w:type="dxa"/>
          </w:tcPr>
          <w:p w:rsidR="00000000" w:rsidRDefault="00000000">
            <w:pPr>
              <w:rPr>
                <w:szCs w:val="22"/>
                <w:lang w:val="es-ES_tradnl"/>
              </w:rPr>
            </w:pPr>
            <w:r>
              <w:rPr>
                <w:szCs w:val="22"/>
                <w:lang w:val="es-ES_tradnl"/>
              </w:rPr>
              <w:t>15 a 24</w:t>
            </w:r>
          </w:p>
        </w:tc>
        <w:tc>
          <w:tcPr>
            <w:tcW w:w="1260" w:type="dxa"/>
          </w:tcPr>
          <w:p w:rsidR="00000000" w:rsidRDefault="00000000">
            <w:pPr>
              <w:jc w:val="right"/>
              <w:rPr>
                <w:szCs w:val="22"/>
                <w:lang w:val="es-ES_tradnl"/>
              </w:rPr>
            </w:pPr>
            <w:r>
              <w:rPr>
                <w:szCs w:val="22"/>
                <w:lang w:val="es-ES_tradnl"/>
              </w:rPr>
              <w:t>1,9</w:t>
            </w:r>
          </w:p>
        </w:tc>
        <w:tc>
          <w:tcPr>
            <w:tcW w:w="1260" w:type="dxa"/>
          </w:tcPr>
          <w:p w:rsidR="00000000" w:rsidRDefault="00000000">
            <w:pPr>
              <w:jc w:val="right"/>
              <w:rPr>
                <w:szCs w:val="22"/>
                <w:lang w:val="es-ES_tradnl"/>
              </w:rPr>
            </w:pPr>
            <w:r>
              <w:rPr>
                <w:szCs w:val="22"/>
                <w:lang w:val="es-ES_tradnl"/>
              </w:rPr>
              <w:t>1,5</w:t>
            </w:r>
          </w:p>
        </w:tc>
        <w:tc>
          <w:tcPr>
            <w:tcW w:w="1260" w:type="dxa"/>
          </w:tcPr>
          <w:p w:rsidR="00000000" w:rsidRDefault="00000000">
            <w:pPr>
              <w:jc w:val="right"/>
              <w:rPr>
                <w:szCs w:val="22"/>
                <w:lang w:val="es-ES_tradnl"/>
              </w:rPr>
            </w:pPr>
            <w:r>
              <w:rPr>
                <w:szCs w:val="22"/>
                <w:lang w:val="es-ES_tradnl"/>
              </w:rPr>
              <w:t>4,7</w:t>
            </w:r>
          </w:p>
        </w:tc>
        <w:tc>
          <w:tcPr>
            <w:tcW w:w="1260" w:type="dxa"/>
          </w:tcPr>
          <w:p w:rsidR="00000000" w:rsidRDefault="00000000">
            <w:pPr>
              <w:jc w:val="right"/>
              <w:rPr>
                <w:szCs w:val="22"/>
                <w:lang w:val="es-ES_tradnl"/>
              </w:rPr>
            </w:pPr>
            <w:r>
              <w:rPr>
                <w:szCs w:val="22"/>
                <w:lang w:val="es-ES_tradnl"/>
              </w:rPr>
              <w:t>4,5</w:t>
            </w:r>
          </w:p>
        </w:tc>
        <w:tc>
          <w:tcPr>
            <w:tcW w:w="1080" w:type="dxa"/>
          </w:tcPr>
          <w:p w:rsidR="00000000" w:rsidRDefault="00000000">
            <w:pPr>
              <w:jc w:val="right"/>
              <w:rPr>
                <w:szCs w:val="22"/>
                <w:lang w:val="es-ES_tradnl"/>
              </w:rPr>
            </w:pPr>
            <w:r>
              <w:rPr>
                <w:szCs w:val="22"/>
                <w:lang w:val="es-ES_tradnl"/>
              </w:rPr>
              <w:t>3,0</w:t>
            </w:r>
          </w:p>
        </w:tc>
        <w:tc>
          <w:tcPr>
            <w:tcW w:w="1324" w:type="dxa"/>
          </w:tcPr>
          <w:p w:rsidR="00000000" w:rsidRDefault="00000000">
            <w:pPr>
              <w:jc w:val="right"/>
            </w:pPr>
            <w:r>
              <w:rPr>
                <w:szCs w:val="22"/>
                <w:lang w:val="es-ES_tradnl"/>
              </w:rPr>
              <w:t>2,7</w:t>
            </w:r>
          </w:p>
        </w:tc>
      </w:tr>
      <w:tr w:rsidR="00000000">
        <w:tblPrEx>
          <w:tblCellMar>
            <w:top w:w="0" w:type="dxa"/>
            <w:bottom w:w="0" w:type="dxa"/>
          </w:tblCellMar>
        </w:tblPrEx>
        <w:trPr>
          <w:trHeight w:val="272"/>
        </w:trPr>
        <w:tc>
          <w:tcPr>
            <w:tcW w:w="2050" w:type="dxa"/>
          </w:tcPr>
          <w:p w:rsidR="00000000" w:rsidRDefault="00000000">
            <w:pPr>
              <w:rPr>
                <w:szCs w:val="22"/>
                <w:lang w:val="es-ES_tradnl"/>
              </w:rPr>
            </w:pPr>
            <w:r>
              <w:rPr>
                <w:szCs w:val="22"/>
                <w:lang w:val="es-ES_tradnl"/>
              </w:rPr>
              <w:t>25 a 39</w:t>
            </w:r>
          </w:p>
        </w:tc>
        <w:tc>
          <w:tcPr>
            <w:tcW w:w="1260" w:type="dxa"/>
          </w:tcPr>
          <w:p w:rsidR="00000000" w:rsidRDefault="00000000">
            <w:pPr>
              <w:jc w:val="right"/>
              <w:rPr>
                <w:szCs w:val="22"/>
                <w:lang w:val="es-ES_tradnl"/>
              </w:rPr>
            </w:pPr>
            <w:r>
              <w:rPr>
                <w:szCs w:val="22"/>
                <w:lang w:val="es-ES_tradnl"/>
              </w:rPr>
              <w:t>2,5</w:t>
            </w:r>
          </w:p>
        </w:tc>
        <w:tc>
          <w:tcPr>
            <w:tcW w:w="1260" w:type="dxa"/>
          </w:tcPr>
          <w:p w:rsidR="00000000" w:rsidRDefault="00000000">
            <w:pPr>
              <w:jc w:val="right"/>
              <w:rPr>
                <w:szCs w:val="22"/>
                <w:lang w:val="es-ES_tradnl"/>
              </w:rPr>
            </w:pPr>
            <w:r>
              <w:rPr>
                <w:szCs w:val="22"/>
                <w:lang w:val="es-ES_tradnl"/>
              </w:rPr>
              <w:t>1,9</w:t>
            </w:r>
          </w:p>
        </w:tc>
        <w:tc>
          <w:tcPr>
            <w:tcW w:w="1260" w:type="dxa"/>
          </w:tcPr>
          <w:p w:rsidR="00000000" w:rsidRDefault="00000000">
            <w:pPr>
              <w:jc w:val="right"/>
              <w:rPr>
                <w:szCs w:val="22"/>
                <w:lang w:val="es-ES_tradnl"/>
              </w:rPr>
            </w:pPr>
            <w:r>
              <w:rPr>
                <w:szCs w:val="22"/>
                <w:lang w:val="es-ES_tradnl"/>
              </w:rPr>
              <w:t>13,3</w:t>
            </w:r>
          </w:p>
        </w:tc>
        <w:tc>
          <w:tcPr>
            <w:tcW w:w="1260" w:type="dxa"/>
          </w:tcPr>
          <w:p w:rsidR="00000000" w:rsidRDefault="00000000">
            <w:pPr>
              <w:jc w:val="right"/>
              <w:rPr>
                <w:szCs w:val="22"/>
                <w:lang w:val="es-ES_tradnl"/>
              </w:rPr>
            </w:pPr>
            <w:r>
              <w:rPr>
                <w:szCs w:val="22"/>
                <w:lang w:val="es-ES_tradnl"/>
              </w:rPr>
              <w:t>6,9</w:t>
            </w:r>
          </w:p>
        </w:tc>
        <w:tc>
          <w:tcPr>
            <w:tcW w:w="1080" w:type="dxa"/>
          </w:tcPr>
          <w:p w:rsidR="00000000" w:rsidRDefault="00000000">
            <w:pPr>
              <w:jc w:val="right"/>
              <w:rPr>
                <w:szCs w:val="22"/>
                <w:lang w:val="es-ES_tradnl"/>
              </w:rPr>
            </w:pPr>
            <w:r>
              <w:rPr>
                <w:szCs w:val="22"/>
                <w:lang w:val="es-ES_tradnl"/>
              </w:rPr>
              <w:t>6,2</w:t>
            </w:r>
          </w:p>
        </w:tc>
        <w:tc>
          <w:tcPr>
            <w:tcW w:w="1324" w:type="dxa"/>
          </w:tcPr>
          <w:p w:rsidR="00000000" w:rsidRDefault="00000000">
            <w:pPr>
              <w:jc w:val="right"/>
            </w:pPr>
            <w:r>
              <w:rPr>
                <w:szCs w:val="22"/>
                <w:lang w:val="es-ES_tradnl"/>
              </w:rPr>
              <w:t>3,8</w:t>
            </w:r>
          </w:p>
        </w:tc>
      </w:tr>
      <w:tr w:rsidR="00000000">
        <w:tblPrEx>
          <w:tblCellMar>
            <w:top w:w="0" w:type="dxa"/>
            <w:bottom w:w="0" w:type="dxa"/>
          </w:tblCellMar>
        </w:tblPrEx>
        <w:trPr>
          <w:trHeight w:val="273"/>
        </w:trPr>
        <w:tc>
          <w:tcPr>
            <w:tcW w:w="2050" w:type="dxa"/>
          </w:tcPr>
          <w:p w:rsidR="00000000" w:rsidRDefault="00000000">
            <w:pPr>
              <w:rPr>
                <w:szCs w:val="22"/>
                <w:lang w:val="es-ES_tradnl"/>
              </w:rPr>
            </w:pPr>
            <w:r>
              <w:rPr>
                <w:szCs w:val="22"/>
                <w:lang w:val="es-ES_tradnl"/>
              </w:rPr>
              <w:t>40 a 64</w:t>
            </w:r>
          </w:p>
        </w:tc>
        <w:tc>
          <w:tcPr>
            <w:tcW w:w="1260" w:type="dxa"/>
          </w:tcPr>
          <w:p w:rsidR="00000000" w:rsidRDefault="00000000">
            <w:pPr>
              <w:jc w:val="right"/>
              <w:rPr>
                <w:szCs w:val="22"/>
                <w:lang w:val="es-ES_tradnl"/>
              </w:rPr>
            </w:pPr>
            <w:r>
              <w:rPr>
                <w:szCs w:val="22"/>
                <w:lang w:val="es-ES_tradnl"/>
              </w:rPr>
              <w:t>10,1</w:t>
            </w:r>
          </w:p>
        </w:tc>
        <w:tc>
          <w:tcPr>
            <w:tcW w:w="1260" w:type="dxa"/>
          </w:tcPr>
          <w:p w:rsidR="00000000" w:rsidRDefault="00000000">
            <w:pPr>
              <w:jc w:val="right"/>
              <w:rPr>
                <w:szCs w:val="22"/>
                <w:lang w:val="es-ES_tradnl"/>
              </w:rPr>
            </w:pPr>
            <w:r>
              <w:rPr>
                <w:szCs w:val="22"/>
                <w:lang w:val="es-ES_tradnl"/>
              </w:rPr>
              <w:t>5,0</w:t>
            </w:r>
          </w:p>
        </w:tc>
        <w:tc>
          <w:tcPr>
            <w:tcW w:w="1260" w:type="dxa"/>
          </w:tcPr>
          <w:p w:rsidR="00000000" w:rsidRDefault="00000000">
            <w:pPr>
              <w:jc w:val="right"/>
              <w:rPr>
                <w:szCs w:val="22"/>
                <w:lang w:val="es-ES_tradnl"/>
              </w:rPr>
            </w:pPr>
            <w:r>
              <w:rPr>
                <w:szCs w:val="22"/>
                <w:lang w:val="es-ES_tradnl"/>
              </w:rPr>
              <w:t>32,5</w:t>
            </w:r>
          </w:p>
        </w:tc>
        <w:tc>
          <w:tcPr>
            <w:tcW w:w="1260" w:type="dxa"/>
          </w:tcPr>
          <w:p w:rsidR="00000000" w:rsidRDefault="00000000">
            <w:pPr>
              <w:jc w:val="right"/>
              <w:rPr>
                <w:szCs w:val="22"/>
                <w:lang w:val="es-ES_tradnl"/>
              </w:rPr>
            </w:pPr>
            <w:r>
              <w:rPr>
                <w:szCs w:val="22"/>
                <w:lang w:val="es-ES_tradnl"/>
              </w:rPr>
              <w:t>23,4</w:t>
            </w:r>
          </w:p>
        </w:tc>
        <w:tc>
          <w:tcPr>
            <w:tcW w:w="1080" w:type="dxa"/>
          </w:tcPr>
          <w:p w:rsidR="00000000" w:rsidRDefault="00000000">
            <w:pPr>
              <w:jc w:val="right"/>
              <w:rPr>
                <w:szCs w:val="22"/>
                <w:lang w:val="es-ES_tradnl"/>
              </w:rPr>
            </w:pPr>
            <w:r>
              <w:rPr>
                <w:szCs w:val="22"/>
                <w:lang w:val="es-ES_tradnl"/>
              </w:rPr>
              <w:t>19,4</w:t>
            </w:r>
          </w:p>
        </w:tc>
        <w:tc>
          <w:tcPr>
            <w:tcW w:w="1324" w:type="dxa"/>
          </w:tcPr>
          <w:p w:rsidR="00000000" w:rsidRDefault="00000000">
            <w:pPr>
              <w:jc w:val="right"/>
            </w:pPr>
            <w:r>
              <w:rPr>
                <w:szCs w:val="22"/>
                <w:lang w:val="es-ES_tradnl"/>
              </w:rPr>
              <w:t>13,1</w:t>
            </w:r>
          </w:p>
        </w:tc>
      </w:tr>
      <w:tr w:rsidR="00000000">
        <w:tblPrEx>
          <w:tblCellMar>
            <w:top w:w="0" w:type="dxa"/>
            <w:bottom w:w="0" w:type="dxa"/>
          </w:tblCellMar>
        </w:tblPrEx>
        <w:trPr>
          <w:trHeight w:val="272"/>
        </w:trPr>
        <w:tc>
          <w:tcPr>
            <w:tcW w:w="2050" w:type="dxa"/>
          </w:tcPr>
          <w:p w:rsidR="00000000" w:rsidRDefault="00000000">
            <w:pPr>
              <w:rPr>
                <w:szCs w:val="22"/>
                <w:lang w:val="es-ES_tradnl"/>
              </w:rPr>
            </w:pPr>
            <w:r>
              <w:rPr>
                <w:szCs w:val="22"/>
                <w:lang w:val="es-ES_tradnl"/>
              </w:rPr>
              <w:t>65 y más</w:t>
            </w:r>
          </w:p>
        </w:tc>
        <w:tc>
          <w:tcPr>
            <w:tcW w:w="1260" w:type="dxa"/>
          </w:tcPr>
          <w:p w:rsidR="00000000" w:rsidRDefault="00000000">
            <w:pPr>
              <w:jc w:val="right"/>
              <w:rPr>
                <w:szCs w:val="22"/>
                <w:lang w:val="es-ES_tradnl"/>
              </w:rPr>
            </w:pPr>
            <w:r>
              <w:rPr>
                <w:szCs w:val="22"/>
                <w:lang w:val="es-ES_tradnl"/>
              </w:rPr>
              <w:t>29,7</w:t>
            </w:r>
          </w:p>
        </w:tc>
        <w:tc>
          <w:tcPr>
            <w:tcW w:w="1260" w:type="dxa"/>
          </w:tcPr>
          <w:p w:rsidR="00000000" w:rsidRDefault="00000000">
            <w:pPr>
              <w:jc w:val="right"/>
              <w:rPr>
                <w:szCs w:val="22"/>
                <w:lang w:val="es-ES_tradnl"/>
              </w:rPr>
            </w:pPr>
            <w:r>
              <w:rPr>
                <w:szCs w:val="22"/>
                <w:lang w:val="es-ES_tradnl"/>
              </w:rPr>
              <w:t>16,1</w:t>
            </w:r>
          </w:p>
        </w:tc>
        <w:tc>
          <w:tcPr>
            <w:tcW w:w="1260" w:type="dxa"/>
          </w:tcPr>
          <w:p w:rsidR="00000000" w:rsidRDefault="00000000">
            <w:pPr>
              <w:jc w:val="right"/>
              <w:rPr>
                <w:szCs w:val="22"/>
                <w:lang w:val="es-ES_tradnl"/>
              </w:rPr>
            </w:pPr>
            <w:r>
              <w:rPr>
                <w:szCs w:val="22"/>
                <w:lang w:val="es-ES_tradnl"/>
              </w:rPr>
              <w:t>56,1</w:t>
            </w:r>
          </w:p>
        </w:tc>
        <w:tc>
          <w:tcPr>
            <w:tcW w:w="1260" w:type="dxa"/>
          </w:tcPr>
          <w:p w:rsidR="00000000" w:rsidRDefault="00000000">
            <w:pPr>
              <w:jc w:val="right"/>
              <w:rPr>
                <w:szCs w:val="22"/>
                <w:lang w:val="es-ES_tradnl"/>
              </w:rPr>
            </w:pPr>
            <w:r>
              <w:rPr>
                <w:szCs w:val="22"/>
                <w:lang w:val="es-ES_tradnl"/>
              </w:rPr>
              <w:t>42,0</w:t>
            </w:r>
          </w:p>
        </w:tc>
        <w:tc>
          <w:tcPr>
            <w:tcW w:w="1080" w:type="dxa"/>
          </w:tcPr>
          <w:p w:rsidR="00000000" w:rsidRDefault="00000000">
            <w:pPr>
              <w:jc w:val="right"/>
              <w:rPr>
                <w:szCs w:val="22"/>
                <w:lang w:val="es-ES_tradnl"/>
              </w:rPr>
            </w:pPr>
            <w:r>
              <w:rPr>
                <w:szCs w:val="22"/>
                <w:lang w:val="es-ES_tradnl"/>
              </w:rPr>
              <w:t>42,7</w:t>
            </w:r>
          </w:p>
        </w:tc>
        <w:tc>
          <w:tcPr>
            <w:tcW w:w="1324" w:type="dxa"/>
          </w:tcPr>
          <w:p w:rsidR="00000000" w:rsidRDefault="00000000">
            <w:pPr>
              <w:jc w:val="right"/>
            </w:pPr>
            <w:r>
              <w:rPr>
                <w:szCs w:val="22"/>
                <w:lang w:val="es-ES_tradnl"/>
              </w:rPr>
              <w:t>30,3</w:t>
            </w:r>
          </w:p>
        </w:tc>
      </w:tr>
      <w:tr w:rsidR="00000000">
        <w:tblPrEx>
          <w:tblCellMar>
            <w:top w:w="0" w:type="dxa"/>
            <w:bottom w:w="0" w:type="dxa"/>
          </w:tblCellMar>
        </w:tblPrEx>
        <w:trPr>
          <w:trHeight w:val="273"/>
        </w:trPr>
        <w:tc>
          <w:tcPr>
            <w:tcW w:w="2050" w:type="dxa"/>
          </w:tcPr>
          <w:p w:rsidR="00000000" w:rsidRDefault="00000000">
            <w:pPr>
              <w:tabs>
                <w:tab w:val="left" w:pos="180"/>
              </w:tabs>
              <w:rPr>
                <w:szCs w:val="22"/>
                <w:lang w:val="es-ES_tradnl"/>
              </w:rPr>
            </w:pPr>
            <w:r>
              <w:rPr>
                <w:szCs w:val="22"/>
                <w:lang w:val="es-ES_tradnl"/>
              </w:rPr>
              <w:tab/>
              <w:t>Total</w:t>
            </w:r>
          </w:p>
        </w:tc>
        <w:tc>
          <w:tcPr>
            <w:tcW w:w="1260" w:type="dxa"/>
          </w:tcPr>
          <w:p w:rsidR="00000000" w:rsidRDefault="00000000">
            <w:pPr>
              <w:jc w:val="right"/>
              <w:rPr>
                <w:szCs w:val="22"/>
                <w:lang w:val="es-ES_tradnl"/>
              </w:rPr>
            </w:pPr>
            <w:r>
              <w:rPr>
                <w:szCs w:val="22"/>
                <w:lang w:val="es-ES_tradnl"/>
              </w:rPr>
              <w:t>6,3</w:t>
            </w:r>
          </w:p>
        </w:tc>
        <w:tc>
          <w:tcPr>
            <w:tcW w:w="1260" w:type="dxa"/>
          </w:tcPr>
          <w:p w:rsidR="00000000" w:rsidRDefault="00000000">
            <w:pPr>
              <w:jc w:val="right"/>
              <w:rPr>
                <w:szCs w:val="22"/>
                <w:lang w:val="es-ES_tradnl"/>
              </w:rPr>
            </w:pPr>
            <w:r>
              <w:rPr>
                <w:szCs w:val="22"/>
                <w:lang w:val="es-ES_tradnl"/>
              </w:rPr>
              <w:t>3,6</w:t>
            </w:r>
          </w:p>
        </w:tc>
        <w:tc>
          <w:tcPr>
            <w:tcW w:w="1260" w:type="dxa"/>
          </w:tcPr>
          <w:p w:rsidR="00000000" w:rsidRDefault="00000000">
            <w:pPr>
              <w:jc w:val="right"/>
              <w:rPr>
                <w:szCs w:val="22"/>
                <w:lang w:val="es-ES_tradnl"/>
              </w:rPr>
            </w:pPr>
            <w:r>
              <w:rPr>
                <w:szCs w:val="22"/>
                <w:lang w:val="es-ES_tradnl"/>
              </w:rPr>
              <w:t>21,1</w:t>
            </w:r>
          </w:p>
        </w:tc>
        <w:tc>
          <w:tcPr>
            <w:tcW w:w="1260" w:type="dxa"/>
          </w:tcPr>
          <w:p w:rsidR="00000000" w:rsidRDefault="00000000">
            <w:pPr>
              <w:jc w:val="right"/>
              <w:rPr>
                <w:szCs w:val="22"/>
                <w:lang w:val="es-ES_tradnl"/>
              </w:rPr>
            </w:pPr>
            <w:r>
              <w:rPr>
                <w:szCs w:val="22"/>
                <w:lang w:val="es-ES_tradnl"/>
              </w:rPr>
              <w:t>14,8</w:t>
            </w:r>
          </w:p>
        </w:tc>
        <w:tc>
          <w:tcPr>
            <w:tcW w:w="1080" w:type="dxa"/>
          </w:tcPr>
          <w:p w:rsidR="00000000" w:rsidRDefault="00000000">
            <w:pPr>
              <w:jc w:val="right"/>
              <w:rPr>
                <w:szCs w:val="22"/>
                <w:lang w:val="es-ES_tradnl"/>
              </w:rPr>
            </w:pPr>
            <w:r>
              <w:rPr>
                <w:szCs w:val="22"/>
                <w:lang w:val="es-ES_tradnl"/>
              </w:rPr>
              <w:t>12,1</w:t>
            </w:r>
          </w:p>
        </w:tc>
        <w:tc>
          <w:tcPr>
            <w:tcW w:w="1324" w:type="dxa"/>
          </w:tcPr>
          <w:p w:rsidR="00000000" w:rsidRDefault="00000000">
            <w:pPr>
              <w:jc w:val="right"/>
            </w:pPr>
            <w:r>
              <w:rPr>
                <w:szCs w:val="22"/>
                <w:lang w:val="es-ES_tradnl"/>
              </w:rPr>
              <w:t>8,3</w:t>
            </w:r>
          </w:p>
        </w:tc>
      </w:tr>
    </w:tbl>
    <w:p w:rsidR="00000000" w:rsidRDefault="00000000">
      <w:pPr>
        <w:spacing w:before="240"/>
      </w:pPr>
      <w:r>
        <w:rPr>
          <w:i/>
          <w:iCs/>
          <w:szCs w:val="23"/>
          <w:lang w:val="es-ES_tradnl"/>
        </w:rPr>
        <w:t>Fuente</w:t>
      </w:r>
      <w:r>
        <w:rPr>
          <w:szCs w:val="23"/>
          <w:lang w:val="es-ES_tradnl"/>
        </w:rPr>
        <w:t xml:space="preserve">:  INEC, </w:t>
      </w:r>
      <w:proofErr w:type="spellStart"/>
      <w:r>
        <w:rPr>
          <w:szCs w:val="23"/>
          <w:lang w:val="es-ES_tradnl"/>
        </w:rPr>
        <w:t>ECV</w:t>
      </w:r>
      <w:proofErr w:type="spellEnd"/>
      <w:r>
        <w:rPr>
          <w:szCs w:val="23"/>
          <w:lang w:val="es-ES_tradnl"/>
        </w:rPr>
        <w:t>-III Ronda, 1998.</w:t>
      </w:r>
    </w:p>
    <w:p w:rsidR="00000000" w:rsidRDefault="00000000">
      <w:pPr>
        <w:spacing w:after="240"/>
      </w:pPr>
      <w:r>
        <w:rPr>
          <w:szCs w:val="25"/>
          <w:lang w:val="es-ES_tradnl"/>
        </w:rPr>
        <w:t>508.</w:t>
      </w:r>
      <w:r>
        <w:rPr>
          <w:szCs w:val="25"/>
          <w:lang w:val="es-ES_tradnl"/>
        </w:rPr>
        <w:tab/>
        <w:t>Con relación a la proporción de hombres y mujeres que se benefician de esta educación, las tasas de alfabetización femenina alcanzan a la masculina.  Así en el nivel urbano el índice se aproxima al 0,9% por arriba, prevaleciendo en todos los casos la mayor tasa masculina y con mayor incidencia en el medio rural.</w:t>
      </w:r>
    </w:p>
    <w:p w:rsidR="00000000" w:rsidRDefault="00000000">
      <w:pPr>
        <w:spacing w:after="240"/>
        <w:jc w:val="center"/>
      </w:pPr>
      <w:r>
        <w:rPr>
          <w:b/>
          <w:bCs/>
          <w:szCs w:val="21"/>
          <w:lang w:val="es-ES_tradnl"/>
        </w:rPr>
        <w:t>Años de escolaridad</w:t>
      </w:r>
    </w:p>
    <w:tbl>
      <w:tblPr>
        <w:tblW w:w="0" w:type="auto"/>
        <w:jc w:val="center"/>
        <w:tblInd w:w="1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260"/>
        <w:gridCol w:w="1350"/>
      </w:tblGrid>
      <w:tr w:rsidR="00000000">
        <w:tblPrEx>
          <w:tblCellMar>
            <w:top w:w="0" w:type="dxa"/>
            <w:bottom w:w="0" w:type="dxa"/>
          </w:tblCellMar>
        </w:tblPrEx>
        <w:trPr>
          <w:cantSplit/>
          <w:jc w:val="center"/>
        </w:trPr>
        <w:tc>
          <w:tcPr>
            <w:tcW w:w="1800" w:type="dxa"/>
            <w:vMerge w:val="restart"/>
            <w:vAlign w:val="center"/>
          </w:tcPr>
          <w:p w:rsidR="00000000" w:rsidRDefault="00000000">
            <w:pPr>
              <w:jc w:val="center"/>
              <w:rPr>
                <w:szCs w:val="23"/>
                <w:lang w:val="es-ES_tradnl"/>
              </w:rPr>
            </w:pPr>
            <w:r>
              <w:rPr>
                <w:szCs w:val="23"/>
                <w:lang w:val="es-ES_tradnl"/>
              </w:rPr>
              <w:t>Área</w:t>
            </w:r>
          </w:p>
        </w:tc>
        <w:tc>
          <w:tcPr>
            <w:tcW w:w="2610" w:type="dxa"/>
            <w:gridSpan w:val="2"/>
            <w:vAlign w:val="center"/>
          </w:tcPr>
          <w:p w:rsidR="00000000" w:rsidRDefault="00000000">
            <w:pPr>
              <w:jc w:val="center"/>
            </w:pPr>
            <w:r>
              <w:rPr>
                <w:szCs w:val="23"/>
                <w:lang w:val="es-ES_tradnl"/>
              </w:rPr>
              <w:t>Años de escolaridad promedio</w:t>
            </w:r>
          </w:p>
        </w:tc>
      </w:tr>
      <w:tr w:rsidR="00000000">
        <w:tblPrEx>
          <w:tblCellMar>
            <w:top w:w="0" w:type="dxa"/>
            <w:bottom w:w="0" w:type="dxa"/>
          </w:tblCellMar>
        </w:tblPrEx>
        <w:trPr>
          <w:cantSplit/>
          <w:jc w:val="center"/>
        </w:trPr>
        <w:tc>
          <w:tcPr>
            <w:tcW w:w="1800" w:type="dxa"/>
            <w:vMerge/>
            <w:vAlign w:val="center"/>
          </w:tcPr>
          <w:p w:rsidR="00000000" w:rsidRDefault="00000000">
            <w:pPr>
              <w:jc w:val="center"/>
              <w:rPr>
                <w:szCs w:val="23"/>
                <w:lang w:val="es-ES_tradnl"/>
              </w:rPr>
            </w:pPr>
          </w:p>
        </w:tc>
        <w:tc>
          <w:tcPr>
            <w:tcW w:w="1260" w:type="dxa"/>
            <w:vAlign w:val="center"/>
          </w:tcPr>
          <w:p w:rsidR="00000000" w:rsidRDefault="00000000">
            <w:pPr>
              <w:jc w:val="center"/>
              <w:rPr>
                <w:szCs w:val="23"/>
                <w:lang w:val="es-ES_tradnl"/>
              </w:rPr>
            </w:pPr>
            <w:r>
              <w:rPr>
                <w:szCs w:val="23"/>
                <w:lang w:val="es-ES_tradnl"/>
              </w:rPr>
              <w:t>Mujeres</w:t>
            </w:r>
          </w:p>
        </w:tc>
        <w:tc>
          <w:tcPr>
            <w:tcW w:w="1350" w:type="dxa"/>
            <w:vAlign w:val="center"/>
          </w:tcPr>
          <w:p w:rsidR="00000000" w:rsidRDefault="00000000">
            <w:pPr>
              <w:jc w:val="center"/>
              <w:rPr>
                <w:szCs w:val="23"/>
                <w:lang w:val="es-ES_tradnl"/>
              </w:rPr>
            </w:pPr>
            <w:r>
              <w:rPr>
                <w:szCs w:val="23"/>
                <w:lang w:val="es-ES_tradnl"/>
              </w:rPr>
              <w:t>Hombres</w:t>
            </w:r>
          </w:p>
        </w:tc>
      </w:tr>
      <w:tr w:rsidR="00000000">
        <w:tblPrEx>
          <w:tblCellMar>
            <w:top w:w="0" w:type="dxa"/>
            <w:bottom w:w="0" w:type="dxa"/>
          </w:tblCellMar>
        </w:tblPrEx>
        <w:trPr>
          <w:jc w:val="center"/>
        </w:trPr>
        <w:tc>
          <w:tcPr>
            <w:tcW w:w="1800" w:type="dxa"/>
          </w:tcPr>
          <w:p w:rsidR="00000000" w:rsidRDefault="00000000">
            <w:pPr>
              <w:rPr>
                <w:szCs w:val="23"/>
                <w:lang w:val="es-ES_tradnl"/>
              </w:rPr>
            </w:pPr>
            <w:r>
              <w:rPr>
                <w:szCs w:val="23"/>
                <w:lang w:val="es-ES_tradnl"/>
              </w:rPr>
              <w:t>Urbana</w:t>
            </w:r>
          </w:p>
        </w:tc>
        <w:tc>
          <w:tcPr>
            <w:tcW w:w="1260" w:type="dxa"/>
          </w:tcPr>
          <w:p w:rsidR="00000000" w:rsidRDefault="00000000">
            <w:pPr>
              <w:jc w:val="center"/>
              <w:rPr>
                <w:szCs w:val="23"/>
                <w:lang w:val="es-ES_tradnl"/>
              </w:rPr>
            </w:pPr>
            <w:r>
              <w:rPr>
                <w:szCs w:val="23"/>
                <w:lang w:val="es-ES_tradnl"/>
              </w:rPr>
              <w:t>8,6</w:t>
            </w:r>
          </w:p>
        </w:tc>
        <w:tc>
          <w:tcPr>
            <w:tcW w:w="1350" w:type="dxa"/>
          </w:tcPr>
          <w:p w:rsidR="00000000" w:rsidRDefault="00000000">
            <w:pPr>
              <w:jc w:val="center"/>
              <w:rPr>
                <w:szCs w:val="23"/>
                <w:lang w:val="es-ES_tradnl"/>
              </w:rPr>
            </w:pPr>
            <w:r>
              <w:rPr>
                <w:szCs w:val="23"/>
                <w:lang w:val="es-ES_tradnl"/>
              </w:rPr>
              <w:t>9,1</w:t>
            </w:r>
          </w:p>
        </w:tc>
      </w:tr>
      <w:tr w:rsidR="00000000">
        <w:tblPrEx>
          <w:tblCellMar>
            <w:top w:w="0" w:type="dxa"/>
            <w:bottom w:w="0" w:type="dxa"/>
          </w:tblCellMar>
        </w:tblPrEx>
        <w:trPr>
          <w:jc w:val="center"/>
        </w:trPr>
        <w:tc>
          <w:tcPr>
            <w:tcW w:w="1800" w:type="dxa"/>
          </w:tcPr>
          <w:p w:rsidR="00000000" w:rsidRDefault="00000000">
            <w:pPr>
              <w:rPr>
                <w:szCs w:val="23"/>
                <w:lang w:val="es-ES_tradnl"/>
              </w:rPr>
            </w:pPr>
            <w:r>
              <w:rPr>
                <w:szCs w:val="23"/>
                <w:lang w:val="es-ES_tradnl"/>
              </w:rPr>
              <w:t>Rural</w:t>
            </w:r>
          </w:p>
        </w:tc>
        <w:tc>
          <w:tcPr>
            <w:tcW w:w="1260" w:type="dxa"/>
          </w:tcPr>
          <w:p w:rsidR="00000000" w:rsidRDefault="00000000">
            <w:pPr>
              <w:jc w:val="center"/>
              <w:rPr>
                <w:szCs w:val="23"/>
                <w:lang w:val="es-ES_tradnl"/>
              </w:rPr>
            </w:pPr>
            <w:r>
              <w:rPr>
                <w:szCs w:val="23"/>
                <w:lang w:val="es-ES_tradnl"/>
              </w:rPr>
              <w:t>4,1</w:t>
            </w:r>
          </w:p>
        </w:tc>
        <w:tc>
          <w:tcPr>
            <w:tcW w:w="1350" w:type="dxa"/>
          </w:tcPr>
          <w:p w:rsidR="00000000" w:rsidRDefault="00000000">
            <w:pPr>
              <w:jc w:val="center"/>
              <w:rPr>
                <w:szCs w:val="23"/>
                <w:lang w:val="es-ES_tradnl"/>
              </w:rPr>
            </w:pPr>
            <w:r>
              <w:rPr>
                <w:szCs w:val="23"/>
                <w:lang w:val="es-ES_tradnl"/>
              </w:rPr>
              <w:t>4,7</w:t>
            </w:r>
          </w:p>
        </w:tc>
      </w:tr>
      <w:tr w:rsidR="00000000">
        <w:tblPrEx>
          <w:tblCellMar>
            <w:top w:w="0" w:type="dxa"/>
            <w:bottom w:w="0" w:type="dxa"/>
          </w:tblCellMar>
        </w:tblPrEx>
        <w:trPr>
          <w:jc w:val="center"/>
        </w:trPr>
        <w:tc>
          <w:tcPr>
            <w:tcW w:w="1800" w:type="dxa"/>
          </w:tcPr>
          <w:p w:rsidR="00000000" w:rsidRDefault="00000000">
            <w:pPr>
              <w:tabs>
                <w:tab w:val="left" w:pos="200"/>
              </w:tabs>
              <w:rPr>
                <w:szCs w:val="23"/>
                <w:lang w:val="es-ES_tradnl"/>
              </w:rPr>
            </w:pPr>
            <w:r>
              <w:rPr>
                <w:szCs w:val="23"/>
                <w:lang w:val="es-ES_tradnl"/>
              </w:rPr>
              <w:tab/>
              <w:t>Total nacional</w:t>
            </w:r>
          </w:p>
        </w:tc>
        <w:tc>
          <w:tcPr>
            <w:tcW w:w="1260" w:type="dxa"/>
          </w:tcPr>
          <w:p w:rsidR="00000000" w:rsidRDefault="00000000">
            <w:pPr>
              <w:jc w:val="center"/>
              <w:rPr>
                <w:szCs w:val="23"/>
                <w:lang w:val="es-ES_tradnl"/>
              </w:rPr>
            </w:pPr>
            <w:r>
              <w:rPr>
                <w:szCs w:val="23"/>
                <w:lang w:val="es-ES_tradnl"/>
              </w:rPr>
              <w:t>7,0</w:t>
            </w:r>
          </w:p>
        </w:tc>
        <w:tc>
          <w:tcPr>
            <w:tcW w:w="1350" w:type="dxa"/>
          </w:tcPr>
          <w:p w:rsidR="00000000" w:rsidRDefault="00000000">
            <w:pPr>
              <w:jc w:val="center"/>
              <w:rPr>
                <w:szCs w:val="23"/>
                <w:lang w:val="es-ES_tradnl"/>
              </w:rPr>
            </w:pPr>
            <w:r>
              <w:rPr>
                <w:szCs w:val="23"/>
                <w:lang w:val="es-ES_tradnl"/>
              </w:rPr>
              <w:t>7,4</w:t>
            </w:r>
          </w:p>
        </w:tc>
      </w:tr>
    </w:tbl>
    <w:p w:rsidR="00000000" w:rsidRDefault="00000000">
      <w:pPr>
        <w:tabs>
          <w:tab w:val="left" w:pos="2520"/>
        </w:tabs>
        <w:spacing w:before="240" w:after="360"/>
      </w:pPr>
      <w:r>
        <w:rPr>
          <w:i/>
          <w:iCs/>
          <w:szCs w:val="22"/>
          <w:lang w:val="es-ES_tradnl"/>
        </w:rPr>
        <w:tab/>
        <w:t>Fuente</w:t>
      </w:r>
      <w:r>
        <w:rPr>
          <w:szCs w:val="22"/>
          <w:lang w:val="es-ES_tradnl"/>
        </w:rPr>
        <w:t xml:space="preserve">:  INEC, </w:t>
      </w:r>
      <w:proofErr w:type="spellStart"/>
      <w:r>
        <w:rPr>
          <w:szCs w:val="22"/>
          <w:lang w:val="es-ES_tradnl"/>
        </w:rPr>
        <w:t>ECV</w:t>
      </w:r>
      <w:proofErr w:type="spellEnd"/>
      <w:r>
        <w:rPr>
          <w:szCs w:val="22"/>
          <w:lang w:val="es-ES_tradnl"/>
        </w:rPr>
        <w:t xml:space="preserve">-95, </w:t>
      </w:r>
      <w:proofErr w:type="spellStart"/>
      <w:r>
        <w:rPr>
          <w:szCs w:val="22"/>
          <w:lang w:val="es-ES_tradnl"/>
        </w:rPr>
        <w:t>SIISE</w:t>
      </w:r>
      <w:proofErr w:type="spellEnd"/>
      <w:r>
        <w:rPr>
          <w:szCs w:val="22"/>
          <w:lang w:val="es-ES_tradnl"/>
        </w:rPr>
        <w:t>-</w:t>
      </w:r>
      <w:proofErr w:type="spellStart"/>
      <w:r>
        <w:rPr>
          <w:szCs w:val="22"/>
          <w:lang w:val="es-ES_tradnl"/>
        </w:rPr>
        <w:t>SIMUJERES</w:t>
      </w:r>
      <w:proofErr w:type="spellEnd"/>
      <w:r>
        <w:rPr>
          <w:szCs w:val="22"/>
          <w:lang w:val="es-ES_tradnl"/>
        </w:rPr>
        <w:t>.</w:t>
      </w:r>
    </w:p>
    <w:p w:rsidR="00000000" w:rsidRDefault="00000000">
      <w:pPr>
        <w:spacing w:after="240"/>
        <w:rPr>
          <w:i/>
          <w:iCs/>
        </w:rPr>
      </w:pPr>
      <w:r>
        <w:rPr>
          <w:i/>
          <w:iCs/>
          <w:szCs w:val="25"/>
          <w:lang w:val="es-ES_tradnl"/>
        </w:rPr>
        <w:t>Educación para las minorías étnicas</w:t>
      </w:r>
    </w:p>
    <w:p w:rsidR="00000000" w:rsidRDefault="00000000">
      <w:pPr>
        <w:spacing w:after="240"/>
      </w:pPr>
      <w:r>
        <w:rPr>
          <w:szCs w:val="25"/>
          <w:lang w:val="es-ES_tradnl"/>
        </w:rPr>
        <w:t>509.</w:t>
      </w:r>
      <w:r>
        <w:rPr>
          <w:szCs w:val="25"/>
          <w:lang w:val="es-ES_tradnl"/>
        </w:rPr>
        <w:tab/>
        <w:t>De acuerdo a la Constitución del Estado, todos los ecuatorianos tienen el libre acceso a todos los niveles de educación, pero las realidades geográficas, socioeconómicas y culturales han hecho que individualmente no se beneficien todos de la educación.</w:t>
      </w:r>
    </w:p>
    <w:p w:rsidR="00000000" w:rsidRDefault="00000000">
      <w:pPr>
        <w:spacing w:after="240"/>
      </w:pPr>
      <w:r>
        <w:rPr>
          <w:szCs w:val="25"/>
          <w:lang w:val="es-ES_tradnl"/>
        </w:rPr>
        <w:t>510.</w:t>
      </w:r>
      <w:r>
        <w:rPr>
          <w:szCs w:val="25"/>
          <w:lang w:val="es-ES_tradnl"/>
        </w:rPr>
        <w:tab/>
        <w:t>La Dirección Nacional de Educación Popular Permanente (</w:t>
      </w:r>
      <w:proofErr w:type="spellStart"/>
      <w:r>
        <w:rPr>
          <w:szCs w:val="25"/>
          <w:lang w:val="es-ES_tradnl"/>
        </w:rPr>
        <w:t>DINEPP</w:t>
      </w:r>
      <w:proofErr w:type="spellEnd"/>
      <w:r>
        <w:rPr>
          <w:szCs w:val="25"/>
          <w:lang w:val="es-ES_tradnl"/>
        </w:rPr>
        <w:t>) ha previsto estas realidades y ha ofertado programas educativos considerando los diferentes sectores poblacionales existentes en el país, con proyectos específicos, respetando la diversidad social y cultural.</w:t>
      </w:r>
    </w:p>
    <w:p w:rsidR="00000000" w:rsidRDefault="00000000">
      <w:pPr>
        <w:spacing w:after="240"/>
      </w:pPr>
      <w:r>
        <w:rPr>
          <w:szCs w:val="25"/>
          <w:lang w:val="es-ES_tradnl"/>
        </w:rPr>
        <w:t>511.</w:t>
      </w:r>
      <w:r>
        <w:rPr>
          <w:szCs w:val="25"/>
          <w:lang w:val="es-ES_tradnl"/>
        </w:rPr>
        <w:tab/>
        <w:t>La presencia de la demanda educativa en el subsistema no escolarizado y la existencia de programas y proyectos que atiendan en sus diferentes modalidades a la población demandante es el testimonio de que hay plenitud de disfrute del servicio.</w:t>
      </w:r>
    </w:p>
    <w:p w:rsidR="00000000" w:rsidRDefault="00000000">
      <w:pPr>
        <w:spacing w:after="240"/>
      </w:pPr>
      <w:r>
        <w:rPr>
          <w:szCs w:val="25"/>
          <w:lang w:val="es-ES_tradnl"/>
        </w:rPr>
        <w:t>512.</w:t>
      </w:r>
      <w:r>
        <w:rPr>
          <w:szCs w:val="25"/>
          <w:lang w:val="es-ES_tradnl"/>
        </w:rPr>
        <w:tab/>
        <w:t>Lentamente los jóvenes indígenas van incorporándose al Sistema Educativo Nacional, las limitaciones financieras, técnicas, materiales y de infraestructura, constituyen un factor determinante para la inserción definitiva en el proceso educativo.</w:t>
      </w:r>
    </w:p>
    <w:p w:rsidR="00000000" w:rsidRDefault="00000000">
      <w:pPr>
        <w:spacing w:after="240"/>
      </w:pPr>
      <w:r>
        <w:rPr>
          <w:szCs w:val="25"/>
          <w:lang w:val="es-ES_tradnl"/>
        </w:rPr>
        <w:t>513.</w:t>
      </w:r>
      <w:r>
        <w:rPr>
          <w:szCs w:val="25"/>
          <w:lang w:val="es-ES_tradnl"/>
        </w:rPr>
        <w:tab/>
        <w:t>El descuido del Estado para con la educación indígena se ve reflejado en un elevado grado de deserción o repetición del año escolar.  Estudios realizados durante los años lectivos 1997</w:t>
      </w:r>
      <w:r>
        <w:rPr>
          <w:szCs w:val="25"/>
          <w:lang w:val="es-ES_tradnl"/>
        </w:rPr>
        <w:noBreakHyphen/>
        <w:t>1998, nos demuestran que en los niveles 7, 8 y 9, el 2% reprueban y el 26,6% desertan durante el transcurso del año escolar.</w:t>
      </w:r>
    </w:p>
    <w:p w:rsidR="00000000" w:rsidRDefault="00000000">
      <w:pPr>
        <w:spacing w:after="240"/>
      </w:pPr>
      <w:r>
        <w:rPr>
          <w:szCs w:val="25"/>
          <w:lang w:val="es-ES_tradnl"/>
        </w:rPr>
        <w:t>514.</w:t>
      </w:r>
      <w:r>
        <w:rPr>
          <w:szCs w:val="25"/>
          <w:lang w:val="es-ES_tradnl"/>
        </w:rPr>
        <w:tab/>
        <w:t xml:space="preserve">En el segundo año de Educación Básica el índice de deserción es más preocupante porque alcanza </w:t>
      </w:r>
      <w:r>
        <w:rPr>
          <w:szCs w:val="9"/>
          <w:lang w:val="es-ES_tradnl"/>
        </w:rPr>
        <w:t>el 33,5%.</w:t>
      </w:r>
    </w:p>
    <w:p w:rsidR="00000000" w:rsidRDefault="00000000">
      <w:pPr>
        <w:spacing w:after="240"/>
      </w:pPr>
      <w:r>
        <w:rPr>
          <w:szCs w:val="25"/>
          <w:lang w:val="es-ES_tradnl"/>
        </w:rPr>
        <w:t>515.</w:t>
      </w:r>
      <w:r>
        <w:rPr>
          <w:szCs w:val="25"/>
          <w:lang w:val="es-ES_tradnl"/>
        </w:rPr>
        <w:tab/>
        <w:t>Del 100% de alumnos que han terminado los seis primeros niveles de estudio, solamente el 40% continúan y el 60% se incorporan al trabajo en el campo o la ciudad.  Paulatinamente mientras avanza la educación básica y de bachillerato la deserción es alarmante, sólo entre el 10 y 13% logran obtener el título de bachiller.</w:t>
      </w:r>
    </w:p>
    <w:p w:rsidR="00000000" w:rsidRDefault="00000000">
      <w:pPr>
        <w:spacing w:after="240"/>
      </w:pPr>
      <w:r>
        <w:rPr>
          <w:szCs w:val="25"/>
          <w:lang w:val="es-ES_tradnl"/>
        </w:rPr>
        <w:t>516.</w:t>
      </w:r>
      <w:r>
        <w:rPr>
          <w:szCs w:val="25"/>
          <w:lang w:val="es-ES_tradnl"/>
        </w:rPr>
        <w:tab/>
        <w:t>En relación con la población discapacitada del total de la población ecuatoriana, del 13% (1.600.000) de personas que tiene algún tipo de discapacidad, apenas el 4% tiene acceso a la educación especial, de los cuales el 37,9% no ha terminado ningún tipo de instrucción.  Al comparar con los índices generales de analfabetismo (9,8%), se encuentra que esta población está severamente marginada, limitada del acceso a la instrucción básica.  Es decir que en este grupo social existe un mayor nivel de analfabetismo, el cual es más significativo en el sector rural.</w:t>
      </w:r>
    </w:p>
    <w:p w:rsidR="00000000" w:rsidRDefault="00000000">
      <w:pPr>
        <w:spacing w:after="240"/>
      </w:pPr>
      <w:r>
        <w:rPr>
          <w:szCs w:val="25"/>
          <w:lang w:val="es-ES_tradnl"/>
        </w:rPr>
        <w:t>517.</w:t>
      </w:r>
      <w:r>
        <w:rPr>
          <w:szCs w:val="25"/>
          <w:lang w:val="es-ES_tradnl"/>
        </w:rPr>
        <w:tab/>
        <w:t>Si se considera que la población general el 50,9% ha terminado la instrucción primaria (7° año de educación básica) y que el 62,1% de personas con discapacidad no ha alcanzado este nivel de instrucción, se confirma su situación de desventaja.</w:t>
      </w:r>
      <w:r>
        <w:t xml:space="preserve">  </w:t>
      </w:r>
      <w:r>
        <w:rPr>
          <w:szCs w:val="25"/>
          <w:lang w:val="es-ES_tradnl"/>
        </w:rPr>
        <w:t>Aproximadamente el 10,5% de las personas con discapacidad terminan la secundaria (bachillerato), en relación con el 25,9% que lo hacen en la población general.  De la población discapacitada apenas el 23,8% asiste a alguna institución de educación, el 76,2% no asiste.</w:t>
      </w:r>
    </w:p>
    <w:p w:rsidR="00000000" w:rsidRDefault="00000000">
      <w:pPr>
        <w:spacing w:after="240"/>
      </w:pPr>
      <w:r>
        <w:rPr>
          <w:szCs w:val="25"/>
          <w:lang w:val="es-ES_tradnl"/>
        </w:rPr>
        <w:t>518.</w:t>
      </w:r>
      <w:r>
        <w:rPr>
          <w:szCs w:val="25"/>
          <w:lang w:val="es-ES_tradnl"/>
        </w:rPr>
        <w:tab/>
        <w:t>Las escuelas de educación regular han ofrecido sus servicios al 58,8% de las personas con discapacidad en el ámbito nacional, existen otros institutos y centros los que han educado al 34,6% restante, sobre todo en la región Costa.</w:t>
      </w:r>
    </w:p>
    <w:p w:rsidR="00000000" w:rsidRDefault="00000000">
      <w:pPr>
        <w:spacing w:after="240"/>
      </w:pPr>
      <w:r>
        <w:rPr>
          <w:szCs w:val="25"/>
          <w:lang w:val="es-ES_tradnl"/>
        </w:rPr>
        <w:t>519.</w:t>
      </w:r>
      <w:r>
        <w:rPr>
          <w:szCs w:val="25"/>
          <w:lang w:val="es-ES_tradnl"/>
        </w:rPr>
        <w:tab/>
        <w:t>El 6,1% de los niños y niñas con necesidades educativas especiales, no recibe ningún apoyo a pesar de estar aparentemente integrados a la educación regular.</w:t>
      </w:r>
    </w:p>
    <w:p w:rsidR="00000000" w:rsidRDefault="00000000">
      <w:pPr>
        <w:spacing w:after="240"/>
        <w:rPr>
          <w:szCs w:val="25"/>
          <w:lang w:val="es-ES_tradnl"/>
        </w:rPr>
      </w:pPr>
      <w:r>
        <w:rPr>
          <w:szCs w:val="25"/>
          <w:lang w:val="es-ES_tradnl"/>
        </w:rPr>
        <w:t>520.</w:t>
      </w:r>
      <w:r>
        <w:rPr>
          <w:szCs w:val="25"/>
          <w:lang w:val="es-ES_tradnl"/>
        </w:rPr>
        <w:tab/>
        <w:t>La División Nacional de Educación Especial, a través de autogestión, viene desarrollando actividades en beneficio de los alumnos con necesidades educativas especiales.  En la actualidad cuenta con 97 instituciones fiscales y particulares de educación especial en el ámbito nacional, con 1.379 docentes que brindan atención a 4.140 alumnos con retardo mental; 1.185 con deficiencia auditiva; 330 con deficiencia visual; 462 con parálisis cerebral y 26 con problemas motores, con un total de 6.143 alumnos.</w:t>
      </w:r>
    </w:p>
    <w:p w:rsidR="00000000" w:rsidRDefault="00000000">
      <w:pPr>
        <w:spacing w:after="240"/>
      </w:pPr>
      <w:r>
        <w:rPr>
          <w:i/>
          <w:iCs/>
          <w:szCs w:val="25"/>
          <w:lang w:val="es-ES_tradnl"/>
        </w:rPr>
        <w:t>Igualdad en la educación</w:t>
      </w:r>
    </w:p>
    <w:p w:rsidR="00000000" w:rsidRDefault="00000000">
      <w:pPr>
        <w:spacing w:after="240"/>
      </w:pPr>
      <w:r>
        <w:rPr>
          <w:szCs w:val="25"/>
          <w:lang w:val="es-ES_tradnl"/>
        </w:rPr>
        <w:t>521.</w:t>
      </w:r>
      <w:r>
        <w:rPr>
          <w:szCs w:val="25"/>
          <w:lang w:val="es-ES_tradnl"/>
        </w:rPr>
        <w:tab/>
        <w:t>Las medidas adoptadas a fin de garantizar la igualdad de acceso a todos los niveles de educación en el Ecuador han dependido en gran medida de las políticas adoptadas en los diferentes gobiernos, pero fundamentalmente en el nivel primario se han implementado:</w:t>
      </w:r>
    </w:p>
    <w:p w:rsidR="00000000" w:rsidRDefault="00000000">
      <w:pPr>
        <w:spacing w:after="240"/>
        <w:ind w:left="1134" w:hanging="567"/>
      </w:pPr>
      <w:r>
        <w:rPr>
          <w:szCs w:val="25"/>
          <w:lang w:val="es-ES_tradnl"/>
        </w:rPr>
        <w:t>a)</w:t>
      </w:r>
      <w:r>
        <w:rPr>
          <w:szCs w:val="25"/>
          <w:lang w:val="es-ES_tradnl"/>
        </w:rPr>
        <w:tab/>
        <w:t>Reforma curricular;</w:t>
      </w:r>
    </w:p>
    <w:p w:rsidR="00000000" w:rsidRDefault="00000000">
      <w:pPr>
        <w:spacing w:after="240"/>
        <w:ind w:left="1134" w:hanging="567"/>
      </w:pPr>
      <w:r>
        <w:rPr>
          <w:szCs w:val="25"/>
          <w:lang w:val="es-ES_tradnl"/>
        </w:rPr>
        <w:t>b)</w:t>
      </w:r>
      <w:r>
        <w:rPr>
          <w:szCs w:val="25"/>
          <w:lang w:val="es-ES_tradnl"/>
        </w:rPr>
        <w:tab/>
        <w:t>Mochila escolar;</w:t>
      </w:r>
    </w:p>
    <w:p w:rsidR="00000000" w:rsidRDefault="00000000">
      <w:pPr>
        <w:spacing w:after="240"/>
        <w:ind w:left="1134" w:hanging="567"/>
      </w:pPr>
      <w:r>
        <w:rPr>
          <w:szCs w:val="25"/>
          <w:lang w:val="es-ES_tradnl"/>
        </w:rPr>
        <w:t>c)</w:t>
      </w:r>
      <w:r>
        <w:rPr>
          <w:szCs w:val="25"/>
          <w:lang w:val="es-ES_tradnl"/>
        </w:rPr>
        <w:tab/>
        <w:t>Colación escolar;</w:t>
      </w:r>
    </w:p>
    <w:p w:rsidR="00000000" w:rsidRDefault="00000000">
      <w:pPr>
        <w:spacing w:after="240"/>
        <w:ind w:left="1134" w:hanging="567"/>
      </w:pPr>
      <w:r>
        <w:rPr>
          <w:szCs w:val="25"/>
          <w:lang w:val="es-ES_tradnl"/>
        </w:rPr>
        <w:t>d)</w:t>
      </w:r>
      <w:r>
        <w:rPr>
          <w:szCs w:val="25"/>
          <w:lang w:val="es-ES_tradnl"/>
        </w:rPr>
        <w:tab/>
        <w:t>Almuerzo escolar;</w:t>
      </w:r>
    </w:p>
    <w:p w:rsidR="00000000" w:rsidRDefault="00000000">
      <w:pPr>
        <w:spacing w:after="240"/>
        <w:ind w:left="1134" w:hanging="567"/>
      </w:pPr>
      <w:r>
        <w:rPr>
          <w:szCs w:val="25"/>
          <w:lang w:val="es-ES_tradnl"/>
        </w:rPr>
        <w:t>e)</w:t>
      </w:r>
      <w:r>
        <w:rPr>
          <w:szCs w:val="25"/>
          <w:lang w:val="es-ES_tradnl"/>
        </w:rPr>
        <w:tab/>
        <w:t>Bono educativo.</w:t>
      </w:r>
    </w:p>
    <w:p w:rsidR="00000000" w:rsidRDefault="00000000">
      <w:pPr>
        <w:spacing w:after="240"/>
      </w:pPr>
      <w:r>
        <w:rPr>
          <w:szCs w:val="25"/>
          <w:lang w:val="es-ES_tradnl"/>
        </w:rPr>
        <w:t>522.</w:t>
      </w:r>
      <w:r>
        <w:rPr>
          <w:szCs w:val="25"/>
          <w:lang w:val="es-ES_tradnl"/>
        </w:rPr>
        <w:tab/>
        <w:t>La compleja problemática de la educación ha sido encarada en Ecuador a través de una serie de intentos de reformas puntuales, la última de las cuales ha sido aprobada por el Consejo Nacional de Educación bajo la denominación de "Propuesta Consensuada de Reforma Curricular para la Educación Básica", vigente a partir de febrero de 1996.</w:t>
      </w:r>
    </w:p>
    <w:p w:rsidR="00000000" w:rsidRDefault="00000000">
      <w:pPr>
        <w:spacing w:after="240"/>
      </w:pPr>
      <w:r>
        <w:rPr>
          <w:szCs w:val="25"/>
          <w:lang w:val="es-ES_tradnl"/>
        </w:rPr>
        <w:t>523.</w:t>
      </w:r>
      <w:r>
        <w:rPr>
          <w:szCs w:val="25"/>
          <w:lang w:val="es-ES_tradnl"/>
        </w:rPr>
        <w:tab/>
        <w:t>La reforma y la adecuación curricular tratan de tornar operativa la actual propuesta, para descender hacia una reforma curricular efectiva; es decir, la que se da en el aula, protagonizada por el docente y que involucra textos, material educativo, infraestructura, tiempo de estudio, modos de gestión, participación de padres de familia, comunidad etc.  Este enfoque debe ser el eje central del esfuerzo por institucionalizar una reforma educativa permanente y de calidad que dé respuesta a la diversidad sociocultural y económica del país.  En este sentido, la oferta educativa debe adecuarse a las necesidades e intereses de los alumnos y de sus comunidades, a través de una formación ética, científica y cultural, que sustente una formación general para el trabajo y el desarrollo sustentable, dando prioridad a la atención a las áreas rural y urbana marginales</w:t>
      </w:r>
      <w:r>
        <w:rPr>
          <w:rStyle w:val="FootnoteReference"/>
        </w:rPr>
        <w:footnoteReference w:id="75"/>
      </w:r>
      <w:r>
        <w:rPr>
          <w:szCs w:val="25"/>
          <w:lang w:val="es-ES_tradnl"/>
        </w:rPr>
        <w:t>.</w:t>
      </w:r>
    </w:p>
    <w:p w:rsidR="00000000" w:rsidRDefault="00000000">
      <w:pPr>
        <w:spacing w:after="240"/>
      </w:pPr>
      <w:r>
        <w:rPr>
          <w:szCs w:val="25"/>
          <w:lang w:val="es-ES_tradnl"/>
        </w:rPr>
        <w:t>524.</w:t>
      </w:r>
      <w:r>
        <w:rPr>
          <w:szCs w:val="25"/>
          <w:lang w:val="es-ES_tradnl"/>
        </w:rPr>
        <w:tab/>
        <w:t xml:space="preserve">La mochila escolar se distribuirá a todos los niños y niñas de los establecimientos </w:t>
      </w:r>
      <w:proofErr w:type="spellStart"/>
      <w:r>
        <w:rPr>
          <w:szCs w:val="25"/>
          <w:lang w:val="es-ES_tradnl"/>
        </w:rPr>
        <w:t>preprimarios</w:t>
      </w:r>
      <w:proofErr w:type="spellEnd"/>
      <w:r>
        <w:rPr>
          <w:szCs w:val="25"/>
          <w:lang w:val="es-ES_tradnl"/>
        </w:rPr>
        <w:t xml:space="preserve"> y primarios fiscales y </w:t>
      </w:r>
      <w:proofErr w:type="spellStart"/>
      <w:r>
        <w:rPr>
          <w:szCs w:val="25"/>
          <w:lang w:val="es-ES_tradnl"/>
        </w:rPr>
        <w:t>fiscomisionales</w:t>
      </w:r>
      <w:proofErr w:type="spellEnd"/>
      <w:r>
        <w:rPr>
          <w:szCs w:val="25"/>
          <w:lang w:val="es-ES_tradnl"/>
        </w:rPr>
        <w:t xml:space="preserve"> de todo el país, en forma gratuita, excepto los establecimientos atendidos por </w:t>
      </w:r>
      <w:proofErr w:type="spellStart"/>
      <w:r>
        <w:rPr>
          <w:szCs w:val="25"/>
          <w:lang w:val="es-ES_tradnl"/>
        </w:rPr>
        <w:t>EB/PRODEC</w:t>
      </w:r>
      <w:proofErr w:type="spellEnd"/>
      <w:r>
        <w:rPr>
          <w:szCs w:val="25"/>
          <w:lang w:val="es-ES_tradnl"/>
        </w:rPr>
        <w:t xml:space="preserve"> Y PROMECEB de la siguiente forma:</w:t>
      </w:r>
    </w:p>
    <w:p w:rsidR="00000000" w:rsidRDefault="00000000">
      <w:pPr>
        <w:spacing w:after="240"/>
        <w:ind w:left="1134" w:hanging="567"/>
      </w:pPr>
      <w:r>
        <w:rPr>
          <w:szCs w:val="25"/>
          <w:lang w:val="es-ES_tradnl"/>
        </w:rPr>
        <w:t>a)</w:t>
      </w:r>
      <w:r>
        <w:rPr>
          <w:szCs w:val="25"/>
          <w:lang w:val="es-ES_tradnl"/>
        </w:rPr>
        <w:tab/>
        <w:t>Primero de básica (antes jardín de infantes) recibirá un libro de trabajo.</w:t>
      </w:r>
    </w:p>
    <w:p w:rsidR="00000000" w:rsidRDefault="00000000">
      <w:pPr>
        <w:spacing w:after="240"/>
        <w:ind w:left="1134" w:hanging="567"/>
      </w:pPr>
      <w:r>
        <w:rPr>
          <w:szCs w:val="25"/>
          <w:lang w:val="es-ES_tradnl"/>
        </w:rPr>
        <w:t>b)</w:t>
      </w:r>
      <w:r>
        <w:rPr>
          <w:szCs w:val="25"/>
          <w:lang w:val="es-ES_tradnl"/>
        </w:rPr>
        <w:tab/>
        <w:t>Segundo de básica (antes primer grado) recibirá un libro de trabajo y una mochila escolar.  La mochila contiene:  cuadernos, lápices de color, reglas y útiles de aseo.</w:t>
      </w:r>
    </w:p>
    <w:p w:rsidR="00000000" w:rsidRDefault="00000000">
      <w:pPr>
        <w:spacing w:after="240"/>
        <w:ind w:left="1134" w:hanging="567"/>
      </w:pPr>
      <w:r>
        <w:rPr>
          <w:szCs w:val="25"/>
          <w:lang w:val="es-ES_tradnl"/>
        </w:rPr>
        <w:t>c)</w:t>
      </w:r>
      <w:r>
        <w:rPr>
          <w:szCs w:val="25"/>
          <w:lang w:val="es-ES_tradnl"/>
        </w:rPr>
        <w:tab/>
        <w:t>Tercero de básica (antes segundo grado) recibirá una mochila escolar.</w:t>
      </w:r>
    </w:p>
    <w:p w:rsidR="00000000" w:rsidRDefault="00000000">
      <w:pPr>
        <w:spacing w:after="240"/>
        <w:ind w:left="1134" w:hanging="567"/>
      </w:pPr>
      <w:r>
        <w:rPr>
          <w:szCs w:val="25"/>
          <w:lang w:val="es-ES_tradnl"/>
        </w:rPr>
        <w:t>d)</w:t>
      </w:r>
      <w:r>
        <w:rPr>
          <w:szCs w:val="25"/>
          <w:lang w:val="es-ES_tradnl"/>
        </w:rPr>
        <w:tab/>
        <w:t>Los establecimientos recibirán textos de lectura, de acuerdo al número de alumnos que estén matriculados en cuarto y quinto de básica (antes tercero y cuarto grados), para ser parte del patrimonio de la escuela.</w:t>
      </w:r>
    </w:p>
    <w:p w:rsidR="00000000" w:rsidRDefault="00000000">
      <w:pPr>
        <w:spacing w:after="240"/>
      </w:pPr>
      <w:r>
        <w:rPr>
          <w:szCs w:val="25"/>
          <w:lang w:val="es-ES_tradnl"/>
        </w:rPr>
        <w:t>525.</w:t>
      </w:r>
      <w:r>
        <w:rPr>
          <w:szCs w:val="25"/>
          <w:lang w:val="es-ES_tradnl"/>
        </w:rPr>
        <w:tab/>
        <w:t>Actualmente se está intentando dotar de almuerzo escolar y becas escolares.  Estas becas consistirían en la entrega de un bono a familias pobres con la finalidad de que sus hijos asistan a clases.  Con este incentivo se pretende cumplir el derecho de la educación hacia los que menos tienen, incentivando a las familias para que envíen a sus niños a la escuela.</w:t>
      </w:r>
    </w:p>
    <w:p w:rsidR="00000000" w:rsidRDefault="00000000">
      <w:pPr>
        <w:spacing w:after="240"/>
      </w:pPr>
      <w:r>
        <w:rPr>
          <w:szCs w:val="25"/>
          <w:lang w:val="es-ES_tradnl"/>
        </w:rPr>
        <w:t>526.</w:t>
      </w:r>
      <w:r>
        <w:rPr>
          <w:szCs w:val="25"/>
          <w:lang w:val="es-ES_tradnl"/>
        </w:rPr>
        <w:tab/>
        <w:t>El Ministerio de Educación se encuentra implementando desde 1999 a 2002 el Programa de redes amigas calidad en la educación rural.</w:t>
      </w:r>
    </w:p>
    <w:p w:rsidR="00000000" w:rsidRDefault="00000000">
      <w:pPr>
        <w:spacing w:after="240"/>
      </w:pPr>
      <w:r>
        <w:rPr>
          <w:szCs w:val="25"/>
          <w:lang w:val="es-ES_tradnl"/>
        </w:rPr>
        <w:t>527.</w:t>
      </w:r>
      <w:r>
        <w:rPr>
          <w:szCs w:val="25"/>
          <w:lang w:val="es-ES_tradnl"/>
        </w:rPr>
        <w:tab/>
        <w:t>Los efectos de las medidas adoptadas no han tenido los resultados esperados ya que, si bien es cierto que se trata de medidas que ayudan a los niños que se encuentran matriculados durante el año escolar, esto no ha sido suficiente para motivar a que todos los niños puedan ejercer su derecho de la educación, debido a la grave crisis que actualmente viven las familias pobres, lo que ha obligado a que los sectores más vulnerables busquen nuevas estrategias para sobrevivir.  Una de ellas es que sus hijos salgan de las escuelas para que contribuyan a generar algún tipo de ingreso, a fin satisfacer sus necesidades más prioritarias, como salud y alimentación.  Cada vez es mayor el número de niños en la calle que se inserta al mercado laboral informal abandonando sus estudios, lo que tiene consecuencias irreversibles e irreparables.</w:t>
      </w:r>
    </w:p>
    <w:p w:rsidR="00000000" w:rsidRDefault="00000000">
      <w:pPr>
        <w:spacing w:after="240"/>
      </w:pPr>
      <w:r>
        <w:rPr>
          <w:szCs w:val="25"/>
          <w:lang w:val="es-ES_tradnl"/>
        </w:rPr>
        <w:t>528.</w:t>
      </w:r>
      <w:r>
        <w:rPr>
          <w:szCs w:val="25"/>
          <w:lang w:val="es-ES_tradnl"/>
        </w:rPr>
        <w:tab/>
        <w:t>Para contrarrestar este problema, el Programa de Protección Social creó el bono escolar, que es una beca que se paga a las familias que permiten ir a sus niños a la escuela.  Este dinero se entrega directamente a los padres que han perdido sus ingresos por causa de la crisis y de algún modo permite compensar esa pérdida.  Los montos de la beca se registran entre los 12 y 15 dólares para las familias que se registran en las parroquias rurales del Ecuador.</w:t>
      </w:r>
    </w:p>
    <w:p w:rsidR="00000000" w:rsidRDefault="00000000">
      <w:pPr>
        <w:spacing w:after="240"/>
        <w:rPr>
          <w:i/>
          <w:iCs/>
        </w:rPr>
      </w:pPr>
      <w:r>
        <w:rPr>
          <w:i/>
          <w:iCs/>
          <w:szCs w:val="25"/>
          <w:lang w:val="es-ES_tradnl"/>
        </w:rPr>
        <w:t>Educación bilingüe</w:t>
      </w:r>
    </w:p>
    <w:p w:rsidR="00000000" w:rsidRDefault="00000000">
      <w:pPr>
        <w:spacing w:after="240"/>
      </w:pPr>
      <w:r>
        <w:rPr>
          <w:szCs w:val="25"/>
          <w:lang w:val="es-ES_tradnl"/>
        </w:rPr>
        <w:t>529.</w:t>
      </w:r>
      <w:r>
        <w:rPr>
          <w:szCs w:val="25"/>
          <w:lang w:val="es-ES_tradnl"/>
        </w:rPr>
        <w:tab/>
        <w:t>A mediados del siglo XX se empieza a hablar de la educación indígena en nuestro país.  Es, en realidad, en esta época en donde se producen cambios sustanciales para la comunidad indígena en el campo educativo.  Desde la Colonia hasta muy entrado el siglo XX, la educación de esta población no había tenido la más mínima modificación, pues es conocido por todos que el indio, a más de haberle sido negado sus derechos, se lo había sumido en las más degradantes e infrahumanas situaciones</w:t>
      </w:r>
      <w:r>
        <w:rPr>
          <w:rStyle w:val="FootnoteReference"/>
          <w:szCs w:val="25"/>
          <w:lang w:val="es-ES_tradnl"/>
        </w:rPr>
        <w:footnoteReference w:id="76"/>
      </w:r>
      <w:r>
        <w:rPr>
          <w:szCs w:val="25"/>
          <w:lang w:val="es-ES_tradnl"/>
        </w:rPr>
        <w:t>.</w:t>
      </w:r>
    </w:p>
    <w:p w:rsidR="00000000" w:rsidRDefault="00000000">
      <w:pPr>
        <w:spacing w:after="240"/>
        <w:rPr>
          <w:szCs w:val="25"/>
          <w:lang w:val="es-ES_tradnl"/>
        </w:rPr>
      </w:pPr>
      <w:r>
        <w:rPr>
          <w:szCs w:val="25"/>
          <w:lang w:val="es-ES_tradnl"/>
        </w:rPr>
        <w:t>530.</w:t>
      </w:r>
      <w:r>
        <w:rPr>
          <w:szCs w:val="25"/>
          <w:lang w:val="es-ES_tradnl"/>
        </w:rPr>
        <w:tab/>
        <w:t>Con la participación de las organizaciones pertenecientes a la Confederación de Nacionalidades Indígenas del Ecuador (CONAIE), nace la propuesta educativa para el Gobierno nacional que permite la creación de la Dirección Nacional de Educación Intercultural Bilingüe (</w:t>
      </w:r>
      <w:proofErr w:type="spellStart"/>
      <w:r>
        <w:rPr>
          <w:szCs w:val="25"/>
          <w:lang w:val="es-ES_tradnl"/>
        </w:rPr>
        <w:t>DINEIB</w:t>
      </w:r>
      <w:proofErr w:type="spellEnd"/>
      <w:r>
        <w:rPr>
          <w:szCs w:val="25"/>
          <w:lang w:val="es-ES_tradnl"/>
        </w:rPr>
        <w:t xml:space="preserve">), en noviembre de 1988.  Entonces el Estado asume la educación de este sector, a través de la legalización de la propuesta intercultural bilingüe.  Al año siguiente se firma un Convenio de Cooperación Científica entre el Ministerio de Educación y la CONAIE.  El fin específico de este Convenio es de realizar investigaciones lingüísticas y pedagógicas, elaborar material didáctico de alfabetización, </w:t>
      </w:r>
      <w:proofErr w:type="spellStart"/>
      <w:r>
        <w:rPr>
          <w:szCs w:val="25"/>
          <w:lang w:val="es-ES_tradnl"/>
        </w:rPr>
        <w:t>posalfabetización</w:t>
      </w:r>
      <w:proofErr w:type="spellEnd"/>
      <w:r>
        <w:rPr>
          <w:szCs w:val="25"/>
          <w:lang w:val="es-ES_tradnl"/>
        </w:rPr>
        <w:t xml:space="preserve"> y formar de manera progresiva al personal que participa en lenguas quichuas, </w:t>
      </w:r>
      <w:proofErr w:type="spellStart"/>
      <w:r>
        <w:rPr>
          <w:szCs w:val="25"/>
          <w:lang w:val="es-ES_tradnl"/>
        </w:rPr>
        <w:t>awas</w:t>
      </w:r>
      <w:proofErr w:type="spellEnd"/>
      <w:r>
        <w:rPr>
          <w:szCs w:val="25"/>
          <w:lang w:val="es-ES_tradnl"/>
        </w:rPr>
        <w:t xml:space="preserve">, </w:t>
      </w:r>
      <w:proofErr w:type="spellStart"/>
      <w:r>
        <w:rPr>
          <w:szCs w:val="25"/>
          <w:lang w:val="es-ES_tradnl"/>
        </w:rPr>
        <w:t>chachis</w:t>
      </w:r>
      <w:proofErr w:type="spellEnd"/>
      <w:r>
        <w:rPr>
          <w:szCs w:val="25"/>
          <w:lang w:val="es-ES_tradnl"/>
        </w:rPr>
        <w:t xml:space="preserve">, </w:t>
      </w:r>
      <w:proofErr w:type="spellStart"/>
      <w:r>
        <w:rPr>
          <w:szCs w:val="25"/>
          <w:lang w:val="es-ES_tradnl"/>
        </w:rPr>
        <w:t>tsachis</w:t>
      </w:r>
      <w:proofErr w:type="spellEnd"/>
      <w:r>
        <w:rPr>
          <w:szCs w:val="25"/>
          <w:lang w:val="es-ES_tradnl"/>
        </w:rPr>
        <w:t>, y las demás existentes en el país</w:t>
      </w:r>
      <w:r>
        <w:rPr>
          <w:rStyle w:val="FootnoteReference"/>
          <w:szCs w:val="25"/>
          <w:lang w:val="es-ES_tradnl"/>
        </w:rPr>
        <w:footnoteReference w:id="77"/>
      </w:r>
      <w:r>
        <w:rPr>
          <w:szCs w:val="25"/>
          <w:lang w:val="es-ES_tradnl"/>
        </w:rPr>
        <w:t>.</w:t>
      </w:r>
    </w:p>
    <w:p w:rsidR="00000000" w:rsidRDefault="00000000">
      <w:pPr>
        <w:keepNext/>
        <w:keepLines/>
        <w:spacing w:after="240"/>
        <w:jc w:val="center"/>
        <w:rPr>
          <w:b/>
          <w:bCs/>
        </w:rPr>
      </w:pPr>
      <w:r>
        <w:rPr>
          <w:b/>
          <w:bCs/>
          <w:szCs w:val="22"/>
          <w:lang w:val="es-ES_tradnl"/>
        </w:rPr>
        <w:t>Educación intercultural bilingüe</w:t>
      </w:r>
    </w:p>
    <w:p w:rsidR="00000000" w:rsidRDefault="00000000">
      <w:pPr>
        <w:keepNext/>
        <w:keepLines/>
        <w:spacing w:after="240"/>
        <w:jc w:val="center"/>
        <w:rPr>
          <w:b/>
          <w:bCs/>
        </w:rPr>
      </w:pPr>
      <w:r>
        <w:rPr>
          <w:b/>
          <w:bCs/>
          <w:szCs w:val="23"/>
          <w:lang w:val="es-ES_tradnl"/>
        </w:rPr>
        <w:t>(Años escolares 1989-1990-1997-1998)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firstRow="0" w:lastRow="0" w:firstColumn="0" w:lastColumn="0" w:noHBand="0" w:noVBand="0"/>
      </w:tblPr>
      <w:tblGrid>
        <w:gridCol w:w="4052"/>
        <w:gridCol w:w="1343"/>
        <w:gridCol w:w="1343"/>
        <w:gridCol w:w="1343"/>
        <w:gridCol w:w="1342"/>
      </w:tblGrid>
      <w:tr w:rsidR="00000000">
        <w:tblPrEx>
          <w:tblCellMar>
            <w:top w:w="0" w:type="dxa"/>
            <w:bottom w:w="0" w:type="dxa"/>
          </w:tblCellMar>
        </w:tblPrEx>
        <w:trPr>
          <w:tblHeader/>
        </w:trPr>
        <w:tc>
          <w:tcPr>
            <w:tcW w:w="4052" w:type="dxa"/>
          </w:tcPr>
          <w:p w:rsidR="00000000" w:rsidRDefault="00000000">
            <w:pPr>
              <w:keepNext/>
              <w:keepLines/>
              <w:rPr>
                <w:szCs w:val="22"/>
                <w:lang w:val="es-ES_tradnl"/>
              </w:rPr>
            </w:pPr>
          </w:p>
        </w:tc>
        <w:tc>
          <w:tcPr>
            <w:tcW w:w="1343" w:type="dxa"/>
            <w:vAlign w:val="center"/>
          </w:tcPr>
          <w:p w:rsidR="00000000" w:rsidRDefault="00000000">
            <w:pPr>
              <w:keepNext/>
              <w:keepLines/>
              <w:jc w:val="center"/>
              <w:rPr>
                <w:szCs w:val="22"/>
                <w:lang w:val="es-ES_tradnl"/>
              </w:rPr>
            </w:pPr>
            <w:r>
              <w:rPr>
                <w:szCs w:val="22"/>
                <w:lang w:val="es-ES_tradnl"/>
              </w:rPr>
              <w:t>1989-1990</w:t>
            </w:r>
          </w:p>
        </w:tc>
        <w:tc>
          <w:tcPr>
            <w:tcW w:w="1343" w:type="dxa"/>
            <w:vAlign w:val="center"/>
          </w:tcPr>
          <w:p w:rsidR="00000000" w:rsidRDefault="00000000">
            <w:pPr>
              <w:keepNext/>
              <w:keepLines/>
              <w:jc w:val="center"/>
              <w:rPr>
                <w:szCs w:val="22"/>
                <w:lang w:val="es-ES_tradnl"/>
              </w:rPr>
            </w:pPr>
            <w:r>
              <w:rPr>
                <w:szCs w:val="22"/>
                <w:lang w:val="es-ES_tradnl"/>
              </w:rPr>
              <w:t>1994-1995</w:t>
            </w:r>
          </w:p>
        </w:tc>
        <w:tc>
          <w:tcPr>
            <w:tcW w:w="1343" w:type="dxa"/>
            <w:vAlign w:val="center"/>
          </w:tcPr>
          <w:p w:rsidR="00000000" w:rsidRDefault="00000000">
            <w:pPr>
              <w:keepNext/>
              <w:keepLines/>
              <w:jc w:val="center"/>
              <w:rPr>
                <w:szCs w:val="22"/>
                <w:lang w:val="es-ES_tradnl"/>
              </w:rPr>
            </w:pPr>
            <w:r>
              <w:rPr>
                <w:szCs w:val="22"/>
                <w:lang w:val="es-ES_tradnl"/>
              </w:rPr>
              <w:t>1996-1997</w:t>
            </w:r>
          </w:p>
        </w:tc>
        <w:tc>
          <w:tcPr>
            <w:tcW w:w="1342" w:type="dxa"/>
            <w:vAlign w:val="center"/>
          </w:tcPr>
          <w:p w:rsidR="00000000" w:rsidRDefault="00000000">
            <w:pPr>
              <w:keepNext/>
              <w:keepLines/>
              <w:jc w:val="center"/>
            </w:pPr>
            <w:r>
              <w:rPr>
                <w:szCs w:val="22"/>
                <w:lang w:val="es-ES_tradnl"/>
              </w:rPr>
              <w:t>1997-1998</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 xml:space="preserve">Nivel </w:t>
            </w:r>
            <w:proofErr w:type="spellStart"/>
            <w:r>
              <w:rPr>
                <w:szCs w:val="23"/>
                <w:lang w:val="es-ES_tradnl"/>
              </w:rPr>
              <w:t>preprimario</w:t>
            </w:r>
            <w:proofErr w:type="spellEnd"/>
            <w:r>
              <w:rPr>
                <w:szCs w:val="23"/>
                <w:lang w:val="es-ES_tradnl"/>
              </w:rPr>
              <w:br/>
              <w:t>Planteles</w:t>
            </w:r>
          </w:p>
        </w:tc>
        <w:tc>
          <w:tcPr>
            <w:tcW w:w="1343" w:type="dxa"/>
            <w:vAlign w:val="bottom"/>
          </w:tcPr>
          <w:p w:rsidR="00000000" w:rsidRDefault="00000000">
            <w:pPr>
              <w:jc w:val="right"/>
              <w:rPr>
                <w:szCs w:val="23"/>
                <w:lang w:val="es-ES_tradnl"/>
              </w:rPr>
            </w:pPr>
            <w:r>
              <w:rPr>
                <w:szCs w:val="23"/>
                <w:lang w:val="es-ES_tradnl"/>
              </w:rPr>
              <w:t>27</w:t>
            </w:r>
          </w:p>
        </w:tc>
        <w:tc>
          <w:tcPr>
            <w:tcW w:w="1343" w:type="dxa"/>
            <w:vAlign w:val="bottom"/>
          </w:tcPr>
          <w:p w:rsidR="00000000" w:rsidRDefault="00000000">
            <w:pPr>
              <w:jc w:val="right"/>
              <w:rPr>
                <w:szCs w:val="23"/>
                <w:lang w:val="es-ES_tradnl"/>
              </w:rPr>
            </w:pPr>
            <w:r>
              <w:rPr>
                <w:szCs w:val="23"/>
                <w:lang w:val="es-ES_tradnl"/>
              </w:rPr>
              <w:t>37</w:t>
            </w:r>
          </w:p>
        </w:tc>
        <w:tc>
          <w:tcPr>
            <w:tcW w:w="1343" w:type="dxa"/>
            <w:vAlign w:val="bottom"/>
          </w:tcPr>
          <w:p w:rsidR="00000000" w:rsidRDefault="00000000">
            <w:pPr>
              <w:jc w:val="right"/>
              <w:rPr>
                <w:szCs w:val="23"/>
                <w:lang w:val="es-ES_tradnl"/>
              </w:rPr>
            </w:pPr>
          </w:p>
        </w:tc>
        <w:tc>
          <w:tcPr>
            <w:tcW w:w="1342" w:type="dxa"/>
            <w:vAlign w:val="bottom"/>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Profesores</w:t>
            </w:r>
          </w:p>
        </w:tc>
        <w:tc>
          <w:tcPr>
            <w:tcW w:w="1343" w:type="dxa"/>
          </w:tcPr>
          <w:p w:rsidR="00000000" w:rsidRDefault="00000000">
            <w:pPr>
              <w:jc w:val="right"/>
              <w:rPr>
                <w:szCs w:val="23"/>
                <w:lang w:val="es-ES_tradnl"/>
              </w:rPr>
            </w:pPr>
            <w:r>
              <w:rPr>
                <w:szCs w:val="23"/>
                <w:lang w:val="es-ES_tradnl"/>
              </w:rPr>
              <w:t>27</w:t>
            </w:r>
          </w:p>
        </w:tc>
        <w:tc>
          <w:tcPr>
            <w:tcW w:w="1343" w:type="dxa"/>
          </w:tcPr>
          <w:p w:rsidR="00000000" w:rsidRDefault="00000000">
            <w:pPr>
              <w:jc w:val="right"/>
              <w:rPr>
                <w:szCs w:val="23"/>
                <w:lang w:val="es-ES_tradnl"/>
              </w:rPr>
            </w:pPr>
            <w:r>
              <w:rPr>
                <w:szCs w:val="23"/>
                <w:lang w:val="es-ES_tradnl"/>
              </w:rPr>
              <w:t>41</w:t>
            </w:r>
          </w:p>
        </w:tc>
        <w:tc>
          <w:tcPr>
            <w:tcW w:w="1343" w:type="dxa"/>
          </w:tcPr>
          <w:p w:rsidR="00000000" w:rsidRDefault="00000000">
            <w:pPr>
              <w:jc w:val="right"/>
              <w:rPr>
                <w:szCs w:val="23"/>
                <w:lang w:val="es-ES_tradnl"/>
              </w:rPr>
            </w:pP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matriculados</w:t>
            </w:r>
          </w:p>
        </w:tc>
        <w:tc>
          <w:tcPr>
            <w:tcW w:w="1343" w:type="dxa"/>
          </w:tcPr>
          <w:p w:rsidR="00000000" w:rsidRDefault="00000000">
            <w:pPr>
              <w:jc w:val="right"/>
              <w:rPr>
                <w:szCs w:val="23"/>
                <w:lang w:val="es-ES_tradnl"/>
              </w:rPr>
            </w:pPr>
            <w:r>
              <w:rPr>
                <w:szCs w:val="23"/>
                <w:lang w:val="es-ES_tradnl"/>
              </w:rPr>
              <w:t>525</w:t>
            </w:r>
          </w:p>
        </w:tc>
        <w:tc>
          <w:tcPr>
            <w:tcW w:w="1343" w:type="dxa"/>
          </w:tcPr>
          <w:p w:rsidR="00000000" w:rsidRDefault="00000000">
            <w:pPr>
              <w:jc w:val="right"/>
              <w:rPr>
                <w:szCs w:val="23"/>
                <w:lang w:val="es-ES_tradnl"/>
              </w:rPr>
            </w:pPr>
            <w:r>
              <w:rPr>
                <w:szCs w:val="23"/>
                <w:lang w:val="es-ES_tradnl"/>
              </w:rPr>
              <w:t>798</w:t>
            </w:r>
          </w:p>
        </w:tc>
        <w:tc>
          <w:tcPr>
            <w:tcW w:w="1343" w:type="dxa"/>
          </w:tcPr>
          <w:p w:rsidR="00000000" w:rsidRDefault="00000000">
            <w:pPr>
              <w:jc w:val="right"/>
              <w:rPr>
                <w:szCs w:val="23"/>
                <w:lang w:val="es-ES_tradnl"/>
              </w:rPr>
            </w:pP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Nivel primario</w:t>
            </w:r>
            <w:r>
              <w:rPr>
                <w:szCs w:val="23"/>
                <w:lang w:val="es-ES_tradnl"/>
              </w:rPr>
              <w:br/>
              <w:t>Planteles</w:t>
            </w:r>
          </w:p>
        </w:tc>
        <w:tc>
          <w:tcPr>
            <w:tcW w:w="1343" w:type="dxa"/>
            <w:vAlign w:val="bottom"/>
          </w:tcPr>
          <w:p w:rsidR="00000000" w:rsidRDefault="00000000">
            <w:pPr>
              <w:jc w:val="right"/>
              <w:rPr>
                <w:szCs w:val="23"/>
                <w:lang w:val="es-ES_tradnl"/>
              </w:rPr>
            </w:pPr>
            <w:r>
              <w:rPr>
                <w:szCs w:val="23"/>
                <w:lang w:val="es-ES_tradnl"/>
              </w:rPr>
              <w:t>899</w:t>
            </w:r>
          </w:p>
        </w:tc>
        <w:tc>
          <w:tcPr>
            <w:tcW w:w="1343" w:type="dxa"/>
            <w:vAlign w:val="bottom"/>
          </w:tcPr>
          <w:p w:rsidR="00000000" w:rsidRDefault="00000000">
            <w:pPr>
              <w:jc w:val="right"/>
              <w:rPr>
                <w:szCs w:val="23"/>
                <w:lang w:val="es-ES_tradnl"/>
              </w:rPr>
            </w:pPr>
            <w:r>
              <w:rPr>
                <w:szCs w:val="23"/>
                <w:lang w:val="es-ES_tradnl"/>
              </w:rPr>
              <w:t>1.635</w:t>
            </w:r>
          </w:p>
        </w:tc>
        <w:tc>
          <w:tcPr>
            <w:tcW w:w="1343" w:type="dxa"/>
            <w:vAlign w:val="bottom"/>
          </w:tcPr>
          <w:p w:rsidR="00000000" w:rsidRDefault="00000000">
            <w:pPr>
              <w:jc w:val="right"/>
              <w:rPr>
                <w:szCs w:val="23"/>
                <w:lang w:val="es-ES_tradnl"/>
              </w:rPr>
            </w:pPr>
            <w:r>
              <w:rPr>
                <w:szCs w:val="23"/>
                <w:lang w:val="es-ES_tradnl"/>
              </w:rPr>
              <w:t>1.697</w:t>
            </w:r>
          </w:p>
        </w:tc>
        <w:tc>
          <w:tcPr>
            <w:tcW w:w="1342" w:type="dxa"/>
            <w:vAlign w:val="bottom"/>
          </w:tcPr>
          <w:p w:rsidR="00000000" w:rsidRDefault="00000000">
            <w:pPr>
              <w:jc w:val="right"/>
            </w:pPr>
            <w:r>
              <w:rPr>
                <w:szCs w:val="23"/>
                <w:lang w:val="es-ES_tradnl"/>
              </w:rPr>
              <w:t>1.730</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Profesores</w:t>
            </w:r>
          </w:p>
        </w:tc>
        <w:tc>
          <w:tcPr>
            <w:tcW w:w="1343" w:type="dxa"/>
          </w:tcPr>
          <w:p w:rsidR="00000000" w:rsidRDefault="00000000">
            <w:pPr>
              <w:jc w:val="right"/>
              <w:rPr>
                <w:szCs w:val="23"/>
                <w:lang w:val="es-ES_tradnl"/>
              </w:rPr>
            </w:pPr>
            <w:r>
              <w:rPr>
                <w:szCs w:val="23"/>
                <w:lang w:val="es-ES_tradnl"/>
              </w:rPr>
              <w:t>2.157</w:t>
            </w:r>
          </w:p>
        </w:tc>
        <w:tc>
          <w:tcPr>
            <w:tcW w:w="1343" w:type="dxa"/>
          </w:tcPr>
          <w:p w:rsidR="00000000" w:rsidRDefault="00000000">
            <w:pPr>
              <w:jc w:val="right"/>
              <w:rPr>
                <w:szCs w:val="23"/>
                <w:lang w:val="es-ES_tradnl"/>
              </w:rPr>
            </w:pPr>
            <w:r>
              <w:rPr>
                <w:szCs w:val="23"/>
                <w:lang w:val="es-ES_tradnl"/>
              </w:rPr>
              <w:t>3.602</w:t>
            </w:r>
          </w:p>
        </w:tc>
        <w:tc>
          <w:tcPr>
            <w:tcW w:w="1343" w:type="dxa"/>
          </w:tcPr>
          <w:p w:rsidR="00000000" w:rsidRDefault="00000000">
            <w:pPr>
              <w:jc w:val="right"/>
              <w:rPr>
                <w:szCs w:val="23"/>
                <w:lang w:val="es-ES_tradnl"/>
              </w:rPr>
            </w:pPr>
            <w:r>
              <w:rPr>
                <w:szCs w:val="23"/>
                <w:lang w:val="es-ES_tradnl"/>
              </w:rPr>
              <w:t>4.117</w:t>
            </w:r>
          </w:p>
        </w:tc>
        <w:tc>
          <w:tcPr>
            <w:tcW w:w="1342" w:type="dxa"/>
          </w:tcPr>
          <w:p w:rsidR="00000000" w:rsidRDefault="00000000">
            <w:pPr>
              <w:jc w:val="right"/>
            </w:pPr>
            <w:r>
              <w:rPr>
                <w:szCs w:val="23"/>
                <w:lang w:val="es-ES_tradnl"/>
              </w:rPr>
              <w:t>4.231</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matriculados</w:t>
            </w:r>
          </w:p>
        </w:tc>
        <w:tc>
          <w:tcPr>
            <w:tcW w:w="1343" w:type="dxa"/>
          </w:tcPr>
          <w:p w:rsidR="00000000" w:rsidRDefault="00000000">
            <w:pPr>
              <w:jc w:val="right"/>
              <w:rPr>
                <w:szCs w:val="23"/>
                <w:lang w:val="es-ES_tradnl"/>
              </w:rPr>
            </w:pPr>
            <w:r>
              <w:rPr>
                <w:szCs w:val="23"/>
                <w:lang w:val="es-ES_tradnl"/>
              </w:rPr>
              <w:t>38.722</w:t>
            </w:r>
          </w:p>
        </w:tc>
        <w:tc>
          <w:tcPr>
            <w:tcW w:w="1343" w:type="dxa"/>
          </w:tcPr>
          <w:p w:rsidR="00000000" w:rsidRDefault="00000000">
            <w:pPr>
              <w:jc w:val="right"/>
              <w:rPr>
                <w:szCs w:val="23"/>
                <w:lang w:val="es-ES_tradnl"/>
              </w:rPr>
            </w:pPr>
            <w:r>
              <w:rPr>
                <w:szCs w:val="23"/>
                <w:lang w:val="es-ES_tradnl"/>
              </w:rPr>
              <w:t>74.094</w:t>
            </w:r>
          </w:p>
        </w:tc>
        <w:tc>
          <w:tcPr>
            <w:tcW w:w="1343" w:type="dxa"/>
          </w:tcPr>
          <w:p w:rsidR="00000000" w:rsidRDefault="00000000">
            <w:pPr>
              <w:jc w:val="right"/>
              <w:rPr>
                <w:szCs w:val="23"/>
                <w:lang w:val="es-ES_tradnl"/>
              </w:rPr>
            </w:pPr>
            <w:r>
              <w:rPr>
                <w:szCs w:val="23"/>
                <w:lang w:val="es-ES_tradnl"/>
              </w:rPr>
              <w:t>80.067</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promovidos</w:t>
            </w:r>
          </w:p>
        </w:tc>
        <w:tc>
          <w:tcPr>
            <w:tcW w:w="1343" w:type="dxa"/>
          </w:tcPr>
          <w:p w:rsidR="00000000" w:rsidRDefault="00000000">
            <w:pPr>
              <w:jc w:val="right"/>
              <w:rPr>
                <w:szCs w:val="23"/>
                <w:lang w:val="es-ES_tradnl"/>
              </w:rPr>
            </w:pPr>
            <w:r>
              <w:rPr>
                <w:szCs w:val="23"/>
                <w:lang w:val="es-ES_tradnl"/>
              </w:rPr>
              <w:t>34.525</w:t>
            </w:r>
          </w:p>
        </w:tc>
        <w:tc>
          <w:tcPr>
            <w:tcW w:w="1343" w:type="dxa"/>
          </w:tcPr>
          <w:p w:rsidR="00000000" w:rsidRDefault="00000000">
            <w:pPr>
              <w:jc w:val="right"/>
              <w:rPr>
                <w:szCs w:val="23"/>
                <w:lang w:val="es-ES_tradnl"/>
              </w:rPr>
            </w:pPr>
            <w:r>
              <w:rPr>
                <w:szCs w:val="23"/>
                <w:lang w:val="es-ES_tradnl"/>
              </w:rPr>
              <w:t>62.479</w:t>
            </w:r>
          </w:p>
        </w:tc>
        <w:tc>
          <w:tcPr>
            <w:tcW w:w="1343" w:type="dxa"/>
          </w:tcPr>
          <w:p w:rsidR="00000000" w:rsidRDefault="00000000">
            <w:pPr>
              <w:jc w:val="right"/>
              <w:rPr>
                <w:szCs w:val="23"/>
                <w:lang w:val="es-ES_tradnl"/>
              </w:rPr>
            </w:pPr>
            <w:r>
              <w:rPr>
                <w:szCs w:val="23"/>
                <w:lang w:val="es-ES_tradnl"/>
              </w:rPr>
              <w:t>67.092</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no promovidos</w:t>
            </w:r>
          </w:p>
        </w:tc>
        <w:tc>
          <w:tcPr>
            <w:tcW w:w="1343" w:type="dxa"/>
          </w:tcPr>
          <w:p w:rsidR="00000000" w:rsidRDefault="00000000">
            <w:pPr>
              <w:jc w:val="right"/>
              <w:rPr>
                <w:szCs w:val="23"/>
                <w:lang w:val="es-ES_tradnl"/>
              </w:rPr>
            </w:pPr>
            <w:r>
              <w:rPr>
                <w:szCs w:val="23"/>
                <w:lang w:val="es-ES_tradnl"/>
              </w:rPr>
              <w:t>2.525</w:t>
            </w:r>
          </w:p>
        </w:tc>
        <w:tc>
          <w:tcPr>
            <w:tcW w:w="1343" w:type="dxa"/>
          </w:tcPr>
          <w:p w:rsidR="00000000" w:rsidRDefault="00000000">
            <w:pPr>
              <w:jc w:val="right"/>
              <w:rPr>
                <w:szCs w:val="23"/>
                <w:lang w:val="es-ES_tradnl"/>
              </w:rPr>
            </w:pPr>
            <w:r>
              <w:rPr>
                <w:szCs w:val="23"/>
                <w:lang w:val="es-ES_tradnl"/>
              </w:rPr>
              <w:t>6.106</w:t>
            </w:r>
          </w:p>
        </w:tc>
        <w:tc>
          <w:tcPr>
            <w:tcW w:w="1343" w:type="dxa"/>
          </w:tcPr>
          <w:p w:rsidR="00000000" w:rsidRDefault="00000000">
            <w:pPr>
              <w:jc w:val="right"/>
              <w:rPr>
                <w:szCs w:val="23"/>
                <w:lang w:val="es-ES_tradnl"/>
              </w:rPr>
            </w:pPr>
            <w:r>
              <w:rPr>
                <w:szCs w:val="23"/>
                <w:lang w:val="es-ES_tradnl"/>
              </w:rPr>
              <w:t>6.545</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desertores</w:t>
            </w:r>
          </w:p>
        </w:tc>
        <w:tc>
          <w:tcPr>
            <w:tcW w:w="1343" w:type="dxa"/>
          </w:tcPr>
          <w:p w:rsidR="00000000" w:rsidRDefault="00000000">
            <w:pPr>
              <w:jc w:val="right"/>
              <w:rPr>
                <w:szCs w:val="23"/>
                <w:lang w:val="es-ES_tradnl"/>
              </w:rPr>
            </w:pPr>
            <w:r>
              <w:rPr>
                <w:szCs w:val="23"/>
                <w:lang w:val="es-ES_tradnl"/>
              </w:rPr>
              <w:t>1.672</w:t>
            </w:r>
          </w:p>
        </w:tc>
        <w:tc>
          <w:tcPr>
            <w:tcW w:w="1343" w:type="dxa"/>
          </w:tcPr>
          <w:p w:rsidR="00000000" w:rsidRDefault="00000000">
            <w:pPr>
              <w:jc w:val="right"/>
              <w:rPr>
                <w:szCs w:val="23"/>
                <w:lang w:val="es-ES_tradnl"/>
              </w:rPr>
            </w:pPr>
            <w:r>
              <w:rPr>
                <w:szCs w:val="23"/>
                <w:lang w:val="es-ES_tradnl"/>
              </w:rPr>
              <w:t>5.509</w:t>
            </w:r>
          </w:p>
        </w:tc>
        <w:tc>
          <w:tcPr>
            <w:tcW w:w="1343" w:type="dxa"/>
          </w:tcPr>
          <w:p w:rsidR="00000000" w:rsidRDefault="00000000">
            <w:pPr>
              <w:jc w:val="right"/>
              <w:rPr>
                <w:szCs w:val="23"/>
                <w:lang w:val="es-ES_tradnl"/>
              </w:rPr>
            </w:pPr>
            <w:r>
              <w:rPr>
                <w:szCs w:val="23"/>
                <w:lang w:val="es-ES_tradnl"/>
              </w:rPr>
              <w:t>6.430</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Nivel medio</w:t>
            </w:r>
            <w:r>
              <w:rPr>
                <w:szCs w:val="23"/>
                <w:lang w:val="es-ES_tradnl"/>
              </w:rPr>
              <w:br/>
              <w:t>Planteles</w:t>
            </w:r>
          </w:p>
        </w:tc>
        <w:tc>
          <w:tcPr>
            <w:tcW w:w="1343" w:type="dxa"/>
            <w:vAlign w:val="bottom"/>
          </w:tcPr>
          <w:p w:rsidR="00000000" w:rsidRDefault="00000000">
            <w:pPr>
              <w:jc w:val="right"/>
              <w:rPr>
                <w:szCs w:val="23"/>
                <w:lang w:val="es-ES_tradnl"/>
              </w:rPr>
            </w:pPr>
            <w:r>
              <w:rPr>
                <w:szCs w:val="23"/>
                <w:lang w:val="es-ES_tradnl"/>
              </w:rPr>
              <w:t>22</w:t>
            </w:r>
          </w:p>
        </w:tc>
        <w:tc>
          <w:tcPr>
            <w:tcW w:w="1343" w:type="dxa"/>
            <w:vAlign w:val="bottom"/>
          </w:tcPr>
          <w:p w:rsidR="00000000" w:rsidRDefault="00000000">
            <w:pPr>
              <w:jc w:val="right"/>
              <w:rPr>
                <w:szCs w:val="23"/>
                <w:lang w:val="es-ES_tradnl"/>
              </w:rPr>
            </w:pPr>
            <w:r>
              <w:rPr>
                <w:szCs w:val="23"/>
                <w:lang w:val="es-ES_tradnl"/>
              </w:rPr>
              <w:t>63</w:t>
            </w:r>
          </w:p>
        </w:tc>
        <w:tc>
          <w:tcPr>
            <w:tcW w:w="1343" w:type="dxa"/>
            <w:vAlign w:val="bottom"/>
          </w:tcPr>
          <w:p w:rsidR="00000000" w:rsidRDefault="00000000">
            <w:pPr>
              <w:jc w:val="right"/>
              <w:rPr>
                <w:szCs w:val="23"/>
                <w:lang w:val="es-ES_tradnl"/>
              </w:rPr>
            </w:pPr>
            <w:r>
              <w:rPr>
                <w:szCs w:val="23"/>
                <w:lang w:val="es-ES_tradnl"/>
              </w:rPr>
              <w:t>101</w:t>
            </w:r>
          </w:p>
        </w:tc>
        <w:tc>
          <w:tcPr>
            <w:tcW w:w="1342" w:type="dxa"/>
            <w:vAlign w:val="bottom"/>
          </w:tcPr>
          <w:p w:rsidR="00000000" w:rsidRDefault="00000000">
            <w:pPr>
              <w:jc w:val="right"/>
            </w:pPr>
            <w:r>
              <w:rPr>
                <w:szCs w:val="23"/>
                <w:lang w:val="es-ES_tradnl"/>
              </w:rPr>
              <w:t>103</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Profesores</w:t>
            </w:r>
          </w:p>
        </w:tc>
        <w:tc>
          <w:tcPr>
            <w:tcW w:w="1343" w:type="dxa"/>
          </w:tcPr>
          <w:p w:rsidR="00000000" w:rsidRDefault="00000000">
            <w:pPr>
              <w:jc w:val="right"/>
              <w:rPr>
                <w:szCs w:val="23"/>
                <w:lang w:val="es-ES_tradnl"/>
              </w:rPr>
            </w:pPr>
            <w:r>
              <w:rPr>
                <w:szCs w:val="23"/>
                <w:lang w:val="es-ES_tradnl"/>
              </w:rPr>
              <w:t>416</w:t>
            </w:r>
          </w:p>
        </w:tc>
        <w:tc>
          <w:tcPr>
            <w:tcW w:w="1343" w:type="dxa"/>
          </w:tcPr>
          <w:p w:rsidR="00000000" w:rsidRDefault="00000000">
            <w:pPr>
              <w:jc w:val="right"/>
              <w:rPr>
                <w:szCs w:val="23"/>
                <w:lang w:val="es-ES_tradnl"/>
              </w:rPr>
            </w:pPr>
            <w:r>
              <w:rPr>
                <w:szCs w:val="23"/>
                <w:lang w:val="es-ES_tradnl"/>
              </w:rPr>
              <w:t>915</w:t>
            </w:r>
          </w:p>
        </w:tc>
        <w:tc>
          <w:tcPr>
            <w:tcW w:w="1343" w:type="dxa"/>
          </w:tcPr>
          <w:p w:rsidR="00000000" w:rsidRDefault="00000000">
            <w:pPr>
              <w:jc w:val="right"/>
              <w:rPr>
                <w:szCs w:val="23"/>
                <w:lang w:val="es-ES_tradnl"/>
              </w:rPr>
            </w:pPr>
            <w:r>
              <w:rPr>
                <w:szCs w:val="23"/>
                <w:lang w:val="es-ES_tradnl"/>
              </w:rPr>
              <w:t>1.060</w:t>
            </w:r>
          </w:p>
        </w:tc>
        <w:tc>
          <w:tcPr>
            <w:tcW w:w="1342" w:type="dxa"/>
          </w:tcPr>
          <w:p w:rsidR="00000000" w:rsidRDefault="00000000">
            <w:pPr>
              <w:jc w:val="right"/>
            </w:pPr>
            <w:r>
              <w:rPr>
                <w:szCs w:val="23"/>
                <w:lang w:val="es-ES_tradnl"/>
              </w:rPr>
              <w:t>1.176</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matriculados</w:t>
            </w:r>
          </w:p>
        </w:tc>
        <w:tc>
          <w:tcPr>
            <w:tcW w:w="1343" w:type="dxa"/>
          </w:tcPr>
          <w:p w:rsidR="00000000" w:rsidRDefault="00000000">
            <w:pPr>
              <w:jc w:val="right"/>
              <w:rPr>
                <w:szCs w:val="23"/>
                <w:lang w:val="es-ES_tradnl"/>
              </w:rPr>
            </w:pPr>
            <w:r>
              <w:rPr>
                <w:szCs w:val="23"/>
                <w:lang w:val="es-ES_tradnl"/>
              </w:rPr>
              <w:t>2.158</w:t>
            </w:r>
          </w:p>
        </w:tc>
        <w:tc>
          <w:tcPr>
            <w:tcW w:w="1343" w:type="dxa"/>
          </w:tcPr>
          <w:p w:rsidR="00000000" w:rsidRDefault="00000000">
            <w:pPr>
              <w:jc w:val="right"/>
              <w:rPr>
                <w:szCs w:val="23"/>
                <w:lang w:val="es-ES_tradnl"/>
              </w:rPr>
            </w:pPr>
            <w:r>
              <w:rPr>
                <w:szCs w:val="23"/>
                <w:lang w:val="es-ES_tradnl"/>
              </w:rPr>
              <w:t>6.580</w:t>
            </w:r>
          </w:p>
        </w:tc>
        <w:tc>
          <w:tcPr>
            <w:tcW w:w="1343" w:type="dxa"/>
          </w:tcPr>
          <w:p w:rsidR="00000000" w:rsidRDefault="00000000">
            <w:pPr>
              <w:jc w:val="right"/>
              <w:rPr>
                <w:szCs w:val="23"/>
                <w:lang w:val="es-ES_tradnl"/>
              </w:rPr>
            </w:pPr>
            <w:r>
              <w:rPr>
                <w:szCs w:val="23"/>
                <w:lang w:val="es-ES_tradnl"/>
              </w:rPr>
              <w:t>7.968</w:t>
            </w:r>
          </w:p>
        </w:tc>
        <w:tc>
          <w:tcPr>
            <w:tcW w:w="1342" w:type="dxa"/>
          </w:tcPr>
          <w:p w:rsidR="00000000" w:rsidRDefault="00000000">
            <w:pPr>
              <w:jc w:val="right"/>
            </w:pPr>
            <w:r>
              <w:rPr>
                <w:szCs w:val="23"/>
                <w:lang w:val="es-ES_tradnl"/>
              </w:rPr>
              <w:t>9.272</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promovidos</w:t>
            </w:r>
          </w:p>
        </w:tc>
        <w:tc>
          <w:tcPr>
            <w:tcW w:w="1343" w:type="dxa"/>
          </w:tcPr>
          <w:p w:rsidR="00000000" w:rsidRDefault="00000000">
            <w:pPr>
              <w:jc w:val="right"/>
              <w:rPr>
                <w:szCs w:val="23"/>
                <w:lang w:val="es-ES_tradnl"/>
              </w:rPr>
            </w:pPr>
            <w:r>
              <w:rPr>
                <w:szCs w:val="23"/>
                <w:lang w:val="es-ES_tradnl"/>
              </w:rPr>
              <w:t>1.678</w:t>
            </w:r>
          </w:p>
        </w:tc>
        <w:tc>
          <w:tcPr>
            <w:tcW w:w="1343" w:type="dxa"/>
          </w:tcPr>
          <w:p w:rsidR="00000000" w:rsidRDefault="00000000">
            <w:pPr>
              <w:jc w:val="right"/>
              <w:rPr>
                <w:szCs w:val="23"/>
                <w:lang w:val="es-ES_tradnl"/>
              </w:rPr>
            </w:pPr>
            <w:r>
              <w:rPr>
                <w:szCs w:val="23"/>
                <w:lang w:val="es-ES_tradnl"/>
              </w:rPr>
              <w:t>5.488</w:t>
            </w:r>
          </w:p>
        </w:tc>
        <w:tc>
          <w:tcPr>
            <w:tcW w:w="1343" w:type="dxa"/>
          </w:tcPr>
          <w:p w:rsidR="00000000" w:rsidRDefault="00000000">
            <w:pPr>
              <w:jc w:val="right"/>
              <w:rPr>
                <w:szCs w:val="23"/>
                <w:lang w:val="es-ES_tradnl"/>
              </w:rPr>
            </w:pPr>
            <w:r>
              <w:rPr>
                <w:szCs w:val="23"/>
                <w:lang w:val="es-ES_tradnl"/>
              </w:rPr>
              <w:t>6.524</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no promovidos</w:t>
            </w:r>
          </w:p>
        </w:tc>
        <w:tc>
          <w:tcPr>
            <w:tcW w:w="1343" w:type="dxa"/>
          </w:tcPr>
          <w:p w:rsidR="00000000" w:rsidRDefault="00000000">
            <w:pPr>
              <w:jc w:val="right"/>
              <w:rPr>
                <w:szCs w:val="23"/>
                <w:lang w:val="es-ES_tradnl"/>
              </w:rPr>
            </w:pPr>
            <w:r>
              <w:rPr>
                <w:szCs w:val="23"/>
                <w:lang w:val="es-ES_tradnl"/>
              </w:rPr>
              <w:t>192</w:t>
            </w:r>
          </w:p>
        </w:tc>
        <w:tc>
          <w:tcPr>
            <w:tcW w:w="1343" w:type="dxa"/>
          </w:tcPr>
          <w:p w:rsidR="00000000" w:rsidRDefault="00000000">
            <w:pPr>
              <w:jc w:val="right"/>
              <w:rPr>
                <w:szCs w:val="23"/>
                <w:lang w:val="es-ES_tradnl"/>
              </w:rPr>
            </w:pPr>
            <w:r>
              <w:rPr>
                <w:szCs w:val="23"/>
                <w:lang w:val="es-ES_tradnl"/>
              </w:rPr>
              <w:t>446</w:t>
            </w:r>
          </w:p>
        </w:tc>
        <w:tc>
          <w:tcPr>
            <w:tcW w:w="1343" w:type="dxa"/>
          </w:tcPr>
          <w:p w:rsidR="00000000" w:rsidRDefault="00000000">
            <w:pPr>
              <w:jc w:val="right"/>
              <w:rPr>
                <w:szCs w:val="23"/>
                <w:lang w:val="es-ES_tradnl"/>
              </w:rPr>
            </w:pPr>
            <w:r>
              <w:rPr>
                <w:szCs w:val="23"/>
                <w:lang w:val="es-ES_tradnl"/>
              </w:rPr>
              <w:t>833</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desertores</w:t>
            </w:r>
          </w:p>
        </w:tc>
        <w:tc>
          <w:tcPr>
            <w:tcW w:w="1343" w:type="dxa"/>
          </w:tcPr>
          <w:p w:rsidR="00000000" w:rsidRDefault="00000000">
            <w:pPr>
              <w:jc w:val="right"/>
              <w:rPr>
                <w:szCs w:val="23"/>
                <w:lang w:val="es-ES_tradnl"/>
              </w:rPr>
            </w:pPr>
            <w:r>
              <w:rPr>
                <w:szCs w:val="23"/>
                <w:lang w:val="es-ES_tradnl"/>
              </w:rPr>
              <w:t>288</w:t>
            </w:r>
          </w:p>
        </w:tc>
        <w:tc>
          <w:tcPr>
            <w:tcW w:w="1343" w:type="dxa"/>
          </w:tcPr>
          <w:p w:rsidR="00000000" w:rsidRDefault="00000000">
            <w:pPr>
              <w:jc w:val="right"/>
              <w:rPr>
                <w:szCs w:val="23"/>
                <w:lang w:val="es-ES_tradnl"/>
              </w:rPr>
            </w:pPr>
            <w:r>
              <w:rPr>
                <w:szCs w:val="23"/>
                <w:lang w:val="es-ES_tradnl"/>
              </w:rPr>
              <w:t>646</w:t>
            </w:r>
          </w:p>
        </w:tc>
        <w:tc>
          <w:tcPr>
            <w:tcW w:w="1343" w:type="dxa"/>
          </w:tcPr>
          <w:p w:rsidR="00000000" w:rsidRDefault="00000000">
            <w:pPr>
              <w:jc w:val="right"/>
              <w:rPr>
                <w:szCs w:val="23"/>
                <w:lang w:val="es-ES_tradnl"/>
              </w:rPr>
            </w:pPr>
            <w:r>
              <w:rPr>
                <w:szCs w:val="23"/>
                <w:lang w:val="es-ES_tradnl"/>
              </w:rPr>
              <w:t>611</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Institutos pedagógicos posbachillerato</w:t>
            </w:r>
            <w:r>
              <w:rPr>
                <w:szCs w:val="23"/>
                <w:lang w:val="es-ES_tradnl"/>
              </w:rPr>
              <w:br/>
              <w:t>Planteles</w:t>
            </w:r>
          </w:p>
        </w:tc>
        <w:tc>
          <w:tcPr>
            <w:tcW w:w="1343" w:type="dxa"/>
            <w:vAlign w:val="bottom"/>
          </w:tcPr>
          <w:p w:rsidR="00000000" w:rsidRDefault="00000000">
            <w:pPr>
              <w:jc w:val="right"/>
              <w:rPr>
                <w:szCs w:val="23"/>
                <w:lang w:val="es-ES_tradnl"/>
              </w:rPr>
            </w:pPr>
            <w:r>
              <w:rPr>
                <w:szCs w:val="23"/>
                <w:lang w:val="es-ES_tradnl"/>
              </w:rPr>
              <w:t>3</w:t>
            </w:r>
          </w:p>
        </w:tc>
        <w:tc>
          <w:tcPr>
            <w:tcW w:w="1343" w:type="dxa"/>
            <w:vAlign w:val="bottom"/>
          </w:tcPr>
          <w:p w:rsidR="00000000" w:rsidRDefault="00000000">
            <w:pPr>
              <w:jc w:val="right"/>
              <w:rPr>
                <w:szCs w:val="23"/>
                <w:lang w:val="es-ES_tradnl"/>
              </w:rPr>
            </w:pPr>
            <w:r>
              <w:rPr>
                <w:szCs w:val="23"/>
                <w:lang w:val="es-ES_tradnl"/>
              </w:rPr>
              <w:t>5</w:t>
            </w:r>
          </w:p>
        </w:tc>
        <w:tc>
          <w:tcPr>
            <w:tcW w:w="1343" w:type="dxa"/>
            <w:vAlign w:val="bottom"/>
          </w:tcPr>
          <w:p w:rsidR="00000000" w:rsidRDefault="00000000">
            <w:pPr>
              <w:jc w:val="right"/>
              <w:rPr>
                <w:szCs w:val="23"/>
                <w:lang w:val="es-ES_tradnl"/>
              </w:rPr>
            </w:pPr>
            <w:r>
              <w:rPr>
                <w:szCs w:val="23"/>
                <w:lang w:val="es-ES_tradnl"/>
              </w:rPr>
              <w:t>7</w:t>
            </w:r>
          </w:p>
        </w:tc>
        <w:tc>
          <w:tcPr>
            <w:tcW w:w="1342" w:type="dxa"/>
            <w:vAlign w:val="bottom"/>
          </w:tcPr>
          <w:p w:rsidR="00000000" w:rsidRDefault="00000000">
            <w:pPr>
              <w:jc w:val="right"/>
            </w:pPr>
            <w:r>
              <w:rPr>
                <w:szCs w:val="23"/>
                <w:lang w:val="es-ES_tradnl"/>
              </w:rPr>
              <w:t>8</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Profesores</w:t>
            </w:r>
          </w:p>
        </w:tc>
        <w:tc>
          <w:tcPr>
            <w:tcW w:w="1343" w:type="dxa"/>
          </w:tcPr>
          <w:p w:rsidR="00000000" w:rsidRDefault="00000000">
            <w:pPr>
              <w:jc w:val="right"/>
              <w:rPr>
                <w:szCs w:val="23"/>
                <w:lang w:val="es-ES_tradnl"/>
              </w:rPr>
            </w:pPr>
            <w:r>
              <w:rPr>
                <w:szCs w:val="23"/>
                <w:lang w:val="es-ES_tradnl"/>
              </w:rPr>
              <w:t>94</w:t>
            </w:r>
          </w:p>
        </w:tc>
        <w:tc>
          <w:tcPr>
            <w:tcW w:w="1343" w:type="dxa"/>
          </w:tcPr>
          <w:p w:rsidR="00000000" w:rsidRDefault="00000000">
            <w:pPr>
              <w:jc w:val="right"/>
              <w:rPr>
                <w:szCs w:val="23"/>
                <w:lang w:val="es-ES_tradnl"/>
              </w:rPr>
            </w:pPr>
            <w:r>
              <w:rPr>
                <w:szCs w:val="23"/>
                <w:lang w:val="es-ES_tradnl"/>
              </w:rPr>
              <w:t>153</w:t>
            </w:r>
          </w:p>
        </w:tc>
        <w:tc>
          <w:tcPr>
            <w:tcW w:w="1343" w:type="dxa"/>
          </w:tcPr>
          <w:p w:rsidR="00000000" w:rsidRDefault="00000000">
            <w:pPr>
              <w:jc w:val="right"/>
              <w:rPr>
                <w:szCs w:val="23"/>
                <w:lang w:val="es-ES_tradnl"/>
              </w:rPr>
            </w:pPr>
            <w:r>
              <w:rPr>
                <w:szCs w:val="23"/>
                <w:lang w:val="es-ES_tradnl"/>
              </w:rPr>
              <w:t>210</w:t>
            </w:r>
          </w:p>
        </w:tc>
        <w:tc>
          <w:tcPr>
            <w:tcW w:w="1342" w:type="dxa"/>
          </w:tcPr>
          <w:p w:rsidR="00000000" w:rsidRDefault="00000000">
            <w:pPr>
              <w:jc w:val="right"/>
            </w:pPr>
            <w:r>
              <w:rPr>
                <w:szCs w:val="23"/>
                <w:lang w:val="es-ES_tradnl"/>
              </w:rPr>
              <w:t>220</w:t>
            </w: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matriculados</w:t>
            </w:r>
          </w:p>
        </w:tc>
        <w:tc>
          <w:tcPr>
            <w:tcW w:w="1343" w:type="dxa"/>
          </w:tcPr>
          <w:p w:rsidR="00000000" w:rsidRDefault="00000000">
            <w:pPr>
              <w:jc w:val="right"/>
              <w:rPr>
                <w:szCs w:val="23"/>
                <w:lang w:val="es-ES_tradnl"/>
              </w:rPr>
            </w:pPr>
            <w:r>
              <w:rPr>
                <w:szCs w:val="23"/>
                <w:lang w:val="es-ES_tradnl"/>
              </w:rPr>
              <w:t>290</w:t>
            </w:r>
          </w:p>
        </w:tc>
        <w:tc>
          <w:tcPr>
            <w:tcW w:w="1343" w:type="dxa"/>
          </w:tcPr>
          <w:p w:rsidR="00000000" w:rsidRDefault="00000000">
            <w:pPr>
              <w:jc w:val="right"/>
              <w:rPr>
                <w:szCs w:val="23"/>
                <w:lang w:val="es-ES_tradnl"/>
              </w:rPr>
            </w:pPr>
            <w:r>
              <w:rPr>
                <w:szCs w:val="23"/>
                <w:lang w:val="es-ES_tradnl"/>
              </w:rPr>
              <w:t>598</w:t>
            </w:r>
          </w:p>
        </w:tc>
        <w:tc>
          <w:tcPr>
            <w:tcW w:w="1343" w:type="dxa"/>
          </w:tcPr>
          <w:p w:rsidR="00000000" w:rsidRDefault="00000000">
            <w:pPr>
              <w:jc w:val="right"/>
              <w:rPr>
                <w:szCs w:val="23"/>
                <w:lang w:val="es-ES_tradnl"/>
              </w:rPr>
            </w:pPr>
            <w:r>
              <w:rPr>
                <w:szCs w:val="23"/>
                <w:lang w:val="es-ES_tradnl"/>
              </w:rPr>
              <w:t>716</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promovidos</w:t>
            </w:r>
          </w:p>
        </w:tc>
        <w:tc>
          <w:tcPr>
            <w:tcW w:w="1343" w:type="dxa"/>
          </w:tcPr>
          <w:p w:rsidR="00000000" w:rsidRDefault="00000000">
            <w:pPr>
              <w:jc w:val="right"/>
              <w:rPr>
                <w:szCs w:val="23"/>
                <w:lang w:val="es-ES_tradnl"/>
              </w:rPr>
            </w:pPr>
            <w:r>
              <w:rPr>
                <w:szCs w:val="23"/>
                <w:lang w:val="es-ES_tradnl"/>
              </w:rPr>
              <w:t>286</w:t>
            </w:r>
          </w:p>
        </w:tc>
        <w:tc>
          <w:tcPr>
            <w:tcW w:w="1343" w:type="dxa"/>
          </w:tcPr>
          <w:p w:rsidR="00000000" w:rsidRDefault="00000000">
            <w:pPr>
              <w:jc w:val="right"/>
              <w:rPr>
                <w:szCs w:val="23"/>
                <w:lang w:val="es-ES_tradnl"/>
              </w:rPr>
            </w:pPr>
            <w:r>
              <w:rPr>
                <w:szCs w:val="23"/>
                <w:lang w:val="es-ES_tradnl"/>
              </w:rPr>
              <w:t>573</w:t>
            </w:r>
          </w:p>
        </w:tc>
        <w:tc>
          <w:tcPr>
            <w:tcW w:w="1343" w:type="dxa"/>
          </w:tcPr>
          <w:p w:rsidR="00000000" w:rsidRDefault="00000000">
            <w:pPr>
              <w:jc w:val="right"/>
              <w:rPr>
                <w:szCs w:val="23"/>
                <w:lang w:val="es-ES_tradnl"/>
              </w:rPr>
            </w:pPr>
            <w:r>
              <w:rPr>
                <w:szCs w:val="23"/>
                <w:lang w:val="es-ES_tradnl"/>
              </w:rPr>
              <w:t>543</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no promovidos</w:t>
            </w:r>
          </w:p>
        </w:tc>
        <w:tc>
          <w:tcPr>
            <w:tcW w:w="1343" w:type="dxa"/>
          </w:tcPr>
          <w:p w:rsidR="00000000" w:rsidRDefault="00000000">
            <w:pPr>
              <w:jc w:val="right"/>
              <w:rPr>
                <w:szCs w:val="23"/>
                <w:lang w:val="es-ES_tradnl"/>
              </w:rPr>
            </w:pPr>
            <w:r>
              <w:rPr>
                <w:szCs w:val="23"/>
                <w:lang w:val="es-ES_tradnl"/>
              </w:rPr>
              <w:t>4</w:t>
            </w:r>
          </w:p>
        </w:tc>
        <w:tc>
          <w:tcPr>
            <w:tcW w:w="1343" w:type="dxa"/>
          </w:tcPr>
          <w:p w:rsidR="00000000" w:rsidRDefault="00000000">
            <w:pPr>
              <w:jc w:val="right"/>
              <w:rPr>
                <w:szCs w:val="23"/>
                <w:lang w:val="es-ES_tradnl"/>
              </w:rPr>
            </w:pPr>
            <w:r>
              <w:rPr>
                <w:szCs w:val="23"/>
                <w:lang w:val="es-ES_tradnl"/>
              </w:rPr>
              <w:t>22</w:t>
            </w:r>
          </w:p>
        </w:tc>
        <w:tc>
          <w:tcPr>
            <w:tcW w:w="1343" w:type="dxa"/>
          </w:tcPr>
          <w:p w:rsidR="00000000" w:rsidRDefault="00000000">
            <w:pPr>
              <w:jc w:val="right"/>
              <w:rPr>
                <w:szCs w:val="23"/>
                <w:lang w:val="es-ES_tradnl"/>
              </w:rPr>
            </w:pPr>
            <w:r>
              <w:rPr>
                <w:szCs w:val="23"/>
                <w:lang w:val="es-ES_tradnl"/>
              </w:rPr>
              <w:t>102</w:t>
            </w:r>
          </w:p>
        </w:tc>
        <w:tc>
          <w:tcPr>
            <w:tcW w:w="1342" w:type="dxa"/>
          </w:tcPr>
          <w:p w:rsidR="00000000" w:rsidRDefault="00000000">
            <w:pPr>
              <w:jc w:val="right"/>
            </w:pPr>
          </w:p>
        </w:tc>
      </w:tr>
      <w:tr w:rsidR="00000000">
        <w:tblPrEx>
          <w:tblCellMar>
            <w:top w:w="0" w:type="dxa"/>
            <w:bottom w:w="0" w:type="dxa"/>
          </w:tblCellMar>
        </w:tblPrEx>
        <w:tc>
          <w:tcPr>
            <w:tcW w:w="4052" w:type="dxa"/>
          </w:tcPr>
          <w:p w:rsidR="00000000" w:rsidRDefault="00000000">
            <w:pPr>
              <w:rPr>
                <w:szCs w:val="23"/>
                <w:lang w:val="es-ES_tradnl"/>
              </w:rPr>
            </w:pPr>
            <w:r>
              <w:rPr>
                <w:szCs w:val="23"/>
                <w:lang w:val="es-ES_tradnl"/>
              </w:rPr>
              <w:t>Alumnos desertores</w:t>
            </w:r>
          </w:p>
        </w:tc>
        <w:tc>
          <w:tcPr>
            <w:tcW w:w="1343" w:type="dxa"/>
          </w:tcPr>
          <w:p w:rsidR="00000000" w:rsidRDefault="00000000">
            <w:pPr>
              <w:jc w:val="right"/>
              <w:rPr>
                <w:szCs w:val="23"/>
                <w:lang w:val="es-ES_tradnl"/>
              </w:rPr>
            </w:pPr>
            <w:r>
              <w:rPr>
                <w:szCs w:val="23"/>
                <w:lang w:val="es-ES_tradnl"/>
              </w:rPr>
              <w:t>0</w:t>
            </w:r>
          </w:p>
        </w:tc>
        <w:tc>
          <w:tcPr>
            <w:tcW w:w="1343" w:type="dxa"/>
          </w:tcPr>
          <w:p w:rsidR="00000000" w:rsidRDefault="00000000">
            <w:pPr>
              <w:jc w:val="right"/>
              <w:rPr>
                <w:szCs w:val="23"/>
                <w:lang w:val="es-ES_tradnl"/>
              </w:rPr>
            </w:pPr>
            <w:r>
              <w:rPr>
                <w:szCs w:val="23"/>
                <w:lang w:val="es-ES_tradnl"/>
              </w:rPr>
              <w:t>3</w:t>
            </w:r>
          </w:p>
        </w:tc>
        <w:tc>
          <w:tcPr>
            <w:tcW w:w="1343" w:type="dxa"/>
          </w:tcPr>
          <w:p w:rsidR="00000000" w:rsidRDefault="00000000">
            <w:pPr>
              <w:jc w:val="right"/>
              <w:rPr>
                <w:szCs w:val="23"/>
                <w:lang w:val="es-ES_tradnl"/>
              </w:rPr>
            </w:pPr>
            <w:r>
              <w:rPr>
                <w:szCs w:val="23"/>
                <w:lang w:val="es-ES_tradnl"/>
              </w:rPr>
              <w:t>71</w:t>
            </w:r>
          </w:p>
        </w:tc>
        <w:tc>
          <w:tcPr>
            <w:tcW w:w="1342" w:type="dxa"/>
          </w:tcPr>
          <w:p w:rsidR="00000000" w:rsidRDefault="00000000">
            <w:pPr>
              <w:jc w:val="right"/>
              <w:rPr>
                <w:szCs w:val="23"/>
                <w:lang w:val="es-ES_tradnl"/>
              </w:rPr>
            </w:pPr>
          </w:p>
        </w:tc>
      </w:tr>
    </w:tbl>
    <w:p w:rsidR="00000000" w:rsidRDefault="00000000">
      <w:pPr>
        <w:spacing w:before="240" w:after="480"/>
      </w:pPr>
      <w:r>
        <w:rPr>
          <w:i/>
          <w:iCs/>
          <w:szCs w:val="23"/>
          <w:lang w:val="es-ES_tradnl"/>
        </w:rPr>
        <w:t>Fuente</w:t>
      </w:r>
      <w:r>
        <w:rPr>
          <w:szCs w:val="23"/>
          <w:lang w:val="es-ES_tradnl"/>
        </w:rPr>
        <w:t xml:space="preserve"> :  </w:t>
      </w:r>
      <w:r>
        <w:rPr>
          <w:i/>
          <w:iCs/>
          <w:szCs w:val="23"/>
          <w:lang w:val="es-ES_tradnl"/>
        </w:rPr>
        <w:t>Anuario Estadístico de Educación Intercultural Bilingüe</w:t>
      </w:r>
      <w:r>
        <w:rPr>
          <w:szCs w:val="23"/>
          <w:lang w:val="es-ES_tradnl"/>
        </w:rPr>
        <w:t>.</w:t>
      </w:r>
    </w:p>
    <w:p w:rsidR="00000000" w:rsidRDefault="00000000">
      <w:pPr>
        <w:spacing w:after="240"/>
        <w:rPr>
          <w:i/>
          <w:iCs/>
        </w:rPr>
      </w:pPr>
      <w:r>
        <w:rPr>
          <w:i/>
          <w:iCs/>
          <w:szCs w:val="25"/>
          <w:lang w:val="es-ES_tradnl"/>
        </w:rPr>
        <w:t>Condiciones del personal docente</w:t>
      </w:r>
    </w:p>
    <w:p w:rsidR="00000000" w:rsidRDefault="00000000">
      <w:pPr>
        <w:spacing w:after="240"/>
      </w:pPr>
      <w:r>
        <w:rPr>
          <w:szCs w:val="25"/>
          <w:lang w:val="es-ES_tradnl"/>
        </w:rPr>
        <w:t>531.</w:t>
      </w:r>
      <w:r>
        <w:rPr>
          <w:szCs w:val="25"/>
          <w:lang w:val="es-ES_tradnl"/>
        </w:rPr>
        <w:tab/>
        <w:t>Las remuneraciones del personal docente (profesores) se encuentran fijadas y reguladas por la Ley de carrera docente y escalafón del magisterio nacional, y la del personal administrativo y de servicios (funcionarios públicos) por la Ley de servicio civil y carrera administrativa.  Existen además escalas de sueldos de organismos autónomos y ministerios que tienen regímenes remunerativos especiales.</w:t>
      </w:r>
      <w:r>
        <w:t xml:space="preserve">  </w:t>
      </w:r>
      <w:r>
        <w:rPr>
          <w:szCs w:val="25"/>
          <w:lang w:val="es-ES_tradnl"/>
        </w:rPr>
        <w:t>Las escalas de sueldos se incrementan, en el caso del personal docente por efecto de la ley.</w:t>
      </w:r>
    </w:p>
    <w:p w:rsidR="00000000" w:rsidRDefault="00000000">
      <w:pPr>
        <w:spacing w:after="240"/>
        <w:rPr>
          <w:szCs w:val="25"/>
          <w:lang w:val="es-ES_tradnl"/>
        </w:rPr>
      </w:pPr>
      <w:r>
        <w:rPr>
          <w:szCs w:val="25"/>
          <w:lang w:val="es-ES_tradnl"/>
        </w:rPr>
        <w:t>532.</w:t>
      </w:r>
      <w:r>
        <w:rPr>
          <w:szCs w:val="25"/>
          <w:lang w:val="es-ES_tradnl"/>
        </w:rPr>
        <w:tab/>
        <w:t>La ley y reglamento de carrera docente y Escalafón del Magisterio Nacional es una Ley de defensa profesional y regula las políticas de salarios para los profesionales de la Educación y se modifica basándose en los requerimientos de los maestros y posibilidades económicas del Estado.  Además, existe una ley específica para la Provincia de Galápagos que protege los derechos de remuneración y bonificaciones de los docentes de este sector de la patria.</w:t>
      </w:r>
    </w:p>
    <w:p w:rsidR="00000000" w:rsidRDefault="00000000">
      <w:pPr>
        <w:spacing w:after="240"/>
      </w:pPr>
      <w:r>
        <w:rPr>
          <w:szCs w:val="25"/>
          <w:lang w:val="es-ES_tradnl"/>
        </w:rPr>
        <w:t>533.</w:t>
      </w:r>
      <w:r>
        <w:rPr>
          <w:szCs w:val="25"/>
          <w:lang w:val="es-ES_tradnl"/>
        </w:rPr>
        <w:tab/>
        <w:t>No siempre coinciden las revisiones de los sueldos y salarios de los servidores públicos en general con las de los profesores.  Sin embargo es necesario señalar que las remuneraciones que reciben los docentes permanecen bajas, razón por la cual es notoria la serie de paralizaciones anuales que este sector realiza para que se revisen sus sueldos y para que se les pague a tiempo.</w:t>
      </w:r>
    </w:p>
    <w:p w:rsidR="00000000" w:rsidRDefault="00000000">
      <w:pPr>
        <w:spacing w:after="240"/>
      </w:pPr>
      <w:r>
        <w:rPr>
          <w:szCs w:val="25"/>
          <w:lang w:val="es-ES_tradnl"/>
        </w:rPr>
        <w:t>534.</w:t>
      </w:r>
      <w:r>
        <w:rPr>
          <w:szCs w:val="25"/>
          <w:lang w:val="es-ES_tradnl"/>
        </w:rPr>
        <w:tab/>
        <w:t>En los últimos años por los problemas que atraviesa el sector de la educación fiscal se ha incrementado el número de los establecimientos privados de educación, por lo que se puede decir que no existe restricción para el establecimiento de nuevas escuelas.</w:t>
      </w:r>
    </w:p>
    <w:p w:rsidR="00000000" w:rsidRDefault="00000000">
      <w:pPr>
        <w:spacing w:after="240"/>
      </w:pPr>
      <w:r>
        <w:rPr>
          <w:szCs w:val="25"/>
          <w:lang w:val="es-ES_tradnl"/>
        </w:rPr>
        <w:t>535.</w:t>
      </w:r>
      <w:r>
        <w:rPr>
          <w:szCs w:val="25"/>
          <w:lang w:val="es-ES_tradnl"/>
        </w:rPr>
        <w:tab/>
        <w:t>No han existido acciones que afecten el derecho que tienen los ecuatorianos de recibir una educación gratuita, por lo contrario, se hacen esfuerzos para que ésta sea de calidad y responda a las grandes necesidades sociales.</w:t>
      </w:r>
    </w:p>
    <w:p w:rsidR="00000000" w:rsidRDefault="00000000">
      <w:pPr>
        <w:keepNext/>
        <w:keepLines/>
        <w:spacing w:after="240"/>
        <w:rPr>
          <w:i/>
          <w:iCs/>
        </w:rPr>
      </w:pPr>
      <w:r>
        <w:rPr>
          <w:i/>
          <w:iCs/>
          <w:szCs w:val="25"/>
          <w:lang w:val="es-ES_tradnl"/>
        </w:rPr>
        <w:t>Asistencia Internacional</w:t>
      </w:r>
    </w:p>
    <w:p w:rsidR="00000000" w:rsidRDefault="00000000">
      <w:pPr>
        <w:keepNext/>
        <w:keepLines/>
        <w:spacing w:after="240"/>
      </w:pPr>
      <w:r>
        <w:rPr>
          <w:szCs w:val="25"/>
          <w:lang w:val="es-ES_tradnl"/>
        </w:rPr>
        <w:t>536.</w:t>
      </w:r>
      <w:r>
        <w:rPr>
          <w:szCs w:val="25"/>
          <w:lang w:val="es-ES_tradnl"/>
        </w:rPr>
        <w:tab/>
        <w:t xml:space="preserve">El desarrollo y fortalecimiento de la Educación Intercultural Bilingüe hasta la presente fecha ha sido posible gracias a la decidida contribución de los organismos internacionales, entre los cuales podemos contar:  el UNICEF, proyecto </w:t>
      </w:r>
      <w:proofErr w:type="spellStart"/>
      <w:r>
        <w:rPr>
          <w:szCs w:val="25"/>
          <w:lang w:val="es-ES_tradnl"/>
        </w:rPr>
        <w:t>EBI</w:t>
      </w:r>
      <w:proofErr w:type="spellEnd"/>
      <w:r>
        <w:rPr>
          <w:szCs w:val="25"/>
          <w:lang w:val="es-ES_tradnl"/>
        </w:rPr>
        <w:t>-</w:t>
      </w:r>
      <w:proofErr w:type="spellStart"/>
      <w:r>
        <w:rPr>
          <w:szCs w:val="25"/>
          <w:lang w:val="es-ES_tradnl"/>
        </w:rPr>
        <w:t>GTZ</w:t>
      </w:r>
      <w:proofErr w:type="spellEnd"/>
      <w:r>
        <w:rPr>
          <w:szCs w:val="25"/>
          <w:lang w:val="es-ES_tradnl"/>
        </w:rPr>
        <w:t>-</w:t>
      </w:r>
      <w:proofErr w:type="spellStart"/>
      <w:r>
        <w:rPr>
          <w:szCs w:val="25"/>
          <w:lang w:val="es-ES_tradnl"/>
        </w:rPr>
        <w:t>HANS</w:t>
      </w:r>
      <w:proofErr w:type="spellEnd"/>
      <w:r>
        <w:rPr>
          <w:szCs w:val="25"/>
          <w:lang w:val="es-ES_tradnl"/>
        </w:rPr>
        <w:t xml:space="preserve"> </w:t>
      </w:r>
      <w:proofErr w:type="spellStart"/>
      <w:r>
        <w:rPr>
          <w:szCs w:val="25"/>
          <w:lang w:val="es-ES_tradnl"/>
        </w:rPr>
        <w:t>SEIDEL</w:t>
      </w:r>
      <w:proofErr w:type="spellEnd"/>
      <w:r>
        <w:rPr>
          <w:szCs w:val="25"/>
          <w:lang w:val="es-ES_tradnl"/>
        </w:rPr>
        <w:t>, proyecto IBIS</w:t>
      </w:r>
      <w:r>
        <w:rPr>
          <w:szCs w:val="25"/>
          <w:lang w:val="es-ES_tradnl"/>
        </w:rPr>
        <w:noBreakHyphen/>
        <w:t>CONAIE</w:t>
      </w:r>
      <w:r>
        <w:rPr>
          <w:szCs w:val="25"/>
          <w:lang w:val="es-ES_tradnl"/>
        </w:rPr>
        <w:noBreakHyphen/>
        <w:t xml:space="preserve">DINAMARCA, PROMECEB, proyecto 834-MEC-BID, petroleras como la </w:t>
      </w:r>
      <w:proofErr w:type="spellStart"/>
      <w:r>
        <w:rPr>
          <w:szCs w:val="25"/>
          <w:lang w:val="es-ES_tradnl"/>
        </w:rPr>
        <w:t>OCCIS</w:t>
      </w:r>
      <w:proofErr w:type="spellEnd"/>
      <w:r>
        <w:rPr>
          <w:szCs w:val="25"/>
          <w:lang w:val="es-ES_tradnl"/>
        </w:rPr>
        <w:t xml:space="preserve"> y </w:t>
      </w:r>
      <w:proofErr w:type="spellStart"/>
      <w:r>
        <w:rPr>
          <w:szCs w:val="25"/>
          <w:lang w:val="es-ES_tradnl"/>
        </w:rPr>
        <w:t>MAXUS</w:t>
      </w:r>
      <w:proofErr w:type="spellEnd"/>
      <w:r>
        <w:rPr>
          <w:szCs w:val="25"/>
          <w:lang w:val="es-ES_tradnl"/>
        </w:rPr>
        <w:t xml:space="preserve">, Plan Internacional, Visión Mundial, </w:t>
      </w:r>
      <w:proofErr w:type="spellStart"/>
      <w:r>
        <w:rPr>
          <w:szCs w:val="25"/>
          <w:lang w:val="es-ES_tradnl"/>
        </w:rPr>
        <w:t>CARE</w:t>
      </w:r>
      <w:proofErr w:type="spellEnd"/>
      <w:r>
        <w:rPr>
          <w:szCs w:val="25"/>
          <w:lang w:val="es-ES_tradnl"/>
        </w:rPr>
        <w:t>, etc.</w:t>
      </w:r>
    </w:p>
    <w:p w:rsidR="00000000" w:rsidRDefault="00000000">
      <w:pPr>
        <w:spacing w:after="240"/>
      </w:pPr>
      <w:r>
        <w:rPr>
          <w:szCs w:val="25"/>
          <w:lang w:val="es-ES_tradnl"/>
        </w:rPr>
        <w:t>537.</w:t>
      </w:r>
      <w:r>
        <w:rPr>
          <w:szCs w:val="25"/>
          <w:lang w:val="es-ES_tradnl"/>
        </w:rPr>
        <w:tab/>
        <w:t>Los beneficiarios son docentes, niños, niñas y jóvenes de la educación general y básica que corresponden a 11 nacionalidades indígenas del país.  En cuanto a los docentes, se ha procedido a la realización de los cursos de titulación o profesionalización a todos los que venían laborando como educadores sin título docente de profesores primarios.</w:t>
      </w:r>
    </w:p>
    <w:p w:rsidR="00000000" w:rsidRDefault="00000000">
      <w:pPr>
        <w:spacing w:after="240"/>
      </w:pPr>
      <w:r>
        <w:rPr>
          <w:szCs w:val="25"/>
          <w:lang w:val="es-ES_tradnl"/>
        </w:rPr>
        <w:t>538.</w:t>
      </w:r>
      <w:r>
        <w:rPr>
          <w:szCs w:val="25"/>
          <w:lang w:val="es-ES_tradnl"/>
        </w:rPr>
        <w:tab/>
        <w:t>Las áreas más importantes son las siguientes:</w:t>
      </w:r>
    </w:p>
    <w:p w:rsidR="00000000" w:rsidRDefault="00000000">
      <w:pPr>
        <w:spacing w:after="240"/>
        <w:ind w:left="1134" w:hanging="567"/>
      </w:pPr>
      <w:r>
        <w:rPr>
          <w:szCs w:val="25"/>
          <w:lang w:val="es-ES_tradnl"/>
        </w:rPr>
        <w:t>a)</w:t>
      </w:r>
      <w:r>
        <w:rPr>
          <w:szCs w:val="25"/>
          <w:lang w:val="es-ES_tradnl"/>
        </w:rPr>
        <w:tab/>
        <w:t xml:space="preserve">Formación y capacitación de los recursos humanos de la </w:t>
      </w:r>
      <w:proofErr w:type="spellStart"/>
      <w:r>
        <w:rPr>
          <w:szCs w:val="25"/>
          <w:lang w:val="es-ES_tradnl"/>
        </w:rPr>
        <w:t>DINEIB</w:t>
      </w:r>
      <w:proofErr w:type="spellEnd"/>
      <w:r>
        <w:rPr>
          <w:szCs w:val="25"/>
          <w:lang w:val="es-ES_tradnl"/>
        </w:rPr>
        <w:t>;</w:t>
      </w:r>
    </w:p>
    <w:p w:rsidR="00000000" w:rsidRDefault="00000000">
      <w:pPr>
        <w:spacing w:after="240"/>
        <w:ind w:left="1134" w:hanging="567"/>
      </w:pPr>
      <w:r>
        <w:rPr>
          <w:szCs w:val="25"/>
          <w:lang w:val="es-ES_tradnl"/>
        </w:rPr>
        <w:t>b)</w:t>
      </w:r>
      <w:r>
        <w:rPr>
          <w:szCs w:val="25"/>
          <w:lang w:val="es-ES_tradnl"/>
        </w:rPr>
        <w:tab/>
        <w:t>Asesoramiento técnico;</w:t>
      </w:r>
    </w:p>
    <w:p w:rsidR="00000000" w:rsidRDefault="00000000">
      <w:pPr>
        <w:spacing w:after="240"/>
        <w:ind w:left="1134" w:hanging="567"/>
      </w:pPr>
      <w:r>
        <w:rPr>
          <w:szCs w:val="25"/>
          <w:lang w:val="es-ES_tradnl"/>
        </w:rPr>
        <w:t>c)</w:t>
      </w:r>
      <w:r>
        <w:rPr>
          <w:szCs w:val="25"/>
          <w:lang w:val="es-ES_tradnl"/>
        </w:rPr>
        <w:tab/>
        <w:t>Difusión y socialización de documentos técnicos;</w:t>
      </w:r>
    </w:p>
    <w:p w:rsidR="00000000" w:rsidRDefault="00000000">
      <w:pPr>
        <w:spacing w:after="240"/>
        <w:ind w:left="1134" w:hanging="567"/>
      </w:pPr>
      <w:r>
        <w:rPr>
          <w:szCs w:val="25"/>
          <w:lang w:val="es-ES_tradnl"/>
        </w:rPr>
        <w:t>d)</w:t>
      </w:r>
      <w:r>
        <w:rPr>
          <w:szCs w:val="25"/>
          <w:lang w:val="es-ES_tradnl"/>
        </w:rPr>
        <w:tab/>
        <w:t>Producción de recursos didácticos;</w:t>
      </w:r>
    </w:p>
    <w:p w:rsidR="00000000" w:rsidRDefault="00000000">
      <w:pPr>
        <w:spacing w:after="240"/>
        <w:ind w:left="1134" w:hanging="567"/>
      </w:pPr>
      <w:r>
        <w:rPr>
          <w:szCs w:val="25"/>
          <w:lang w:val="es-ES_tradnl"/>
        </w:rPr>
        <w:t>e)</w:t>
      </w:r>
      <w:r>
        <w:rPr>
          <w:szCs w:val="25"/>
          <w:lang w:val="es-ES_tradnl"/>
        </w:rPr>
        <w:tab/>
        <w:t>Publicación de textos pedagógicos;</w:t>
      </w:r>
    </w:p>
    <w:p w:rsidR="00000000" w:rsidRDefault="00000000">
      <w:pPr>
        <w:spacing w:after="240"/>
        <w:ind w:left="1134" w:hanging="567"/>
      </w:pPr>
      <w:r>
        <w:rPr>
          <w:szCs w:val="25"/>
          <w:lang w:val="es-ES_tradnl"/>
        </w:rPr>
        <w:t>f)</w:t>
      </w:r>
      <w:r>
        <w:rPr>
          <w:szCs w:val="25"/>
          <w:lang w:val="es-ES_tradnl"/>
        </w:rPr>
        <w:tab/>
        <w:t xml:space="preserve">Investigación de la </w:t>
      </w:r>
      <w:proofErr w:type="spellStart"/>
      <w:r>
        <w:rPr>
          <w:szCs w:val="25"/>
          <w:lang w:val="es-ES_tradnl"/>
        </w:rPr>
        <w:t>EIB</w:t>
      </w:r>
      <w:proofErr w:type="spellEnd"/>
      <w:r>
        <w:rPr>
          <w:szCs w:val="25"/>
          <w:lang w:val="es-ES_tradnl"/>
        </w:rPr>
        <w:t>;</w:t>
      </w:r>
    </w:p>
    <w:p w:rsidR="00000000" w:rsidRDefault="00000000">
      <w:pPr>
        <w:spacing w:after="240"/>
        <w:ind w:left="1134" w:hanging="567"/>
      </w:pPr>
      <w:r>
        <w:rPr>
          <w:szCs w:val="25"/>
          <w:lang w:val="es-ES_tradnl"/>
        </w:rPr>
        <w:t>g)</w:t>
      </w:r>
      <w:r>
        <w:rPr>
          <w:szCs w:val="25"/>
          <w:lang w:val="es-ES_tradnl"/>
        </w:rPr>
        <w:tab/>
        <w:t>Cursos internacionales;</w:t>
      </w:r>
    </w:p>
    <w:p w:rsidR="00000000" w:rsidRDefault="00000000">
      <w:pPr>
        <w:spacing w:after="240"/>
        <w:ind w:left="1134" w:hanging="567"/>
      </w:pPr>
      <w:r>
        <w:rPr>
          <w:szCs w:val="25"/>
          <w:lang w:val="es-ES_tradnl"/>
        </w:rPr>
        <w:t>h)</w:t>
      </w:r>
      <w:r>
        <w:rPr>
          <w:szCs w:val="25"/>
          <w:lang w:val="es-ES_tradnl"/>
        </w:rPr>
        <w:tab/>
        <w:t>Apoyo a la infraestructura educativa;</w:t>
      </w:r>
    </w:p>
    <w:p w:rsidR="00000000" w:rsidRDefault="00000000">
      <w:pPr>
        <w:spacing w:after="240"/>
        <w:ind w:left="1134" w:hanging="567"/>
      </w:pPr>
      <w:proofErr w:type="spellStart"/>
      <w:r>
        <w:rPr>
          <w:szCs w:val="25"/>
          <w:lang w:val="es-ES_tradnl"/>
        </w:rPr>
        <w:t>i</w:t>
      </w:r>
      <w:proofErr w:type="spellEnd"/>
      <w:r>
        <w:rPr>
          <w:szCs w:val="25"/>
          <w:lang w:val="es-ES_tradnl"/>
        </w:rPr>
        <w:t>)</w:t>
      </w:r>
      <w:r>
        <w:rPr>
          <w:szCs w:val="25"/>
          <w:lang w:val="es-ES_tradnl"/>
        </w:rPr>
        <w:tab/>
        <w:t>Desarrollo de las tecnologías productivas;</w:t>
      </w:r>
    </w:p>
    <w:p w:rsidR="00000000" w:rsidRDefault="00000000">
      <w:pPr>
        <w:spacing w:after="240"/>
        <w:ind w:left="1134" w:hanging="567"/>
      </w:pPr>
      <w:r>
        <w:rPr>
          <w:szCs w:val="25"/>
          <w:lang w:val="es-ES_tradnl"/>
        </w:rPr>
        <w:t>j)</w:t>
      </w:r>
      <w:r>
        <w:rPr>
          <w:szCs w:val="25"/>
          <w:lang w:val="es-ES_tradnl"/>
        </w:rPr>
        <w:tab/>
        <w:t>Implementación de recursos didácticos a centros de producción;</w:t>
      </w:r>
    </w:p>
    <w:p w:rsidR="00000000" w:rsidRDefault="00000000">
      <w:pPr>
        <w:spacing w:after="240"/>
        <w:ind w:left="1134" w:hanging="567"/>
        <w:rPr>
          <w:szCs w:val="25"/>
          <w:lang w:val="es-ES_tradnl"/>
        </w:rPr>
      </w:pPr>
      <w:r>
        <w:rPr>
          <w:szCs w:val="25"/>
          <w:lang w:val="es-ES_tradnl"/>
        </w:rPr>
        <w:t>k)</w:t>
      </w:r>
      <w:r>
        <w:rPr>
          <w:szCs w:val="25"/>
          <w:lang w:val="es-ES_tradnl"/>
        </w:rPr>
        <w:tab/>
        <w:t>Producción de programas de radio y televisión.</w:t>
      </w:r>
    </w:p>
    <w:p w:rsidR="00000000" w:rsidRDefault="00000000">
      <w:pPr>
        <w:spacing w:after="240"/>
      </w:pPr>
      <w:r>
        <w:rPr>
          <w:szCs w:val="25"/>
          <w:lang w:val="es-ES_tradnl"/>
        </w:rPr>
        <w:t>539.</w:t>
      </w:r>
      <w:r>
        <w:rPr>
          <w:szCs w:val="25"/>
          <w:lang w:val="es-ES_tradnl"/>
        </w:rPr>
        <w:tab/>
        <w:t>Evaluación:  la participación de los organismos internacionales en la Educación Intercultural Bilingüe ha constituido un aporte muy valioso para la ejecución de una serie de proyectos educativos orientados al mejoramiento de la calidad de la educación y a la calidad de vida de los pueblos indígenas, sin los cuales habría sido imposible la consecución de los objetivos planteados por la Dirección Nacional de Educación Regular y Especial del Ministerio de Educación y Cultura.</w:t>
      </w:r>
    </w:p>
    <w:p w:rsidR="00000000" w:rsidRDefault="00000000">
      <w:pPr>
        <w:spacing w:after="240"/>
      </w:pPr>
      <w:r>
        <w:rPr>
          <w:szCs w:val="25"/>
          <w:lang w:val="es-ES_tradnl"/>
        </w:rPr>
        <w:t>540.</w:t>
      </w:r>
      <w:r>
        <w:rPr>
          <w:szCs w:val="25"/>
          <w:lang w:val="es-ES_tradnl"/>
        </w:rPr>
        <w:tab/>
        <w:t>Educación especial:  la participación de los organismos internacionales lo hace.  La UNESCO apoya a los programas puntuales como capacitación o equipamiento de algunas instituciones de educación especial.  En la actualidad está apoyando al programa de integración educativa en cuatro instituciones educativas de la ciudad de Quito.</w:t>
      </w:r>
    </w:p>
    <w:p w:rsidR="00000000" w:rsidRDefault="00000000">
      <w:pPr>
        <w:spacing w:after="240"/>
      </w:pPr>
      <w:r>
        <w:rPr>
          <w:szCs w:val="25"/>
          <w:lang w:val="es-ES_tradnl"/>
        </w:rPr>
        <w:t>541.</w:t>
      </w:r>
      <w:r>
        <w:rPr>
          <w:szCs w:val="25"/>
          <w:lang w:val="es-ES_tradnl"/>
        </w:rPr>
        <w:tab/>
        <w:t>CONUEP:  en cuanto a la cooperación internacional que recibe para desarrollar actividades relacionadas con los fines y funciones de las universidades y escuelas politécnicas es muy limitada y lo que existen son esfuerzos del CONUEP y de varias universidades por mantener relaciones o convenios con organismos internacionales y programas concretos que se ejecutan también con países amigos.</w:t>
      </w:r>
    </w:p>
    <w:p w:rsidR="00000000" w:rsidRDefault="00000000">
      <w:pPr>
        <w:spacing w:after="240"/>
      </w:pPr>
      <w:r>
        <w:rPr>
          <w:szCs w:val="25"/>
          <w:lang w:val="es-ES_tradnl"/>
        </w:rPr>
        <w:t>542.</w:t>
      </w:r>
      <w:r>
        <w:rPr>
          <w:szCs w:val="25"/>
          <w:lang w:val="es-ES_tradnl"/>
        </w:rPr>
        <w:tab/>
        <w:t xml:space="preserve">Educación técnica:  fue beneficiaría de los contratos de préstamos 618 </w:t>
      </w:r>
      <w:proofErr w:type="spellStart"/>
      <w:r>
        <w:rPr>
          <w:szCs w:val="25"/>
          <w:lang w:val="es-ES_tradnl"/>
        </w:rPr>
        <w:t>SF/EC</w:t>
      </w:r>
      <w:proofErr w:type="spellEnd"/>
      <w:r>
        <w:rPr>
          <w:szCs w:val="25"/>
          <w:lang w:val="es-ES_tradnl"/>
        </w:rPr>
        <w:t xml:space="preserve"> y 792 </w:t>
      </w:r>
      <w:proofErr w:type="spellStart"/>
      <w:r>
        <w:rPr>
          <w:szCs w:val="25"/>
          <w:lang w:val="es-ES_tradnl"/>
        </w:rPr>
        <w:t>SF/EC</w:t>
      </w:r>
      <w:proofErr w:type="spellEnd"/>
      <w:r>
        <w:rPr>
          <w:szCs w:val="25"/>
          <w:lang w:val="es-ES_tradnl"/>
        </w:rPr>
        <w:t xml:space="preserve"> suscritos entre la República del Ecuador y el BID, para ejecutar los Proyectos de Mejoramiento y Expansión de la Educación Técnica, </w:t>
      </w:r>
      <w:proofErr w:type="spellStart"/>
      <w:r>
        <w:rPr>
          <w:szCs w:val="25"/>
          <w:lang w:val="es-ES_tradnl"/>
        </w:rPr>
        <w:t>PROMEET</w:t>
      </w:r>
      <w:proofErr w:type="spellEnd"/>
      <w:r>
        <w:rPr>
          <w:szCs w:val="25"/>
          <w:lang w:val="es-ES_tradnl"/>
        </w:rPr>
        <w:t xml:space="preserve"> </w:t>
      </w:r>
      <w:proofErr w:type="spellStart"/>
      <w:r>
        <w:rPr>
          <w:szCs w:val="25"/>
          <w:lang w:val="es-ES_tradnl"/>
        </w:rPr>
        <w:t>I</w:t>
      </w:r>
      <w:proofErr w:type="spellEnd"/>
      <w:r>
        <w:rPr>
          <w:szCs w:val="25"/>
          <w:lang w:val="es-ES_tradnl"/>
        </w:rPr>
        <w:t xml:space="preserve"> y II, que permitieron el mejoramiento cualitativo del subsistema y en lo referente a infraestructura, equipamiento y capacitación de los recursos humanos.</w:t>
      </w:r>
    </w:p>
    <w:p w:rsidR="00000000" w:rsidRDefault="00000000">
      <w:pPr>
        <w:spacing w:after="240"/>
      </w:pPr>
      <w:r>
        <w:rPr>
          <w:szCs w:val="25"/>
          <w:lang w:val="es-ES_tradnl"/>
        </w:rPr>
        <w:t>543.</w:t>
      </w:r>
      <w:r>
        <w:rPr>
          <w:szCs w:val="25"/>
          <w:lang w:val="es-ES_tradnl"/>
        </w:rPr>
        <w:tab/>
        <w:t xml:space="preserve">En los próximos días se ejecutará el Proyecto de Fortalecimiento de la Educación Técnica Agropecuaria para la Provincia de Loja con la cooperación bilateral del Gobierno de Bélgica a través de La Asociación Flamenca de Cooperación al Desarrollo y Asistencia Técnica </w:t>
      </w:r>
      <w:proofErr w:type="spellStart"/>
      <w:r>
        <w:rPr>
          <w:szCs w:val="25"/>
          <w:lang w:val="es-ES_tradnl"/>
        </w:rPr>
        <w:t>V:V:O:B</w:t>
      </w:r>
      <w:proofErr w:type="spellEnd"/>
      <w:r>
        <w:rPr>
          <w:szCs w:val="25"/>
          <w:lang w:val="es-ES_tradnl"/>
        </w:rPr>
        <w:t xml:space="preserve"> con un aporte no reembolsable de 1.100.000 dólares.</w:t>
      </w:r>
    </w:p>
    <w:p w:rsidR="00000000" w:rsidRDefault="00000000">
      <w:pPr>
        <w:spacing w:after="240"/>
      </w:pPr>
      <w:r>
        <w:rPr>
          <w:szCs w:val="25"/>
          <w:lang w:val="es-ES_tradnl"/>
        </w:rPr>
        <w:t>544.</w:t>
      </w:r>
      <w:r>
        <w:rPr>
          <w:szCs w:val="25"/>
          <w:lang w:val="es-ES_tradnl"/>
        </w:rPr>
        <w:tab/>
        <w:t>Pese a los esfuerzos de expansión realizados, sobre todo en las áreas rural y de educación técnica, con la ejecución de los proyectos AMER-</w:t>
      </w:r>
      <w:proofErr w:type="spellStart"/>
      <w:r>
        <w:rPr>
          <w:szCs w:val="25"/>
          <w:lang w:val="es-ES_tradnl"/>
        </w:rPr>
        <w:t>PROMEET</w:t>
      </w:r>
      <w:proofErr w:type="spellEnd"/>
      <w:r>
        <w:rPr>
          <w:szCs w:val="25"/>
          <w:lang w:val="es-ES_tradnl"/>
        </w:rPr>
        <w:t xml:space="preserve"> PROMECEB y del </w:t>
      </w:r>
      <w:proofErr w:type="spellStart"/>
      <w:r>
        <w:rPr>
          <w:szCs w:val="25"/>
          <w:lang w:val="es-ES_tradnl"/>
        </w:rPr>
        <w:t>EB</w:t>
      </w:r>
      <w:proofErr w:type="spellEnd"/>
      <w:r>
        <w:rPr>
          <w:szCs w:val="25"/>
          <w:lang w:val="es-ES_tradnl"/>
        </w:rPr>
        <w:t>-</w:t>
      </w:r>
      <w:proofErr w:type="spellStart"/>
      <w:r>
        <w:rPr>
          <w:szCs w:val="25"/>
          <w:lang w:val="es-ES_tradnl"/>
        </w:rPr>
        <w:t>PRODEC</w:t>
      </w:r>
      <w:proofErr w:type="spellEnd"/>
      <w:r>
        <w:rPr>
          <w:szCs w:val="25"/>
          <w:lang w:val="es-ES_tradnl"/>
        </w:rPr>
        <w:t>, los déficit de los locales escolares, equipamientos, textos y tecnología educativa son enormes</w:t>
      </w:r>
      <w:r>
        <w:rPr>
          <w:rStyle w:val="FootnoteReference"/>
          <w:szCs w:val="25"/>
          <w:lang w:val="es-ES_tradnl"/>
        </w:rPr>
        <w:footnoteReference w:id="78"/>
      </w:r>
      <w:r>
        <w:rPr>
          <w:szCs w:val="25"/>
          <w:lang w:val="es-ES_tradnl"/>
        </w:rPr>
        <w:t>.</w:t>
      </w:r>
    </w:p>
    <w:p w:rsidR="00000000" w:rsidRDefault="00000000">
      <w:pPr>
        <w:spacing w:after="240"/>
      </w:pPr>
      <w:r>
        <w:rPr>
          <w:b/>
          <w:bCs/>
          <w:szCs w:val="28"/>
          <w:lang w:val="es-ES_tradnl"/>
        </w:rPr>
        <w:t>Artículo 14</w:t>
      </w:r>
    </w:p>
    <w:p w:rsidR="00000000" w:rsidRDefault="00000000">
      <w:pPr>
        <w:spacing w:after="240"/>
      </w:pPr>
      <w:r>
        <w:rPr>
          <w:b/>
          <w:bCs/>
          <w:szCs w:val="25"/>
          <w:lang w:val="es-ES_tradnl"/>
        </w:rPr>
        <w:t>Educación básica gratuita</w:t>
      </w:r>
    </w:p>
    <w:p w:rsidR="00000000" w:rsidRDefault="00000000">
      <w:pPr>
        <w:spacing w:after="240"/>
      </w:pPr>
      <w:r>
        <w:rPr>
          <w:szCs w:val="25"/>
          <w:lang w:val="es-ES_tradnl"/>
        </w:rPr>
        <w:t>545.</w:t>
      </w:r>
      <w:r>
        <w:rPr>
          <w:szCs w:val="25"/>
          <w:lang w:val="es-ES_tradnl"/>
        </w:rPr>
        <w:tab/>
        <w:t>Como se mencionó en la parte correspondiente al artículo 13 de este informe, la Constitución Política del Ecuador vigente en su artículo 67 señala la gratuidad de la educación para todos los ecuatorianos:  "La educación pública será laica en todos sus niveles; obligatoria hasta el nivel básico, y gratuita hasta el bachillerato o su equivalente.  En los establecimientos públicos se proporcionarán, sin costo, servicios de carácter social a quienes los necesiten.  Los estudiantes en situación de extrema pobreza recibirán subsidios específicos".</w:t>
      </w:r>
    </w:p>
    <w:p w:rsidR="00000000" w:rsidRDefault="00000000">
      <w:pPr>
        <w:spacing w:after="240"/>
        <w:rPr>
          <w:b/>
          <w:bCs/>
        </w:rPr>
      </w:pPr>
      <w:r>
        <w:rPr>
          <w:b/>
          <w:bCs/>
          <w:lang w:val="es-ES_tradnl"/>
        </w:rPr>
        <w:t>Artículo 15</w:t>
      </w:r>
    </w:p>
    <w:p w:rsidR="00000000" w:rsidRDefault="00000000">
      <w:pPr>
        <w:spacing w:after="240"/>
      </w:pPr>
      <w:r>
        <w:rPr>
          <w:b/>
          <w:bCs/>
          <w:szCs w:val="25"/>
          <w:lang w:val="es-ES_tradnl"/>
        </w:rPr>
        <w:t>Promoción de la cultura</w:t>
      </w:r>
    </w:p>
    <w:p w:rsidR="00000000" w:rsidRDefault="00000000">
      <w:pPr>
        <w:spacing w:after="240"/>
      </w:pPr>
      <w:r>
        <w:rPr>
          <w:szCs w:val="25"/>
          <w:lang w:val="es-ES_tradnl"/>
        </w:rPr>
        <w:t>546.</w:t>
      </w:r>
      <w:r>
        <w:rPr>
          <w:szCs w:val="25"/>
          <w:lang w:val="es-ES_tradnl"/>
        </w:rPr>
        <w:tab/>
        <w:t>El Estado ecuatoriano dispone que el Consejo Nacional de Cultura sea el encargado de la promoción de la identidad cultural.  Para lograr este objetivo se sirve principalmente del Fondo Nacional de Cultura (FONCULTURA), el cual tiene las siguientes características y funciones:</w:t>
      </w:r>
    </w:p>
    <w:p w:rsidR="00000000" w:rsidRDefault="00000000">
      <w:pPr>
        <w:spacing w:after="240"/>
        <w:ind w:left="1134" w:hanging="567"/>
      </w:pPr>
      <w:r>
        <w:rPr>
          <w:szCs w:val="25"/>
          <w:lang w:val="es-ES_tradnl"/>
        </w:rPr>
        <w:t>a)</w:t>
      </w:r>
      <w:r>
        <w:rPr>
          <w:szCs w:val="25"/>
          <w:lang w:val="es-ES_tradnl"/>
        </w:rPr>
        <w:tab/>
        <w:t>Es un fondo destinado a financiar la ejecución de proyectos culturales de interés nacional o regional a través del otorgamiento de créditos en condiciones financieras mejores que las del mercado;</w:t>
      </w:r>
    </w:p>
    <w:p w:rsidR="00000000" w:rsidRDefault="00000000">
      <w:pPr>
        <w:spacing w:after="240"/>
        <w:ind w:left="1134" w:hanging="567"/>
      </w:pPr>
      <w:r>
        <w:rPr>
          <w:szCs w:val="25"/>
          <w:lang w:val="es-ES_tradnl"/>
        </w:rPr>
        <w:t>b)</w:t>
      </w:r>
      <w:r>
        <w:rPr>
          <w:szCs w:val="25"/>
          <w:lang w:val="es-ES_tradnl"/>
        </w:rPr>
        <w:tab/>
        <w:t>Tiene como objetivos el fomentar la creación, interpretación y producción de bienes culturales en el campo de las artes musicales, artes escénicas, artes plásticas, letras, artes audiovisuales, electrónicas y arte popular.</w:t>
      </w:r>
    </w:p>
    <w:p w:rsidR="00000000" w:rsidRDefault="00000000">
      <w:pPr>
        <w:spacing w:after="240"/>
      </w:pPr>
      <w:r>
        <w:rPr>
          <w:szCs w:val="25"/>
        </w:rPr>
        <w:t>547.</w:t>
      </w:r>
      <w:r>
        <w:rPr>
          <w:szCs w:val="25"/>
        </w:rPr>
        <w:tab/>
      </w:r>
      <w:r>
        <w:rPr>
          <w:szCs w:val="25"/>
          <w:lang w:val="es-ES_tradnl"/>
        </w:rPr>
        <w:t>Son beneficiarios de los créditos del Fondo:  artistas, intelectuales, productores, diseñadores, fundaciones, organizaciones, asociaciones y gremios públicos o privados del Ecuador dedicados a la actividad cultural.</w:t>
      </w:r>
    </w:p>
    <w:p w:rsidR="00000000" w:rsidRDefault="00000000">
      <w:pPr>
        <w:spacing w:after="240"/>
      </w:pPr>
      <w:r>
        <w:rPr>
          <w:szCs w:val="25"/>
        </w:rPr>
        <w:t>548.</w:t>
      </w:r>
      <w:r>
        <w:rPr>
          <w:szCs w:val="25"/>
        </w:rPr>
        <w:tab/>
      </w:r>
      <w:r>
        <w:rPr>
          <w:szCs w:val="25"/>
          <w:lang w:val="es-ES_tradnl"/>
        </w:rPr>
        <w:t>El Fondo financia créditos en condiciones blandas de endeudamiento, con un interés preferencial, pagos de uno a diez años, con períodos de gracia de uno a tres años, mediante cuotas trimestrales o semestrales sobre saldos vencidos.</w:t>
      </w:r>
    </w:p>
    <w:p w:rsidR="00000000" w:rsidRDefault="00000000">
      <w:pPr>
        <w:spacing w:after="240"/>
      </w:pPr>
      <w:r>
        <w:rPr>
          <w:szCs w:val="25"/>
        </w:rPr>
        <w:t>549.</w:t>
      </w:r>
      <w:r>
        <w:rPr>
          <w:szCs w:val="25"/>
        </w:rPr>
        <w:tab/>
      </w:r>
      <w:r>
        <w:rPr>
          <w:szCs w:val="25"/>
          <w:lang w:val="es-ES_tradnl"/>
        </w:rPr>
        <w:t>Brinda asesoramiento, capacitación y promoción en la elaboración de proyectos culturales, para que los objetivos propuestos en el proyecto tengan el éxito deseado.  Para ser beneficiario de un crédito se debe llenar un formulario de presentación del proyecto y cumplir con los requisitos establecidos en el Reglamento del Fondo Nacional de Cultura.</w:t>
      </w:r>
    </w:p>
    <w:p w:rsidR="00000000" w:rsidRDefault="00000000">
      <w:pPr>
        <w:spacing w:after="240"/>
      </w:pPr>
      <w:r>
        <w:rPr>
          <w:szCs w:val="25"/>
          <w:lang w:val="es-ES_tradnl"/>
        </w:rPr>
        <w:t>550.</w:t>
      </w:r>
      <w:r>
        <w:rPr>
          <w:szCs w:val="25"/>
          <w:lang w:val="es-ES_tradnl"/>
        </w:rPr>
        <w:tab/>
        <w:t>También es importante la presentación de un plan operativo y presupuestario de las actividades culturales propuestas.  Con este fin, el Consejo Nacional de Cultura ha implementado el Plan de Acción de Desarrollo Cultural (1997-1998), el cual se enmarca dentro del Plan de Desarrollo Cultural Ecuatoriano a Mediano Plazo (1991-2000), y en concordancia con dicho Plan sustenta las políticas y acciones culturales tendientes a llenar los vacíos e ineficiencias detectadas en el esquema global de la institucionalidad cultural del país, en los campos de la difusión, promoción, información, registro, capacitación, planificación y financiamiento de las actividades culturales.</w:t>
      </w:r>
    </w:p>
    <w:p w:rsidR="00000000" w:rsidRDefault="00000000">
      <w:pPr>
        <w:spacing w:after="240"/>
      </w:pPr>
      <w:r>
        <w:rPr>
          <w:szCs w:val="25"/>
          <w:lang w:val="es-ES_tradnl"/>
        </w:rPr>
        <w:t>551.</w:t>
      </w:r>
      <w:r>
        <w:rPr>
          <w:szCs w:val="25"/>
          <w:lang w:val="es-ES_tradnl"/>
        </w:rPr>
        <w:tab/>
        <w:t>Llevar a la práctica estas políticas, a través de FONCULTURA mediante la ejecución de los proyectos que componen el Plan de Acción, supone necesariamente la colaboración de los sectores público y privado, y contempla la puesta en marcha de los fondos y proyectos que se describen a continuación:</w:t>
      </w:r>
    </w:p>
    <w:p w:rsidR="00000000" w:rsidRDefault="00000000">
      <w:pPr>
        <w:spacing w:after="240"/>
        <w:ind w:left="1134" w:hanging="567"/>
      </w:pPr>
      <w:r>
        <w:rPr>
          <w:szCs w:val="25"/>
          <w:lang w:val="es-ES_tradnl"/>
        </w:rPr>
        <w:t>a)</w:t>
      </w:r>
      <w:r>
        <w:rPr>
          <w:szCs w:val="25"/>
          <w:lang w:val="es-ES_tradnl"/>
        </w:rPr>
        <w:tab/>
        <w:t xml:space="preserve">Fondo Editorial de la Casa de la Cultura, que comprende la coedición con la Casa de la Cultura Ecuatoriana "Benjamín Carrión" de diversas series y colecciones, en su mayoría de carácter antológico acerca de:  la narrativa, literatura infantil, tradición oral </w:t>
      </w:r>
      <w:proofErr w:type="spellStart"/>
      <w:r>
        <w:rPr>
          <w:szCs w:val="25"/>
          <w:lang w:val="es-ES_tradnl"/>
        </w:rPr>
        <w:t>afroecuatoriana</w:t>
      </w:r>
      <w:proofErr w:type="spellEnd"/>
      <w:r>
        <w:rPr>
          <w:szCs w:val="25"/>
          <w:lang w:val="es-ES_tradnl"/>
        </w:rPr>
        <w:t xml:space="preserve">, tradición </w:t>
      </w:r>
      <w:proofErr w:type="spellStart"/>
      <w:r>
        <w:rPr>
          <w:szCs w:val="25"/>
          <w:lang w:val="es-ES_tradnl"/>
        </w:rPr>
        <w:t>shamánica</w:t>
      </w:r>
      <w:proofErr w:type="spellEnd"/>
      <w:r>
        <w:rPr>
          <w:szCs w:val="25"/>
          <w:lang w:val="es-ES_tradnl"/>
        </w:rPr>
        <w:t>, biografías de grandes creadores de la literatura ecuatoriana, folclore en el Ecuador, cultura popular y la Revista Nacional de Cultura.  Estas series y coediciones se editarán en dos idiomas, español e inglés.</w:t>
      </w:r>
    </w:p>
    <w:p w:rsidR="00000000" w:rsidRDefault="00000000">
      <w:pPr>
        <w:spacing w:after="240"/>
        <w:ind w:left="1134" w:hanging="567"/>
      </w:pPr>
      <w:r>
        <w:rPr>
          <w:szCs w:val="25"/>
          <w:lang w:val="es-ES_tradnl"/>
        </w:rPr>
        <w:t>b)</w:t>
      </w:r>
      <w:r>
        <w:rPr>
          <w:szCs w:val="25"/>
          <w:lang w:val="es-ES_tradnl"/>
        </w:rPr>
        <w:tab/>
        <w:t>Fondo Videográfico de la Cultura Ecuatoriana, prevista su coproducción con la Subsecretaría de Cultura y la Secretaría Nacional de Comunicación.  Estará constituido inicialmente por los registros que conformarán el Archivo Biográfico de Grandes Creadores del Ecuador, así como la realización de archivos audiovisuales de eventos y de la cultura popular.  La difusión de este material se la realizará en el ámbito nacional e internacional.</w:t>
      </w:r>
    </w:p>
    <w:p w:rsidR="00000000" w:rsidRDefault="00000000">
      <w:pPr>
        <w:spacing w:after="240"/>
        <w:ind w:left="1134" w:hanging="567"/>
      </w:pPr>
      <w:r>
        <w:rPr>
          <w:szCs w:val="25"/>
          <w:lang w:val="es-ES_tradnl"/>
        </w:rPr>
        <w:t>c)</w:t>
      </w:r>
      <w:r>
        <w:rPr>
          <w:szCs w:val="25"/>
          <w:lang w:val="es-ES_tradnl"/>
        </w:rPr>
        <w:tab/>
        <w:t>Fondo Informático de la Cultura Ecuatoriana.  Mediante soportes electromagnéticos y con los aportes de las investigaciones de los diversos proyectos que conforman el Plan de Acción se producirán y difundirán a escala nacional e internacional libros y revistas electrónicos.  Este fondo se iniciará con la producción de la obra de Benjamín Carrión.  Posteriormente, las principales ediciones del fondo editorial tendrán también su versión electrónica.</w:t>
      </w:r>
    </w:p>
    <w:p w:rsidR="00000000" w:rsidRDefault="00000000">
      <w:pPr>
        <w:spacing w:after="240"/>
        <w:ind w:left="1134" w:hanging="567"/>
      </w:pPr>
      <w:r>
        <w:rPr>
          <w:szCs w:val="25"/>
          <w:lang w:val="es-ES_tradnl"/>
        </w:rPr>
        <w:t>d)</w:t>
      </w:r>
      <w:r>
        <w:rPr>
          <w:szCs w:val="25"/>
          <w:lang w:val="es-ES_tradnl"/>
        </w:rPr>
        <w:tab/>
        <w:t>Fondo Musical de la Cultura Ecuatoriana, que estará constituido por registros sonoros en discos compactos y casetes audio de las creaciones de la música ecuatoriana contemporánea, académica, popular, tradicional, moderna y folclórica, para su difusión nacional e internacional.</w:t>
      </w:r>
    </w:p>
    <w:p w:rsidR="00000000" w:rsidRDefault="00000000">
      <w:pPr>
        <w:spacing w:after="240"/>
        <w:ind w:left="1134" w:hanging="567"/>
      </w:pPr>
      <w:r>
        <w:rPr>
          <w:szCs w:val="25"/>
          <w:lang w:val="es-ES_tradnl"/>
        </w:rPr>
        <w:t>e)</w:t>
      </w:r>
      <w:r>
        <w:rPr>
          <w:szCs w:val="25"/>
          <w:lang w:val="es-ES_tradnl"/>
        </w:rPr>
        <w:tab/>
        <w:t xml:space="preserve">Proyecto de Entrega del Primer Premio Latinoamericano de la Cultura, a través de un premio anual a una gran personalidad de la cultura latinoamericana.  Se organizarán una serie de eventos en el ámbito local como entrevistas, </w:t>
      </w:r>
      <w:proofErr w:type="spellStart"/>
      <w:r>
        <w:rPr>
          <w:szCs w:val="25"/>
          <w:lang w:val="es-ES_tradnl"/>
        </w:rPr>
        <w:t>conversatorios</w:t>
      </w:r>
      <w:proofErr w:type="spellEnd"/>
      <w:r>
        <w:rPr>
          <w:szCs w:val="25"/>
          <w:lang w:val="es-ES_tradnl"/>
        </w:rPr>
        <w:t xml:space="preserve"> con la comunidad de intelectuales y artistas, foros, recitales, festivales de cine o muestras de artes plásticas de carácter abierto.  Estas actividades tendrán un registro audiovisual.</w:t>
      </w:r>
    </w:p>
    <w:p w:rsidR="00000000" w:rsidRDefault="00000000">
      <w:pPr>
        <w:spacing w:after="240"/>
        <w:ind w:left="1134" w:hanging="567"/>
      </w:pPr>
      <w:r>
        <w:rPr>
          <w:szCs w:val="25"/>
          <w:lang w:val="es-ES_tradnl"/>
        </w:rPr>
        <w:t>f)</w:t>
      </w:r>
      <w:r>
        <w:rPr>
          <w:szCs w:val="25"/>
          <w:lang w:val="es-ES_tradnl"/>
        </w:rPr>
        <w:tab/>
        <w:t xml:space="preserve">Proyecto Autogestionario de las Culturas Étnicas, que busca desarrollar y consolidar las culturas de los sectores étnicos, abrir un espacio al reconocimiento del carácter </w:t>
      </w:r>
      <w:proofErr w:type="spellStart"/>
      <w:r>
        <w:rPr>
          <w:szCs w:val="25"/>
          <w:lang w:val="es-ES_tradnl"/>
        </w:rPr>
        <w:t>pluricultural</w:t>
      </w:r>
      <w:proofErr w:type="spellEnd"/>
      <w:r>
        <w:rPr>
          <w:szCs w:val="25"/>
          <w:lang w:val="es-ES_tradnl"/>
        </w:rPr>
        <w:t xml:space="preserve"> y plurinacional del país a través de la ejecución de varias acciones:  producción de discos compactos de música indígena y </w:t>
      </w:r>
      <w:proofErr w:type="spellStart"/>
      <w:r>
        <w:rPr>
          <w:szCs w:val="25"/>
          <w:lang w:val="es-ES_tradnl"/>
        </w:rPr>
        <w:t>afroecuatoriana</w:t>
      </w:r>
      <w:proofErr w:type="spellEnd"/>
      <w:r>
        <w:rPr>
          <w:szCs w:val="25"/>
          <w:lang w:val="es-ES_tradnl"/>
        </w:rPr>
        <w:t xml:space="preserve">, documental sobre las mujeres indígenas curanderas, publicación de una antología de la obra de escritores indígenas, difusión de las mejores producciones del Festival de las Naciones de </w:t>
      </w:r>
      <w:proofErr w:type="spellStart"/>
      <w:r>
        <w:rPr>
          <w:szCs w:val="25"/>
          <w:lang w:val="es-ES_tradnl"/>
        </w:rPr>
        <w:t>Abya</w:t>
      </w:r>
      <w:proofErr w:type="spellEnd"/>
      <w:r>
        <w:rPr>
          <w:szCs w:val="25"/>
          <w:lang w:val="es-ES_tradnl"/>
        </w:rPr>
        <w:t xml:space="preserve"> </w:t>
      </w:r>
      <w:proofErr w:type="spellStart"/>
      <w:r>
        <w:rPr>
          <w:szCs w:val="25"/>
          <w:lang w:val="es-ES_tradnl"/>
        </w:rPr>
        <w:t>Yala</w:t>
      </w:r>
      <w:proofErr w:type="spellEnd"/>
      <w:r>
        <w:rPr>
          <w:szCs w:val="25"/>
          <w:lang w:val="es-ES_tradnl"/>
        </w:rPr>
        <w:t xml:space="preserve"> y recopilación de las tradiciones </w:t>
      </w:r>
      <w:proofErr w:type="spellStart"/>
      <w:r>
        <w:rPr>
          <w:szCs w:val="25"/>
          <w:lang w:val="es-ES_tradnl"/>
        </w:rPr>
        <w:t>afroecuatorianas</w:t>
      </w:r>
      <w:proofErr w:type="spellEnd"/>
      <w:r>
        <w:rPr>
          <w:szCs w:val="25"/>
          <w:lang w:val="es-ES_tradnl"/>
        </w:rPr>
        <w:t xml:space="preserve"> de la Sierra.</w:t>
      </w:r>
    </w:p>
    <w:p w:rsidR="00000000" w:rsidRDefault="00000000">
      <w:pPr>
        <w:spacing w:after="240"/>
        <w:ind w:left="1134" w:hanging="567"/>
      </w:pPr>
      <w:r>
        <w:rPr>
          <w:szCs w:val="25"/>
          <w:lang w:val="es-ES_tradnl"/>
        </w:rPr>
        <w:t>g)</w:t>
      </w:r>
      <w:r>
        <w:rPr>
          <w:szCs w:val="25"/>
          <w:lang w:val="es-ES_tradnl"/>
        </w:rPr>
        <w:tab/>
        <w:t>Proyecto de Producción y Difusión Editorial, que se basa en el trabajo de la Comisión Permanente de Conmemoraciones Cívicas cuya sede es la Cancillería.  Se han editado diversas publicaciones sobre los personajes más importantes de la vida nacional.  En el año 2000 se editaron ejemplares para distribuirlos en colegios e institutos.  En 2002 se ha editado un libro sobre los principales artistas contemporáneos y otro sobre la riqueza cultural del Ecuador.</w:t>
      </w:r>
    </w:p>
    <w:p w:rsidR="00000000" w:rsidRDefault="00000000">
      <w:pPr>
        <w:spacing w:after="240"/>
        <w:ind w:left="1134" w:hanging="567"/>
      </w:pPr>
      <w:r>
        <w:rPr>
          <w:szCs w:val="25"/>
          <w:lang w:val="es-ES_tradnl"/>
        </w:rPr>
        <w:t>h)</w:t>
      </w:r>
      <w:r>
        <w:rPr>
          <w:szCs w:val="25"/>
          <w:lang w:val="es-ES_tradnl"/>
        </w:rPr>
        <w:tab/>
        <w:t>Proyecto de Formación Profesional para el Desarrollo Cultural, que organizará eventos para la formación y perfeccionamiento de los recursos humanos encargados de las actividades culturales del país.  Mediante un convenio con la Universidad de Cuenca se financiaron los estudios para implementar la carrera de Gerencia en Administración Cultural.</w:t>
      </w:r>
    </w:p>
    <w:p w:rsidR="00000000" w:rsidRDefault="00000000">
      <w:pPr>
        <w:spacing w:after="240"/>
        <w:ind w:left="1134" w:hanging="567"/>
      </w:pPr>
      <w:proofErr w:type="spellStart"/>
      <w:r>
        <w:rPr>
          <w:szCs w:val="25"/>
          <w:lang w:val="es-ES_tradnl"/>
        </w:rPr>
        <w:t>i</w:t>
      </w:r>
      <w:proofErr w:type="spellEnd"/>
      <w:r>
        <w:rPr>
          <w:szCs w:val="25"/>
          <w:lang w:val="es-ES_tradnl"/>
        </w:rPr>
        <w:t>)</w:t>
      </w:r>
      <w:r>
        <w:rPr>
          <w:szCs w:val="25"/>
          <w:lang w:val="es-ES_tradnl"/>
        </w:rPr>
        <w:tab/>
        <w:t xml:space="preserve">Proyecto de Capacitación en Instrumentos de Planificación, consiste en la realización de cursos de alto nivel en planificación </w:t>
      </w:r>
      <w:proofErr w:type="spellStart"/>
      <w:r>
        <w:rPr>
          <w:szCs w:val="25"/>
          <w:lang w:val="es-ES_tradnl"/>
        </w:rPr>
        <w:t>ZOPP</w:t>
      </w:r>
      <w:proofErr w:type="spellEnd"/>
      <w:r>
        <w:rPr>
          <w:szCs w:val="25"/>
          <w:lang w:val="es-ES_tradnl"/>
        </w:rPr>
        <w:t xml:space="preserve"> y de programación y seguimiento de proyectos utilizando Microsoft Project, destinado a planificadores culturales.</w:t>
      </w:r>
    </w:p>
    <w:p w:rsidR="00000000" w:rsidRDefault="00000000">
      <w:pPr>
        <w:spacing w:after="240"/>
      </w:pPr>
      <w:r>
        <w:rPr>
          <w:szCs w:val="25"/>
          <w:lang w:val="es-ES_tradnl"/>
        </w:rPr>
        <w:t>552.</w:t>
      </w:r>
      <w:r>
        <w:rPr>
          <w:szCs w:val="25"/>
          <w:lang w:val="es-ES_tradnl"/>
        </w:rPr>
        <w:tab/>
        <w:t>El Banco Central, a través de la Junta Monetaria, ha dictado varias regulaciones tendientes ha generar recursos para el desarrollo cultural, por otro lado, el Gobierno nacional ha incrementado el valor de los premios al mérito cultural de 30 a 60 millones de sucres, extendiéndolo además a recibirlo el cónyuge, o los hijos menores de 18 años si es que el favorecido hubiera fallecido.</w:t>
      </w:r>
    </w:p>
    <w:p w:rsidR="00000000" w:rsidRDefault="00000000">
      <w:pPr>
        <w:spacing w:after="240"/>
      </w:pPr>
      <w:r>
        <w:rPr>
          <w:szCs w:val="25"/>
        </w:rPr>
        <w:t>553.</w:t>
      </w:r>
      <w:r>
        <w:rPr>
          <w:szCs w:val="25"/>
        </w:rPr>
        <w:tab/>
      </w:r>
      <w:r>
        <w:rPr>
          <w:szCs w:val="25"/>
          <w:lang w:val="es-ES_tradnl"/>
        </w:rPr>
        <w:t>Otro de los fondos importantes es la asignación de 7.000 millones de sucres para la producción de textos escolares con cargo al Fondo de Solidaridad, para cada ejercicio fiscal.</w:t>
      </w:r>
    </w:p>
    <w:p w:rsidR="00000000" w:rsidRDefault="00000000">
      <w:pPr>
        <w:spacing w:after="240"/>
        <w:rPr>
          <w:i/>
          <w:iCs/>
        </w:rPr>
      </w:pPr>
      <w:r>
        <w:rPr>
          <w:i/>
          <w:iCs/>
          <w:szCs w:val="25"/>
          <w:lang w:val="es-ES_tradnl"/>
        </w:rPr>
        <w:t>Sociedad y cultura</w:t>
      </w:r>
    </w:p>
    <w:p w:rsidR="00000000" w:rsidRDefault="00000000">
      <w:pPr>
        <w:spacing w:after="240"/>
      </w:pPr>
      <w:r>
        <w:rPr>
          <w:szCs w:val="25"/>
          <w:lang w:val="es-ES_tradnl"/>
        </w:rPr>
        <w:t>554.</w:t>
      </w:r>
      <w:r>
        <w:rPr>
          <w:szCs w:val="25"/>
          <w:lang w:val="es-ES_tradnl"/>
        </w:rPr>
        <w:tab/>
        <w:t xml:space="preserve">En la Ley de cultura </w:t>
      </w:r>
      <w:proofErr w:type="spellStart"/>
      <w:r>
        <w:rPr>
          <w:szCs w:val="25"/>
          <w:lang w:val="es-ES_tradnl"/>
        </w:rPr>
        <w:t>Nº</w:t>
      </w:r>
      <w:proofErr w:type="spellEnd"/>
      <w:r>
        <w:rPr>
          <w:szCs w:val="25"/>
          <w:lang w:val="es-ES_tradnl"/>
        </w:rPr>
        <w:t xml:space="preserve"> 181, publicada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805, del 10 de </w:t>
      </w:r>
      <w:r>
        <w:t>agosto 1984,</w:t>
      </w:r>
      <w:r>
        <w:rPr>
          <w:szCs w:val="25"/>
          <w:lang w:val="es-ES_tradnl"/>
        </w:rPr>
        <w:t xml:space="preserve"> y en el Reglamento a dicha ley según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449, de 3 de junio de 1986, en el artículo 1 se establece el Sistema Institucional de la Cultura Ecuatoriana al señalar que "los órganos del Sistema son:</w:t>
      </w:r>
    </w:p>
    <w:p w:rsidR="00000000" w:rsidRDefault="00000000">
      <w:pPr>
        <w:spacing w:after="240"/>
        <w:ind w:left="1134" w:hanging="567"/>
      </w:pPr>
      <w:r>
        <w:rPr>
          <w:szCs w:val="25"/>
          <w:lang w:val="es-ES_tradnl"/>
        </w:rPr>
        <w:t>a)</w:t>
      </w:r>
      <w:r>
        <w:rPr>
          <w:szCs w:val="25"/>
          <w:lang w:val="es-ES_tradnl"/>
        </w:rPr>
        <w:tab/>
        <w:t>El Ministerio de Educación y Cultura;</w:t>
      </w:r>
    </w:p>
    <w:p w:rsidR="00000000" w:rsidRDefault="00000000">
      <w:pPr>
        <w:spacing w:after="240"/>
        <w:ind w:left="1134" w:hanging="567"/>
      </w:pPr>
      <w:r>
        <w:rPr>
          <w:szCs w:val="25"/>
          <w:lang w:val="es-ES_tradnl"/>
        </w:rPr>
        <w:t>b)</w:t>
      </w:r>
      <w:r>
        <w:rPr>
          <w:szCs w:val="25"/>
          <w:lang w:val="es-ES_tradnl"/>
        </w:rPr>
        <w:tab/>
        <w:t>El Consejo Nacional de Cultura;</w:t>
      </w:r>
    </w:p>
    <w:p w:rsidR="00000000" w:rsidRDefault="00000000">
      <w:pPr>
        <w:spacing w:after="240"/>
        <w:ind w:left="1134" w:hanging="567"/>
        <w:rPr>
          <w:szCs w:val="25"/>
          <w:lang w:val="es-ES_tradnl"/>
        </w:rPr>
      </w:pPr>
      <w:r>
        <w:rPr>
          <w:szCs w:val="25"/>
          <w:lang w:val="es-ES_tradnl"/>
        </w:rPr>
        <w:t>c)</w:t>
      </w:r>
      <w:r>
        <w:rPr>
          <w:szCs w:val="25"/>
          <w:lang w:val="es-ES_tradnl"/>
        </w:rPr>
        <w:tab/>
        <w:t>La Casa de Cultura Ecuatoriana;</w:t>
      </w:r>
    </w:p>
    <w:p w:rsidR="00000000" w:rsidRDefault="00000000">
      <w:pPr>
        <w:spacing w:after="240"/>
        <w:ind w:left="1134" w:hanging="567"/>
      </w:pPr>
      <w:r>
        <w:rPr>
          <w:szCs w:val="25"/>
          <w:lang w:val="es-ES_tradnl"/>
        </w:rPr>
        <w:t>d)</w:t>
      </w:r>
      <w:r>
        <w:rPr>
          <w:szCs w:val="25"/>
          <w:lang w:val="es-ES_tradnl"/>
        </w:rPr>
        <w:tab/>
        <w:t>El Instituto de Patrimonio Cultural; y</w:t>
      </w:r>
    </w:p>
    <w:p w:rsidR="00000000" w:rsidRDefault="00000000">
      <w:pPr>
        <w:spacing w:after="240"/>
        <w:ind w:left="1134" w:hanging="567"/>
      </w:pPr>
      <w:r>
        <w:rPr>
          <w:szCs w:val="25"/>
          <w:lang w:val="es-ES_tradnl"/>
        </w:rPr>
        <w:t>e)</w:t>
      </w:r>
      <w:r>
        <w:rPr>
          <w:szCs w:val="25"/>
          <w:lang w:val="es-ES_tradnl"/>
        </w:rPr>
        <w:tab/>
        <w:t>Las demás instituciones del sector público y privado que realizan actividad cultural entre las que se incluyen los Consejos Nacionales de Archivos, Bibliotecas y Museos".</w:t>
      </w:r>
    </w:p>
    <w:p w:rsidR="00000000" w:rsidRDefault="00000000">
      <w:pPr>
        <w:spacing w:after="240"/>
      </w:pPr>
      <w:r>
        <w:rPr>
          <w:szCs w:val="25"/>
          <w:lang w:val="es-ES_tradnl"/>
        </w:rPr>
        <w:t>555.</w:t>
      </w:r>
      <w:r>
        <w:rPr>
          <w:szCs w:val="25"/>
          <w:lang w:val="es-ES_tradnl"/>
        </w:rPr>
        <w:tab/>
        <w:t>En cuanto al Ministerio de Educación y Cultura el artículo 2 del Reglamento señala que "las funciones asignadas al Ministerio, en los artículos 3 y 4 de la Ley de cultura, serán ejercidas por la Subsecretaría de Cultura de dicho Ministerio", la cual además, deberá "ejecutar los lineamientos y programas culturales contemplados en el Plan Nacional de Desarrollo".</w:t>
      </w:r>
    </w:p>
    <w:p w:rsidR="00000000" w:rsidRDefault="00000000">
      <w:pPr>
        <w:spacing w:after="240"/>
      </w:pPr>
      <w:r>
        <w:rPr>
          <w:szCs w:val="25"/>
          <w:lang w:val="es-ES_tradnl"/>
        </w:rPr>
        <w:t>556.</w:t>
      </w:r>
      <w:r>
        <w:rPr>
          <w:szCs w:val="25"/>
          <w:lang w:val="es-ES_tradnl"/>
        </w:rPr>
        <w:tab/>
        <w:t>El artículo 3 incorpora dentro de la Subsecretaría de Cultura al Consejo Nacional de Cultura, caracterizándolo como el organismo ejecutor de las políticas de cultura, y entre otras de las funciones que se le asigna, se destaca la siguiente del artículo 10:  "Aprobar y reformar un plan general plurianual relativo al sector cultural en el que se identificarán con claridad subsectores culturales, cuidando del desarrollo equilibrado de la cultura en todas las regiones del país".</w:t>
      </w:r>
    </w:p>
    <w:p w:rsidR="00000000" w:rsidRDefault="00000000">
      <w:pPr>
        <w:spacing w:after="240"/>
      </w:pPr>
      <w:r>
        <w:rPr>
          <w:szCs w:val="25"/>
          <w:lang w:val="es-ES_tradnl"/>
        </w:rPr>
        <w:t>557.</w:t>
      </w:r>
      <w:r>
        <w:rPr>
          <w:szCs w:val="25"/>
          <w:lang w:val="es-ES_tradnl"/>
        </w:rPr>
        <w:tab/>
        <w:t xml:space="preserve">En cuanto a la Casa de la Cultura, la Ley reformatoria </w:t>
      </w:r>
      <w:proofErr w:type="spellStart"/>
      <w:r>
        <w:rPr>
          <w:szCs w:val="25"/>
          <w:lang w:val="es-ES_tradnl"/>
        </w:rPr>
        <w:t>Nº</w:t>
      </w:r>
      <w:proofErr w:type="spellEnd"/>
      <w:r>
        <w:rPr>
          <w:szCs w:val="25"/>
          <w:lang w:val="es-ES_tradnl"/>
        </w:rPr>
        <w:t xml:space="preserve"> 113 de la Ley de cultura, publicada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612, de 28 de enero de 1991, señala el deber del Estado en "dictar medidas que permitan ejecutar proyectos prioritarios de fomento, promoción y preservación de los valores culturales" de acuerdo al mandato constitucional, y con tal fin, fortalecer y multiplicar las actividades culturales, tanto en la matriz como en los 22 núcleos provinciales de la Casa de la Cultura Ecuatoriana, dotándola de autonomía económica y financiera, al tenor del artículo 13 reformado que señala:  "La Casa de la Cultura Ecuatoriana Benjamín Carrión es una entidad de derecho público con personería jurídica, patrimonio, fondos propios y autonomía económica, administrativa, financiera y operativa", señalando además, que "sin perjuicio de su autonomía, la Casa de la Cultura, coordinará sus actividades y programas con el Consejo Nacional de Cultura".</w:t>
      </w:r>
    </w:p>
    <w:p w:rsidR="00000000" w:rsidRDefault="00000000">
      <w:pPr>
        <w:keepNext/>
        <w:keepLines/>
        <w:spacing w:after="240"/>
      </w:pPr>
      <w:r>
        <w:rPr>
          <w:b/>
          <w:bCs/>
          <w:szCs w:val="25"/>
          <w:lang w:val="es-ES_tradnl"/>
        </w:rPr>
        <w:t>La identidad cultural del Ecuador</w:t>
      </w:r>
    </w:p>
    <w:p w:rsidR="00000000" w:rsidRDefault="00000000">
      <w:pPr>
        <w:keepNext/>
        <w:keepLines/>
        <w:spacing w:after="240"/>
      </w:pPr>
      <w:r>
        <w:rPr>
          <w:szCs w:val="25"/>
          <w:lang w:val="es-ES_tradnl"/>
        </w:rPr>
        <w:t>558.</w:t>
      </w:r>
      <w:r>
        <w:rPr>
          <w:szCs w:val="25"/>
          <w:lang w:val="es-ES_tradnl"/>
        </w:rPr>
        <w:tab/>
        <w:t>Los bienes culturales muebles e inmuebles del Ecuador constituyen el elemento sustancial de su patrimonio cultural, por lo que su estudio sistemático y la difusión de su conocimiento son indispensables para el fortalecimiento de la identidad nacional.  Y en ese orden de prioridades se está trabajando dentro del Instituto Nacional de Patrimonio Cultural en la catalogación de todos los bienes culturales inventariados para la preservación y revalorización del patrimonio cultural material.  Como un avance en este proceso, el Ministerio de Educación y Cultura ha incorporado en la reforma del sector contenidos curriculares de los avances de la investigación histórica, social y cultural del país, fomentando, al mismo tiempo, la participación de las colectividades étnicas en la formulación de las necesidades educativas, a través del Programa de Educación Intercultural Bilingüe.</w:t>
      </w:r>
    </w:p>
    <w:p w:rsidR="00000000" w:rsidRDefault="00000000">
      <w:pPr>
        <w:spacing w:after="240"/>
        <w:rPr>
          <w:i/>
          <w:iCs/>
        </w:rPr>
      </w:pPr>
      <w:r>
        <w:rPr>
          <w:i/>
          <w:iCs/>
          <w:szCs w:val="25"/>
          <w:lang w:val="es-ES_tradnl"/>
        </w:rPr>
        <w:t>Promoción de la cultura</w:t>
      </w:r>
    </w:p>
    <w:p w:rsidR="00000000" w:rsidRDefault="00000000">
      <w:pPr>
        <w:spacing w:after="240"/>
      </w:pPr>
      <w:r>
        <w:rPr>
          <w:szCs w:val="25"/>
          <w:lang w:val="es-ES_tradnl"/>
        </w:rPr>
        <w:t>559.</w:t>
      </w:r>
      <w:r>
        <w:rPr>
          <w:szCs w:val="25"/>
          <w:lang w:val="es-ES_tradnl"/>
        </w:rPr>
        <w:tab/>
        <w:t>Los sectores comunitarios cuentan con un acervo de expresiones formales culturales genuinas que reflejan uno de los componentes esenciales de la identidad cultural nacional.  El impulso y la valorización concedidos a las manifestaciones culturales populares está permitiendo la afirmación de la identidad cultural en el ejercicio cotidiano y libre de las tradiciones culturales, integrando en el proceso educativo tanto el conocimiento y la valorización del patrimonio cultural y natural como las formas vivas de la producción cultural de las comunidades indígenas y otros sectores étnicos.  Uno de los medios eficaces es la recreación cultural integrada a la literatura oral con sus mitos, leyendas, cuentos y tradiciones; así como la riqueza musical con sus canciones, coplas, ritmos e instrumentos; las fiestas comunitarias con su origen y significado; y las artesanías con su simbolismo, expresiones de esta inmensa riqueza cultural.  Estos elementos están vertebrando el desarrollo del proceso educativo, como material vivo y esencia misma de la implementación dialéctica en la preservación de las culturas aborígenes.</w:t>
      </w:r>
    </w:p>
    <w:p w:rsidR="00000000" w:rsidRDefault="00000000">
      <w:pPr>
        <w:spacing w:after="240"/>
      </w:pPr>
      <w:r>
        <w:rPr>
          <w:szCs w:val="25"/>
          <w:lang w:val="es-ES_tradnl"/>
        </w:rPr>
        <w:t>560.</w:t>
      </w:r>
      <w:r>
        <w:rPr>
          <w:szCs w:val="25"/>
          <w:lang w:val="es-ES_tradnl"/>
        </w:rPr>
        <w:tab/>
        <w:t>Quizá la promoción no aparezca todavía como un todo estructurado e institucionalizado, sin embargo, el Gobierno nacional, los Consejos Provinciales y los Concejos Municipales vienen desarrollando acciones de fomento cultural.  El Libro de Artistas Plásticos de la Cancillería, el programa de promoción cultural denominado "Ecuador en imágenes ", los videos sobre las culturas ecuatorianas y las publicaciones de organizaciones privadas sobre las fiestas populares, plástica contemporánea y fotografías más representativas de nuestro quehacer cultural son lo más destacado en estos años.</w:t>
      </w:r>
    </w:p>
    <w:p w:rsidR="00000000" w:rsidRDefault="00000000">
      <w:pPr>
        <w:spacing w:after="240"/>
      </w:pPr>
      <w:r>
        <w:rPr>
          <w:szCs w:val="25"/>
          <w:lang w:val="es-ES_tradnl"/>
        </w:rPr>
        <w:t>561.</w:t>
      </w:r>
      <w:r>
        <w:rPr>
          <w:szCs w:val="25"/>
          <w:lang w:val="es-ES_tradnl"/>
        </w:rPr>
        <w:tab/>
        <w:t>Existe un programa nacional de difusión cultural, integrado por diferentes componentes:  producción y difusión de los medios de información y comunicación de masas, prensa, radio, televisión e Internet y audiovisual; producción y difusión editorial, y difusión internacional de la cultura ecuatoriana.</w:t>
      </w:r>
    </w:p>
    <w:p w:rsidR="00000000" w:rsidRDefault="00000000">
      <w:pPr>
        <w:spacing w:after="240"/>
      </w:pPr>
      <w:r>
        <w:rPr>
          <w:i/>
          <w:iCs/>
          <w:szCs w:val="25"/>
          <w:lang w:val="es-ES_tradnl"/>
        </w:rPr>
        <w:t>Bienes considerados patrimonio cultural</w:t>
      </w:r>
    </w:p>
    <w:p w:rsidR="00000000" w:rsidRDefault="00000000">
      <w:pPr>
        <w:spacing w:after="240"/>
      </w:pPr>
      <w:r>
        <w:rPr>
          <w:szCs w:val="25"/>
        </w:rPr>
        <w:t>562.</w:t>
      </w:r>
      <w:r>
        <w:rPr>
          <w:szCs w:val="25"/>
        </w:rPr>
        <w:tab/>
      </w:r>
      <w:r>
        <w:rPr>
          <w:szCs w:val="25"/>
          <w:lang w:val="es-ES_tradnl"/>
        </w:rPr>
        <w:t>La ciudad de Quito, capital del Ecuador, fue declarada por la UNESCO patrimonio cultural de la humanidad en el mes de septiembre de 1978.  Al mismo tiempo, la UNESCO también declaró a las Islas Galápagos patrimonio natural de la humanidad.  Cuenca alcanzó dignidad en Patrimonio Cultural en el año 2001 por su centro histórico, sus museos y la bienal.</w:t>
      </w:r>
    </w:p>
    <w:p w:rsidR="00000000" w:rsidRDefault="00000000">
      <w:pPr>
        <w:spacing w:after="240"/>
      </w:pPr>
      <w:r>
        <w:rPr>
          <w:szCs w:val="25"/>
          <w:lang w:val="es-ES_tradnl"/>
        </w:rPr>
        <w:t>563.</w:t>
      </w:r>
      <w:r>
        <w:rPr>
          <w:szCs w:val="25"/>
          <w:lang w:val="es-ES_tradnl"/>
        </w:rPr>
        <w:tab/>
        <w:t xml:space="preserve">El Congreso Nacional expidió la Ley </w:t>
      </w:r>
      <w:proofErr w:type="spellStart"/>
      <w:r>
        <w:rPr>
          <w:szCs w:val="25"/>
          <w:lang w:val="es-ES_tradnl"/>
        </w:rPr>
        <w:t>Nº</w:t>
      </w:r>
      <w:proofErr w:type="spellEnd"/>
      <w:r>
        <w:rPr>
          <w:szCs w:val="25"/>
          <w:lang w:val="es-ES_tradnl"/>
        </w:rPr>
        <w:t xml:space="preserve"> 82 publicada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838, de 23 de diciembre de 1987, que creó el Fondo de Salvamento del Patrimonio Cultural (FONSAL) para restaurar, conservar y proteger los bienes históricos, artísticos, religiosos y culturales que resultaron afectados por el terremoto de marzo de 1987 que dañó gravemente el patrimonio histórico cultural de la ciudad de Quito, transfiriéndole en forma anual el 10% del presupuesto del Fondo de Emergencias Nacionales (</w:t>
      </w:r>
      <w:proofErr w:type="spellStart"/>
      <w:r>
        <w:rPr>
          <w:szCs w:val="25"/>
          <w:lang w:val="es-ES_tradnl"/>
        </w:rPr>
        <w:t>FONEN</w:t>
      </w:r>
      <w:proofErr w:type="spellEnd"/>
      <w:r>
        <w:rPr>
          <w:szCs w:val="25"/>
          <w:lang w:val="es-ES_tradnl"/>
        </w:rPr>
        <w:t>), transferencias presupuestarias que no se cumplieron, retardando efectividad al proceso de restauración de las obras afectadas.</w:t>
      </w:r>
    </w:p>
    <w:p w:rsidR="00000000" w:rsidRDefault="00000000">
      <w:pPr>
        <w:spacing w:after="240"/>
      </w:pPr>
      <w:r>
        <w:rPr>
          <w:szCs w:val="25"/>
          <w:lang w:val="es-ES_tradnl"/>
        </w:rPr>
        <w:t>564.</w:t>
      </w:r>
      <w:r>
        <w:rPr>
          <w:szCs w:val="25"/>
          <w:lang w:val="es-ES_tradnl"/>
        </w:rPr>
        <w:tab/>
        <w:t xml:space="preserve">Por ello, el Congreso Nacional dictó la Ley reformatoria a la Ley de creación del Fondo de Salvamento del Patrimonio Cultural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808, de 8 de noviembre de 1991, mediante la cual, crea la obligatoriedad al </w:t>
      </w:r>
      <w:proofErr w:type="spellStart"/>
      <w:r>
        <w:rPr>
          <w:szCs w:val="25"/>
          <w:lang w:val="es-ES_tradnl"/>
        </w:rPr>
        <w:t>FONEN</w:t>
      </w:r>
      <w:proofErr w:type="spellEnd"/>
      <w:r>
        <w:rPr>
          <w:szCs w:val="25"/>
          <w:lang w:val="es-ES_tradnl"/>
        </w:rPr>
        <w:t>, para que transfiera el valor correspondiente al 10% de su presupuesto inicial a la cuenta especial que tiene el municipio de Quito en el Banco Central.  Desde entonces, el proceso de restauración se ha venido ejecutando dentro de la programación de obras prevista.  A la vez, el FONSAL se ha nutrido de fondos internacionales que han constituido un soporte muy significativo al proceso de restauración histórico cultural.</w:t>
      </w:r>
    </w:p>
    <w:p w:rsidR="00000000" w:rsidRDefault="00000000">
      <w:pPr>
        <w:spacing w:after="240"/>
        <w:rPr>
          <w:szCs w:val="25"/>
          <w:lang w:val="es-ES_tradnl"/>
        </w:rPr>
      </w:pPr>
      <w:r>
        <w:rPr>
          <w:szCs w:val="25"/>
          <w:lang w:val="es-ES_tradnl"/>
        </w:rPr>
        <w:t>565.</w:t>
      </w:r>
      <w:r>
        <w:rPr>
          <w:szCs w:val="25"/>
          <w:lang w:val="es-ES_tradnl"/>
        </w:rPr>
        <w:tab/>
        <w:t xml:space="preserve">La Constitución de la República del Ecuador en el artículo 62 señala que:  "La cultura es patrimonio del pueblo y constituye elemento esencial de su identidad.  El Estado promoverá y estimulará la cultura, la creación, la formación artística y la investigación científica.  Establecerá políticas permanentes para la conservación, restauración, protección y respeto del patrimonio cultural tangible e intangible, de la riqueza artística, histórica, lingüística y arqueológica de la nación, así como del conjunto de valores y manifestaciones diversas que configuran la identidad nacional, </w:t>
      </w:r>
      <w:proofErr w:type="spellStart"/>
      <w:r>
        <w:rPr>
          <w:szCs w:val="25"/>
          <w:lang w:val="es-ES_tradnl"/>
        </w:rPr>
        <w:t>pluricultural</w:t>
      </w:r>
      <w:proofErr w:type="spellEnd"/>
      <w:r>
        <w:rPr>
          <w:szCs w:val="25"/>
          <w:lang w:val="es-ES_tradnl"/>
        </w:rPr>
        <w:t xml:space="preserve"> y </w:t>
      </w:r>
      <w:proofErr w:type="spellStart"/>
      <w:r>
        <w:rPr>
          <w:szCs w:val="25"/>
          <w:lang w:val="es-ES_tradnl"/>
        </w:rPr>
        <w:t>multiétnica</w:t>
      </w:r>
      <w:proofErr w:type="spellEnd"/>
      <w:r>
        <w:rPr>
          <w:szCs w:val="25"/>
          <w:lang w:val="es-ES_tradnl"/>
        </w:rPr>
        <w:t xml:space="preserve">.  El Estado fomentará la </w:t>
      </w:r>
      <w:proofErr w:type="spellStart"/>
      <w:r>
        <w:rPr>
          <w:szCs w:val="25"/>
          <w:lang w:val="es-ES_tradnl"/>
        </w:rPr>
        <w:t>interculturalidad</w:t>
      </w:r>
      <w:proofErr w:type="spellEnd"/>
      <w:r>
        <w:rPr>
          <w:szCs w:val="25"/>
          <w:lang w:val="es-ES_tradnl"/>
        </w:rPr>
        <w:t>, inspirará sus políticas e integrará sus instituciones según los principios de equidad e igualdad de las culturas".</w:t>
      </w:r>
    </w:p>
    <w:p w:rsidR="00000000" w:rsidRDefault="00000000">
      <w:pPr>
        <w:spacing w:after="240"/>
      </w:pPr>
      <w:r>
        <w:rPr>
          <w:szCs w:val="25"/>
          <w:lang w:val="es-ES_tradnl"/>
        </w:rPr>
        <w:t>566.</w:t>
      </w:r>
      <w:r>
        <w:rPr>
          <w:szCs w:val="25"/>
          <w:lang w:val="es-ES_tradnl"/>
        </w:rPr>
        <w:tab/>
        <w:t>El artículo 63 se refiere a la participación de las personas en las manifestaciones culturales al decir:  "El Estado garantizará el ejercicio y participación de las personas, en igualdad de condiciones y oportunidades, en los bienes, servicios y manifestaciones de la cultura, y adoptará las medidas para que la sociedad, el sistema educativo, la empresa privada y los medios de comunicación contribuyan a incentivar la creatividad y las actividades culturales en sus diversas manifestaciones.  Los intelectuales y artistas participarán, a través de sus organizaciones, en la elaboración de políticas culturales".</w:t>
      </w:r>
    </w:p>
    <w:p w:rsidR="00000000" w:rsidRDefault="00000000">
      <w:pPr>
        <w:spacing w:after="240"/>
      </w:pPr>
      <w:r>
        <w:rPr>
          <w:szCs w:val="25"/>
          <w:lang w:val="es-ES_tradnl"/>
        </w:rPr>
        <w:t>567.</w:t>
      </w:r>
      <w:r>
        <w:rPr>
          <w:szCs w:val="25"/>
          <w:lang w:val="es-ES_tradnl"/>
        </w:rPr>
        <w:tab/>
        <w:t>La Declaración Universal de Derechos Humanos de 1948, en su artículo 27 dice así:  "Toda persona tiene derecho a tomar parte libremente en la vida cultural de la comunidad, a gozar de las artes y a participar en el progreso científico y en los beneficios que de él resulten".  Y añade:  "Toda persona tiene derecho a la protección de los intereses morales y materiales que le correspondan por razón de las producciones científicas, literarias o artísticas de que sea autora".</w:t>
      </w:r>
    </w:p>
    <w:p w:rsidR="00000000" w:rsidRDefault="00000000">
      <w:pPr>
        <w:spacing w:after="240"/>
      </w:pPr>
      <w:r>
        <w:rPr>
          <w:szCs w:val="25"/>
          <w:lang w:val="es-ES_tradnl"/>
        </w:rPr>
        <w:t>568.</w:t>
      </w:r>
      <w:r>
        <w:rPr>
          <w:szCs w:val="25"/>
          <w:lang w:val="es-ES_tradnl"/>
        </w:rPr>
        <w:tab/>
        <w:t xml:space="preserve">Desde el Convenio de Berna para la protección de las obras literarias y artísticas, el Ecuador, un año después adopta y promulga la Ley sobre propiedad artística y literaria de 1887, que rigió hasta 1958, puesto que en febrero de ese año se promulgo la Ley de propiedad intelectual, inspirada en la Convención Universal sobre Derechos de Autor de Ginebra de 1952, que se convirtió luego en ley nacional con la aprobación del Congreso ecuatoriano el 6 de noviembre de 1956, según constan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194, del 24 de abril de 1957.</w:t>
      </w:r>
    </w:p>
    <w:p w:rsidR="00000000" w:rsidRDefault="00000000">
      <w:pPr>
        <w:spacing w:after="240"/>
      </w:pPr>
      <w:r>
        <w:rPr>
          <w:szCs w:val="25"/>
          <w:lang w:val="es-ES_tradnl"/>
        </w:rPr>
        <w:t>569.</w:t>
      </w:r>
      <w:r>
        <w:rPr>
          <w:szCs w:val="25"/>
          <w:lang w:val="es-ES_tradnl"/>
        </w:rPr>
        <w:tab/>
        <w:t xml:space="preserve">Luego de revisarse en París, con el Acta del 24 de julio de 1971, los textos de la Convención Universal sobre Derechos de Autor y del Convenio de Berna, el Ecuador se incorpora a estos nuevos instrumentos internacionales, y el 13 de agosto de 1976,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149, promulga la Ley de derechos de autor, de la que el Reglamento General de aplicación se publicó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495, de 30 de diciembre de 1977.  Con esta ley y este reglamento, el Gobierno nacional aprobó la creación en 1979 de la Sociedad de Autores y Compositores Ecuatorianos (SAYCE) como la única sociedad de gestión colectiva administradora de derechos, que puede existir en el campo de la creación musical, ya que la Ley de derechos de autor prohíbe expresamente la existencia jurídica en el Ecuador de dos o más sociedades del mismo genero de creación.  En 1979, se produce una nueva revisión del Acta de París, a la que el Ecuador se adhiere posteriormente.</w:t>
      </w:r>
    </w:p>
    <w:p w:rsidR="00000000" w:rsidRDefault="00000000">
      <w:pPr>
        <w:spacing w:after="240"/>
        <w:rPr>
          <w:szCs w:val="25"/>
          <w:lang w:val="es-ES_tradnl"/>
        </w:rPr>
      </w:pPr>
      <w:r>
        <w:rPr>
          <w:szCs w:val="25"/>
          <w:lang w:val="es-ES_tradnl"/>
        </w:rPr>
        <w:t>570.</w:t>
      </w:r>
      <w:r>
        <w:rPr>
          <w:szCs w:val="25"/>
          <w:lang w:val="es-ES_tradnl"/>
        </w:rPr>
        <w:tab/>
        <w:t xml:space="preserve">Por ello, hay que enfatizar que en el Ecuador rigen las normas de los dos Convenios Universales y la Ley de derechos de autor, así como también las normas de la Convención internacional para la protección de los artistas, intérpretes o ejecutantes, los productores de fonogramas y los organismos de radiodifusión.  Rigen también en el Ecuador las normas del Convenio para la protección de los productores de fonogramas contra la reproducción no autorizada de sus fonogramas.  Con tal propósito el Congreso Nacional promulgó en el mes de julio de 1992 la Ley contra la piratería musical mediante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984, del 22 de julio de 1992, (SAYCE, P.)</w:t>
      </w:r>
    </w:p>
    <w:p w:rsidR="00000000" w:rsidRDefault="00000000">
      <w:pPr>
        <w:spacing w:after="240"/>
      </w:pPr>
      <w:r>
        <w:rPr>
          <w:szCs w:val="25"/>
          <w:lang w:val="es-ES_tradnl"/>
        </w:rPr>
        <w:t>571.</w:t>
      </w:r>
      <w:r>
        <w:rPr>
          <w:szCs w:val="25"/>
          <w:lang w:val="es-ES_tradnl"/>
        </w:rPr>
        <w:tab/>
        <w:t xml:space="preserve">El Congreso Nacional expidió la nueva Ley de la propiedad intelectual en 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320 de 19 de mayo de 1998, en armonía con las nuevas disposiciones del Convenio de la Organización Mundial de Comercio (</w:t>
      </w:r>
      <w:proofErr w:type="spellStart"/>
      <w:r>
        <w:rPr>
          <w:szCs w:val="25"/>
          <w:lang w:val="es-ES_tradnl"/>
        </w:rPr>
        <w:t>OMC</w:t>
      </w:r>
      <w:proofErr w:type="spellEnd"/>
      <w:r>
        <w:rPr>
          <w:szCs w:val="25"/>
          <w:lang w:val="es-ES_tradnl"/>
        </w:rPr>
        <w:t>) sobre Propiedad Intelectual.</w:t>
      </w:r>
    </w:p>
    <w:p w:rsidR="00000000" w:rsidRDefault="00000000">
      <w:pPr>
        <w:spacing w:after="240"/>
      </w:pPr>
      <w:r>
        <w:rPr>
          <w:szCs w:val="25"/>
          <w:lang w:val="es-ES_tradnl"/>
        </w:rPr>
        <w:t>572.</w:t>
      </w:r>
      <w:r>
        <w:rPr>
          <w:szCs w:val="25"/>
          <w:lang w:val="es-ES_tradnl"/>
        </w:rPr>
        <w:tab/>
        <w:t xml:space="preserve">Desde 1963, el Ecuador es Estado Parte de la Convención internacional sobre la protección de los artistas intérpretes o ejecutantes, los productores de fonogramas y los organismos de radiodifusión, mediante el Decreto supremo </w:t>
      </w:r>
      <w:proofErr w:type="spellStart"/>
      <w:r>
        <w:rPr>
          <w:szCs w:val="25"/>
          <w:lang w:val="es-ES_tradnl"/>
        </w:rPr>
        <w:t>Nº</w:t>
      </w:r>
      <w:proofErr w:type="spellEnd"/>
      <w:r>
        <w:rPr>
          <w:szCs w:val="25"/>
          <w:lang w:val="es-ES_tradnl"/>
        </w:rPr>
        <w:t xml:space="preserve"> 811 del </w:t>
      </w:r>
      <w:r>
        <w:rPr>
          <w:i/>
          <w:iCs/>
          <w:szCs w:val="25"/>
          <w:lang w:val="es-ES_tradnl"/>
        </w:rPr>
        <w:t>Registro Oficial</w:t>
      </w:r>
      <w:r>
        <w:rPr>
          <w:szCs w:val="25"/>
          <w:lang w:val="es-ES_tradnl"/>
        </w:rPr>
        <w:t xml:space="preserve"> </w:t>
      </w:r>
      <w:proofErr w:type="spellStart"/>
      <w:r>
        <w:rPr>
          <w:szCs w:val="25"/>
          <w:lang w:val="es-ES_tradnl"/>
        </w:rPr>
        <w:t>Nº</w:t>
      </w:r>
      <w:proofErr w:type="spellEnd"/>
      <w:r>
        <w:rPr>
          <w:szCs w:val="25"/>
          <w:lang w:val="es-ES_tradnl"/>
        </w:rPr>
        <w:t xml:space="preserve"> 137, de 24 de octubre.</w:t>
      </w:r>
    </w:p>
    <w:p w:rsidR="00000000" w:rsidRDefault="00000000">
      <w:pPr>
        <w:spacing w:after="240"/>
      </w:pPr>
      <w:r>
        <w:rPr>
          <w:szCs w:val="25"/>
          <w:lang w:val="es-ES_tradnl"/>
        </w:rPr>
        <w:t>573.</w:t>
      </w:r>
      <w:r>
        <w:rPr>
          <w:szCs w:val="25"/>
          <w:lang w:val="es-ES_tradnl"/>
        </w:rPr>
        <w:tab/>
        <w:t>En 1971 y 1979, suscribió las Disposiciones del Convenio de Berna para la protección de las obras literarias y artísticas.</w:t>
      </w:r>
    </w:p>
    <w:p w:rsidR="00000000" w:rsidRDefault="00000000">
      <w:pPr>
        <w:spacing w:after="240"/>
      </w:pPr>
      <w:r>
        <w:rPr>
          <w:szCs w:val="25"/>
          <w:lang w:val="es-ES_tradnl"/>
        </w:rPr>
        <w:t>574.</w:t>
      </w:r>
      <w:r>
        <w:rPr>
          <w:szCs w:val="25"/>
          <w:lang w:val="es-ES_tradnl"/>
        </w:rPr>
        <w:tab/>
        <w:t>En 1971, suscribió la Convención Universal sobre Derechos de Autor, revisada en París el 14 de julio y comúnmente conocida como la Convención de 1952, posteriormente señalada como la Convención de 1971.</w:t>
      </w:r>
    </w:p>
    <w:p w:rsidR="00000000" w:rsidRDefault="00000000">
      <w:pPr>
        <w:spacing w:after="240"/>
      </w:pPr>
      <w:r>
        <w:rPr>
          <w:szCs w:val="25"/>
          <w:lang w:val="es-ES_tradnl"/>
        </w:rPr>
        <w:t>575.</w:t>
      </w:r>
      <w:r>
        <w:rPr>
          <w:szCs w:val="25"/>
          <w:lang w:val="es-ES_tradnl"/>
        </w:rPr>
        <w:tab/>
        <w:t>En 1996, adoptó las declaraciones concertadas de la Conferencia Diplomática acerca del Tratado de la Organización Mundial de la Propiedad Intelectual (</w:t>
      </w:r>
      <w:proofErr w:type="spellStart"/>
      <w:r>
        <w:rPr>
          <w:szCs w:val="25"/>
          <w:lang w:val="es-ES_tradnl"/>
        </w:rPr>
        <w:t>OMPI</w:t>
      </w:r>
      <w:proofErr w:type="spellEnd"/>
      <w:r>
        <w:rPr>
          <w:szCs w:val="25"/>
          <w:lang w:val="es-ES_tradnl"/>
        </w:rPr>
        <w:t>) sobre Interpretación o Ejecución y Fonogramas.</w:t>
      </w:r>
    </w:p>
    <w:p w:rsidR="00000000" w:rsidRDefault="00000000">
      <w:pPr>
        <w:keepNext/>
        <w:keepLines/>
        <w:spacing w:after="240"/>
        <w:jc w:val="center"/>
        <w:rPr>
          <w:b/>
          <w:bCs/>
        </w:rPr>
      </w:pPr>
      <w:r>
        <w:rPr>
          <w:b/>
          <w:bCs/>
          <w:szCs w:val="25"/>
          <w:lang w:val="es-ES_tradnl"/>
        </w:rPr>
        <w:t>Instituciones del Subsistema Cultural de Formación Artística</w:t>
      </w:r>
    </w:p>
    <w:p w:rsidR="00000000" w:rsidRDefault="00000000">
      <w:pPr>
        <w:keepNext/>
        <w:keepLines/>
        <w:spacing w:after="240"/>
        <w:rPr>
          <w:b/>
          <w:bCs/>
          <w:szCs w:val="23"/>
          <w:lang w:val="es-ES_tradnl"/>
        </w:rPr>
      </w:pPr>
      <w:r>
        <w:rPr>
          <w:b/>
          <w:bCs/>
          <w:szCs w:val="23"/>
          <w:lang w:val="es-ES_tradnl"/>
        </w:rPr>
        <w:t>Área Música</w:t>
      </w:r>
    </w:p>
    <w:p w:rsidR="00000000" w:rsidRDefault="00000000">
      <w:pPr>
        <w:keepNext/>
        <w:keepLines/>
        <w:spacing w:after="240"/>
        <w:rPr>
          <w:i/>
          <w:iCs/>
        </w:rPr>
      </w:pPr>
      <w:r>
        <w:rPr>
          <w:i/>
          <w:iCs/>
          <w:szCs w:val="23"/>
          <w:lang w:val="es-ES_tradnl"/>
        </w:rPr>
        <w:t>Conservatorios</w:t>
      </w:r>
    </w:p>
    <w:tbl>
      <w:tblPr>
        <w:tblW w:w="5000" w:type="pct"/>
        <w:tblCellMar>
          <w:left w:w="40" w:type="dxa"/>
          <w:right w:w="40" w:type="dxa"/>
        </w:tblCellMar>
        <w:tblLook w:val="0000" w:firstRow="0" w:lastRow="0" w:firstColumn="0" w:lastColumn="0" w:noHBand="0" w:noVBand="0"/>
      </w:tblPr>
      <w:tblGrid>
        <w:gridCol w:w="6357"/>
        <w:gridCol w:w="1523"/>
        <w:gridCol w:w="1555"/>
      </w:tblGrid>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Conservatorio Nacional de Música</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Pichincha</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Quito</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 xml:space="preserve">Conservatorio Nacional "Antonio </w:t>
            </w:r>
            <w:proofErr w:type="spellStart"/>
            <w:r>
              <w:rPr>
                <w:szCs w:val="25"/>
                <w:lang w:val="es-ES_tradnl"/>
              </w:rPr>
              <w:t>Neumane</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Guayaquil</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Conservatorio Nacional de Música "José María Rodríguez"</w:t>
            </w:r>
          </w:p>
        </w:tc>
        <w:tc>
          <w:tcPr>
            <w:tcW w:w="80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Azuay</w:t>
            </w:r>
          </w:p>
        </w:tc>
        <w:tc>
          <w:tcPr>
            <w:tcW w:w="82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szCs w:val="25"/>
                <w:lang w:val="es-ES_tradnl"/>
              </w:rPr>
              <w:t>Cuenca</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Conservatorio de Música "Salvador Bustamante </w:t>
            </w:r>
            <w:proofErr w:type="spellStart"/>
            <w:r>
              <w:rPr>
                <w:szCs w:val="25"/>
                <w:lang w:val="es-ES_tradnl"/>
              </w:rPr>
              <w:t>Celi</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Loja</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Loja</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lang w:val="es-ES_tradnl"/>
              </w:rPr>
              <w:t xml:space="preserve">Conservatorio </w:t>
            </w:r>
            <w:proofErr w:type="spellStart"/>
            <w:r>
              <w:rPr>
                <w:szCs w:val="25"/>
                <w:lang w:val="es-ES_tradnl"/>
              </w:rPr>
              <w:t>Fiscomisional</w:t>
            </w:r>
            <w:proofErr w:type="spellEnd"/>
            <w:r>
              <w:rPr>
                <w:szCs w:val="25"/>
                <w:lang w:val="es-ES_tradnl"/>
              </w:rPr>
              <w:t xml:space="preserve"> de Música, Teatro y Danza "La Merced"</w:t>
            </w:r>
          </w:p>
        </w:tc>
        <w:tc>
          <w:tcPr>
            <w:tcW w:w="807" w:type="pct"/>
            <w:tcBorders>
              <w:top w:val="single" w:sz="6" w:space="0" w:color="auto"/>
              <w:left w:val="single" w:sz="6" w:space="0" w:color="auto"/>
              <w:bottom w:val="nil"/>
              <w:right w:val="single" w:sz="6" w:space="0" w:color="auto"/>
            </w:tcBorders>
          </w:tcPr>
          <w:p w:rsidR="00000000" w:rsidRDefault="00000000">
            <w:r>
              <w:rPr>
                <w:szCs w:val="23"/>
                <w:lang w:val="es-ES_tradnl"/>
              </w:rPr>
              <w:t>Tungurahua</w:t>
            </w:r>
          </w:p>
        </w:tc>
        <w:tc>
          <w:tcPr>
            <w:tcW w:w="825" w:type="pct"/>
            <w:tcBorders>
              <w:top w:val="single" w:sz="6" w:space="0" w:color="auto"/>
              <w:left w:val="single" w:sz="6" w:space="0" w:color="auto"/>
              <w:bottom w:val="nil"/>
              <w:right w:val="single" w:sz="6" w:space="0" w:color="auto"/>
            </w:tcBorders>
          </w:tcPr>
          <w:p w:rsidR="00000000" w:rsidRDefault="00000000">
            <w:r>
              <w:rPr>
                <w:lang w:val="es-ES_tradnl"/>
              </w:rPr>
              <w:t>Ambato</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lang w:val="es-ES_tradnl"/>
              </w:rPr>
              <w:t>Conservatorio Particular de Música "Padre Jaime Manuel Mola"</w:t>
            </w:r>
          </w:p>
        </w:tc>
        <w:tc>
          <w:tcPr>
            <w:tcW w:w="807" w:type="pct"/>
            <w:tcBorders>
              <w:top w:val="single" w:sz="6" w:space="0" w:color="auto"/>
              <w:left w:val="single" w:sz="6" w:space="0" w:color="auto"/>
              <w:bottom w:val="nil"/>
              <w:right w:val="single" w:sz="6" w:space="0" w:color="auto"/>
            </w:tcBorders>
          </w:tcPr>
          <w:p w:rsidR="00000000" w:rsidRDefault="00000000">
            <w:r>
              <w:rPr>
                <w:szCs w:val="25"/>
                <w:lang w:val="es-ES_tradnl"/>
              </w:rPr>
              <w:t>Pichincha</w:t>
            </w:r>
          </w:p>
        </w:tc>
        <w:tc>
          <w:tcPr>
            <w:tcW w:w="825" w:type="pct"/>
            <w:tcBorders>
              <w:top w:val="single" w:sz="6" w:space="0" w:color="auto"/>
              <w:left w:val="single" w:sz="6" w:space="0" w:color="auto"/>
              <w:bottom w:val="nil"/>
              <w:right w:val="single" w:sz="6" w:space="0" w:color="auto"/>
            </w:tcBorders>
          </w:tcPr>
          <w:p w:rsidR="00000000" w:rsidRDefault="00000000">
            <w:r>
              <w:rPr>
                <w:szCs w:val="25"/>
                <w:lang w:val="es-ES_tradnl"/>
              </w:rPr>
              <w:t>Quito</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Conservatorio Particular de Música "</w:t>
            </w:r>
            <w:proofErr w:type="spellStart"/>
            <w:r>
              <w:rPr>
                <w:szCs w:val="25"/>
                <w:lang w:val="es-ES_tradnl"/>
              </w:rPr>
              <w:t>Rimsky</w:t>
            </w:r>
            <w:proofErr w:type="spellEnd"/>
            <w:r>
              <w:rPr>
                <w:szCs w:val="25"/>
                <w:lang w:val="es-ES_tradnl"/>
              </w:rPr>
              <w:t xml:space="preserve"> </w:t>
            </w:r>
            <w:proofErr w:type="spellStart"/>
            <w:r>
              <w:rPr>
                <w:szCs w:val="25"/>
                <w:lang w:val="es-ES_tradnl"/>
              </w:rPr>
              <w:t>Korsakov</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Guayaquil</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lang w:val="es-ES_tradnl"/>
              </w:rPr>
              <w:t>Conservatorio del Sur - Municipio del Distrito Metropolitano</w:t>
            </w:r>
          </w:p>
        </w:tc>
        <w:tc>
          <w:tcPr>
            <w:tcW w:w="807" w:type="pct"/>
            <w:tcBorders>
              <w:top w:val="single" w:sz="6" w:space="0" w:color="auto"/>
              <w:left w:val="single" w:sz="6" w:space="0" w:color="auto"/>
              <w:bottom w:val="nil"/>
              <w:right w:val="single" w:sz="6" w:space="0" w:color="auto"/>
            </w:tcBorders>
          </w:tcPr>
          <w:p w:rsidR="00000000" w:rsidRDefault="00000000">
            <w:r>
              <w:rPr>
                <w:szCs w:val="25"/>
                <w:lang w:val="es-ES_tradnl"/>
              </w:rPr>
              <w:t>Pichincha</w:t>
            </w:r>
          </w:p>
        </w:tc>
        <w:tc>
          <w:tcPr>
            <w:tcW w:w="825" w:type="pct"/>
            <w:tcBorders>
              <w:top w:val="single" w:sz="6" w:space="0" w:color="auto"/>
              <w:left w:val="single" w:sz="6" w:space="0" w:color="auto"/>
              <w:bottom w:val="nil"/>
              <w:right w:val="single" w:sz="6" w:space="0" w:color="auto"/>
            </w:tcBorders>
          </w:tcPr>
          <w:p w:rsidR="00000000" w:rsidRDefault="00000000">
            <w:r>
              <w:rPr>
                <w:szCs w:val="25"/>
                <w:lang w:val="es-ES_tradnl"/>
              </w:rPr>
              <w:t>Quito</w:t>
            </w:r>
          </w:p>
        </w:tc>
      </w:tr>
      <w:tr w:rsidR="00000000">
        <w:tblPrEx>
          <w:tblCellMar>
            <w:top w:w="0" w:type="dxa"/>
            <w:bottom w:w="0" w:type="dxa"/>
          </w:tblCellMar>
        </w:tblPrEx>
        <w:tc>
          <w:tcPr>
            <w:tcW w:w="3369" w:type="pct"/>
            <w:tcBorders>
              <w:top w:val="single" w:sz="6" w:space="0" w:color="auto"/>
              <w:left w:val="single" w:sz="6" w:space="0" w:color="auto"/>
              <w:bottom w:val="nil"/>
              <w:right w:val="single" w:sz="6" w:space="0" w:color="auto"/>
            </w:tcBorders>
          </w:tcPr>
          <w:p w:rsidR="00000000" w:rsidRDefault="00000000">
            <w:r>
              <w:rPr>
                <w:szCs w:val="25"/>
                <w:lang w:val="es-ES_tradnl"/>
              </w:rPr>
              <w:t>Conservatorio de Música de Zamora</w:t>
            </w:r>
          </w:p>
        </w:tc>
        <w:tc>
          <w:tcPr>
            <w:tcW w:w="807" w:type="pct"/>
            <w:tcBorders>
              <w:top w:val="single" w:sz="6" w:space="0" w:color="auto"/>
              <w:left w:val="single" w:sz="6" w:space="0" w:color="auto"/>
              <w:bottom w:val="nil"/>
              <w:right w:val="single" w:sz="6" w:space="0" w:color="auto"/>
            </w:tcBorders>
          </w:tcPr>
          <w:p w:rsidR="00000000" w:rsidRDefault="00000000">
            <w:r>
              <w:rPr>
                <w:szCs w:val="25"/>
                <w:lang w:val="es-ES_tradnl"/>
              </w:rPr>
              <w:t>Zamora</w:t>
            </w:r>
            <w:r>
              <w:rPr>
                <w:szCs w:val="25"/>
                <w:lang w:val="es-ES_tradnl"/>
              </w:rPr>
              <w:br/>
              <w:t>Chinchipe</w:t>
            </w:r>
          </w:p>
        </w:tc>
        <w:tc>
          <w:tcPr>
            <w:tcW w:w="825" w:type="pct"/>
            <w:tcBorders>
              <w:top w:val="single" w:sz="6" w:space="0" w:color="auto"/>
              <w:left w:val="single" w:sz="6" w:space="0" w:color="auto"/>
              <w:bottom w:val="nil"/>
              <w:right w:val="single" w:sz="6" w:space="0" w:color="auto"/>
            </w:tcBorders>
          </w:tcPr>
          <w:p w:rsidR="00000000" w:rsidRDefault="00000000">
            <w:r>
              <w:rPr>
                <w:szCs w:val="25"/>
                <w:lang w:val="es-ES_tradnl"/>
              </w:rPr>
              <w:t>Zamora</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Conservatorio Nacional de Música</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El Oro</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Machala</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Conservatorio de Música</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Los Ríos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Babahoyo</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Conservatorio de Música "Dr. Jorge Manzano </w:t>
            </w:r>
            <w:proofErr w:type="spellStart"/>
            <w:r>
              <w:rPr>
                <w:szCs w:val="25"/>
                <w:lang w:val="es-ES_tradnl"/>
              </w:rPr>
              <w:t>Escalante</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Guayaquil</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Conservatorio de Música "Federico </w:t>
            </w:r>
            <w:proofErr w:type="spellStart"/>
            <w:r>
              <w:rPr>
                <w:szCs w:val="25"/>
                <w:lang w:val="es-ES_tradnl"/>
              </w:rPr>
              <w:t>Chopín</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Guayaquil</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Conservatorio de Música "</w:t>
            </w:r>
            <w:proofErr w:type="spellStart"/>
            <w:r>
              <w:rPr>
                <w:szCs w:val="25"/>
                <w:lang w:val="es-ES_tradnl"/>
              </w:rPr>
              <w:t>Beethoven</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Guayaquil</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Conservatorio de Música "Zulema </w:t>
            </w:r>
            <w:proofErr w:type="spellStart"/>
            <w:r>
              <w:rPr>
                <w:szCs w:val="25"/>
                <w:lang w:val="es-ES_tradnl"/>
              </w:rPr>
              <w:t>Blacio</w:t>
            </w:r>
            <w:proofErr w:type="spellEnd"/>
            <w:r>
              <w:rPr>
                <w:szCs w:val="25"/>
                <w:lang w:val="es-ES_tradnl"/>
              </w:rPr>
              <w:t>"</w:t>
            </w:r>
          </w:p>
        </w:tc>
        <w:tc>
          <w:tcPr>
            <w:tcW w:w="80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Guayas</w:t>
            </w:r>
          </w:p>
        </w:tc>
        <w:tc>
          <w:tcPr>
            <w:tcW w:w="825"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Guayaquil</w:t>
            </w:r>
          </w:p>
        </w:tc>
      </w:tr>
    </w:tbl>
    <w:p w:rsidR="00000000" w:rsidRDefault="00000000">
      <w:pPr>
        <w:spacing w:before="240" w:after="240"/>
        <w:rPr>
          <w:i/>
          <w:iCs/>
        </w:rPr>
      </w:pPr>
      <w:r>
        <w:rPr>
          <w:i/>
          <w:iCs/>
        </w:rPr>
        <w:t>Institutos superiores</w:t>
      </w:r>
    </w:p>
    <w:tbl>
      <w:tblPr>
        <w:tblW w:w="5000" w:type="pct"/>
        <w:tblCellMar>
          <w:left w:w="68" w:type="dxa"/>
          <w:right w:w="68" w:type="dxa"/>
        </w:tblCellMar>
        <w:tblLook w:val="0000" w:firstRow="0" w:lastRow="0" w:firstColumn="0" w:lastColumn="0" w:noHBand="0" w:noVBand="0"/>
      </w:tblPr>
      <w:tblGrid>
        <w:gridCol w:w="6395"/>
        <w:gridCol w:w="1513"/>
        <w:gridCol w:w="1583"/>
      </w:tblGrid>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Instituto Superior de Música "Inés </w:t>
            </w:r>
            <w:proofErr w:type="spellStart"/>
            <w:r>
              <w:rPr>
                <w:szCs w:val="25"/>
                <w:lang w:val="es-ES_tradnl"/>
              </w:rPr>
              <w:t>Cobo</w:t>
            </w:r>
            <w:proofErr w:type="spellEnd"/>
            <w:r>
              <w:rPr>
                <w:szCs w:val="25"/>
                <w:lang w:val="es-ES_tradnl"/>
              </w:rPr>
              <w:t xml:space="preserve"> Rumazo"</w:t>
            </w:r>
          </w:p>
        </w:tc>
        <w:tc>
          <w:tcPr>
            <w:tcW w:w="79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Cotopaxi</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Pujilí</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proofErr w:type="spellStart"/>
            <w:r>
              <w:rPr>
                <w:szCs w:val="25"/>
              </w:rPr>
              <w:t>I</w:t>
            </w:r>
            <w:r>
              <w:rPr>
                <w:szCs w:val="25"/>
                <w:lang w:val="es-ES_tradnl"/>
              </w:rPr>
              <w:t>nstituto</w:t>
            </w:r>
            <w:proofErr w:type="spellEnd"/>
            <w:r>
              <w:rPr>
                <w:szCs w:val="25"/>
                <w:lang w:val="es-ES_tradnl"/>
              </w:rPr>
              <w:t xml:space="preserve"> Superior "Vicente Anda Aguirre"</w:t>
            </w:r>
          </w:p>
        </w:tc>
        <w:tc>
          <w:tcPr>
            <w:tcW w:w="79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Chimborazo</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Riobamba</w:t>
            </w:r>
          </w:p>
        </w:tc>
      </w:tr>
      <w:tr w:rsidR="00000000">
        <w:tblPrEx>
          <w:tblCellMar>
            <w:top w:w="0" w:type="dxa"/>
            <w:bottom w:w="0" w:type="dxa"/>
          </w:tblCellMar>
        </w:tblPrEx>
        <w:tc>
          <w:tcPr>
            <w:tcW w:w="3369"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Instituto Superior de Música "Luis </w:t>
            </w:r>
            <w:proofErr w:type="spellStart"/>
            <w:r>
              <w:rPr>
                <w:szCs w:val="25"/>
                <w:lang w:val="es-ES_tradnl"/>
              </w:rPr>
              <w:t>Ulpiano</w:t>
            </w:r>
            <w:proofErr w:type="spellEnd"/>
            <w:r>
              <w:rPr>
                <w:szCs w:val="25"/>
                <w:lang w:val="es-ES_tradnl"/>
              </w:rPr>
              <w:t xml:space="preserve"> de La Torre"</w:t>
            </w:r>
          </w:p>
        </w:tc>
        <w:tc>
          <w:tcPr>
            <w:tcW w:w="797"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Imbabura</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Cotacachi</w:t>
            </w:r>
          </w:p>
        </w:tc>
      </w:tr>
    </w:tbl>
    <w:p w:rsidR="00000000" w:rsidRDefault="00000000">
      <w:pPr>
        <w:spacing w:before="240" w:after="240"/>
        <w:rPr>
          <w:i/>
          <w:iCs/>
        </w:rPr>
      </w:pPr>
      <w:r>
        <w:rPr>
          <w:i/>
          <w:iCs/>
        </w:rPr>
        <w:t>Colegios y escuelas</w:t>
      </w:r>
    </w:p>
    <w:tbl>
      <w:tblPr>
        <w:tblW w:w="5000" w:type="pct"/>
        <w:tblCellMar>
          <w:left w:w="68" w:type="dxa"/>
          <w:right w:w="68" w:type="dxa"/>
        </w:tblCellMar>
        <w:tblLook w:val="0000" w:firstRow="0" w:lastRow="0" w:firstColumn="0" w:lastColumn="0" w:noHBand="0" w:noVBand="0"/>
      </w:tblPr>
      <w:tblGrid>
        <w:gridCol w:w="6405"/>
        <w:gridCol w:w="1503"/>
        <w:gridCol w:w="1583"/>
      </w:tblGrid>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Música "César Viera"</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Cotopaxi</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Latacunga</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Música "Juan Bautista Vásquez"</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Cañar</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Azoguez</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Música "Rodrigo Barreno"</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Chimborazo</w:t>
            </w:r>
          </w:p>
        </w:tc>
        <w:tc>
          <w:tcPr>
            <w:tcW w:w="834" w:type="pct"/>
            <w:tcBorders>
              <w:top w:val="single" w:sz="6" w:space="0" w:color="auto"/>
              <w:left w:val="single" w:sz="6" w:space="0" w:color="auto"/>
              <w:bottom w:val="single" w:sz="6" w:space="0" w:color="auto"/>
              <w:right w:val="single" w:sz="6" w:space="0" w:color="auto"/>
            </w:tcBorders>
          </w:tcPr>
          <w:p w:rsidR="00000000" w:rsidRDefault="00000000">
            <w:proofErr w:type="spellStart"/>
            <w:r>
              <w:rPr>
                <w:szCs w:val="25"/>
                <w:lang w:val="es-ES_tradnl"/>
              </w:rPr>
              <w:t>Químiag</w:t>
            </w:r>
            <w:proofErr w:type="spellEnd"/>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Música "Luis Humberto Salgado Torres"</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Pichincha</w:t>
            </w:r>
          </w:p>
        </w:tc>
        <w:tc>
          <w:tcPr>
            <w:tcW w:w="834" w:type="pct"/>
            <w:tcBorders>
              <w:top w:val="single" w:sz="6" w:space="0" w:color="auto"/>
              <w:left w:val="single" w:sz="6" w:space="0" w:color="auto"/>
              <w:bottom w:val="single" w:sz="6" w:space="0" w:color="auto"/>
              <w:right w:val="single" w:sz="6" w:space="0" w:color="auto"/>
            </w:tcBorders>
          </w:tcPr>
          <w:p w:rsidR="00000000" w:rsidRDefault="00000000">
            <w:proofErr w:type="spellStart"/>
            <w:r>
              <w:rPr>
                <w:szCs w:val="25"/>
                <w:lang w:val="es-ES_tradnl"/>
              </w:rPr>
              <w:t>Amaguaña</w:t>
            </w:r>
            <w:proofErr w:type="spellEnd"/>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Colegio Particular de Música "Teodora </w:t>
            </w:r>
            <w:proofErr w:type="spellStart"/>
            <w:r>
              <w:rPr>
                <w:szCs w:val="25"/>
                <w:lang w:val="es-ES_tradnl"/>
              </w:rPr>
              <w:t>Lucaciu</w:t>
            </w:r>
            <w:proofErr w:type="spellEnd"/>
            <w:r>
              <w:rPr>
                <w:szCs w:val="25"/>
                <w:lang w:val="es-ES_tradnl"/>
              </w:rPr>
              <w:t>"</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El Oro</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Machala</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Nacional Técnico "San Lorenzo"</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Bolívar</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Guaranda</w:t>
            </w:r>
          </w:p>
        </w:tc>
      </w:tr>
      <w:tr w:rsidR="00000000">
        <w:tblPrEx>
          <w:tblCellMar>
            <w:top w:w="0" w:type="dxa"/>
            <w:bottom w:w="0" w:type="dxa"/>
          </w:tblCellMar>
        </w:tblPrEx>
        <w:tc>
          <w:tcPr>
            <w:tcW w:w="3373" w:type="pct"/>
            <w:tcBorders>
              <w:top w:val="single" w:sz="6" w:space="0" w:color="auto"/>
              <w:left w:val="single" w:sz="6" w:space="0" w:color="auto"/>
              <w:bottom w:val="nil"/>
              <w:right w:val="single" w:sz="6" w:space="0" w:color="auto"/>
            </w:tcBorders>
          </w:tcPr>
          <w:p w:rsidR="00000000" w:rsidRDefault="00000000">
            <w:r>
              <w:rPr>
                <w:szCs w:val="25"/>
                <w:lang w:val="es-ES_tradnl"/>
              </w:rPr>
              <w:t xml:space="preserve">Colegio de Música "Juan Esteban Cordero" del </w:t>
            </w:r>
            <w:proofErr w:type="spellStart"/>
            <w:r>
              <w:rPr>
                <w:szCs w:val="25"/>
                <w:lang w:val="es-ES_tradnl"/>
              </w:rPr>
              <w:t>SI.NA.MU.NE</w:t>
            </w:r>
            <w:proofErr w:type="spellEnd"/>
            <w:r>
              <w:rPr>
                <w:szCs w:val="25"/>
                <w:lang w:val="es-ES_tradnl"/>
              </w:rPr>
              <w:t>.</w:t>
            </w:r>
          </w:p>
        </w:tc>
        <w:tc>
          <w:tcPr>
            <w:tcW w:w="792" w:type="pct"/>
            <w:tcBorders>
              <w:top w:val="single" w:sz="6" w:space="0" w:color="auto"/>
              <w:left w:val="single" w:sz="6" w:space="0" w:color="auto"/>
              <w:bottom w:val="nil"/>
              <w:right w:val="single" w:sz="6" w:space="0" w:color="auto"/>
            </w:tcBorders>
          </w:tcPr>
          <w:p w:rsidR="00000000" w:rsidRDefault="00000000">
            <w:r>
              <w:rPr>
                <w:szCs w:val="25"/>
                <w:lang w:val="es-ES_tradnl"/>
              </w:rPr>
              <w:t>Pichincha</w:t>
            </w:r>
          </w:p>
        </w:tc>
        <w:tc>
          <w:tcPr>
            <w:tcW w:w="834" w:type="pct"/>
            <w:tcBorders>
              <w:top w:val="single" w:sz="6" w:space="0" w:color="auto"/>
              <w:left w:val="single" w:sz="6" w:space="0" w:color="auto"/>
              <w:bottom w:val="nil"/>
              <w:right w:val="single" w:sz="6" w:space="0" w:color="auto"/>
            </w:tcBorders>
          </w:tcPr>
          <w:p w:rsidR="00000000" w:rsidRDefault="00000000">
            <w:r>
              <w:rPr>
                <w:szCs w:val="25"/>
                <w:lang w:val="es-ES_tradnl"/>
              </w:rPr>
              <w:t>Quito</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Bellas Artes</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Esmeraldas</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Esmeraldas</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Escuela de Música "</w:t>
            </w:r>
            <w:proofErr w:type="spellStart"/>
            <w:r>
              <w:rPr>
                <w:szCs w:val="25"/>
                <w:lang w:val="es-ES_tradnl"/>
              </w:rPr>
              <w:t>Wolfgang</w:t>
            </w:r>
            <w:proofErr w:type="spellEnd"/>
            <w:r>
              <w:rPr>
                <w:szCs w:val="25"/>
                <w:lang w:val="es-ES_tradnl"/>
              </w:rPr>
              <w:t xml:space="preserve"> A.  </w:t>
            </w:r>
            <w:proofErr w:type="spellStart"/>
            <w:r>
              <w:rPr>
                <w:szCs w:val="25"/>
                <w:lang w:val="es-ES_tradnl"/>
              </w:rPr>
              <w:t>Mozart</w:t>
            </w:r>
            <w:proofErr w:type="spellEnd"/>
            <w:r>
              <w:rPr>
                <w:szCs w:val="25"/>
                <w:lang w:val="es-ES_tradnl"/>
              </w:rPr>
              <w:t>"</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Pichincha</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Quito</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 xml:space="preserve">Escuela de Música "Gerardo </w:t>
            </w:r>
            <w:proofErr w:type="spellStart"/>
            <w:r>
              <w:rPr>
                <w:szCs w:val="25"/>
                <w:lang w:val="es-ES_tradnl"/>
              </w:rPr>
              <w:t>Alzamora</w:t>
            </w:r>
            <w:proofErr w:type="spellEnd"/>
            <w:r>
              <w:rPr>
                <w:szCs w:val="25"/>
                <w:lang w:val="es-ES_tradnl"/>
              </w:rPr>
              <w:t xml:space="preserve"> Vela" (CCE-Carchi)</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Carchi</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Tulcán</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Colegio de Música "Antonio de Jesús Hidalgo"</w:t>
            </w:r>
          </w:p>
        </w:tc>
        <w:tc>
          <w:tcPr>
            <w:tcW w:w="792"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El Oro</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szCs w:val="25"/>
                <w:lang w:val="es-ES_tradnl"/>
              </w:rPr>
              <w:t>Machala</w:t>
            </w:r>
          </w:p>
        </w:tc>
      </w:tr>
      <w:tr w:rsidR="00000000">
        <w:tblPrEx>
          <w:tblCellMar>
            <w:top w:w="0" w:type="dxa"/>
            <w:bottom w:w="0" w:type="dxa"/>
          </w:tblCellMar>
        </w:tblPrEx>
        <w:tc>
          <w:tcPr>
            <w:tcW w:w="3373"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rPr>
                <w:szCs w:val="25"/>
                <w:lang w:val="es-ES_tradnl"/>
              </w:rPr>
              <w:t>Escuela de Música de las Fuerzas Armadas</w:t>
            </w:r>
          </w:p>
        </w:tc>
        <w:tc>
          <w:tcPr>
            <w:tcW w:w="792"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rPr>
                <w:szCs w:val="25"/>
                <w:lang w:val="es-ES_tradnl"/>
              </w:rPr>
              <w:t>Pichincha</w:t>
            </w:r>
          </w:p>
        </w:tc>
        <w:tc>
          <w:tcPr>
            <w:tcW w:w="834" w:type="pct"/>
            <w:tcBorders>
              <w:top w:val="single" w:sz="6" w:space="0" w:color="auto"/>
              <w:left w:val="single" w:sz="6" w:space="0" w:color="auto"/>
              <w:bottom w:val="single" w:sz="6" w:space="0" w:color="auto"/>
              <w:right w:val="single" w:sz="6" w:space="0" w:color="auto"/>
            </w:tcBorders>
          </w:tcPr>
          <w:p w:rsidR="00000000" w:rsidRDefault="00000000">
            <w:pPr>
              <w:rPr>
                <w:szCs w:val="25"/>
                <w:lang w:val="es-ES_tradnl"/>
              </w:rPr>
            </w:pPr>
            <w:r>
              <w:rPr>
                <w:szCs w:val="25"/>
                <w:lang w:val="es-ES_tradnl"/>
              </w:rPr>
              <w:t>Quito</w:t>
            </w:r>
          </w:p>
        </w:tc>
      </w:tr>
    </w:tbl>
    <w:p w:rsidR="00000000" w:rsidRDefault="00000000">
      <w:pPr>
        <w:keepNext/>
        <w:keepLines/>
        <w:spacing w:before="240" w:after="240"/>
        <w:rPr>
          <w:b/>
          <w:bCs/>
          <w:szCs w:val="2"/>
        </w:rPr>
      </w:pPr>
      <w:r>
        <w:rPr>
          <w:b/>
          <w:bCs/>
          <w:szCs w:val="2"/>
        </w:rPr>
        <w:t>Área Danza</w:t>
      </w:r>
    </w:p>
    <w:p w:rsidR="00000000" w:rsidRDefault="00000000">
      <w:pPr>
        <w:keepNext/>
        <w:keepLines/>
        <w:spacing w:after="240"/>
        <w:rPr>
          <w:i/>
          <w:iCs/>
          <w:szCs w:val="2"/>
        </w:rPr>
      </w:pPr>
      <w:r>
        <w:rPr>
          <w:i/>
          <w:iCs/>
          <w:szCs w:val="2"/>
        </w:rPr>
        <w:t>Institutos y colegios</w:t>
      </w:r>
    </w:p>
    <w:tbl>
      <w:tblPr>
        <w:tblW w:w="5000" w:type="pct"/>
        <w:tblCellMar>
          <w:left w:w="68" w:type="dxa"/>
          <w:right w:w="68" w:type="dxa"/>
        </w:tblCellMar>
        <w:tblLook w:val="0000" w:firstRow="0" w:lastRow="0" w:firstColumn="0" w:lastColumn="0" w:noHBand="0" w:noVBand="0"/>
      </w:tblPr>
      <w:tblGrid>
        <w:gridCol w:w="6450"/>
        <w:gridCol w:w="1437"/>
        <w:gridCol w:w="1604"/>
      </w:tblGrid>
      <w:tr w:rsidR="00000000">
        <w:tblPrEx>
          <w:tblCellMar>
            <w:top w:w="0" w:type="dxa"/>
            <w:bottom w:w="0" w:type="dxa"/>
          </w:tblCellMar>
        </w:tblPrEx>
        <w:tc>
          <w:tcPr>
            <w:tcW w:w="3398"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lang w:val="es-ES_tradnl"/>
              </w:rPr>
              <w:t>Instituto de Danza "</w:t>
            </w:r>
            <w:proofErr w:type="spellStart"/>
            <w:r>
              <w:rPr>
                <w:lang w:val="es-ES_tradnl"/>
              </w:rPr>
              <w:t>Raymond</w:t>
            </w:r>
            <w:proofErr w:type="spellEnd"/>
            <w:r>
              <w:rPr>
                <w:lang w:val="es-ES_tradnl"/>
              </w:rPr>
              <w:t xml:space="preserve"> </w:t>
            </w:r>
            <w:proofErr w:type="spellStart"/>
            <w:r>
              <w:rPr>
                <w:lang w:val="es-ES_tradnl"/>
              </w:rPr>
              <w:t>Maugé</w:t>
            </w:r>
            <w:proofErr w:type="spellEnd"/>
            <w:r>
              <w:rPr>
                <w:lang w:val="es-ES_tradnl"/>
              </w:rPr>
              <w:t>"</w:t>
            </w:r>
          </w:p>
        </w:tc>
        <w:tc>
          <w:tcPr>
            <w:tcW w:w="757"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lang w:val="es-ES_tradnl"/>
              </w:rPr>
              <w:t>Guayas</w:t>
            </w:r>
          </w:p>
        </w:tc>
        <w:tc>
          <w:tcPr>
            <w:tcW w:w="845" w:type="pct"/>
            <w:tcBorders>
              <w:top w:val="single" w:sz="6" w:space="0" w:color="auto"/>
              <w:left w:val="single" w:sz="6" w:space="0" w:color="auto"/>
              <w:bottom w:val="single" w:sz="6" w:space="0" w:color="auto"/>
              <w:right w:val="single" w:sz="6" w:space="0" w:color="auto"/>
            </w:tcBorders>
          </w:tcPr>
          <w:p w:rsidR="00000000" w:rsidRDefault="00000000">
            <w:pPr>
              <w:keepNext/>
              <w:keepLines/>
            </w:pPr>
            <w:r>
              <w:rPr>
                <w:lang w:val="es-ES_tradnl"/>
              </w:rPr>
              <w:t>Guayaquil</w:t>
            </w:r>
          </w:p>
        </w:tc>
      </w:tr>
      <w:tr w:rsidR="00000000">
        <w:tblPrEx>
          <w:tblCellMar>
            <w:top w:w="0" w:type="dxa"/>
            <w:bottom w:w="0" w:type="dxa"/>
          </w:tblCellMar>
        </w:tblPrEx>
        <w:tc>
          <w:tcPr>
            <w:tcW w:w="3398"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Instituto Superior de Danza</w:t>
            </w:r>
          </w:p>
        </w:tc>
        <w:tc>
          <w:tcPr>
            <w:tcW w:w="757"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Pichincha</w:t>
            </w:r>
          </w:p>
        </w:tc>
        <w:tc>
          <w:tcPr>
            <w:tcW w:w="84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Quito</w:t>
            </w:r>
          </w:p>
        </w:tc>
      </w:tr>
      <w:tr w:rsidR="00000000">
        <w:tblPrEx>
          <w:tblCellMar>
            <w:top w:w="0" w:type="dxa"/>
            <w:bottom w:w="0" w:type="dxa"/>
          </w:tblCellMar>
        </w:tblPrEx>
        <w:tc>
          <w:tcPr>
            <w:tcW w:w="3398" w:type="pct"/>
            <w:tcBorders>
              <w:top w:val="single" w:sz="6" w:space="0" w:color="auto"/>
              <w:left w:val="single" w:sz="6" w:space="0" w:color="auto"/>
              <w:bottom w:val="single" w:sz="4" w:space="0" w:color="auto"/>
              <w:right w:val="single" w:sz="6" w:space="0" w:color="auto"/>
            </w:tcBorders>
          </w:tcPr>
          <w:p w:rsidR="00000000" w:rsidRDefault="00000000">
            <w:r>
              <w:rPr>
                <w:lang w:val="es-ES_tradnl"/>
              </w:rPr>
              <w:t xml:space="preserve">Conservatorio </w:t>
            </w:r>
            <w:proofErr w:type="spellStart"/>
            <w:r>
              <w:rPr>
                <w:lang w:val="es-ES_tradnl"/>
              </w:rPr>
              <w:t>Fiscomisional</w:t>
            </w:r>
            <w:proofErr w:type="spellEnd"/>
            <w:r>
              <w:rPr>
                <w:lang w:val="es-ES_tradnl"/>
              </w:rPr>
              <w:t xml:space="preserve"> de Música, Danza y Teatro "La Merced"</w:t>
            </w:r>
          </w:p>
        </w:tc>
        <w:tc>
          <w:tcPr>
            <w:tcW w:w="757" w:type="pct"/>
            <w:tcBorders>
              <w:top w:val="single" w:sz="6" w:space="0" w:color="auto"/>
              <w:left w:val="single" w:sz="6" w:space="0" w:color="auto"/>
              <w:bottom w:val="single" w:sz="4" w:space="0" w:color="auto"/>
              <w:right w:val="single" w:sz="6" w:space="0" w:color="auto"/>
            </w:tcBorders>
          </w:tcPr>
          <w:p w:rsidR="00000000" w:rsidRDefault="00000000">
            <w:r>
              <w:rPr>
                <w:lang w:val="es-ES_tradnl"/>
              </w:rPr>
              <w:t>Tungurahua</w:t>
            </w:r>
          </w:p>
        </w:tc>
        <w:tc>
          <w:tcPr>
            <w:tcW w:w="845" w:type="pct"/>
            <w:tcBorders>
              <w:top w:val="single" w:sz="6" w:space="0" w:color="auto"/>
              <w:left w:val="single" w:sz="6" w:space="0" w:color="auto"/>
              <w:bottom w:val="single" w:sz="4" w:space="0" w:color="auto"/>
              <w:right w:val="single" w:sz="6" w:space="0" w:color="auto"/>
            </w:tcBorders>
          </w:tcPr>
          <w:p w:rsidR="00000000" w:rsidRDefault="00000000">
            <w:r>
              <w:rPr>
                <w:lang w:val="es-ES_tradnl"/>
              </w:rPr>
              <w:t>Ambato</w:t>
            </w:r>
          </w:p>
        </w:tc>
      </w:tr>
    </w:tbl>
    <w:p w:rsidR="00000000" w:rsidRDefault="00000000">
      <w:pPr>
        <w:spacing w:before="240" w:after="240"/>
        <w:rPr>
          <w:b/>
          <w:bCs/>
          <w:szCs w:val="23"/>
          <w:lang w:val="es-ES_tradnl"/>
        </w:rPr>
      </w:pPr>
      <w:r>
        <w:rPr>
          <w:b/>
          <w:bCs/>
          <w:szCs w:val="23"/>
          <w:lang w:val="es-ES_tradnl"/>
        </w:rPr>
        <w:t>Área Artes Plásticas</w:t>
      </w:r>
    </w:p>
    <w:p w:rsidR="00000000" w:rsidRDefault="00000000">
      <w:pPr>
        <w:spacing w:before="240" w:after="240"/>
        <w:rPr>
          <w:i/>
          <w:iCs/>
        </w:rPr>
      </w:pPr>
      <w:r>
        <w:rPr>
          <w:i/>
          <w:iCs/>
          <w:szCs w:val="23"/>
          <w:lang w:val="es-ES_tradnl"/>
        </w:rPr>
        <w:t>Institutos y colegios</w:t>
      </w:r>
    </w:p>
    <w:tbl>
      <w:tblPr>
        <w:tblW w:w="5000" w:type="pct"/>
        <w:tblCellMar>
          <w:left w:w="68" w:type="dxa"/>
          <w:right w:w="68" w:type="dxa"/>
        </w:tblCellMar>
        <w:tblLook w:val="0000" w:firstRow="0" w:lastRow="0" w:firstColumn="0" w:lastColumn="0" w:noHBand="0" w:noVBand="0"/>
      </w:tblPr>
      <w:tblGrid>
        <w:gridCol w:w="6426"/>
        <w:gridCol w:w="1482"/>
        <w:gridCol w:w="1583"/>
      </w:tblGrid>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Instituto Superior "Daniel Reyes"</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Imbabura</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Ibarra</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Instituto Superior "Juan José Plaza"</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Guayas</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Guayaquil</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de Artes Plásticas "</w:t>
            </w:r>
            <w:proofErr w:type="spellStart"/>
            <w:r>
              <w:rPr>
                <w:lang w:val="es-ES_tradnl"/>
              </w:rPr>
              <w:t>Tohalí</w:t>
            </w:r>
            <w:proofErr w:type="spellEnd"/>
            <w:r>
              <w:rPr>
                <w:lang w:val="es-ES_tradnl"/>
              </w:rPr>
              <w:t>"</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Manabí</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Manta</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de Artes Plásticas "La Pila"</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Manabí</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Montecristi</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 xml:space="preserve">Colegio "Ciudad de </w:t>
            </w:r>
            <w:proofErr w:type="spellStart"/>
            <w:r>
              <w:rPr>
                <w:lang w:val="es-ES_tradnl"/>
              </w:rPr>
              <w:t>Portovelo</w:t>
            </w:r>
            <w:proofErr w:type="spellEnd"/>
            <w:r>
              <w:rPr>
                <w:lang w:val="es-ES_tradnl"/>
              </w:rPr>
              <w:t>"</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El Oro</w:t>
            </w:r>
          </w:p>
        </w:tc>
        <w:tc>
          <w:tcPr>
            <w:tcW w:w="834" w:type="pct"/>
            <w:tcBorders>
              <w:top w:val="single" w:sz="6" w:space="0" w:color="auto"/>
              <w:left w:val="single" w:sz="6" w:space="0" w:color="auto"/>
              <w:bottom w:val="single" w:sz="6" w:space="0" w:color="auto"/>
              <w:right w:val="single" w:sz="6" w:space="0" w:color="auto"/>
            </w:tcBorders>
          </w:tcPr>
          <w:p w:rsidR="00000000" w:rsidRDefault="00000000">
            <w:proofErr w:type="spellStart"/>
            <w:r>
              <w:rPr>
                <w:lang w:val="es-ES_tradnl"/>
              </w:rPr>
              <w:t>Portovelo</w:t>
            </w:r>
            <w:proofErr w:type="spellEnd"/>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"Miguel Ángel León Pontón"</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Chimborazo</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Riobamba</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Casa de la Cultura</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Los Ríos</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Babahoyo</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"José Peralta"</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Cañar</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Azogues</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"Virgilio Abarca Montesinos"</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Loja</w:t>
            </w:r>
          </w:p>
        </w:tc>
        <w:tc>
          <w:tcPr>
            <w:tcW w:w="834" w:type="pct"/>
            <w:tcBorders>
              <w:top w:val="single" w:sz="6" w:space="0" w:color="auto"/>
              <w:left w:val="single" w:sz="6" w:space="0" w:color="auto"/>
              <w:bottom w:val="single" w:sz="6" w:space="0" w:color="auto"/>
              <w:right w:val="single" w:sz="6" w:space="0" w:color="auto"/>
            </w:tcBorders>
          </w:tcPr>
          <w:p w:rsidR="00000000" w:rsidRDefault="00000000">
            <w:proofErr w:type="spellStart"/>
            <w:r>
              <w:rPr>
                <w:lang w:val="es-ES_tradnl"/>
              </w:rPr>
              <w:t>Saraguro</w:t>
            </w:r>
            <w:proofErr w:type="spellEnd"/>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Colegio de Bellas Artes</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Esmeraldas</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Esmeraldas</w:t>
            </w:r>
          </w:p>
        </w:tc>
      </w:tr>
      <w:tr w:rsidR="00000000">
        <w:tblPrEx>
          <w:tblCellMar>
            <w:top w:w="0" w:type="dxa"/>
            <w:bottom w:w="0" w:type="dxa"/>
          </w:tblCellMar>
        </w:tblPrEx>
        <w:tc>
          <w:tcPr>
            <w:tcW w:w="3385" w:type="pct"/>
            <w:tcBorders>
              <w:top w:val="single" w:sz="6" w:space="0" w:color="auto"/>
              <w:left w:val="single" w:sz="6" w:space="0" w:color="auto"/>
              <w:bottom w:val="nil"/>
              <w:right w:val="single" w:sz="6" w:space="0" w:color="auto"/>
            </w:tcBorders>
          </w:tcPr>
          <w:p w:rsidR="00000000" w:rsidRDefault="00000000">
            <w:r>
              <w:rPr>
                <w:lang w:val="es-ES_tradnl"/>
              </w:rPr>
              <w:t xml:space="preserve">Colegio de Artes Plásticas de la Universidad </w:t>
            </w:r>
            <w:r>
              <w:rPr>
                <w:lang w:val="es-ES_tradnl"/>
              </w:rPr>
              <w:br/>
              <w:t>Central del Ecuador</w:t>
            </w:r>
          </w:p>
        </w:tc>
        <w:tc>
          <w:tcPr>
            <w:tcW w:w="781" w:type="pct"/>
            <w:tcBorders>
              <w:top w:val="single" w:sz="6" w:space="0" w:color="auto"/>
              <w:left w:val="single" w:sz="6" w:space="0" w:color="auto"/>
              <w:bottom w:val="nil"/>
              <w:right w:val="single" w:sz="6" w:space="0" w:color="auto"/>
            </w:tcBorders>
          </w:tcPr>
          <w:p w:rsidR="00000000" w:rsidRDefault="00000000">
            <w:r>
              <w:rPr>
                <w:lang w:val="es-ES_tradnl"/>
              </w:rPr>
              <w:t>Pichincha</w:t>
            </w:r>
          </w:p>
        </w:tc>
        <w:tc>
          <w:tcPr>
            <w:tcW w:w="834" w:type="pct"/>
            <w:tcBorders>
              <w:top w:val="single" w:sz="6" w:space="0" w:color="auto"/>
              <w:left w:val="single" w:sz="6" w:space="0" w:color="auto"/>
              <w:bottom w:val="nil"/>
              <w:right w:val="single" w:sz="6" w:space="0" w:color="auto"/>
            </w:tcBorders>
          </w:tcPr>
          <w:p w:rsidR="00000000" w:rsidRDefault="00000000">
            <w:r>
              <w:rPr>
                <w:lang w:val="es-ES_tradnl"/>
              </w:rPr>
              <w:t>Quito</w:t>
            </w:r>
          </w:p>
        </w:tc>
      </w:tr>
      <w:tr w:rsidR="00000000">
        <w:tblPrEx>
          <w:tblCellMar>
            <w:top w:w="0" w:type="dxa"/>
            <w:bottom w:w="0" w:type="dxa"/>
          </w:tblCellMar>
        </w:tblPrEx>
        <w:tc>
          <w:tcPr>
            <w:tcW w:w="3385"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 xml:space="preserve">Colegio "Matilde Hidalgo de </w:t>
            </w:r>
            <w:proofErr w:type="spellStart"/>
            <w:r>
              <w:rPr>
                <w:lang w:val="es-ES_tradnl"/>
              </w:rPr>
              <w:t>Prócel</w:t>
            </w:r>
            <w:proofErr w:type="spellEnd"/>
            <w:r>
              <w:rPr>
                <w:lang w:val="es-ES_tradnl"/>
              </w:rPr>
              <w:t>"</w:t>
            </w:r>
          </w:p>
        </w:tc>
        <w:tc>
          <w:tcPr>
            <w:tcW w:w="781"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El Oro</w:t>
            </w:r>
          </w:p>
        </w:tc>
        <w:tc>
          <w:tcPr>
            <w:tcW w:w="834" w:type="pct"/>
            <w:tcBorders>
              <w:top w:val="single" w:sz="6" w:space="0" w:color="auto"/>
              <w:left w:val="single" w:sz="6" w:space="0" w:color="auto"/>
              <w:bottom w:val="single" w:sz="6" w:space="0" w:color="auto"/>
              <w:right w:val="single" w:sz="6" w:space="0" w:color="auto"/>
            </w:tcBorders>
          </w:tcPr>
          <w:p w:rsidR="00000000" w:rsidRDefault="00000000">
            <w:r>
              <w:rPr>
                <w:lang w:val="es-ES_tradnl"/>
              </w:rPr>
              <w:t>Machala</w:t>
            </w:r>
          </w:p>
        </w:tc>
      </w:tr>
    </w:tbl>
    <w:p w:rsidR="00000000" w:rsidRDefault="00000000">
      <w:pPr>
        <w:spacing w:before="480" w:after="240"/>
      </w:pPr>
      <w:r>
        <w:rPr>
          <w:lang w:val="es-ES_tradnl"/>
        </w:rPr>
        <w:t>576.</w:t>
      </w:r>
      <w:r>
        <w:rPr>
          <w:lang w:val="es-ES_tradnl"/>
        </w:rPr>
        <w:tab/>
        <w:t xml:space="preserve">El Programa Nacional Nuevo Rumbo Cultural (1996) es una entidad del sector público cuya misión institucional es contribuir a la reafirmación de la identidad cultural nacional, a partir del reconocimiento de la diversidad cultural, valorando y potenciando las distintas manifestaciones de la cultura popular.  Tiene como principales funciones la ejecución de proyectos de desarrollo cultural en los sectores </w:t>
      </w:r>
      <w:proofErr w:type="spellStart"/>
      <w:r>
        <w:rPr>
          <w:lang w:val="es-ES_tradnl"/>
        </w:rPr>
        <w:t>urbanomarginales</w:t>
      </w:r>
      <w:proofErr w:type="spellEnd"/>
      <w:r>
        <w:rPr>
          <w:lang w:val="es-ES_tradnl"/>
        </w:rPr>
        <w:t xml:space="preserve"> y rurales del país y la labor de campo en la promoción cultural, con la participación activa de los estudiantes de nivel medio y la comunidad.</w:t>
      </w:r>
    </w:p>
    <w:p w:rsidR="00000000" w:rsidRDefault="00000000">
      <w:pPr>
        <w:spacing w:after="240"/>
      </w:pPr>
      <w:r>
        <w:t>577.</w:t>
      </w:r>
      <w:r>
        <w:tab/>
      </w:r>
      <w:r>
        <w:rPr>
          <w:lang w:val="es-ES_tradnl"/>
        </w:rPr>
        <w:t>Con el objeto de promover las expresiones artísticas y fortalecer las expresiones culturales comunitarias se han diseñado los proyectos:  Centro de Memoria, Ecuador Profundo, Semilleros de Arte, Riqueza Mestiza, y Producción de Vídeos Culturales y Educativos.</w:t>
      </w:r>
    </w:p>
    <w:p w:rsidR="00000000" w:rsidRDefault="00000000">
      <w:pPr>
        <w:spacing w:after="240"/>
      </w:pPr>
      <w:r>
        <w:rPr>
          <w:lang w:val="es-ES_tradnl"/>
        </w:rPr>
        <w:t>578.</w:t>
      </w:r>
      <w:r>
        <w:rPr>
          <w:lang w:val="es-ES_tradnl"/>
        </w:rPr>
        <w:tab/>
        <w:t>Con el propósito de especializar y capacitar al recurso humano del sector cultural se pretende desarrollar el Proyecto de Creación del Centro de Capacitación y Asesoría en materia Artística y Cultural.</w:t>
      </w:r>
    </w:p>
    <w:p w:rsidR="00000000" w:rsidRDefault="00000000">
      <w:pPr>
        <w:shd w:val="clear" w:color="auto" w:fill="FFFFFF"/>
        <w:spacing w:after="240"/>
        <w:ind w:right="24"/>
      </w:pPr>
      <w:r>
        <w:rPr>
          <w:color w:val="000000"/>
          <w:lang w:val="es-ES_tradnl"/>
        </w:rPr>
        <w:t>579.</w:t>
      </w:r>
      <w:r>
        <w:rPr>
          <w:color w:val="000000"/>
          <w:lang w:val="es-ES_tradnl"/>
        </w:rPr>
        <w:tab/>
        <w:t xml:space="preserve">En la Ley del anciano publicada en el </w:t>
      </w:r>
      <w:r>
        <w:rPr>
          <w:i/>
          <w:iCs/>
          <w:color w:val="000000"/>
          <w:lang w:val="es-ES_tradnl"/>
        </w:rPr>
        <w:t>Registro Oficial</w:t>
      </w:r>
      <w:r>
        <w:rPr>
          <w:color w:val="000000"/>
          <w:lang w:val="es-ES_tradnl"/>
        </w:rPr>
        <w:t xml:space="preserve"> </w:t>
      </w:r>
      <w:proofErr w:type="spellStart"/>
      <w:r>
        <w:rPr>
          <w:color w:val="000000"/>
          <w:lang w:val="es-ES_tradnl"/>
        </w:rPr>
        <w:t>Nº</w:t>
      </w:r>
      <w:proofErr w:type="spellEnd"/>
      <w:r>
        <w:rPr>
          <w:color w:val="000000"/>
          <w:lang w:val="es-ES_tradnl"/>
        </w:rPr>
        <w:t xml:space="preserve"> 806, el artículo 5 se refiere al trato que la sociedad y el Estado deben brindar a las personas de la tercera edad:  "Las instituciones del sector público y privado darán facilidades a los ancianos que deseen participar en actividades sociales, culturales, económicas, deportivas, artísticas y científicas".</w:t>
      </w:r>
    </w:p>
    <w:p w:rsidR="00000000" w:rsidRDefault="00000000">
      <w:pPr>
        <w:shd w:val="clear" w:color="auto" w:fill="FFFFFF"/>
        <w:spacing w:after="240"/>
        <w:ind w:left="5" w:right="19"/>
        <w:rPr>
          <w:color w:val="000000"/>
          <w:lang w:val="es-ES_tradnl"/>
        </w:rPr>
      </w:pPr>
      <w:r>
        <w:rPr>
          <w:color w:val="000000"/>
          <w:lang w:val="es-ES_tradnl"/>
        </w:rPr>
        <w:t>580.</w:t>
      </w:r>
      <w:r>
        <w:rPr>
          <w:color w:val="000000"/>
          <w:lang w:val="es-ES_tradnl"/>
        </w:rPr>
        <w:tab/>
        <w:t>Las disposiciones de los artículos de la Ley de discapacidades incorporan los derechos fundamentales de estas personas así como el papel que están llamadas a cumplir dentro de la sociedad, para quienes se deben crear las condiciones de igualdad de oportunidades en la producción y creación artística, científica y cultural.</w:t>
      </w:r>
    </w:p>
    <w:p w:rsidR="00000000" w:rsidRDefault="00000000">
      <w:pPr>
        <w:spacing w:after="240"/>
        <w:rPr>
          <w:color w:val="000000"/>
          <w:lang w:val="es-ES_tradnl"/>
        </w:rPr>
      </w:pPr>
      <w:r>
        <w:rPr>
          <w:color w:val="000000"/>
          <w:lang w:val="es-ES_tradnl"/>
        </w:rPr>
        <w:t>581.</w:t>
      </w:r>
      <w:r>
        <w:rPr>
          <w:color w:val="000000"/>
          <w:lang w:val="es-ES_tradnl"/>
        </w:rPr>
        <w:tab/>
        <w:t xml:space="preserve">La Constitución de la República en la sección séptima, que trata de la cultura, en los artículos 62 y 63, luego de definirla como patrimonio del pueblo y esencia de la identidad, hace expresa referencia a la necesidad de la formulación de políticas que tiendan a proteger el conjunto de valores y manifestaciones diversas que configuran la identidad nacional, </w:t>
      </w:r>
      <w:proofErr w:type="spellStart"/>
      <w:r>
        <w:rPr>
          <w:color w:val="000000"/>
          <w:lang w:val="es-ES_tradnl"/>
        </w:rPr>
        <w:t>pluricultural</w:t>
      </w:r>
      <w:proofErr w:type="spellEnd"/>
      <w:r>
        <w:rPr>
          <w:color w:val="000000"/>
          <w:lang w:val="es-ES_tradnl"/>
        </w:rPr>
        <w:t xml:space="preserve"> y </w:t>
      </w:r>
      <w:proofErr w:type="spellStart"/>
      <w:r>
        <w:rPr>
          <w:color w:val="000000"/>
          <w:lang w:val="es-ES_tradnl"/>
        </w:rPr>
        <w:t>multiétnica</w:t>
      </w:r>
      <w:proofErr w:type="spellEnd"/>
      <w:r>
        <w:rPr>
          <w:color w:val="000000"/>
          <w:lang w:val="es-ES_tradnl"/>
        </w:rPr>
        <w:t>, logrando el cumplimiento de los principios de la equidad e igualdad de las culturas nacionales.</w:t>
      </w:r>
    </w:p>
    <w:p w:rsidR="00000000" w:rsidRDefault="00000000">
      <w:pPr>
        <w:shd w:val="clear" w:color="auto" w:fill="FFFFFF"/>
        <w:spacing w:after="240"/>
        <w:ind w:left="14" w:right="5"/>
        <w:rPr>
          <w:i/>
          <w:iCs/>
          <w:color w:val="000000"/>
          <w:lang w:val="es-ES_tradnl"/>
        </w:rPr>
      </w:pPr>
      <w:r>
        <w:rPr>
          <w:i/>
          <w:iCs/>
          <w:color w:val="000000"/>
          <w:lang w:val="es-ES_tradnl"/>
        </w:rPr>
        <w:t>Ciencia y tecnología</w:t>
      </w:r>
    </w:p>
    <w:p w:rsidR="00000000" w:rsidRDefault="00000000">
      <w:pPr>
        <w:shd w:val="clear" w:color="auto" w:fill="FFFFFF"/>
        <w:spacing w:after="240"/>
        <w:ind w:left="14" w:right="5"/>
        <w:rPr>
          <w:color w:val="000000"/>
          <w:lang w:val="es-ES_tradnl"/>
        </w:rPr>
      </w:pPr>
      <w:r>
        <w:rPr>
          <w:color w:val="000000"/>
          <w:lang w:val="es-ES_tradnl"/>
        </w:rPr>
        <w:t>582.</w:t>
      </w:r>
      <w:r>
        <w:rPr>
          <w:color w:val="000000"/>
          <w:lang w:val="es-ES_tradnl"/>
        </w:rPr>
        <w:tab/>
        <w:t>La Constitución del Ecuador en el artículo 80 trata sobre la ciencia y tecnología:  "El Estado fomentará la ciencia y la tecnología, especialmente en todos los niveles educativos, dirigidas a mejorar la productividad, el manejo sustentable de los recursos naturales, y a satisfacer las necesidades básicas de la población.  Garantizará la libertad de las actividades científicas y tecnológicas y la protección legal de sus resultados, así como el conocimiento ancestral colectivo.  La investigación científica se llevará a cabo en las universidades, escuelas politécnicas, institutos superiores técnicos y tecnológicos y centros de investigación científica, en coordinación con los sectores productivos cuando sea pertinente, y con el organismo público que establezca la ley, la que regulará también el estatuto del investigador científico".</w:t>
      </w:r>
    </w:p>
    <w:p w:rsidR="00000000" w:rsidRDefault="00000000">
      <w:pPr>
        <w:shd w:val="clear" w:color="auto" w:fill="FFFFFF"/>
        <w:spacing w:after="240"/>
        <w:ind w:left="14" w:right="5"/>
        <w:rPr>
          <w:color w:val="000000"/>
          <w:lang w:val="es-ES_tradnl"/>
        </w:rPr>
      </w:pPr>
      <w:r>
        <w:rPr>
          <w:color w:val="000000"/>
          <w:lang w:val="es-ES_tradnl"/>
        </w:rPr>
        <w:t>583.</w:t>
      </w:r>
      <w:r>
        <w:rPr>
          <w:color w:val="000000"/>
          <w:lang w:val="es-ES_tradnl"/>
        </w:rPr>
        <w:tab/>
        <w:t xml:space="preserve">El Decreto ejecutivo </w:t>
      </w:r>
      <w:proofErr w:type="spellStart"/>
      <w:r>
        <w:rPr>
          <w:color w:val="000000"/>
          <w:lang w:val="es-ES_tradnl"/>
        </w:rPr>
        <w:t>Nº</w:t>
      </w:r>
      <w:proofErr w:type="spellEnd"/>
      <w:r>
        <w:rPr>
          <w:color w:val="000000"/>
          <w:lang w:val="es-ES_tradnl"/>
        </w:rPr>
        <w:t xml:space="preserve"> 1605 según el </w:t>
      </w:r>
      <w:r>
        <w:rPr>
          <w:i/>
          <w:iCs/>
          <w:color w:val="000000"/>
          <w:lang w:val="es-ES_tradnl"/>
        </w:rPr>
        <w:t>Registro</w:t>
      </w:r>
      <w:r>
        <w:rPr>
          <w:color w:val="000000"/>
          <w:lang w:val="es-ES_tradnl"/>
        </w:rPr>
        <w:t xml:space="preserve"> </w:t>
      </w:r>
      <w:r>
        <w:rPr>
          <w:i/>
          <w:iCs/>
          <w:color w:val="000000"/>
          <w:lang w:val="es-ES_tradnl"/>
        </w:rPr>
        <w:t>Oficial</w:t>
      </w:r>
      <w:r>
        <w:rPr>
          <w:color w:val="000000"/>
          <w:lang w:val="es-ES_tradnl"/>
        </w:rPr>
        <w:t xml:space="preserve"> </w:t>
      </w:r>
      <w:proofErr w:type="spellStart"/>
      <w:r>
        <w:rPr>
          <w:color w:val="000000"/>
          <w:lang w:val="es-ES_tradnl"/>
        </w:rPr>
        <w:t>Nº</w:t>
      </w:r>
      <w:proofErr w:type="spellEnd"/>
      <w:r>
        <w:rPr>
          <w:color w:val="000000"/>
          <w:lang w:val="es-ES_tradnl"/>
        </w:rPr>
        <w:t xml:space="preserve"> 416 de 8 de abril de 1994, que crea la Fundación de Ciencia y Tecnología (FUNDACYT) señala las funciones y describe el área de su competencia en cuanto a la producción y diseminación del conocimiento y de sus aplicaciones tecnológicas.</w:t>
      </w:r>
    </w:p>
    <w:p w:rsidR="00000000" w:rsidRDefault="00000000">
      <w:pPr>
        <w:shd w:val="clear" w:color="auto" w:fill="FFFFFF"/>
        <w:spacing w:after="240"/>
        <w:ind w:left="29" w:right="5"/>
      </w:pPr>
      <w:r>
        <w:rPr>
          <w:color w:val="000000"/>
          <w:lang w:val="es-ES_tradnl"/>
        </w:rPr>
        <w:t>584.</w:t>
      </w:r>
      <w:r>
        <w:rPr>
          <w:color w:val="000000"/>
          <w:lang w:val="es-ES_tradnl"/>
        </w:rPr>
        <w:tab/>
        <w:t>Es materia de fundamental preocupación para el Gobierno del Ecuador el marco legal para la defensa y la protección del medio ambiente.  En 1979 se aprobó la Ley de protección ambiental y en 1996 se creó el Ministerio del Medio Ambiente que desde 1988 había tenido únicamente un estatus de Comisión Asesora Medioambiental, adscrita a la Presidencia de la República.</w:t>
      </w:r>
    </w:p>
    <w:p w:rsidR="00000000" w:rsidRDefault="00000000">
      <w:pPr>
        <w:shd w:val="clear" w:color="auto" w:fill="FFFFFF"/>
        <w:spacing w:after="240"/>
        <w:ind w:left="14" w:right="5"/>
        <w:rPr>
          <w:color w:val="000000"/>
          <w:lang w:val="es-ES_tradnl"/>
        </w:rPr>
      </w:pPr>
      <w:r>
        <w:rPr>
          <w:color w:val="000000"/>
          <w:lang w:val="es-ES_tradnl"/>
        </w:rPr>
        <w:t>585.</w:t>
      </w:r>
      <w:r>
        <w:rPr>
          <w:color w:val="000000"/>
          <w:lang w:val="es-ES_tradnl"/>
        </w:rPr>
        <w:tab/>
        <w:t>Con la creación de FUNDACYT se establece el Sistema Nacional de Ciencia y Tecnología, articulando con las universidades, escuelas politécnicas que forman parte del CONUEP con sus respectivos centros de generación y desagregación tecnológica y otros del sector privado orientados a satisfacer las necesidades de investigación de los sectores empresariales del país, al tenor de los decretos correspondientes.</w:t>
      </w:r>
    </w:p>
    <w:p w:rsidR="00000000" w:rsidRDefault="00000000">
      <w:pPr>
        <w:shd w:val="clear" w:color="auto" w:fill="FFFFFF"/>
        <w:spacing w:after="240"/>
        <w:ind w:left="14" w:right="5"/>
      </w:pPr>
      <w:r>
        <w:rPr>
          <w:color w:val="000000"/>
          <w:lang w:val="es-ES_tradnl"/>
        </w:rPr>
        <w:t>586.</w:t>
      </w:r>
      <w:r>
        <w:rPr>
          <w:color w:val="000000"/>
          <w:lang w:val="es-ES_tradnl"/>
        </w:rPr>
        <w:tab/>
        <w:t xml:space="preserve">Mediante Decreto ejecutivo </w:t>
      </w:r>
      <w:proofErr w:type="spellStart"/>
      <w:r>
        <w:rPr>
          <w:color w:val="000000"/>
          <w:lang w:val="es-ES_tradnl"/>
        </w:rPr>
        <w:t>Nº</w:t>
      </w:r>
      <w:proofErr w:type="spellEnd"/>
      <w:r>
        <w:rPr>
          <w:color w:val="000000"/>
          <w:lang w:val="es-ES_tradnl"/>
        </w:rPr>
        <w:t xml:space="preserve"> 1603, </w:t>
      </w:r>
      <w:r>
        <w:rPr>
          <w:i/>
          <w:iCs/>
          <w:color w:val="000000"/>
          <w:lang w:val="es-ES_tradnl"/>
        </w:rPr>
        <w:t>Registro Oficial</w:t>
      </w:r>
      <w:r>
        <w:rPr>
          <w:color w:val="000000"/>
          <w:lang w:val="es-ES_tradnl"/>
        </w:rPr>
        <w:t xml:space="preserve"> </w:t>
      </w:r>
      <w:proofErr w:type="spellStart"/>
      <w:r>
        <w:rPr>
          <w:color w:val="000000"/>
          <w:lang w:val="es-ES_tradnl"/>
        </w:rPr>
        <w:t>Nº</w:t>
      </w:r>
      <w:proofErr w:type="spellEnd"/>
      <w:r>
        <w:rPr>
          <w:color w:val="000000"/>
          <w:lang w:val="es-ES_tradnl"/>
        </w:rPr>
        <w:t xml:space="preserve"> 413 de 5 de abril de 1994, se reorganiza el Sistema Nacional de Ciencia y Tecnología y se crea la Secretaría Nacional de Ciencia y Tecnología, adscrita a la Vicepresidencia de la República, como el ente político rector del Sistema Nacional de Ciencia y Tecnología, la cual será dirigida por el Secretario Nacional de Ciencia y Tecnología, que será nombrado por el Presidente de la República.</w:t>
      </w:r>
    </w:p>
    <w:p w:rsidR="00000000" w:rsidRDefault="00000000">
      <w:pPr>
        <w:shd w:val="clear" w:color="auto" w:fill="FFFFFF"/>
        <w:spacing w:after="240"/>
        <w:ind w:left="10" w:right="24"/>
      </w:pPr>
      <w:r>
        <w:rPr>
          <w:color w:val="000000"/>
          <w:lang w:val="es-ES_tradnl"/>
        </w:rPr>
        <w:t>587.</w:t>
      </w:r>
      <w:r>
        <w:rPr>
          <w:color w:val="000000"/>
          <w:lang w:val="es-ES_tradnl"/>
        </w:rPr>
        <w:tab/>
        <w:t xml:space="preserve">Se debe destacar el trabajo que realiza la Oficina de Coordinación Científica de la Universidad Central en el desarrollo de proyectos de investigación en las diferentes facultades, escuelas e institutos de postgrado al servicio de los sectores productivos y los institutos de investigación en áreas como el agropecuario con el INIAP que mediante el Plan de Acción pretende constituirse en un instrumento dinámico de la transformación del sector agroindustrial de la nación y el Instituto </w:t>
      </w:r>
      <w:proofErr w:type="spellStart"/>
      <w:r>
        <w:rPr>
          <w:color w:val="000000"/>
          <w:lang w:val="es-ES_tradnl"/>
        </w:rPr>
        <w:t>Oceanógrafico</w:t>
      </w:r>
      <w:proofErr w:type="spellEnd"/>
      <w:r>
        <w:rPr>
          <w:color w:val="000000"/>
          <w:lang w:val="es-ES_tradnl"/>
        </w:rPr>
        <w:t xml:space="preserve"> de la Armada (INOCAR), en la investigación acuícola.</w:t>
      </w:r>
    </w:p>
    <w:p w:rsidR="00000000" w:rsidRDefault="00000000">
      <w:pPr>
        <w:shd w:val="clear" w:color="auto" w:fill="FFFFFF"/>
        <w:spacing w:after="240"/>
        <w:ind w:left="10" w:right="19"/>
      </w:pPr>
      <w:r>
        <w:rPr>
          <w:color w:val="000000"/>
          <w:lang w:val="es-ES_tradnl"/>
        </w:rPr>
        <w:t>588.</w:t>
      </w:r>
      <w:r>
        <w:rPr>
          <w:color w:val="000000"/>
          <w:lang w:val="es-ES_tradnl"/>
        </w:rPr>
        <w:tab/>
        <w:t xml:space="preserve">Cada uno de estos centros e institutos difunden la información sobre los progresos científicos a través de diferentes medios:  FUNDACYT mantiene una publicación periódica para la comunidad científica nacional e internacional y además una pagina web.  Igual acontece con todos los demás centros de investigación.  La Universidad Central mantiene una publicación centenaria </w:t>
      </w:r>
      <w:r>
        <w:rPr>
          <w:i/>
          <w:iCs/>
          <w:color w:val="000000"/>
          <w:lang w:val="es-ES_tradnl"/>
        </w:rPr>
        <w:t>Anales</w:t>
      </w:r>
      <w:r>
        <w:rPr>
          <w:color w:val="000000"/>
          <w:lang w:val="es-ES_tradnl"/>
        </w:rPr>
        <w:t>, que constituye una de las más importantes publicaciones del acontecer científico del país.</w:t>
      </w:r>
    </w:p>
    <w:p w:rsidR="00000000" w:rsidRDefault="00000000">
      <w:pPr>
        <w:shd w:val="clear" w:color="auto" w:fill="FFFFFF"/>
        <w:spacing w:after="240"/>
        <w:ind w:left="10"/>
        <w:rPr>
          <w:i/>
          <w:iCs/>
        </w:rPr>
      </w:pPr>
      <w:r>
        <w:rPr>
          <w:i/>
          <w:iCs/>
          <w:color w:val="000000"/>
          <w:lang w:val="es-ES_tradnl"/>
        </w:rPr>
        <w:t>Propiedad intelectual</w:t>
      </w:r>
    </w:p>
    <w:p w:rsidR="00000000" w:rsidRDefault="00000000">
      <w:pPr>
        <w:shd w:val="clear" w:color="auto" w:fill="FFFFFF"/>
        <w:spacing w:after="240"/>
        <w:ind w:left="14" w:right="10"/>
      </w:pPr>
      <w:r>
        <w:rPr>
          <w:color w:val="000000"/>
          <w:lang w:val="es-ES_tradnl"/>
        </w:rPr>
        <w:t>589.</w:t>
      </w:r>
      <w:r>
        <w:rPr>
          <w:color w:val="000000"/>
          <w:lang w:val="es-ES_tradnl"/>
        </w:rPr>
        <w:tab/>
        <w:t>De acuerdo al artículo 75 de la Constitución Política, son funciones principales de las universidades y escuelas politécnicas la investigación, "el estudio y el planteamiento de soluciones para los problemas del país", lo que supone incrementar el conocimiento mediante la publicación y difusión de sus resultados en sus medios habituales, para que éste sirva para mejorar la calidad de vida de los ciudadanos mediante su aplicación en el desarrollo de nuevos productos o procesos.  La protección legal de los resultados de la investigación así como la libertad de actividades científicas y tecnológicas están también garantizadas en el artículo 80 de la Constitución.</w:t>
      </w:r>
    </w:p>
    <w:p w:rsidR="00000000" w:rsidRDefault="00000000">
      <w:pPr>
        <w:shd w:val="clear" w:color="auto" w:fill="FFFFFF"/>
        <w:spacing w:after="240"/>
        <w:ind w:left="19"/>
        <w:rPr>
          <w:i/>
          <w:iCs/>
        </w:rPr>
      </w:pPr>
      <w:r>
        <w:rPr>
          <w:i/>
          <w:iCs/>
          <w:color w:val="000000"/>
          <w:lang w:val="es-ES_tradnl"/>
        </w:rPr>
        <w:t>Difusión de la ciencia y la cultura</w:t>
      </w:r>
    </w:p>
    <w:p w:rsidR="00000000" w:rsidRDefault="00000000">
      <w:pPr>
        <w:shd w:val="clear" w:color="auto" w:fill="FFFFFF"/>
        <w:spacing w:after="240"/>
        <w:ind w:left="24" w:right="5"/>
        <w:rPr>
          <w:color w:val="000000"/>
          <w:lang w:val="es-ES_tradnl"/>
        </w:rPr>
      </w:pPr>
      <w:r>
        <w:rPr>
          <w:color w:val="000000"/>
          <w:lang w:val="es-ES_tradnl"/>
        </w:rPr>
        <w:t>590.</w:t>
      </w:r>
      <w:r>
        <w:rPr>
          <w:color w:val="000000"/>
          <w:lang w:val="es-ES_tradnl"/>
        </w:rPr>
        <w:tab/>
        <w:t>La Constitución Política del Ecuador contiene importantes disposiciones sobre la ciencia y la tecnología y temas conexos.  De hecho, es la primera Constitución que contiene una sección específica sobre ciencia y tecnología.  A continuación se transcriben las mencionadas disposiciones.</w:t>
      </w:r>
    </w:p>
    <w:p w:rsidR="00000000" w:rsidRDefault="00000000">
      <w:pPr>
        <w:shd w:val="clear" w:color="auto" w:fill="FFFFFF"/>
        <w:spacing w:after="240"/>
        <w:ind w:left="14" w:right="10"/>
      </w:pPr>
      <w:r>
        <w:rPr>
          <w:color w:val="000000"/>
          <w:lang w:val="es-ES_tradnl"/>
        </w:rPr>
        <w:t>591.</w:t>
      </w:r>
      <w:r>
        <w:rPr>
          <w:color w:val="000000"/>
          <w:lang w:val="es-ES_tradnl"/>
        </w:rPr>
        <w:tab/>
        <w:t>En el título III, de los derechos, garantías y deberes, capitulo II, de los derechos civiles en el artículo 23 se dice:  "Sin perjuicio de los derechos establecidos en esta Constitución y en los instrumentos internacionales vigentes, el Estado reconocerá y garantizará a las personas los siguientes:  [...]  La integridad personal.  Se prohíben las penas crueles, las torturas; todo procedimiento inhumano, degradante o que implique violencia física, psicológica, sexual o coacción moral, y la aplicación y utilización indebida de material genético humano.  [...]</w:t>
      </w:r>
      <w:r>
        <w:rPr>
          <w:color w:val="000000"/>
          <w:szCs w:val="25"/>
          <w:lang w:val="es-ES_tradnl"/>
        </w:rPr>
        <w:t>  El derecho a vivir en un ambiente sano, ecológicamente equilibrado y libre de contaminación.  La ley establecerá las restricciones al ejercicio de determinados derechos y libertades, para proteger el medio ambiente.  [...]  El derecho a una calidad de vida que asegure la salud, alimentación y nutrición, agua potable, saneamiento ambiental, educación</w:t>
      </w:r>
      <w:r>
        <w:rPr>
          <w:i/>
          <w:iCs/>
          <w:color w:val="000000"/>
          <w:szCs w:val="25"/>
          <w:lang w:val="es-ES_tradnl"/>
        </w:rPr>
        <w:t xml:space="preserve">, </w:t>
      </w:r>
      <w:r>
        <w:rPr>
          <w:color w:val="000000"/>
          <w:szCs w:val="25"/>
          <w:lang w:val="es-ES_tradnl"/>
        </w:rPr>
        <w:t>trabajo, empleo, recreación, vivienda, vestido y otros servicios sociales necesarios".</w:t>
      </w:r>
    </w:p>
    <w:p w:rsidR="00000000" w:rsidRDefault="00000000">
      <w:pPr>
        <w:shd w:val="clear" w:color="auto" w:fill="FFFFFF"/>
        <w:spacing w:after="240"/>
        <w:ind w:left="14" w:right="24"/>
      </w:pPr>
      <w:r>
        <w:rPr>
          <w:color w:val="000000"/>
          <w:szCs w:val="25"/>
          <w:lang w:val="es-ES_tradnl"/>
        </w:rPr>
        <w:t>592.</w:t>
      </w:r>
      <w:r>
        <w:rPr>
          <w:color w:val="000000"/>
          <w:szCs w:val="25"/>
          <w:lang w:val="es-ES_tradnl"/>
        </w:rPr>
        <w:tab/>
        <w:t>En el capítulo IV, de los derechos económicos, sociales y culturales,</w:t>
      </w:r>
      <w:r>
        <w:rPr>
          <w:color w:val="000000"/>
          <w:szCs w:val="25"/>
        </w:rPr>
        <w:t xml:space="preserve"> sección</w:t>
      </w:r>
      <w:r>
        <w:rPr>
          <w:color w:val="000000"/>
          <w:szCs w:val="25"/>
          <w:lang w:val="es-ES_tradnl"/>
        </w:rPr>
        <w:t xml:space="preserve"> primera de la propiedad, el artículo 30 dice:  "Se reconocerá y garantizará la propiedad intelectual,</w:t>
      </w:r>
      <w:r>
        <w:rPr>
          <w:i/>
          <w:iCs/>
          <w:color w:val="000000"/>
          <w:szCs w:val="25"/>
          <w:lang w:val="es-ES_tradnl"/>
        </w:rPr>
        <w:t xml:space="preserve"> </w:t>
      </w:r>
      <w:r>
        <w:rPr>
          <w:color w:val="000000"/>
          <w:szCs w:val="25"/>
          <w:lang w:val="es-ES_tradnl"/>
        </w:rPr>
        <w:t>en los términos previstos en la ley de conformidad con los convenios y tratados vigentes.</w:t>
      </w:r>
    </w:p>
    <w:p w:rsidR="00000000" w:rsidRDefault="00000000">
      <w:pPr>
        <w:shd w:val="clear" w:color="auto" w:fill="FFFFFF"/>
        <w:spacing w:after="240"/>
        <w:ind w:left="10" w:right="24"/>
      </w:pPr>
      <w:r>
        <w:rPr>
          <w:color w:val="000000"/>
          <w:szCs w:val="25"/>
          <w:lang w:val="es-ES_tradnl"/>
        </w:rPr>
        <w:t>593.</w:t>
      </w:r>
      <w:r>
        <w:rPr>
          <w:color w:val="000000"/>
          <w:szCs w:val="25"/>
          <w:lang w:val="es-ES_tradnl"/>
        </w:rPr>
        <w:tab/>
        <w:t xml:space="preserve">En la sección cuarta de la salud, el artículo 44 dice:  "El Estado formulará la política nacional de salud y vigilará su aplicación; controlará el funcionamiento de las entidades del sector; reconocerá, respetará y promoverá el desarrollo de las medicinas tradicional y alternativo, cuyo ejercicio será regulado por la ley, e impulsará el avance </w:t>
      </w:r>
      <w:proofErr w:type="spellStart"/>
      <w:r>
        <w:rPr>
          <w:color w:val="000000"/>
          <w:szCs w:val="25"/>
          <w:lang w:val="es-ES_tradnl"/>
        </w:rPr>
        <w:t>cientificotecnológico</w:t>
      </w:r>
      <w:proofErr w:type="spellEnd"/>
      <w:r>
        <w:rPr>
          <w:color w:val="000000"/>
          <w:szCs w:val="25"/>
          <w:lang w:val="es-ES_tradnl"/>
        </w:rPr>
        <w:t xml:space="preserve"> en el área de salud, con sujeción a principios bioéticos".</w:t>
      </w:r>
    </w:p>
    <w:p w:rsidR="00000000" w:rsidRDefault="00000000">
      <w:pPr>
        <w:shd w:val="clear" w:color="auto" w:fill="FFFFFF"/>
        <w:spacing w:after="240"/>
        <w:ind w:left="24" w:right="24"/>
      </w:pPr>
      <w:r>
        <w:rPr>
          <w:color w:val="000000"/>
          <w:szCs w:val="25"/>
          <w:lang w:val="es-ES_tradnl"/>
        </w:rPr>
        <w:t>594.</w:t>
      </w:r>
      <w:r>
        <w:rPr>
          <w:color w:val="000000"/>
          <w:szCs w:val="25"/>
          <w:lang w:val="es-ES_tradnl"/>
        </w:rPr>
        <w:tab/>
        <w:t>En la sección séptima de la cultura, el artículo 62 dice:  "La cultura es patrimonio del pueblo y constituye el elemento esencial de su identidad.  El Estado promoverá y estimulará la cultura, la creación, la formación artística y la investigación científica".</w:t>
      </w:r>
    </w:p>
    <w:p w:rsidR="00000000" w:rsidRDefault="00000000">
      <w:pPr>
        <w:shd w:val="clear" w:color="auto" w:fill="FFFFFF"/>
        <w:spacing w:after="240"/>
        <w:ind w:left="24" w:right="10"/>
      </w:pPr>
      <w:r>
        <w:rPr>
          <w:color w:val="000000"/>
          <w:szCs w:val="25"/>
          <w:lang w:val="es-ES_tradnl"/>
        </w:rPr>
        <w:t>595.</w:t>
      </w:r>
      <w:r>
        <w:rPr>
          <w:color w:val="000000"/>
          <w:szCs w:val="25"/>
          <w:lang w:val="es-ES_tradnl"/>
        </w:rPr>
        <w:tab/>
        <w:t xml:space="preserve">En la sección octava de la educación, el artículo 66 dice:  "La educación es derecho irrenunciable de las personas, deber inexcusable del Estado, la sociedad y la familia; área prioritaria de la inversión pública, requisito del desarrollo nacional y garantía de la equidad social.  Es responsabilidad del Estado definir y ejecutar políticas que permitan alcanzar estos propósitos.  La educación, inspirada en principios éticos, pluralistas, democráticos, humanistas y científicos, promoverá el respeto a los derechos humanos, desarrollará un pensamiento crítico, fomentará el civismo; proporcionará destrezas para la eficiencia en el trabajo y la producción estimulará la creatividad y el pleno desarrollo de la personalidad y las especiales habilidades de cada persona; impulsará la </w:t>
      </w:r>
      <w:proofErr w:type="spellStart"/>
      <w:r>
        <w:rPr>
          <w:color w:val="000000"/>
          <w:szCs w:val="25"/>
          <w:lang w:val="es-ES_tradnl"/>
        </w:rPr>
        <w:t>interculturalidad</w:t>
      </w:r>
      <w:proofErr w:type="spellEnd"/>
      <w:r>
        <w:rPr>
          <w:color w:val="000000"/>
          <w:szCs w:val="25"/>
          <w:lang w:val="es-ES_tradnl"/>
        </w:rPr>
        <w:t xml:space="preserve"> la solidaridad y la paz".</w:t>
      </w:r>
    </w:p>
    <w:p w:rsidR="00000000" w:rsidRDefault="00000000">
      <w:pPr>
        <w:shd w:val="clear" w:color="auto" w:fill="FFFFFF"/>
        <w:spacing w:after="240"/>
        <w:ind w:left="24" w:right="10"/>
      </w:pPr>
      <w:r>
        <w:rPr>
          <w:color w:val="000000"/>
          <w:szCs w:val="25"/>
          <w:lang w:val="es-ES_tradnl"/>
        </w:rPr>
        <w:t>596.</w:t>
      </w:r>
      <w:r>
        <w:rPr>
          <w:color w:val="000000"/>
          <w:szCs w:val="25"/>
          <w:lang w:val="es-ES_tradnl"/>
        </w:rPr>
        <w:tab/>
        <w:t>El artículo 72 dice:  "Las personas naturales y jurídicas podrán realizar aportes económicos para la dotación de infraestructura, mobiliario y material didáctico del sector educativo, los que serán deducibles del pago de obligaciones tributarias, en los términos que señale la ley".</w:t>
      </w:r>
    </w:p>
    <w:p w:rsidR="00000000" w:rsidRDefault="00000000">
      <w:pPr>
        <w:shd w:val="clear" w:color="auto" w:fill="FFFFFF"/>
        <w:spacing w:after="240"/>
        <w:ind w:left="24" w:right="10"/>
      </w:pPr>
      <w:r>
        <w:rPr>
          <w:color w:val="000000"/>
          <w:szCs w:val="25"/>
          <w:lang w:val="es-ES_tradnl"/>
        </w:rPr>
        <w:t>597.</w:t>
      </w:r>
      <w:r>
        <w:rPr>
          <w:color w:val="000000"/>
          <w:szCs w:val="25"/>
          <w:lang w:val="es-ES_tradnl"/>
        </w:rPr>
        <w:tab/>
        <w:t>El artículo 75 dice:  "Serán funciones principales de las universidades y escuelas politécnicas, la investigación científica, la formación profesional y técnica, la creación y desarrollo de la cultura nacional y su difusión en los sectores populares, así como el estudio y el planteamiento de soluciones para los problemas del país, a fin de contribuir a crear una nueva y más justa sociedad ecuatoriana, con métodos y orientaciones específicos para el cumplimiento de estos fines".</w:t>
      </w:r>
    </w:p>
    <w:p w:rsidR="00000000" w:rsidRDefault="00000000">
      <w:pPr>
        <w:shd w:val="clear" w:color="auto" w:fill="FFFFFF"/>
        <w:spacing w:after="240"/>
        <w:ind w:left="24" w:right="10"/>
      </w:pPr>
      <w:r>
        <w:rPr>
          <w:color w:val="000000"/>
          <w:szCs w:val="25"/>
          <w:lang w:val="es-ES_tradnl"/>
        </w:rPr>
        <w:t>598.</w:t>
      </w:r>
      <w:r>
        <w:rPr>
          <w:color w:val="000000"/>
          <w:szCs w:val="25"/>
          <w:lang w:val="es-ES_tradnl"/>
        </w:rPr>
        <w:tab/>
        <w:t>En la sección novena de la ciencia y tecnología, el artículo 80 dice:  "El Estado fomentará la ciencia y la tecnología, especialmente en todos los niveles educativos, dirigidas a mejorar la productividad, la competitividad, el manejo sustentable de los recursos naturales y satisfacer las necesidades básicas de la población. Garantizará la libertad de las actividades científicas y tecnológicas y la protección legal de sus resultados, así como el conocimiento ancestral colectivo".</w:t>
      </w:r>
    </w:p>
    <w:p w:rsidR="00000000" w:rsidRDefault="00000000">
      <w:pPr>
        <w:shd w:val="clear" w:color="auto" w:fill="FFFFFF"/>
        <w:spacing w:after="240"/>
        <w:ind w:right="34"/>
      </w:pPr>
      <w:r>
        <w:rPr>
          <w:color w:val="000000"/>
          <w:szCs w:val="25"/>
          <w:lang w:val="es-ES_tradnl"/>
        </w:rPr>
        <w:t>599.</w:t>
      </w:r>
      <w:r>
        <w:rPr>
          <w:color w:val="000000"/>
          <w:szCs w:val="25"/>
          <w:lang w:val="es-ES_tradnl"/>
        </w:rPr>
        <w:tab/>
        <w:t xml:space="preserve">En el capítulo 5, de los derechos colectivos, sección primera de los pueblos indígenas y negros o </w:t>
      </w:r>
      <w:proofErr w:type="spellStart"/>
      <w:r>
        <w:rPr>
          <w:color w:val="000000"/>
          <w:szCs w:val="25"/>
          <w:lang w:val="es-ES_tradnl"/>
        </w:rPr>
        <w:t>afroecuatorianos</w:t>
      </w:r>
      <w:proofErr w:type="spellEnd"/>
      <w:r>
        <w:rPr>
          <w:color w:val="000000"/>
          <w:szCs w:val="25"/>
          <w:lang w:val="es-ES_tradnl"/>
        </w:rPr>
        <w:t>, el artículo 84 dice que el Estado reconocerá y garantizará a los pueblos indígenas, de conformidad con esta Constitución y la ley, el respeto al orden público y a los derechos humanos, los siguientes derechos colectivos:  [...]  "A la propiedad intelectual colectiva</w:t>
      </w:r>
      <w:r>
        <w:rPr>
          <w:i/>
          <w:iCs/>
          <w:color w:val="000000"/>
          <w:szCs w:val="25"/>
          <w:lang w:val="es-ES_tradnl"/>
        </w:rPr>
        <w:t xml:space="preserve"> </w:t>
      </w:r>
      <w:r>
        <w:rPr>
          <w:color w:val="000000"/>
          <w:szCs w:val="25"/>
          <w:lang w:val="es-ES_tradnl"/>
        </w:rPr>
        <w:t>de sus conocimientos ancestrales; a su valoración, uso y desarrollo conforme a la ley.  [...]  A sus sistemas, conocimientos y prácticas de medicina tradicional, incluido el derecho a la protección de los lugares rituales y sagrados, plantas, animales, minerales y ecosistemas de interés vital desde el punto de vista de aquélla".</w:t>
      </w:r>
    </w:p>
    <w:p w:rsidR="00000000" w:rsidRDefault="00000000">
      <w:pPr>
        <w:shd w:val="clear" w:color="auto" w:fill="FFFFFF"/>
        <w:spacing w:after="240"/>
        <w:ind w:left="5" w:right="14"/>
      </w:pPr>
      <w:r>
        <w:rPr>
          <w:color w:val="000000"/>
          <w:szCs w:val="25"/>
          <w:lang w:val="es-ES_tradnl"/>
        </w:rPr>
        <w:t>600.</w:t>
      </w:r>
      <w:r>
        <w:rPr>
          <w:color w:val="000000"/>
          <w:szCs w:val="25"/>
          <w:lang w:val="es-ES_tradnl"/>
        </w:rPr>
        <w:tab/>
        <w:t xml:space="preserve">En la sección segunda del medio ambiente, el artículo 86 dice:  "El Estado protegerá el derecho de la población a vivir en un ambiente sano y ecológicamente equilibrado, que garantice un desarrollo sustentable.  Velará para que este derecho no sea afectado y garantizará la preservación de la naturaleza.  Se declaran de interés público y se regularán conforme a la ley:  </w:t>
      </w:r>
      <w:proofErr w:type="spellStart"/>
      <w:r>
        <w:rPr>
          <w:color w:val="000000"/>
          <w:szCs w:val="25"/>
          <w:lang w:val="es-ES_tradnl"/>
        </w:rPr>
        <w:t>1a</w:t>
      </w:r>
      <w:proofErr w:type="spellEnd"/>
      <w:r>
        <w:rPr>
          <w:color w:val="000000"/>
          <w:szCs w:val="25"/>
          <w:lang w:val="es-ES_tradnl"/>
        </w:rPr>
        <w:t xml:space="preserve"> preservación del medio ambiente, la conservación de los ecosistemas, la biodiversidad la integridad del patrimonio genético del país.  La prevención de la contaminación ambiental, la recuperación de los espacios naturales degradados, el manejo sustentable de los recursos naturales y los requisitos que para estos fines se cumplirán en las actividades públicas y privadas".</w:t>
      </w:r>
    </w:p>
    <w:p w:rsidR="00000000" w:rsidRDefault="00000000">
      <w:pPr>
        <w:shd w:val="clear" w:color="auto" w:fill="FFFFFF"/>
        <w:spacing w:after="240"/>
        <w:ind w:left="19"/>
      </w:pPr>
      <w:r>
        <w:rPr>
          <w:color w:val="000000"/>
          <w:szCs w:val="25"/>
          <w:lang w:val="es-ES_tradnl"/>
        </w:rPr>
        <w:t>601.</w:t>
      </w:r>
      <w:r>
        <w:rPr>
          <w:color w:val="000000"/>
          <w:szCs w:val="25"/>
          <w:lang w:val="es-ES_tradnl"/>
        </w:rPr>
        <w:tab/>
        <w:t xml:space="preserve">Según el artículo 89, el Estado tomará medidas orientadas a la consecución de los siguientes objetivos:  "Promover en el sector público y privado el uso de tecnologías ambientalmente limpias y de energías alternativas no contaminantes.  [...]  Regular, bajo estrictas normas de </w:t>
      </w:r>
      <w:proofErr w:type="spellStart"/>
      <w:r>
        <w:rPr>
          <w:color w:val="000000"/>
          <w:szCs w:val="25"/>
          <w:lang w:val="es-ES_tradnl"/>
        </w:rPr>
        <w:t>bioseguridad</w:t>
      </w:r>
      <w:proofErr w:type="spellEnd"/>
      <w:r>
        <w:rPr>
          <w:color w:val="000000"/>
          <w:szCs w:val="25"/>
          <w:lang w:val="es-ES_tradnl"/>
        </w:rPr>
        <w:t>, la propagación en el medio ambiente, la experimentación, el uso, la comercialización y la importación de organismos genéticamente modificados".</w:t>
      </w:r>
    </w:p>
    <w:p w:rsidR="00000000" w:rsidRDefault="00000000">
      <w:pPr>
        <w:shd w:val="clear" w:color="auto" w:fill="FFFFFF"/>
        <w:spacing w:after="240"/>
        <w:ind w:left="19" w:right="5"/>
      </w:pPr>
      <w:r>
        <w:rPr>
          <w:color w:val="000000"/>
          <w:szCs w:val="25"/>
          <w:lang w:val="es-ES_tradnl"/>
        </w:rPr>
        <w:t>602.</w:t>
      </w:r>
      <w:r>
        <w:rPr>
          <w:color w:val="000000"/>
          <w:szCs w:val="25"/>
          <w:lang w:val="es-ES_tradnl"/>
        </w:rPr>
        <w:tab/>
        <w:t xml:space="preserve">En el título XII, del sistema económico capítulo </w:t>
      </w:r>
      <w:proofErr w:type="spellStart"/>
      <w:r>
        <w:rPr>
          <w:color w:val="000000"/>
          <w:szCs w:val="25"/>
          <w:lang w:val="es-ES_tradnl"/>
        </w:rPr>
        <w:t>I</w:t>
      </w:r>
      <w:proofErr w:type="spellEnd"/>
      <w:r>
        <w:rPr>
          <w:color w:val="000000"/>
          <w:szCs w:val="25"/>
          <w:lang w:val="es-ES_tradnl"/>
        </w:rPr>
        <w:t>, Principios generales, el artículo 244 dice que dentro del sistema de economía social de mercado al Estado le corresponderá:  "Crear infraestructura física, científica y tecnológicas; y dotar de los servicios básicos para el desarrollo".</w:t>
      </w:r>
    </w:p>
    <w:p w:rsidR="00000000" w:rsidRDefault="00000000">
      <w:pPr>
        <w:shd w:val="clear" w:color="auto" w:fill="FFFFFF"/>
        <w:spacing w:after="240"/>
        <w:ind w:left="14" w:right="10"/>
      </w:pPr>
      <w:r>
        <w:rPr>
          <w:color w:val="000000"/>
          <w:szCs w:val="25"/>
          <w:lang w:val="es-ES_tradnl"/>
        </w:rPr>
        <w:t>603.</w:t>
      </w:r>
      <w:r>
        <w:rPr>
          <w:color w:val="000000"/>
          <w:szCs w:val="25"/>
          <w:lang w:val="es-ES_tradnl"/>
        </w:rPr>
        <w:tab/>
        <w:t>Según el artículo 248, "el Estado tiene derecho soberano sobre la diversidad biológica, reservas naturales, áreas protegidas y parques nacionales".</w:t>
      </w:r>
    </w:p>
    <w:p w:rsidR="00000000" w:rsidRDefault="00000000">
      <w:pPr>
        <w:shd w:val="clear" w:color="auto" w:fill="FFFFFF"/>
        <w:spacing w:after="240"/>
        <w:ind w:left="10" w:right="43"/>
      </w:pPr>
      <w:r>
        <w:rPr>
          <w:color w:val="000000"/>
          <w:szCs w:val="25"/>
          <w:lang w:val="es-ES_tradnl"/>
        </w:rPr>
        <w:t>604.</w:t>
      </w:r>
      <w:r>
        <w:rPr>
          <w:color w:val="000000"/>
          <w:szCs w:val="25"/>
          <w:lang w:val="es-ES_tradnl"/>
        </w:rPr>
        <w:tab/>
        <w:t>En el capítulo VI del régimen agropecuario, el artículo 266 dice que:  "Será objetivo permanente de las políticas del Estado el desarrollo prioritario integral y sostenido de las actividades agrícola, pecuaria, acuícola, pesquera y agroindustrial, que provean productos de calidad para el mercado interno, y externo, la dotación de infraestructura, la tecnificación y recuperación de suelos, la investigación científica y la transferencia de tecnología".</w:t>
      </w:r>
    </w:p>
    <w:p w:rsidR="00000000" w:rsidRDefault="00000000">
      <w:pPr>
        <w:shd w:val="clear" w:color="auto" w:fill="FFFFFF"/>
        <w:spacing w:after="240"/>
        <w:ind w:left="5" w:right="38"/>
      </w:pPr>
      <w:r>
        <w:rPr>
          <w:color w:val="000000"/>
          <w:szCs w:val="25"/>
          <w:lang w:val="es-ES_tradnl"/>
        </w:rPr>
        <w:t>605.</w:t>
      </w:r>
      <w:r>
        <w:rPr>
          <w:color w:val="000000"/>
          <w:szCs w:val="25"/>
          <w:lang w:val="es-ES_tradnl"/>
        </w:rPr>
        <w:tab/>
        <w:t>Según el artículo 270:  "El Estado dará prioridad a la</w:t>
      </w:r>
      <w:r>
        <w:rPr>
          <w:i/>
          <w:iCs/>
          <w:color w:val="000000"/>
          <w:szCs w:val="25"/>
          <w:lang w:val="es-ES_tradnl"/>
        </w:rPr>
        <w:t xml:space="preserve"> </w:t>
      </w:r>
      <w:r>
        <w:rPr>
          <w:color w:val="000000"/>
          <w:szCs w:val="25"/>
          <w:lang w:val="es-ES_tradnl"/>
        </w:rPr>
        <w:t>investigación</w:t>
      </w:r>
      <w:r>
        <w:rPr>
          <w:i/>
          <w:iCs/>
          <w:color w:val="000000"/>
          <w:szCs w:val="25"/>
          <w:lang w:val="es-ES_tradnl"/>
        </w:rPr>
        <w:t xml:space="preserve"> </w:t>
      </w:r>
      <w:r>
        <w:rPr>
          <w:color w:val="000000"/>
          <w:szCs w:val="25"/>
          <w:lang w:val="es-ES_tradnl"/>
        </w:rPr>
        <w:t xml:space="preserve">en materia agropecuaria, cuya actividad reconoce como base fundamental para la nutrición y seguridad </w:t>
      </w:r>
      <w:proofErr w:type="spellStart"/>
      <w:r>
        <w:rPr>
          <w:color w:val="000000"/>
          <w:szCs w:val="25"/>
          <w:lang w:val="es-ES_tradnl"/>
        </w:rPr>
        <w:t>alimentaria</w:t>
      </w:r>
      <w:proofErr w:type="spellEnd"/>
      <w:r>
        <w:rPr>
          <w:color w:val="000000"/>
          <w:szCs w:val="25"/>
          <w:lang w:val="es-ES_tradnl"/>
        </w:rPr>
        <w:t xml:space="preserve"> de la población y para el desarrollo de la competitividad internacional del país".</w:t>
      </w:r>
    </w:p>
    <w:p w:rsidR="00000000" w:rsidRDefault="00000000">
      <w:pPr>
        <w:shd w:val="clear" w:color="auto" w:fill="FFFFFF"/>
        <w:spacing w:after="240"/>
        <w:ind w:left="24" w:right="5"/>
        <w:rPr>
          <w:i/>
          <w:iCs/>
          <w:color w:val="000000"/>
          <w:szCs w:val="25"/>
          <w:lang w:val="es-ES_tradnl"/>
        </w:rPr>
      </w:pPr>
      <w:r>
        <w:rPr>
          <w:i/>
          <w:iCs/>
          <w:color w:val="000000"/>
          <w:szCs w:val="25"/>
          <w:lang w:val="es-ES_tradnl"/>
        </w:rPr>
        <w:t>Sistema de ciencia y tecnología</w:t>
      </w:r>
    </w:p>
    <w:p w:rsidR="00000000" w:rsidRDefault="00000000">
      <w:pPr>
        <w:shd w:val="clear" w:color="auto" w:fill="FFFFFF"/>
        <w:spacing w:after="240"/>
        <w:ind w:left="10" w:right="29"/>
      </w:pPr>
      <w:r>
        <w:rPr>
          <w:color w:val="000000"/>
          <w:szCs w:val="25"/>
          <w:lang w:val="es-ES_tradnl"/>
        </w:rPr>
        <w:t>606.</w:t>
      </w:r>
      <w:r>
        <w:rPr>
          <w:color w:val="000000"/>
          <w:szCs w:val="25"/>
          <w:lang w:val="es-ES_tradnl"/>
        </w:rPr>
        <w:tab/>
        <w:t xml:space="preserve">El marco legal de Fomento de la Ciencia y Tecnología se fundamenta en la Ley del sistema nacional de ciencia y tecnología (El Sistema fue reorganizado por el Decreto ejecutivo </w:t>
      </w:r>
      <w:proofErr w:type="spellStart"/>
      <w:r>
        <w:rPr>
          <w:color w:val="000000"/>
          <w:szCs w:val="25"/>
          <w:lang w:val="es-ES_tradnl"/>
        </w:rPr>
        <w:t>Nº</w:t>
      </w:r>
      <w:proofErr w:type="spellEnd"/>
      <w:r>
        <w:rPr>
          <w:color w:val="000000"/>
          <w:szCs w:val="25"/>
          <w:lang w:val="es-ES_tradnl"/>
        </w:rPr>
        <w:t xml:space="preserve"> 1603).</w:t>
      </w:r>
    </w:p>
    <w:p w:rsidR="00000000" w:rsidRDefault="00000000">
      <w:pPr>
        <w:shd w:val="clear" w:color="auto" w:fill="FFFFFF"/>
        <w:spacing w:after="240"/>
        <w:ind w:left="14" w:right="34"/>
      </w:pPr>
      <w:r>
        <w:rPr>
          <w:color w:val="000000"/>
          <w:szCs w:val="25"/>
          <w:lang w:val="es-ES_tradnl"/>
        </w:rPr>
        <w:t>607.</w:t>
      </w:r>
      <w:r>
        <w:rPr>
          <w:color w:val="000000"/>
          <w:szCs w:val="25"/>
          <w:lang w:val="es-ES_tradnl"/>
        </w:rPr>
        <w:tab/>
        <w:t>La Ley de contratación pública (</w:t>
      </w:r>
      <w:proofErr w:type="spellStart"/>
      <w:r>
        <w:rPr>
          <w:color w:val="000000"/>
          <w:szCs w:val="25"/>
          <w:lang w:val="es-ES_tradnl"/>
        </w:rPr>
        <w:t>arts</w:t>
      </w:r>
      <w:proofErr w:type="spellEnd"/>
      <w:r>
        <w:rPr>
          <w:color w:val="000000"/>
          <w:szCs w:val="25"/>
          <w:lang w:val="es-ES_tradnl"/>
        </w:rPr>
        <w:t>. 117 y 118) prevé una importante fuente de financiamiento para la actividad científica tecnológica en el Ecuador:  todos los contratos a los que se refiere dicha ley, cuya cuantía sea igual o superior a los 1.500 salarios mínimos vitales generales, están sujetos a la contribución del 0,25% de su cuantía, al igual que el 0,125% de las planillas de reajuste de precios de dichos contratos, siendo sujetos pasivos los contratistas del Estado.  El aporte es entregado a la Secretaría Nacional de Ciencia y Tecnología, para el financiamiento de las actividades científicas tecnológicas, a través de FUNDACYT.</w:t>
      </w:r>
    </w:p>
    <w:p w:rsidR="00000000" w:rsidRDefault="00000000">
      <w:pPr>
        <w:shd w:val="clear" w:color="auto" w:fill="FFFFFF"/>
        <w:spacing w:after="240"/>
        <w:ind w:left="19" w:right="10"/>
      </w:pPr>
      <w:r>
        <w:rPr>
          <w:color w:val="000000"/>
          <w:szCs w:val="25"/>
          <w:lang w:val="es-ES_tradnl"/>
        </w:rPr>
        <w:t>608.</w:t>
      </w:r>
      <w:r>
        <w:rPr>
          <w:color w:val="000000"/>
          <w:szCs w:val="25"/>
          <w:lang w:val="es-ES_tradnl"/>
        </w:rPr>
        <w:tab/>
        <w:t>Se analiza el estado de la cuestión en cuanto a propiedad intelectual y a propiedad literaria y artística en Ecuador.  La propiedad intelectual comprende dos áreas o ramas principales:  la propiedad industrial, principalmente las invenciones, las marcas de fábrica o de comercio; los dibujos o los modelos industriales y, el derecho de autor, principalmente sobre las obras literarias, musicales, artísticas, fonográficas y audiovisuales.</w:t>
      </w:r>
    </w:p>
    <w:p w:rsidR="00000000" w:rsidRDefault="00000000">
      <w:pPr>
        <w:shd w:val="clear" w:color="auto" w:fill="FFFFFF"/>
        <w:spacing w:after="240"/>
        <w:ind w:left="19" w:right="10"/>
      </w:pPr>
      <w:r>
        <w:rPr>
          <w:color w:val="000000"/>
          <w:szCs w:val="25"/>
          <w:lang w:val="es-ES_tradnl"/>
        </w:rPr>
        <w:t>609.</w:t>
      </w:r>
      <w:r>
        <w:rPr>
          <w:color w:val="000000"/>
          <w:szCs w:val="25"/>
          <w:lang w:val="es-ES_tradnl"/>
        </w:rPr>
        <w:tab/>
        <w:t>Las principales normas de carácter internacional que son ley en Ecuador en lo relativo a la propiedad intelectual son el Convenio de París para la Protección de la Propiedad Industrial, de 20 de marzo de 1883 con su última enmienda de 1979; el Arreglo de Madrid, relativo a la represión de las indicaciones de procedencias falsas o engañosas en los productos de 14 de abril de 1891.  Existe el Tratado de cooperación en materia de patentes de 19 de julio de 1970, con su última modificación de 1984; el Tratado de Budapest sobre el reconocimiento internacional del deposito de microorganismos a los fines del procedimiento en materia de patentes de 28 de abril de 1977.  Tratándose de marcas, el Ecuador dispone del Arreglo de Madrid relativo al registro internacional de marcas de 14 de abril de 1891.  Finalmente el Arreglo de Lisboa relativo a la protección de las denominaciones de origen de 31 de octubre de 1958 y su Registro internacional enmendado en 1979.</w:t>
      </w:r>
    </w:p>
    <w:p w:rsidR="00000000" w:rsidRDefault="00000000">
      <w:pPr>
        <w:shd w:val="clear" w:color="auto" w:fill="FFFFFF"/>
        <w:spacing w:after="240"/>
        <w:ind w:right="43"/>
      </w:pPr>
      <w:r>
        <w:rPr>
          <w:color w:val="000000"/>
          <w:szCs w:val="25"/>
          <w:lang w:val="es-ES_tradnl"/>
        </w:rPr>
        <w:t>610.</w:t>
      </w:r>
      <w:r>
        <w:rPr>
          <w:color w:val="000000"/>
          <w:szCs w:val="25"/>
          <w:lang w:val="es-ES_tradnl"/>
        </w:rPr>
        <w:tab/>
        <w:t xml:space="preserve">Sobre dibujos y modelos industriales, se tiene el Arreglo de La Haya relativo al depósito internacional de dibujos y modelos industriales de 6 de noviembre de 1925, enmendado en 1979; el Arreglo de Estrasburgo relativo a la clasificación internacional de patentes, de 24 de marzo de 1971, enmendado en 1979; el Arreglo de Niza, enmendado en 1979, relativo a la clasificación internacional de productos y servicios para el registro de marcas de 15 de junio de 1957, con su última enmienda en 1979.  También hay que mencionar el Arreglo de </w:t>
      </w:r>
      <w:proofErr w:type="spellStart"/>
      <w:r>
        <w:rPr>
          <w:color w:val="000000"/>
          <w:szCs w:val="25"/>
          <w:lang w:val="es-ES_tradnl"/>
        </w:rPr>
        <w:t>Locarno</w:t>
      </w:r>
      <w:proofErr w:type="spellEnd"/>
      <w:r>
        <w:rPr>
          <w:color w:val="000000"/>
          <w:szCs w:val="25"/>
          <w:lang w:val="es-ES_tradnl"/>
        </w:rPr>
        <w:t xml:space="preserve"> que establece una clasificación internacional para los dibujos y modelos industriales, de 8 de octubre de 1968, enmendado en 1979; el Arreglo de Viena por el que se establece una clasificación internacional de los elementos figurativos de las marcas de 12 de junio de 1973; el Convenio internacional para la protección de las obtenciones vegetales, París, 1961, y Ginebra, 1878; y, el Convenio de la </w:t>
      </w:r>
      <w:proofErr w:type="spellStart"/>
      <w:r>
        <w:rPr>
          <w:color w:val="000000"/>
          <w:szCs w:val="25"/>
          <w:lang w:val="es-ES_tradnl"/>
        </w:rPr>
        <w:t>OMC</w:t>
      </w:r>
      <w:proofErr w:type="spellEnd"/>
      <w:r>
        <w:rPr>
          <w:color w:val="000000"/>
          <w:szCs w:val="25"/>
          <w:lang w:val="es-ES_tradnl"/>
        </w:rPr>
        <w:t xml:space="preserve"> sobre la Propiedad Intelectual.</w:t>
      </w:r>
    </w:p>
    <w:p w:rsidR="00000000" w:rsidRDefault="00000000">
      <w:pPr>
        <w:shd w:val="clear" w:color="auto" w:fill="FFFFFF"/>
        <w:spacing w:after="240"/>
        <w:ind w:right="24"/>
      </w:pPr>
      <w:r>
        <w:rPr>
          <w:color w:val="000000"/>
          <w:szCs w:val="25"/>
          <w:lang w:val="es-ES_tradnl"/>
        </w:rPr>
        <w:t>611.</w:t>
      </w:r>
      <w:r>
        <w:rPr>
          <w:color w:val="000000"/>
          <w:szCs w:val="25"/>
          <w:lang w:val="es-ES_tradnl"/>
        </w:rPr>
        <w:tab/>
        <w:t>En cuanto a propiedad literaria y artística, se parte del reconocimiento nacional de uno de los principios fundamentales de la Ley del derecho de autor; el principio jurídico de que no existe forma alguna de propiedad tan legítima como la propiedad sobre las creaciones del espíritu, pues, equivale a sostener que los autores, entre ellos, los escritores, tienen derecho de propiedad sobre las obras.  Ellos tienen y gozan del derecho a la protección contra el uso no autorizado de sus creaciones y a percibir una parte de los beneficios obtenidos en la utilización pública de las mismas.  El derecho de autor protege asimismo una serie de aspectos esenciales, como el reconocimiento de la paternidad de la obra y el respeto a la integridad como creación intelectual.</w:t>
      </w:r>
    </w:p>
    <w:p w:rsidR="00000000" w:rsidRDefault="00000000">
      <w:pPr>
        <w:shd w:val="clear" w:color="auto" w:fill="FFFFFF"/>
        <w:spacing w:after="240"/>
        <w:ind w:left="14"/>
      </w:pPr>
      <w:r>
        <w:rPr>
          <w:b/>
          <w:bCs/>
          <w:color w:val="000000"/>
          <w:szCs w:val="25"/>
          <w:lang w:val="es-ES_tradnl"/>
        </w:rPr>
        <w:t>Investigación científica.  Marco legal</w:t>
      </w:r>
    </w:p>
    <w:p w:rsidR="00000000" w:rsidRDefault="00000000">
      <w:pPr>
        <w:shd w:val="clear" w:color="auto" w:fill="FFFFFF"/>
        <w:spacing w:after="240"/>
        <w:ind w:left="24" w:right="5"/>
        <w:rPr>
          <w:color w:val="000000"/>
          <w:szCs w:val="25"/>
          <w:lang w:val="es-ES_tradnl"/>
        </w:rPr>
      </w:pPr>
      <w:r>
        <w:rPr>
          <w:color w:val="000000"/>
          <w:szCs w:val="25"/>
          <w:lang w:val="es-ES_tradnl"/>
        </w:rPr>
        <w:t>612.</w:t>
      </w:r>
      <w:r>
        <w:rPr>
          <w:color w:val="000000"/>
          <w:szCs w:val="25"/>
          <w:lang w:val="es-ES_tradnl"/>
        </w:rPr>
        <w:tab/>
        <w:t>La Constitución política garantiza la libertad de las actividades científicas y tecnológicas.  Así, en el artículo 80 se dice:  "El Estado fomentará la ciencia y la tecnología, especialmente en todos los niveles educativos, dirigidas a mejorar la productividad, la competitividad, el manejo sustentable de los recursos naturales y satisfacer las necesidades básicas de la población. Garantizará la libertad de las actividades científicas y tecnológicas y la protección legal de sus resultados, así como el conocimiento ancestral colectivo".</w:t>
      </w:r>
    </w:p>
    <w:p w:rsidR="00000000" w:rsidRDefault="00000000">
      <w:pPr>
        <w:shd w:val="clear" w:color="auto" w:fill="FFFFFF"/>
        <w:spacing w:after="240"/>
        <w:ind w:left="14"/>
      </w:pPr>
      <w:r>
        <w:rPr>
          <w:color w:val="000000"/>
          <w:szCs w:val="25"/>
          <w:lang w:val="es-ES_tradnl"/>
        </w:rPr>
        <w:t>613.</w:t>
      </w:r>
      <w:r>
        <w:rPr>
          <w:color w:val="000000"/>
          <w:szCs w:val="25"/>
          <w:lang w:val="es-ES_tradnl"/>
        </w:rPr>
        <w:tab/>
        <w:t>La comunidad científica ecuatoriana se constituye legalmente en mayo de 1895 y reúne de manera organizada y a escala nacional a los investigadores científicos del país.  En 1996 adquiere la calidad de Academia Nacional de Ciencias, con lo que a más de tener miembros con calidad de titulares, honorarios y asociados tiene también miembros de número.  La Academia se organiza por secciones y para adquirir la calidad de miembro titular debe solicitárselo por escrito al Presidente de la Academia, enviar currículo y una copia de un trabajo de investigación que deberá ser expuesto en fecha y lugar que la Academia señale.  Un trabajo presentado en uno de los Congresos de Ciencias que bianualmente organiza la institución será válido para adquirir la membresía.  La Academia tiene núcleos provinciales, tales como los de Quito, Cuenca, Guayaquil y Loja y están en formación otros núcleos.</w:t>
      </w:r>
    </w:p>
    <w:p w:rsidR="00000000" w:rsidRDefault="00000000">
      <w:pPr>
        <w:shd w:val="clear" w:color="auto" w:fill="FFFFFF"/>
        <w:spacing w:after="240"/>
        <w:rPr>
          <w:i/>
          <w:iCs/>
        </w:rPr>
      </w:pPr>
      <w:r>
        <w:rPr>
          <w:i/>
          <w:iCs/>
          <w:color w:val="000000"/>
          <w:szCs w:val="25"/>
          <w:lang w:val="es-ES_tradnl"/>
        </w:rPr>
        <w:t>Cooperación internacional en materia de cultura</w:t>
      </w:r>
    </w:p>
    <w:p w:rsidR="00000000" w:rsidRDefault="00000000">
      <w:pPr>
        <w:shd w:val="clear" w:color="auto" w:fill="FFFFFF"/>
        <w:spacing w:after="240"/>
        <w:ind w:left="24" w:right="5"/>
      </w:pPr>
      <w:r>
        <w:rPr>
          <w:color w:val="000000"/>
          <w:szCs w:val="25"/>
          <w:lang w:val="es-ES_tradnl"/>
        </w:rPr>
        <w:t>614.</w:t>
      </w:r>
      <w:r>
        <w:rPr>
          <w:color w:val="000000"/>
          <w:szCs w:val="25"/>
          <w:lang w:val="es-ES_tradnl"/>
        </w:rPr>
        <w:tab/>
        <w:t xml:space="preserve">El Ecuador mantiene convenios con países e instituciones para el intercambio científico y cultural.  Las disposiciones de tales convenios crean posibilidades de aprovechamiento por el país, sin embargo, en muchos casos no son utilizados completamente estos compromisos, entre otras razones por la dificultad de la difusión de la información, por la falta de comunicación directa hacia los sectores que se beneficiarán de dichos convenios </w:t>
      </w:r>
      <w:proofErr w:type="spellStart"/>
      <w:r>
        <w:rPr>
          <w:color w:val="000000"/>
          <w:szCs w:val="25"/>
          <w:lang w:val="es-ES_tradnl"/>
        </w:rPr>
        <w:t>y/o</w:t>
      </w:r>
      <w:proofErr w:type="spellEnd"/>
      <w:r>
        <w:rPr>
          <w:color w:val="000000"/>
          <w:szCs w:val="25"/>
          <w:lang w:val="es-ES_tradnl"/>
        </w:rPr>
        <w:t xml:space="preserve"> por la falta de apoyo para la cristalización del impulso a la ciencia, la tecnología, la cultura y el arte.</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Proyecto de Preservación y Promoción del Patrimonio Cultural del Ecuador.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Plan De Acción Para el Estudio de las Culturas Comunes Precolombinas Fronterizas.</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Programa de Intercambio Cultural entre el Gobierno de La República del Ecuador y el Gobierno de la República Popular China.</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Acuerdo de Alcance Parcial de Cooperación e Intercambio de Bienes en las Áreas Cultural, Educacional y Científica (Protocolo de Adhesión de Cuba).</w:t>
      </w:r>
    </w:p>
    <w:p w:rsidR="00000000" w:rsidRDefault="00000000">
      <w:pPr>
        <w:shd w:val="clear" w:color="auto" w:fill="FFFFFF"/>
        <w:spacing w:after="240"/>
        <w:ind w:left="924" w:hanging="357"/>
        <w:rPr>
          <w:color w:val="000000"/>
          <w:szCs w:val="25"/>
          <w:lang w:val="es-ES_tradnl"/>
        </w:rPr>
      </w:pPr>
      <w:r>
        <w:rPr>
          <w:color w:val="000000"/>
          <w:szCs w:val="25"/>
          <w:lang w:val="es-ES_tradnl"/>
        </w:rPr>
        <w:t>-</w:t>
      </w:r>
      <w:r>
        <w:rPr>
          <w:color w:val="000000"/>
          <w:szCs w:val="25"/>
          <w:lang w:val="es-ES_tradnl"/>
        </w:rPr>
        <w:tab/>
        <w:t>Acuerdo de Alcance Parcial de Cooperación e Intercambio de Bienes en las Áreas Cultural, Educacional y Científica (Protocolo de Adhesión de la República de Chile).</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Convenio de Organización del Tratado Andrés Bello para el Área Educativa, Científica, Tecnológica y Cultural.</w:t>
      </w:r>
    </w:p>
    <w:p w:rsidR="00000000" w:rsidRDefault="00000000">
      <w:pPr>
        <w:shd w:val="clear" w:color="auto" w:fill="FFFFFF"/>
        <w:spacing w:after="240"/>
        <w:ind w:left="924" w:hanging="357"/>
        <w:rPr>
          <w:color w:val="000000"/>
          <w:szCs w:val="25"/>
          <w:lang w:val="es-ES_tradnl"/>
        </w:rPr>
      </w:pPr>
      <w:r>
        <w:rPr>
          <w:color w:val="000000"/>
          <w:szCs w:val="25"/>
          <w:lang w:val="es-ES_tradnl"/>
        </w:rPr>
        <w:t>-</w:t>
      </w:r>
      <w:r>
        <w:rPr>
          <w:color w:val="000000"/>
          <w:szCs w:val="25"/>
          <w:lang w:val="es-ES_tradnl"/>
        </w:rPr>
        <w:tab/>
        <w:t>Acuerdo de Donación de 47 millones de yenes otorgado por el Japón con el objeto de restaurar y preservar todas las obras de arte y monumentos del patrimonio cultural ecuatoriano.</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Programa de cooperación e intercambio cultural y científico entre la República del Ecuador y la Federación de Rusia.</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Programa de intercambio cultural ecuatoriano-paraguayo.</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Convenio cultural entre el Gobierno de la República del Ecuador y el Gobierno de la República Árabe de Egipto.</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Acuerdo de servicios de gestión entre el Programa de las Naciones Unidas para el Desarrollo y el Gobierno de la República del Ecuador.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Acuerdo de cooperación cultural en el campo de artes marciales de la República Popular China y el ejército ecuatoriano.</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 xml:space="preserve">Entendimiento administrativo entre el Ministerio de Educación y Cultura de la República del Ecuador y el Ministerio de Asuntos Extranjeros de la República Francesa, relativo a los estatutos de la fundación cultural la </w:t>
      </w:r>
      <w:proofErr w:type="spellStart"/>
      <w:r>
        <w:rPr>
          <w:color w:val="000000"/>
          <w:szCs w:val="25"/>
          <w:lang w:val="es-ES_tradnl"/>
        </w:rPr>
        <w:t>Condamine</w:t>
      </w:r>
      <w:proofErr w:type="spellEnd"/>
      <w:r>
        <w:rPr>
          <w:color w:val="000000"/>
          <w:szCs w:val="25"/>
          <w:lang w:val="es-ES_tradnl"/>
        </w:rPr>
        <w:t xml:space="preserve"> y Liceo.</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Convenio de cooperación del Gobierno del Japón para el suministro de equipos de microfilm para la Biblioteca Nacional Eugenio Espejo de la Casa de la Cultura.</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Convenio Básico de Cooperación Cultural entre el Ecuador y El Salvador.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Acuerdo de Cooperación en materia de Turismo entre el Ministerio de Comercio y Turismo de España y el Ministerio de Turismo del Ecuador.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Convenio de Intercambio Científico Cultural y Tecnológico entre el Ministerio de Educación Superior de Cuba y el Consejo Nacional de Escuelas Politécnicas del Ecuador.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 xml:space="preserve">Notas </w:t>
      </w:r>
      <w:proofErr w:type="spellStart"/>
      <w:r>
        <w:rPr>
          <w:color w:val="000000"/>
          <w:szCs w:val="25"/>
          <w:lang w:val="es-ES_tradnl"/>
        </w:rPr>
        <w:t>Reversales</w:t>
      </w:r>
      <w:proofErr w:type="spellEnd"/>
      <w:r>
        <w:rPr>
          <w:color w:val="000000"/>
          <w:szCs w:val="25"/>
          <w:lang w:val="es-ES_tradnl"/>
        </w:rPr>
        <w:t xml:space="preserve"> suscritas entre los Gobiernos del Ecuador y Japón sobre una donación cultural destinada al equipamiento de la Orquesta Sinfónica del Ecuador.</w:t>
      </w:r>
    </w:p>
    <w:p w:rsidR="00000000" w:rsidRDefault="00000000">
      <w:pPr>
        <w:shd w:val="clear" w:color="auto" w:fill="FFFFFF"/>
        <w:spacing w:after="240"/>
        <w:ind w:left="924" w:hanging="357"/>
      </w:pPr>
      <w:r>
        <w:rPr>
          <w:color w:val="000000"/>
          <w:szCs w:val="25"/>
          <w:lang w:val="es-ES_tradnl"/>
        </w:rPr>
        <w:t>-</w:t>
      </w:r>
      <w:r>
        <w:rPr>
          <w:color w:val="000000"/>
          <w:szCs w:val="25"/>
          <w:lang w:val="es-ES_tradnl"/>
        </w:rPr>
        <w:tab/>
        <w:t xml:space="preserve">Notas </w:t>
      </w:r>
      <w:proofErr w:type="spellStart"/>
      <w:r>
        <w:rPr>
          <w:color w:val="000000"/>
          <w:szCs w:val="25"/>
          <w:lang w:val="es-ES_tradnl"/>
        </w:rPr>
        <w:t>Reversales</w:t>
      </w:r>
      <w:proofErr w:type="spellEnd"/>
      <w:r>
        <w:rPr>
          <w:color w:val="000000"/>
          <w:szCs w:val="25"/>
          <w:lang w:val="es-ES_tradnl"/>
        </w:rPr>
        <w:t xml:space="preserve"> suscritas entre el Ecuador y Bélgica concernientes a la donación de implementos a favor del Instituto Nacional del Patrimonio Cultural.</w:t>
      </w:r>
    </w:p>
    <w:p w:rsidR="00000000" w:rsidRDefault="00000000">
      <w:pPr>
        <w:shd w:val="clear" w:color="auto" w:fill="FFFFFF"/>
        <w:spacing w:after="240"/>
        <w:ind w:left="924" w:hanging="357"/>
        <w:rPr>
          <w:color w:val="000000"/>
          <w:szCs w:val="25"/>
          <w:lang w:val="es-ES_tradnl"/>
        </w:rPr>
      </w:pPr>
      <w:r>
        <w:rPr>
          <w:color w:val="000000"/>
          <w:szCs w:val="25"/>
          <w:lang w:val="es-ES_tradnl"/>
        </w:rPr>
        <w:t>-</w:t>
      </w:r>
      <w:r>
        <w:rPr>
          <w:color w:val="000000"/>
          <w:szCs w:val="25"/>
          <w:lang w:val="es-ES_tradnl"/>
        </w:rPr>
        <w:tab/>
        <w:t>Acuerdo de Cooperación Cultural Científica y Tecnológica entre el Gobierno del Ecuador y el Gobierno de Italia.</w:t>
      </w:r>
    </w:p>
    <w:p w:rsidR="00000000" w:rsidRDefault="00000000">
      <w:pPr>
        <w:shd w:val="clear" w:color="auto" w:fill="FFFFFF"/>
        <w:spacing w:after="240"/>
        <w:ind w:left="924" w:hanging="357"/>
        <w:rPr>
          <w:color w:val="000000"/>
          <w:szCs w:val="25"/>
          <w:lang w:val="es-ES_tradnl"/>
        </w:rPr>
      </w:pPr>
      <w:r>
        <w:rPr>
          <w:color w:val="000000"/>
          <w:szCs w:val="25"/>
          <w:lang w:val="es-ES_tradnl"/>
        </w:rPr>
        <w:t>-</w:t>
      </w:r>
      <w:r>
        <w:rPr>
          <w:color w:val="000000"/>
          <w:szCs w:val="25"/>
          <w:lang w:val="es-ES_tradnl"/>
        </w:rPr>
        <w:tab/>
        <w:t>Acuerdo de Cooperación entre el Ministerio de Relaciones Exteriores y la Representación de la Organización de las Naciones Unidas para la Educación, la Ciencia y la Cultura (UNESCO) en el Ecuador.</w:t>
      </w:r>
    </w:p>
    <w:p w:rsidR="00000000" w:rsidRDefault="00000000">
      <w:pPr>
        <w:shd w:val="clear" w:color="auto" w:fill="FFFFFF"/>
        <w:spacing w:after="240"/>
        <w:ind w:left="924" w:hanging="357"/>
        <w:rPr>
          <w:color w:val="000000"/>
          <w:szCs w:val="25"/>
          <w:lang w:val="es-ES_tradnl"/>
        </w:rPr>
      </w:pPr>
      <w:r>
        <w:rPr>
          <w:color w:val="000000"/>
          <w:szCs w:val="25"/>
          <w:lang w:val="es-ES_tradnl"/>
        </w:rPr>
        <w:t>-</w:t>
      </w:r>
      <w:r>
        <w:rPr>
          <w:color w:val="000000"/>
          <w:szCs w:val="25"/>
          <w:lang w:val="es-ES_tradnl"/>
        </w:rPr>
        <w:tab/>
        <w:t>Convenio entre el Ministerio de Relaciones Exteriores y la Fundación Centro de Estudios Interamericanos.</w:t>
      </w:r>
    </w:p>
    <w:p w:rsidR="00000000" w:rsidRDefault="00000000">
      <w:pPr>
        <w:shd w:val="clear" w:color="auto" w:fill="FFFFFF"/>
        <w:spacing w:after="240"/>
        <w:rPr>
          <w:i/>
          <w:iCs/>
          <w:color w:val="000000"/>
          <w:szCs w:val="25"/>
          <w:lang w:val="es-ES_tradnl"/>
        </w:rPr>
      </w:pPr>
      <w:r>
        <w:rPr>
          <w:i/>
          <w:iCs/>
          <w:color w:val="000000"/>
          <w:szCs w:val="25"/>
          <w:lang w:val="es-ES_tradnl"/>
        </w:rPr>
        <w:br w:type="page"/>
        <w:t xml:space="preserve">Asistencia </w:t>
      </w:r>
      <w:r>
        <w:rPr>
          <w:i/>
          <w:color w:val="000000"/>
          <w:szCs w:val="25"/>
          <w:lang w:val="es-ES_tradnl"/>
        </w:rPr>
        <w:t>internacional</w:t>
      </w:r>
    </w:p>
    <w:p w:rsidR="00000000" w:rsidRDefault="00000000">
      <w:pPr>
        <w:shd w:val="clear" w:color="auto" w:fill="FFFFFF"/>
        <w:spacing w:after="240"/>
      </w:pPr>
      <w:r>
        <w:rPr>
          <w:color w:val="000000"/>
          <w:szCs w:val="25"/>
          <w:lang w:val="es-ES_tradnl"/>
        </w:rPr>
        <w:t>615.</w:t>
      </w:r>
      <w:r>
        <w:rPr>
          <w:color w:val="000000"/>
          <w:szCs w:val="25"/>
          <w:lang w:val="es-ES_tradnl"/>
        </w:rPr>
        <w:tab/>
        <w:t xml:space="preserve">El desarrollo de las políticas públicas de apoyo a la innovación tecnológica en la Comunidad Nacional no es homogéneo.  A partir de esta realidad, la asistencia intencional se orienta a reforzar las capacidades de innovación tecnológica en el país para lograr las posibilidades de desarrollo económico y social con apoyo a los sectores productivos en las áreas de los recursos humanos, la gestión de tecnología, la innovación </w:t>
      </w:r>
      <w:proofErr w:type="spellStart"/>
      <w:r>
        <w:rPr>
          <w:color w:val="000000"/>
          <w:szCs w:val="25"/>
          <w:lang w:val="es-ES_tradnl"/>
        </w:rPr>
        <w:t>cientificoempresarial</w:t>
      </w:r>
      <w:proofErr w:type="spellEnd"/>
      <w:r>
        <w:rPr>
          <w:color w:val="000000"/>
          <w:szCs w:val="25"/>
          <w:lang w:val="es-ES_tradnl"/>
        </w:rPr>
        <w:t xml:space="preserve"> y financiera en agricultura, la industria, los servicios, con la finalidad de atender las principales necesidades sociales del país y desarrollar la transferencia de conocimientos y resultados de la investigación.  Esta política tiende a expandir la base científica y tecnológica y aprovechar al máximo las capacidades existentes en la comunidad internacional para crear y potenciar grupos de investigación y desarrollo en las líneas que se consideran prioritarias en nuestro país y lograr mediante una coordinación estrecha entre los países la formación de planes para estructurar y perfeccionar los sistemas nacionales de ciencia, tecnología e innovación y al mismo tiempo fomentar la cultura y el desarrollo de los derechos de los pueblos en el acercamiento mutuo para el logro de la participación en los beneficios mutuos de la paz.</w:t>
      </w:r>
    </w:p>
    <w:p w:rsidR="00000000" w:rsidRDefault="00000000">
      <w:pPr>
        <w:spacing w:after="48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informes iniciales (E/1978/8/Add.1, E/1986/3/Add.14 y E/1988/5/Add.7) relativos respectivamente a los derechos comprendidos en los artículos 6 a 9, 10 a 12 y 13 a 15 del Pacto, así como el segundo informe periódico relativo a los derechos comprendidos en los artículos 6 y 9 del Pacto presentados por el Gobierno del Ecuador fueron examinados por el Grupo de Trabajo de expertos gubernamentales del Consejo Económico y Social en 1980 (véanse los documentos E/1980/WG.1/SR.4 y 5), en 1984 (véanse los documentos E/1984/WG.1/SR.20 y 22), y por el Comité de Derechos Económicos, Sociales y Culturales en su quinto período de sesiones en 1990 (véanse los documentos E/C.12/1990/SR.37 a 39 y 42).</w:t>
      </w:r>
    </w:p>
  </w:footnote>
  <w:footnote w:id="2">
    <w:p w:rsidR="00000000" w:rsidRDefault="00000000">
      <w:pPr>
        <w:pStyle w:val="FootnoteText"/>
        <w:spacing w:after="360" w:line="240" w:lineRule="auto"/>
      </w:pPr>
      <w:r>
        <w:rPr>
          <w:rStyle w:val="FootnoteReference"/>
        </w:rPr>
        <w:t>**</w:t>
      </w:r>
      <w:r>
        <w:t xml:space="preserve"> La información presentada de acuerdo con las directrices consolidadas para la parte inicial de los informes de los Estados Partes está contenida en el documento básico HRI/CORE/1/Add.7.</w:t>
      </w:r>
    </w:p>
    <w:p w:rsidR="00000000" w:rsidRDefault="00000000">
      <w:pPr>
        <w:pStyle w:val="FootnoteText"/>
        <w:spacing w:line="240" w:lineRule="auto"/>
      </w:pPr>
      <w:r>
        <w:t>GE.02-46413  (S)    201202    100203</w:t>
      </w:r>
    </w:p>
  </w:footnote>
  <w:footnote w:id="3">
    <w:p w:rsidR="00000000" w:rsidRDefault="00000000">
      <w:pPr>
        <w:pStyle w:val="FootnoteText"/>
        <w:spacing w:line="240" w:lineRule="auto"/>
      </w:pPr>
      <w:r>
        <w:rPr>
          <w:rStyle w:val="FootnoteReference"/>
        </w:rPr>
        <w:footnoteRef/>
      </w:r>
      <w:r>
        <w:t xml:space="preserve"> Segundos informes presentados de conformidad con la resolución 1988 (LX) del Consejo de los Estados Partes en el Pacto, relativos a los derechos comprendidos en los artículos 6 a 9 (E/1984/WG.1/SR.22, informes de los Estados Partes de conformidad con los artículos 16 y 17 del Pacto; E/C.1/1990/SR.37 (arts. 10 a 12); E/C.12/1990/SR.38 (arts. 13 a 15); E/C.12/1990/SR.39, E/C.12/1990/SR.42 (abril de 1991).</w:t>
      </w:r>
    </w:p>
  </w:footnote>
  <w:footnote w:id="4">
    <w:p w:rsidR="00000000" w:rsidRDefault="00000000">
      <w:pPr>
        <w:pStyle w:val="FootnoteText"/>
        <w:spacing w:line="240" w:lineRule="auto"/>
      </w:pPr>
      <w:r>
        <w:rPr>
          <w:rStyle w:val="FootnoteReference"/>
        </w:rPr>
        <w:footnoteRef/>
      </w:r>
      <w:r>
        <w:t xml:space="preserve"> La información consignada en el presente documento fue elaborada tomando como principal fuente de información la estadística del Instituto Ecuatoriano de Estadísticas y Censos (INEC), que es la información oficial del Estado ecuatoriano.  Se ha tomado como base el Censo Nacional de 1990 y la Encuesta Urbana Nacional:  empleo, desempleo y subempleo, II Ronda, de noviembre de 1990, 1995 y 1998.  Existiendo información del sector rural nacional sólo para el año 1990, el INEC realizó el Censo Agrícola Nacional en el año 2001.</w:t>
      </w:r>
    </w:p>
  </w:footnote>
  <w:footnote w:id="5">
    <w:p w:rsidR="00000000" w:rsidRDefault="00000000">
      <w:pPr>
        <w:pStyle w:val="FootnoteText"/>
        <w:spacing w:line="240" w:lineRule="auto"/>
      </w:pPr>
      <w:r>
        <w:rPr>
          <w:rStyle w:val="FootnoteReference"/>
        </w:rPr>
        <w:footnoteRef/>
      </w:r>
      <w:r>
        <w:t xml:space="preserve"> "Retrato de mujeres.  Indicadores sociales sobre la situación de las campesinas indígenas del Ecuador rural", </w:t>
      </w:r>
      <w:r>
        <w:rPr>
          <w:i/>
          <w:iCs/>
        </w:rPr>
        <w:t>El desarrollo social en el Ecuador 2</w:t>
      </w:r>
      <w:r>
        <w:t>, Quito, StFS, UNIFEM y PMS, 1998.</w:t>
      </w:r>
    </w:p>
  </w:footnote>
  <w:footnote w:id="6">
    <w:p w:rsidR="00000000" w:rsidRDefault="00000000">
      <w:pPr>
        <w:pStyle w:val="FootnoteText"/>
        <w:spacing w:line="240" w:lineRule="auto"/>
      </w:pPr>
      <w:r>
        <w:rPr>
          <w:rStyle w:val="FootnoteReference"/>
        </w:rPr>
        <w:footnoteRef/>
      </w:r>
      <w:r>
        <w:t xml:space="preserve"> Centro de Estudios de Población y Desarrollo Social (CEPAR), informe preliminar, ENDEMAIN-99.</w:t>
      </w:r>
    </w:p>
  </w:footnote>
  <w:footnote w:id="7">
    <w:p w:rsidR="00000000" w:rsidRDefault="00000000">
      <w:pPr>
        <w:pStyle w:val="FootnoteText"/>
        <w:spacing w:line="240" w:lineRule="auto"/>
        <w:rPr>
          <w:i/>
          <w:iCs/>
        </w:rPr>
      </w:pPr>
      <w:r>
        <w:rPr>
          <w:rStyle w:val="FootnoteReference"/>
        </w:rPr>
        <w:footnoteRef/>
      </w:r>
      <w:r>
        <w:t xml:space="preserve"> Véase nota 3 </w:t>
      </w:r>
      <w:r>
        <w:rPr>
          <w:i/>
          <w:iCs/>
        </w:rPr>
        <w:t>supra</w:t>
      </w:r>
      <w:r>
        <w:t>, pág. 118.</w:t>
      </w:r>
    </w:p>
  </w:footnote>
  <w:footnote w:id="8">
    <w:p w:rsidR="00000000" w:rsidRDefault="00000000">
      <w:pPr>
        <w:pStyle w:val="FootnoteText"/>
        <w:spacing w:line="240" w:lineRule="auto"/>
      </w:pPr>
      <w:r>
        <w:rPr>
          <w:rStyle w:val="FootnoteReference"/>
        </w:rPr>
        <w:footnoteRef/>
      </w:r>
      <w:r>
        <w:t xml:space="preserve"> Consejo Nacional de Mujeres (CONAMU), Indicadores de género.</w:t>
      </w:r>
    </w:p>
  </w:footnote>
  <w:footnote w:id="9">
    <w:p w:rsidR="00000000" w:rsidRDefault="00000000">
      <w:pPr>
        <w:pStyle w:val="FootnoteText"/>
        <w:spacing w:line="240" w:lineRule="auto"/>
      </w:pPr>
      <w:r>
        <w:rPr>
          <w:rStyle w:val="FootnoteReference"/>
        </w:rPr>
        <w:footnoteRef/>
      </w:r>
      <w:r>
        <w:t xml:space="preserve"> Ibíd.</w:t>
      </w:r>
    </w:p>
  </w:footnote>
  <w:footnote w:id="10">
    <w:p w:rsidR="00000000" w:rsidRDefault="00000000">
      <w:pPr>
        <w:pStyle w:val="FootnoteText"/>
        <w:spacing w:after="200" w:line="240" w:lineRule="auto"/>
      </w:pPr>
      <w:r>
        <w:rPr>
          <w:rStyle w:val="FootnoteReference"/>
        </w:rPr>
        <w:footnoteRef/>
      </w:r>
      <w:r>
        <w:t xml:space="preserve"> </w:t>
      </w:r>
      <w:r>
        <w:rPr>
          <w:color w:val="000000"/>
          <w:lang w:val="es-ES_tradnl"/>
        </w:rPr>
        <w:t>Constitución Política del Estado (art. 93).</w:t>
      </w:r>
    </w:p>
  </w:footnote>
  <w:footnote w:id="11">
    <w:p w:rsidR="00000000" w:rsidRDefault="00000000">
      <w:pPr>
        <w:pStyle w:val="FootnoteText"/>
        <w:spacing w:after="200" w:line="240" w:lineRule="auto"/>
        <w:rPr>
          <w:lang w:val="en-US"/>
        </w:rPr>
      </w:pPr>
      <w:r>
        <w:rPr>
          <w:rStyle w:val="FootnoteReference"/>
        </w:rPr>
        <w:footnoteRef/>
      </w:r>
      <w:r>
        <w:rPr>
          <w:lang w:val="en-US"/>
        </w:rPr>
        <w:t xml:space="preserve"> Ibíd. (art. 94).</w:t>
      </w:r>
    </w:p>
  </w:footnote>
  <w:footnote w:id="12">
    <w:p w:rsidR="00000000" w:rsidRDefault="00000000">
      <w:pPr>
        <w:pStyle w:val="FootnoteText"/>
        <w:spacing w:after="200" w:line="240" w:lineRule="auto"/>
        <w:rPr>
          <w:lang w:val="en-US"/>
        </w:rPr>
      </w:pPr>
      <w:r>
        <w:rPr>
          <w:rStyle w:val="FootnoteReference"/>
        </w:rPr>
        <w:footnoteRef/>
      </w:r>
      <w:r>
        <w:rPr>
          <w:lang w:val="en-US"/>
        </w:rPr>
        <w:t xml:space="preserve"> Ibíd. (art. 95).</w:t>
      </w:r>
    </w:p>
  </w:footnote>
  <w:footnote w:id="13">
    <w:p w:rsidR="00000000" w:rsidRDefault="00000000">
      <w:pPr>
        <w:pStyle w:val="FootnoteText"/>
        <w:spacing w:after="200" w:line="240" w:lineRule="auto"/>
        <w:rPr>
          <w:lang w:val="en-US"/>
        </w:rPr>
      </w:pPr>
      <w:r>
        <w:rPr>
          <w:rStyle w:val="FootnoteReference"/>
        </w:rPr>
        <w:footnoteRef/>
      </w:r>
      <w:r>
        <w:rPr>
          <w:lang w:val="en-US"/>
        </w:rPr>
        <w:t xml:space="preserve"> Ibíd. (art. 96).</w:t>
      </w:r>
    </w:p>
  </w:footnote>
  <w:footnote w:id="14">
    <w:p w:rsidR="00000000" w:rsidRDefault="00000000">
      <w:pPr>
        <w:pStyle w:val="FootnoteText"/>
        <w:spacing w:line="240" w:lineRule="auto"/>
      </w:pPr>
      <w:r>
        <w:rPr>
          <w:rStyle w:val="FootnoteReference"/>
        </w:rPr>
        <w:footnoteRef/>
      </w:r>
      <w:r>
        <w:t xml:space="preserve"> Defensoría del Pueblo (octubre de 1999).</w:t>
      </w:r>
    </w:p>
  </w:footnote>
  <w:footnote w:id="15">
    <w:p w:rsidR="00000000" w:rsidRDefault="00000000">
      <w:pPr>
        <w:pStyle w:val="FootnoteText"/>
        <w:spacing w:line="240" w:lineRule="auto"/>
      </w:pPr>
      <w:r>
        <w:rPr>
          <w:rStyle w:val="FootnoteReference"/>
        </w:rPr>
        <w:footnoteRef/>
      </w:r>
      <w:r>
        <w:t xml:space="preserve"> </w:t>
      </w:r>
      <w:r>
        <w:rPr>
          <w:i/>
          <w:iCs/>
        </w:rPr>
        <w:t>La geografía de la pobreza en el Ecuador</w:t>
      </w:r>
      <w:r>
        <w:t>, Quito, STFS y PNUD, 1996.</w:t>
      </w:r>
    </w:p>
  </w:footnote>
  <w:footnote w:id="16">
    <w:p w:rsidR="00000000" w:rsidRDefault="00000000">
      <w:pPr>
        <w:pStyle w:val="FootnoteText"/>
        <w:spacing w:line="240" w:lineRule="auto"/>
      </w:pPr>
      <w:r>
        <w:rPr>
          <w:rStyle w:val="FootnoteReference"/>
        </w:rPr>
        <w:footnoteRef/>
      </w:r>
      <w:r>
        <w:t xml:space="preserve"> Véase la nota 3 </w:t>
      </w:r>
      <w:r>
        <w:rPr>
          <w:i/>
          <w:iCs/>
        </w:rPr>
        <w:t>supra</w:t>
      </w:r>
      <w:r>
        <w:t>.</w:t>
      </w:r>
    </w:p>
  </w:footnote>
  <w:footnote w:id="17">
    <w:p w:rsidR="00000000" w:rsidRDefault="00000000">
      <w:pPr>
        <w:pStyle w:val="FootnoteText"/>
        <w:spacing w:line="240" w:lineRule="auto"/>
      </w:pPr>
      <w:r>
        <w:rPr>
          <w:rStyle w:val="FootnoteReference"/>
        </w:rPr>
        <w:footnoteRef/>
      </w:r>
      <w:r>
        <w:t xml:space="preserve"> </w:t>
      </w:r>
      <w:r>
        <w:rPr>
          <w:lang w:val="es-ES_tradnl"/>
        </w:rPr>
        <w:t>"La situación de los discapacidades en el Ecuador", CONADIS.</w:t>
      </w:r>
    </w:p>
  </w:footnote>
  <w:footnote w:id="18">
    <w:p w:rsidR="00000000" w:rsidRDefault="00000000">
      <w:pPr>
        <w:pStyle w:val="FootnoteText"/>
        <w:spacing w:line="240" w:lineRule="auto"/>
      </w:pPr>
      <w:r>
        <w:rPr>
          <w:rStyle w:val="FootnoteReference"/>
        </w:rPr>
        <w:footnoteRef/>
      </w:r>
      <w:r>
        <w:t xml:space="preserve"> Constitución Política del Estado (art. 3).</w:t>
      </w:r>
    </w:p>
  </w:footnote>
  <w:footnote w:id="19">
    <w:p w:rsidR="00000000" w:rsidRDefault="00000000">
      <w:pPr>
        <w:pStyle w:val="FootnoteText"/>
        <w:spacing w:line="240" w:lineRule="auto"/>
        <w:rPr>
          <w:lang w:val="en-US"/>
        </w:rPr>
      </w:pPr>
      <w:r>
        <w:rPr>
          <w:rStyle w:val="FootnoteReference"/>
        </w:rPr>
        <w:footnoteRef/>
      </w:r>
      <w:r>
        <w:rPr>
          <w:lang w:val="en-US"/>
        </w:rPr>
        <w:t xml:space="preserve"> Ibíd. (art. 23).</w:t>
      </w:r>
    </w:p>
  </w:footnote>
  <w:footnote w:id="20">
    <w:p w:rsidR="00000000" w:rsidRDefault="00000000">
      <w:pPr>
        <w:pStyle w:val="FootnoteText"/>
        <w:spacing w:line="240" w:lineRule="auto"/>
        <w:rPr>
          <w:lang w:val="en-US"/>
        </w:rPr>
      </w:pPr>
      <w:r>
        <w:rPr>
          <w:rStyle w:val="FootnoteReference"/>
        </w:rPr>
        <w:footnoteRef/>
      </w:r>
      <w:r>
        <w:rPr>
          <w:lang w:val="en-US"/>
        </w:rPr>
        <w:t xml:space="preserve"> Ibíd. (art. 35).</w:t>
      </w:r>
    </w:p>
  </w:footnote>
  <w:footnote w:id="21">
    <w:p w:rsidR="00000000" w:rsidRDefault="00000000">
      <w:pPr>
        <w:pStyle w:val="FootnoteText"/>
        <w:spacing w:line="240" w:lineRule="auto"/>
        <w:rPr>
          <w:lang w:val="en-US"/>
        </w:rPr>
      </w:pPr>
      <w:r>
        <w:rPr>
          <w:rStyle w:val="FootnoteReference"/>
        </w:rPr>
        <w:footnoteRef/>
      </w:r>
      <w:r>
        <w:rPr>
          <w:lang w:val="en-US"/>
        </w:rPr>
        <w:t xml:space="preserve"> Ibíd. (art. 36).</w:t>
      </w:r>
    </w:p>
  </w:footnote>
  <w:footnote w:id="22">
    <w:p w:rsidR="00000000" w:rsidRDefault="00000000">
      <w:pPr>
        <w:pStyle w:val="FootnoteText"/>
      </w:pPr>
      <w:r>
        <w:rPr>
          <w:rStyle w:val="FootnoteReference"/>
        </w:rPr>
        <w:footnoteRef/>
      </w:r>
      <w:r>
        <w:t xml:space="preserve"> Código del Trabajo (art. 3).</w:t>
      </w:r>
    </w:p>
  </w:footnote>
  <w:footnote w:id="23">
    <w:p w:rsidR="00000000" w:rsidRDefault="00000000">
      <w:pPr>
        <w:pStyle w:val="FootnoteText"/>
        <w:spacing w:line="240" w:lineRule="auto"/>
      </w:pPr>
      <w:r>
        <w:rPr>
          <w:rStyle w:val="FootnoteReference"/>
        </w:rPr>
        <w:footnoteRef/>
      </w:r>
      <w:r>
        <w:t xml:space="preserve"> Código del Trabajo (art. 50).</w:t>
      </w:r>
    </w:p>
  </w:footnote>
  <w:footnote w:id="24">
    <w:p w:rsidR="00000000" w:rsidRDefault="00000000">
      <w:pPr>
        <w:pStyle w:val="FootnoteText"/>
        <w:spacing w:line="240" w:lineRule="auto"/>
      </w:pPr>
      <w:r>
        <w:rPr>
          <w:rStyle w:val="FootnoteReference"/>
        </w:rPr>
        <w:footnoteRef/>
      </w:r>
      <w:r>
        <w:t xml:space="preserve"> Ibíd. (art. 53).</w:t>
      </w:r>
    </w:p>
  </w:footnote>
  <w:footnote w:id="25">
    <w:p w:rsidR="00000000" w:rsidRDefault="00000000">
      <w:pPr>
        <w:pStyle w:val="FootnoteText"/>
        <w:spacing w:line="240" w:lineRule="auto"/>
      </w:pPr>
      <w:r>
        <w:rPr>
          <w:rStyle w:val="FootnoteReference"/>
        </w:rPr>
        <w:footnoteRef/>
      </w:r>
      <w:r>
        <w:t xml:space="preserve"> </w:t>
      </w:r>
      <w:r>
        <w:rPr>
          <w:szCs w:val="21"/>
          <w:lang w:val="es-ES_tradnl"/>
        </w:rPr>
        <w:t>Memoria técnica para reforma del Seguro Social Obligatorio.</w:t>
      </w:r>
    </w:p>
  </w:footnote>
  <w:footnote w:id="26">
    <w:p w:rsidR="00000000" w:rsidRDefault="00000000">
      <w:pPr>
        <w:pStyle w:val="FootnoteText"/>
        <w:spacing w:line="240" w:lineRule="auto"/>
        <w:rPr>
          <w:lang w:val="es-ES_tradnl"/>
        </w:rPr>
      </w:pPr>
      <w:r>
        <w:rPr>
          <w:rStyle w:val="FootnoteReference"/>
        </w:rPr>
        <w:footnoteRef/>
      </w:r>
      <w:r>
        <w:rPr>
          <w:lang w:val="es-ES_tradnl"/>
        </w:rPr>
        <w:t xml:space="preserve"> Constitución Política del Estado (art. 37).</w:t>
      </w:r>
    </w:p>
  </w:footnote>
  <w:footnote w:id="27">
    <w:p w:rsidR="00000000" w:rsidRDefault="00000000">
      <w:pPr>
        <w:pStyle w:val="FootnoteText"/>
        <w:spacing w:line="240" w:lineRule="auto"/>
      </w:pPr>
      <w:r>
        <w:rPr>
          <w:rStyle w:val="FootnoteReference"/>
        </w:rPr>
        <w:footnoteRef/>
      </w:r>
      <w:r>
        <w:t xml:space="preserve"> Ibíd. (art. 39).</w:t>
      </w:r>
    </w:p>
  </w:footnote>
  <w:footnote w:id="28">
    <w:p w:rsidR="00000000" w:rsidRDefault="00000000">
      <w:pPr>
        <w:pStyle w:val="FootnoteText"/>
        <w:spacing w:line="240" w:lineRule="auto"/>
      </w:pPr>
      <w:r>
        <w:rPr>
          <w:rStyle w:val="FootnoteReference"/>
        </w:rPr>
        <w:footnoteRef/>
      </w:r>
      <w:r>
        <w:t xml:space="preserve"> </w:t>
      </w:r>
      <w:r>
        <w:rPr>
          <w:lang w:val="es-ES_tradnl"/>
        </w:rPr>
        <w:t>V</w:t>
      </w:r>
      <w:r>
        <w:rPr>
          <w:szCs w:val="21"/>
          <w:lang w:val="es-ES_tradnl"/>
        </w:rPr>
        <w:t xml:space="preserve">éase </w:t>
      </w:r>
      <w:r>
        <w:rPr>
          <w:i/>
          <w:iCs/>
          <w:szCs w:val="21"/>
          <w:lang w:val="es-ES_tradnl"/>
        </w:rPr>
        <w:t>Los niños y niñas del Ecuador a los diez años de la Convención sobre los Derechos de la Niñez</w:t>
      </w:r>
      <w:r>
        <w:rPr>
          <w:szCs w:val="21"/>
          <w:lang w:val="es-ES_tradnl"/>
        </w:rPr>
        <w:t xml:space="preserve">, Quito, INNFA </w:t>
      </w:r>
      <w:r>
        <w:rPr>
          <w:szCs w:val="21"/>
          <w:lang w:val="es-ES_tradnl"/>
        </w:rPr>
        <w:noBreakHyphen/>
        <w:t>Secretaría Desarrollo Humano-SINIÑEZ-SIISE</w:t>
      </w:r>
      <w:r>
        <w:rPr>
          <w:szCs w:val="21"/>
          <w:lang w:val="es-ES_tradnl"/>
        </w:rPr>
        <w:noBreakHyphen/>
        <w:t>, 1999.</w:t>
      </w:r>
    </w:p>
  </w:footnote>
  <w:footnote w:id="29">
    <w:p w:rsidR="00000000" w:rsidRDefault="00000000">
      <w:pPr>
        <w:pStyle w:val="FootnoteText"/>
        <w:spacing w:line="240" w:lineRule="auto"/>
      </w:pPr>
      <w:r>
        <w:rPr>
          <w:rStyle w:val="FootnoteReference"/>
        </w:rPr>
        <w:footnoteRef/>
      </w:r>
      <w:r>
        <w:t xml:space="preserve"> Ibíd.</w:t>
      </w:r>
    </w:p>
  </w:footnote>
  <w:footnote w:id="30">
    <w:p w:rsidR="00000000" w:rsidRDefault="00000000">
      <w:pPr>
        <w:pStyle w:val="FootnoteText"/>
        <w:spacing w:line="240" w:lineRule="auto"/>
      </w:pPr>
      <w:r>
        <w:rPr>
          <w:rStyle w:val="FootnoteReference"/>
        </w:rPr>
        <w:footnoteRef/>
      </w:r>
      <w:r>
        <w:t xml:space="preserve"> Ibíd.</w:t>
      </w:r>
    </w:p>
  </w:footnote>
  <w:footnote w:id="31">
    <w:p w:rsidR="00000000" w:rsidRDefault="00000000">
      <w:pPr>
        <w:pStyle w:val="FootnoteText"/>
        <w:spacing w:line="240" w:lineRule="auto"/>
      </w:pPr>
      <w:r>
        <w:rPr>
          <w:rStyle w:val="FootnoteReference"/>
        </w:rPr>
        <w:footnoteRef/>
      </w:r>
      <w:r>
        <w:t xml:space="preserve"> </w:t>
      </w:r>
      <w:r>
        <w:rPr>
          <w:szCs w:val="23"/>
          <w:lang w:val="es-ES_tradnl"/>
        </w:rPr>
        <w:t>SIISE-SINIÑEZ,1999.</w:t>
      </w:r>
    </w:p>
  </w:footnote>
  <w:footnote w:id="32">
    <w:p w:rsidR="00000000" w:rsidRDefault="00000000">
      <w:pPr>
        <w:pStyle w:val="FootnoteText"/>
        <w:spacing w:line="240" w:lineRule="auto"/>
      </w:pPr>
      <w:r>
        <w:rPr>
          <w:rStyle w:val="FootnoteReference"/>
        </w:rPr>
        <w:footnoteRef/>
      </w:r>
      <w:r>
        <w:t xml:space="preserve"> Código de Menores (art. 92).</w:t>
      </w:r>
    </w:p>
  </w:footnote>
  <w:footnote w:id="33">
    <w:p w:rsidR="00000000" w:rsidRDefault="00000000">
      <w:pPr>
        <w:pStyle w:val="FootnoteText"/>
        <w:spacing w:line="240" w:lineRule="auto"/>
      </w:pPr>
      <w:r>
        <w:rPr>
          <w:rStyle w:val="FootnoteReference"/>
        </w:rPr>
        <w:footnoteRef/>
      </w:r>
      <w:r>
        <w:t xml:space="preserve"> INNFA.</w:t>
      </w:r>
    </w:p>
  </w:footnote>
  <w:footnote w:id="34">
    <w:p w:rsidR="00000000" w:rsidRDefault="00000000">
      <w:pPr>
        <w:pStyle w:val="FootnoteText"/>
        <w:spacing w:line="240" w:lineRule="auto"/>
      </w:pPr>
      <w:r>
        <w:rPr>
          <w:rStyle w:val="FootnoteReference"/>
        </w:rPr>
        <w:footnoteRef/>
      </w:r>
      <w:r>
        <w:t xml:space="preserve"> INEC, febrero de 2000.  Para 2002 se cambió el número de miembros por hogar de cinco a cuatro, un perceptor de salario mínimo vital.</w:t>
      </w:r>
    </w:p>
  </w:footnote>
  <w:footnote w:id="35">
    <w:p w:rsidR="00000000" w:rsidRDefault="00000000">
      <w:pPr>
        <w:pStyle w:val="FootnoteText"/>
        <w:spacing w:line="240" w:lineRule="auto"/>
      </w:pPr>
      <w:r>
        <w:rPr>
          <w:rStyle w:val="FootnoteReference"/>
        </w:rPr>
        <w:footnoteRef/>
      </w:r>
      <w:r>
        <w:t xml:space="preserve"> CEDATOS ESTUDIOS 6 DATOS:  El Ecuador en perspectiva, noviembre de 1999.</w:t>
      </w:r>
    </w:p>
  </w:footnote>
  <w:footnote w:id="36">
    <w:p w:rsidR="00000000" w:rsidRDefault="00000000">
      <w:pPr>
        <w:pStyle w:val="FootnoteText"/>
        <w:spacing w:line="240" w:lineRule="auto"/>
      </w:pPr>
      <w:r>
        <w:rPr>
          <w:rStyle w:val="FootnoteReference"/>
        </w:rPr>
        <w:footnoteRef/>
      </w:r>
      <w:r>
        <w:t xml:space="preserve"> La canasta básica para un hogar tipo de cinco miembros es el conjunto de artículos más representativos que han consumido o usado los hogares.  La canasta de la pobreza se refiere básicamente a alimentos.</w:t>
      </w:r>
    </w:p>
  </w:footnote>
  <w:footnote w:id="37">
    <w:p w:rsidR="00000000" w:rsidRDefault="00000000">
      <w:pPr>
        <w:pStyle w:val="FootnoteText"/>
        <w:spacing w:line="240" w:lineRule="auto"/>
      </w:pPr>
      <w:r>
        <w:rPr>
          <w:rStyle w:val="FootnoteReference"/>
        </w:rPr>
        <w:footnoteRef/>
      </w:r>
      <w:r>
        <w:t xml:space="preserve"> INEC, febrero de 2000.</w:t>
      </w:r>
    </w:p>
  </w:footnote>
  <w:footnote w:id="38">
    <w:p w:rsidR="00000000" w:rsidRDefault="00000000">
      <w:pPr>
        <w:pStyle w:val="FootnoteText"/>
        <w:spacing w:line="240" w:lineRule="auto"/>
      </w:pPr>
      <w:r>
        <w:rPr>
          <w:rStyle w:val="FootnoteReference"/>
        </w:rPr>
        <w:footnoteRef/>
      </w:r>
      <w:r>
        <w:t xml:space="preserve"> SIISE.</w:t>
      </w:r>
    </w:p>
  </w:footnote>
  <w:footnote w:id="39">
    <w:p w:rsidR="00000000" w:rsidRDefault="00000000">
      <w:pPr>
        <w:pStyle w:val="FootnoteText"/>
        <w:spacing w:line="240" w:lineRule="auto"/>
      </w:pPr>
      <w:r>
        <w:rPr>
          <w:rStyle w:val="FootnoteReference"/>
        </w:rPr>
        <w:footnoteRef/>
      </w:r>
      <w:r>
        <w:t xml:space="preserve"> E</w:t>
      </w:r>
      <w:r>
        <w:rPr>
          <w:color w:val="000000"/>
          <w:spacing w:val="-3"/>
          <w:lang w:val="es-ES_tradnl"/>
        </w:rPr>
        <w:t>cuador - BID, Análisis de los programas nutricionales de la población maternoinfantil, 1999.</w:t>
      </w:r>
    </w:p>
  </w:footnote>
  <w:footnote w:id="40">
    <w:p w:rsidR="00000000" w:rsidRDefault="00000000">
      <w:pPr>
        <w:shd w:val="clear" w:color="auto" w:fill="FFFFFF"/>
        <w:spacing w:after="240"/>
        <w:ind w:left="11"/>
      </w:pPr>
      <w:r>
        <w:rPr>
          <w:rStyle w:val="FootnoteReference"/>
        </w:rPr>
        <w:footnoteRef/>
      </w:r>
      <w:r>
        <w:t xml:space="preserve"> Ministerio de Agricultura y Ganadería, h</w:t>
      </w:r>
      <w:r>
        <w:rPr>
          <w:lang w:val="es-ES_tradnl"/>
        </w:rPr>
        <w:t>ojas de balance de alimentos.</w:t>
      </w:r>
    </w:p>
  </w:footnote>
  <w:footnote w:id="41">
    <w:p w:rsidR="00000000" w:rsidRDefault="00000000">
      <w:pPr>
        <w:pStyle w:val="FootnoteText"/>
        <w:spacing w:line="240" w:lineRule="auto"/>
      </w:pPr>
      <w:r>
        <w:rPr>
          <w:rStyle w:val="FootnoteReference"/>
        </w:rPr>
        <w:footnoteRef/>
      </w:r>
      <w:r>
        <w:t xml:space="preserve"> Datos preliminares, 2002.</w:t>
      </w:r>
    </w:p>
  </w:footnote>
  <w:footnote w:id="42">
    <w:p w:rsidR="00000000" w:rsidRDefault="00000000">
      <w:pPr>
        <w:pStyle w:val="FootnoteText"/>
        <w:spacing w:line="240" w:lineRule="auto"/>
      </w:pPr>
      <w:r>
        <w:rPr>
          <w:rStyle w:val="FootnoteReference"/>
        </w:rPr>
        <w:footnoteRef/>
      </w:r>
      <w:r>
        <w:t xml:space="preserve"> Valores de hemoglobina en población ecuatoriana, </w:t>
      </w:r>
      <w:r>
        <w:rPr>
          <w:i/>
          <w:iCs/>
        </w:rPr>
        <w:t xml:space="preserve">Boletín Informativo del ICT, </w:t>
      </w:r>
      <w:r>
        <w:t>Nº 3.  Instituto Nacional de Ciencia y Tecnología en Salud</w:t>
      </w:r>
      <w:r>
        <w:noBreakHyphen/>
        <w:t>Ministerio de Salud Pública.</w:t>
      </w:r>
    </w:p>
  </w:footnote>
  <w:footnote w:id="43">
    <w:p w:rsidR="00000000" w:rsidRDefault="00000000">
      <w:pPr>
        <w:pStyle w:val="FootnoteText"/>
        <w:spacing w:line="240" w:lineRule="auto"/>
      </w:pPr>
      <w:r>
        <w:rPr>
          <w:rStyle w:val="FootnoteReference"/>
        </w:rPr>
        <w:footnoteRef/>
      </w:r>
      <w:r>
        <w:t xml:space="preserve"> </w:t>
      </w:r>
      <w:r>
        <w:rPr>
          <w:color w:val="000000"/>
          <w:spacing w:val="-2"/>
          <w:lang w:val="es-ES_tradnl"/>
        </w:rPr>
        <w:t xml:space="preserve">El criterio diagnóstico de desnutrición más usado es el peso por debajo de dos desviaciones estándar (DE) de la </w:t>
      </w:r>
      <w:r>
        <w:rPr>
          <w:color w:val="000000"/>
          <w:spacing w:val="-1"/>
          <w:lang w:val="es-ES_tradnl"/>
        </w:rPr>
        <w:t>mediana de referencia para la edad cronológica del sujeto.</w:t>
      </w:r>
    </w:p>
  </w:footnote>
  <w:footnote w:id="44">
    <w:p w:rsidR="00000000" w:rsidRDefault="00000000">
      <w:pPr>
        <w:pStyle w:val="FootnoteText"/>
        <w:spacing w:line="240" w:lineRule="auto"/>
      </w:pPr>
      <w:r>
        <w:rPr>
          <w:rStyle w:val="FootnoteReference"/>
        </w:rPr>
        <w:footnoteRef/>
      </w:r>
      <w:r>
        <w:t xml:space="preserve"> Ecuador:  Análisis de los programas nutricionales de la población maternoinfantil.  Átalah S. BID, diciembre de 1999.</w:t>
      </w:r>
    </w:p>
  </w:footnote>
  <w:footnote w:id="45">
    <w:p w:rsidR="00000000" w:rsidRDefault="00000000">
      <w:pPr>
        <w:pStyle w:val="FootnoteText"/>
        <w:spacing w:line="240" w:lineRule="auto"/>
      </w:pPr>
      <w:r>
        <w:rPr>
          <w:rStyle w:val="FootnoteReference"/>
        </w:rPr>
        <w:footnoteRef/>
      </w:r>
      <w:r>
        <w:t xml:space="preserve"> Ibíd.</w:t>
      </w:r>
    </w:p>
  </w:footnote>
  <w:footnote w:id="46">
    <w:p w:rsidR="00000000" w:rsidRDefault="00000000">
      <w:pPr>
        <w:pStyle w:val="FootnoteText"/>
        <w:spacing w:line="240" w:lineRule="auto"/>
      </w:pPr>
      <w:r>
        <w:rPr>
          <w:rStyle w:val="FootnoteReference"/>
        </w:rPr>
        <w:footnoteRef/>
      </w:r>
      <w:r>
        <w:t xml:space="preserve"> INIAP, Plan Estratégico.  Tecnologías para el desarrollo agropecuario.</w:t>
      </w:r>
    </w:p>
  </w:footnote>
  <w:footnote w:id="47">
    <w:p w:rsidR="00000000" w:rsidRDefault="00000000">
      <w:pPr>
        <w:pStyle w:val="FootnoteText"/>
        <w:spacing w:line="240" w:lineRule="auto"/>
      </w:pPr>
      <w:r>
        <w:rPr>
          <w:rStyle w:val="FootnoteReference"/>
        </w:rPr>
        <w:footnoteRef/>
      </w:r>
      <w:r>
        <w:t xml:space="preserve"> "</w:t>
      </w:r>
      <w:r>
        <w:rPr>
          <w:color w:val="000000"/>
          <w:szCs w:val="22"/>
          <w:lang w:val="es-ES_tradnl"/>
        </w:rPr>
        <w:t>Evaluación Regional Agraria Ecuatoriana 1963</w:t>
      </w:r>
      <w:r>
        <w:rPr>
          <w:color w:val="000000"/>
          <w:szCs w:val="22"/>
          <w:lang w:val="es-ES_tradnl"/>
        </w:rPr>
        <w:noBreakHyphen/>
        <w:t xml:space="preserve">1964", </w:t>
      </w:r>
      <w:r>
        <w:rPr>
          <w:i/>
          <w:iCs/>
          <w:color w:val="000000"/>
          <w:szCs w:val="22"/>
          <w:lang w:val="es-ES_tradnl"/>
        </w:rPr>
        <w:t>Resumen Informe General</w:t>
      </w:r>
      <w:r>
        <w:rPr>
          <w:color w:val="000000"/>
          <w:szCs w:val="22"/>
          <w:lang w:val="es-ES_tradnl"/>
        </w:rPr>
        <w:t>, MAG</w:t>
      </w:r>
      <w:r>
        <w:rPr>
          <w:color w:val="000000"/>
          <w:szCs w:val="22"/>
          <w:lang w:val="es-ES_tradnl"/>
        </w:rPr>
        <w:noBreakHyphen/>
        <w:t>JUNAPLA</w:t>
      </w:r>
      <w:r>
        <w:rPr>
          <w:color w:val="000000"/>
          <w:szCs w:val="22"/>
          <w:lang w:val="es-ES_tradnl"/>
        </w:rPr>
        <w:noBreakHyphen/>
        <w:t>IERAC, 1977.</w:t>
      </w:r>
    </w:p>
  </w:footnote>
  <w:footnote w:id="48">
    <w:p w:rsidR="00000000" w:rsidRDefault="00000000">
      <w:pPr>
        <w:pStyle w:val="FootnoteText"/>
        <w:spacing w:line="240" w:lineRule="auto"/>
      </w:pPr>
      <w:r>
        <w:rPr>
          <w:rStyle w:val="FootnoteReference"/>
        </w:rPr>
        <w:footnoteRef/>
      </w:r>
      <w:r>
        <w:t xml:space="preserve"> </w:t>
      </w:r>
      <w:r>
        <w:rPr>
          <w:color w:val="000000"/>
          <w:szCs w:val="25"/>
          <w:lang w:val="es-ES_tradnl"/>
        </w:rPr>
        <w:t>P</w:t>
      </w:r>
      <w:r>
        <w:rPr>
          <w:color w:val="000000"/>
          <w:szCs w:val="22"/>
          <w:lang w:val="es-ES_tradnl"/>
        </w:rPr>
        <w:t>rograma Nacional de Capacitación Campesina, MAG</w:t>
      </w:r>
      <w:r>
        <w:rPr>
          <w:color w:val="000000"/>
          <w:szCs w:val="22"/>
          <w:lang w:val="es-ES_tradnl"/>
        </w:rPr>
        <w:noBreakHyphen/>
        <w:t>INCCA, 1998.</w:t>
      </w:r>
    </w:p>
  </w:footnote>
  <w:footnote w:id="49">
    <w:p w:rsidR="00000000" w:rsidRDefault="00000000">
      <w:pPr>
        <w:pStyle w:val="FootnoteText"/>
        <w:spacing w:line="240" w:lineRule="auto"/>
      </w:pPr>
      <w:r>
        <w:rPr>
          <w:rStyle w:val="FootnoteReference"/>
        </w:rPr>
        <w:footnoteRef/>
      </w:r>
      <w:r>
        <w:t xml:space="preserve"> CONADIS.</w:t>
      </w:r>
    </w:p>
  </w:footnote>
  <w:footnote w:id="50">
    <w:p w:rsidR="00000000" w:rsidRDefault="00000000">
      <w:pPr>
        <w:pStyle w:val="FootnoteText"/>
        <w:spacing w:line="240" w:lineRule="auto"/>
      </w:pPr>
      <w:r>
        <w:rPr>
          <w:rStyle w:val="FootnoteReference"/>
        </w:rPr>
        <w:footnoteRef/>
      </w:r>
      <w:r>
        <w:t xml:space="preserve"> Cotización del Banco Central del Ecuador al 31 de diciembre de 1999.</w:t>
      </w:r>
    </w:p>
  </w:footnote>
  <w:footnote w:id="51">
    <w:p w:rsidR="00000000" w:rsidRDefault="00000000">
      <w:pPr>
        <w:pStyle w:val="FootnoteText"/>
        <w:spacing w:after="0" w:line="240" w:lineRule="auto"/>
      </w:pPr>
      <w:r>
        <w:rPr>
          <w:rStyle w:val="FootnoteReference"/>
        </w:rPr>
        <w:footnoteRef/>
      </w:r>
      <w:r>
        <w:t xml:space="preserve"> </w:t>
      </w:r>
      <w:r>
        <w:rPr>
          <w:szCs w:val="22"/>
          <w:lang w:val="es-ES_tradnl"/>
        </w:rPr>
        <w:t xml:space="preserve">Documento base del ISP de la PUCE, </w:t>
      </w:r>
      <w:r>
        <w:rPr>
          <w:i/>
          <w:iCs/>
          <w:szCs w:val="22"/>
          <w:lang w:val="es-ES_tradnl"/>
        </w:rPr>
        <w:t>Boletín APS Nº 2</w:t>
      </w:r>
      <w:r>
        <w:rPr>
          <w:szCs w:val="22"/>
          <w:lang w:val="es-ES_tradnl"/>
        </w:rPr>
        <w:t>, Ministerio de Salud Pública, diciembre de 1998.</w:t>
      </w:r>
    </w:p>
  </w:footnote>
  <w:footnote w:id="52">
    <w:p w:rsidR="00000000" w:rsidRDefault="00000000">
      <w:pPr>
        <w:pStyle w:val="FootnoteText"/>
        <w:spacing w:after="200" w:line="240" w:lineRule="auto"/>
      </w:pPr>
      <w:r>
        <w:rPr>
          <w:rStyle w:val="FootnoteReference"/>
        </w:rPr>
        <w:footnoteRef/>
      </w:r>
      <w:r>
        <w:t xml:space="preserve"> </w:t>
      </w:r>
      <w:r>
        <w:rPr>
          <w:szCs w:val="22"/>
          <w:lang w:val="es-ES_tradnl"/>
        </w:rPr>
        <w:t>Ministerio de Salud Pública, Plan Nacional de Salud Mental, noviembre de 1999.</w:t>
      </w:r>
    </w:p>
  </w:footnote>
  <w:footnote w:id="53">
    <w:p w:rsidR="00000000" w:rsidRDefault="00000000">
      <w:pPr>
        <w:pStyle w:val="FootnoteText"/>
        <w:spacing w:after="200" w:line="240" w:lineRule="auto"/>
      </w:pPr>
      <w:r>
        <w:rPr>
          <w:rStyle w:val="FootnoteReference"/>
        </w:rPr>
        <w:footnoteRef/>
      </w:r>
      <w:r>
        <w:t xml:space="preserve"> </w:t>
      </w:r>
      <w:r>
        <w:rPr>
          <w:szCs w:val="25"/>
          <w:lang w:val="es-ES_tradnl"/>
        </w:rPr>
        <w:t>CEPAR, Correo Poblacional y de la Salud, 1997.</w:t>
      </w:r>
    </w:p>
  </w:footnote>
  <w:footnote w:id="54">
    <w:p w:rsidR="00000000" w:rsidRDefault="00000000">
      <w:pPr>
        <w:pStyle w:val="FootnoteText"/>
        <w:spacing w:after="200" w:line="240" w:lineRule="auto"/>
      </w:pPr>
      <w:r>
        <w:rPr>
          <w:rStyle w:val="FootnoteReference"/>
        </w:rPr>
        <w:footnoteRef/>
      </w:r>
      <w:r>
        <w:t xml:space="preserve"> </w:t>
      </w:r>
      <w:r>
        <w:rPr>
          <w:szCs w:val="25"/>
          <w:lang w:val="es-ES_tradnl"/>
        </w:rPr>
        <w:t xml:space="preserve">Secretaría Técnica del Frente Social, SIISE, </w:t>
      </w:r>
      <w:r>
        <w:rPr>
          <w:szCs w:val="22"/>
          <w:lang w:val="es-ES_tradnl"/>
        </w:rPr>
        <w:t>Plan de Gobierno en Salud - Lineamientos Generales 1998-2002.</w:t>
      </w:r>
    </w:p>
  </w:footnote>
  <w:footnote w:id="55">
    <w:p w:rsidR="00000000" w:rsidRDefault="00000000">
      <w:pPr>
        <w:pStyle w:val="FootnoteText"/>
        <w:spacing w:line="240" w:lineRule="auto"/>
      </w:pPr>
      <w:r>
        <w:rPr>
          <w:rStyle w:val="FootnoteReference"/>
        </w:rPr>
        <w:footnoteRef/>
      </w:r>
      <w:r>
        <w:t xml:space="preserve"> Véase la nota 50 </w:t>
      </w:r>
      <w:r>
        <w:rPr>
          <w:i/>
          <w:iCs/>
        </w:rPr>
        <w:t>supra</w:t>
      </w:r>
      <w:r>
        <w:t>.</w:t>
      </w:r>
    </w:p>
  </w:footnote>
  <w:footnote w:id="56">
    <w:p w:rsidR="00000000" w:rsidRDefault="00000000">
      <w:pPr>
        <w:pStyle w:val="FootnoteText"/>
        <w:spacing w:line="240" w:lineRule="auto"/>
      </w:pPr>
      <w:r>
        <w:rPr>
          <w:rStyle w:val="FootnoteReference"/>
        </w:rPr>
        <w:footnoteRef/>
      </w:r>
      <w:r>
        <w:t xml:space="preserve"> ENDEMAIN-94, Ecuador, Encuesta demográfica y de salud materna e infantil.</w:t>
      </w:r>
    </w:p>
  </w:footnote>
  <w:footnote w:id="57">
    <w:p w:rsidR="00000000" w:rsidRDefault="00000000">
      <w:pPr>
        <w:pStyle w:val="FootnoteText"/>
        <w:spacing w:line="240" w:lineRule="auto"/>
      </w:pPr>
      <w:r>
        <w:rPr>
          <w:rStyle w:val="FootnoteReference"/>
        </w:rPr>
        <w:footnoteRef/>
      </w:r>
      <w:r>
        <w:t xml:space="preserve"> ENDEMAIN-99, informe preliminar.</w:t>
      </w:r>
    </w:p>
  </w:footnote>
  <w:footnote w:id="58">
    <w:p w:rsidR="00000000" w:rsidRDefault="00000000">
      <w:pPr>
        <w:pStyle w:val="FootnoteText"/>
        <w:spacing w:line="240" w:lineRule="auto"/>
      </w:pPr>
      <w:r>
        <w:rPr>
          <w:rStyle w:val="FootnoteReference"/>
        </w:rPr>
        <w:footnoteRef/>
      </w:r>
      <w:r>
        <w:t xml:space="preserve"> Ibíd.</w:t>
      </w:r>
    </w:p>
  </w:footnote>
  <w:footnote w:id="59">
    <w:p w:rsidR="00000000" w:rsidRDefault="00000000">
      <w:pPr>
        <w:pStyle w:val="FootnoteText"/>
        <w:spacing w:line="240" w:lineRule="auto"/>
      </w:pPr>
      <w:r>
        <w:rPr>
          <w:rStyle w:val="FootnoteReference"/>
        </w:rPr>
        <w:footnoteRef/>
      </w:r>
      <w:r>
        <w:t xml:space="preserve"> INEC, Encuesta condiciones de vida, 1994-1999.</w:t>
      </w:r>
    </w:p>
  </w:footnote>
  <w:footnote w:id="60">
    <w:p w:rsidR="00000000" w:rsidRDefault="00000000">
      <w:pPr>
        <w:pStyle w:val="FootnoteText"/>
        <w:spacing w:line="240" w:lineRule="auto"/>
      </w:pPr>
      <w:r>
        <w:rPr>
          <w:rStyle w:val="FootnoteReference"/>
        </w:rPr>
        <w:footnoteRef/>
      </w:r>
      <w:r>
        <w:t xml:space="preserve"> </w:t>
      </w:r>
      <w:r>
        <w:rPr>
          <w:color w:val="000000"/>
          <w:szCs w:val="22"/>
          <w:lang w:val="es-ES_tradnl"/>
        </w:rPr>
        <w:t>Programa Nacional de Salud Reproductiva, Ministerio de Salud Pública, 1999.</w:t>
      </w:r>
    </w:p>
  </w:footnote>
  <w:footnote w:id="61">
    <w:p w:rsidR="00000000" w:rsidRDefault="00000000">
      <w:pPr>
        <w:shd w:val="clear" w:color="auto" w:fill="FFFFFF"/>
        <w:spacing w:after="240"/>
      </w:pPr>
      <w:r>
        <w:rPr>
          <w:rStyle w:val="FootnoteReference"/>
        </w:rPr>
        <w:footnoteRef/>
      </w:r>
      <w:r>
        <w:t xml:space="preserve"> </w:t>
      </w:r>
      <w:r>
        <w:rPr>
          <w:lang w:val="es-ES_tradnl"/>
        </w:rPr>
        <w:t>INEC -Estadísticas Vitales 1997.</w:t>
      </w:r>
    </w:p>
  </w:footnote>
  <w:footnote w:id="62">
    <w:p w:rsidR="00000000" w:rsidRDefault="00000000">
      <w:pPr>
        <w:pStyle w:val="FootnoteText"/>
        <w:spacing w:after="200" w:line="240" w:lineRule="auto"/>
      </w:pPr>
      <w:r>
        <w:rPr>
          <w:rStyle w:val="FootnoteReference"/>
        </w:rPr>
        <w:footnoteRef/>
      </w:r>
      <w:r>
        <w:t xml:space="preserve"> Ministerio de Salud Pública </w:t>
      </w:r>
      <w:r>
        <w:rPr>
          <w:color w:val="000000"/>
          <w:szCs w:val="22"/>
          <w:lang w:val="es-ES_tradnl"/>
        </w:rPr>
        <w:t>- División de Estadísticas, Producción de servicios.</w:t>
      </w:r>
    </w:p>
  </w:footnote>
  <w:footnote w:id="63">
    <w:p w:rsidR="00000000" w:rsidRDefault="00000000">
      <w:pPr>
        <w:pStyle w:val="FootnoteText"/>
        <w:spacing w:after="0" w:line="240" w:lineRule="auto"/>
      </w:pPr>
      <w:r>
        <w:rPr>
          <w:rStyle w:val="FootnoteReference"/>
        </w:rPr>
        <w:footnoteRef/>
      </w:r>
      <w:r>
        <w:t xml:space="preserve"> </w:t>
      </w:r>
      <w:r>
        <w:rPr>
          <w:color w:val="000000"/>
          <w:szCs w:val="21"/>
          <w:lang w:val="es-ES_tradnl"/>
        </w:rPr>
        <w:t>ENDEMAIN-99, informe preliminar.</w:t>
      </w:r>
    </w:p>
  </w:footnote>
  <w:footnote w:id="64">
    <w:p w:rsidR="00000000" w:rsidRDefault="00000000">
      <w:pPr>
        <w:pStyle w:val="FootnoteText"/>
        <w:spacing w:line="240" w:lineRule="auto"/>
      </w:pPr>
      <w:r>
        <w:rPr>
          <w:rStyle w:val="FootnoteReference"/>
        </w:rPr>
        <w:footnoteRef/>
      </w:r>
      <w:r>
        <w:t xml:space="preserve"> </w:t>
      </w:r>
      <w:r>
        <w:rPr>
          <w:color w:val="000000"/>
          <w:szCs w:val="21"/>
          <w:lang w:val="es-ES_tradnl"/>
        </w:rPr>
        <w:t>Véase A. Zabala, B. "Salud Mental entre la Crisis y la Esperanza-Salud Mental Indígena", Ministerio de Salud Pública.</w:t>
      </w:r>
    </w:p>
  </w:footnote>
  <w:footnote w:id="65">
    <w:p w:rsidR="00000000" w:rsidRDefault="00000000">
      <w:pPr>
        <w:pStyle w:val="FootnoteText"/>
        <w:spacing w:line="240" w:lineRule="auto"/>
      </w:pPr>
      <w:r>
        <w:rPr>
          <w:rStyle w:val="FootnoteReference"/>
        </w:rPr>
        <w:footnoteRef/>
      </w:r>
      <w:r>
        <w:t xml:space="preserve"> Ibíd.</w:t>
      </w:r>
    </w:p>
  </w:footnote>
  <w:footnote w:id="66">
    <w:p w:rsidR="00000000" w:rsidRDefault="00000000">
      <w:pPr>
        <w:pStyle w:val="FootnoteText"/>
        <w:spacing w:line="240" w:lineRule="auto"/>
      </w:pPr>
      <w:r>
        <w:rPr>
          <w:rStyle w:val="FootnoteReference"/>
        </w:rPr>
        <w:footnoteRef/>
      </w:r>
      <w:r>
        <w:t xml:space="preserve"> Ministerio de Salud Pública, </w:t>
      </w:r>
      <w:r>
        <w:rPr>
          <w:szCs w:val="21"/>
          <w:lang w:val="es-ES_tradnl"/>
        </w:rPr>
        <w:t>Rol del Estado, Políticas Nacionales de Salud y Reforma Constitucional.</w:t>
      </w:r>
    </w:p>
  </w:footnote>
  <w:footnote w:id="67">
    <w:p w:rsidR="00000000" w:rsidRDefault="00000000">
      <w:pPr>
        <w:pStyle w:val="FootnoteText"/>
        <w:spacing w:line="240" w:lineRule="auto"/>
        <w:rPr>
          <w:lang w:val="es-ES_tradnl"/>
        </w:rPr>
      </w:pPr>
      <w:r>
        <w:rPr>
          <w:rStyle w:val="FootnoteReference"/>
        </w:rPr>
        <w:footnoteRef/>
      </w:r>
      <w:r>
        <w:rPr>
          <w:lang w:val="es-ES_tradnl"/>
        </w:rPr>
        <w:t xml:space="preserve"> Véase J. Suárez, "Los proyectos locales de promoción de la salud", </w:t>
      </w:r>
      <w:r>
        <w:rPr>
          <w:i/>
          <w:iCs/>
          <w:lang w:val="es-ES_tradnl"/>
        </w:rPr>
        <w:t>Boletín APS</w:t>
      </w:r>
      <w:r>
        <w:rPr>
          <w:lang w:val="es-ES_tradnl"/>
        </w:rPr>
        <w:t>, Nº 3, Ministerio de Salud Pública.</w:t>
      </w:r>
    </w:p>
  </w:footnote>
  <w:footnote w:id="68">
    <w:p w:rsidR="00000000" w:rsidRDefault="00000000">
      <w:pPr>
        <w:pStyle w:val="FootnoteText"/>
        <w:spacing w:line="240" w:lineRule="auto"/>
      </w:pPr>
      <w:r>
        <w:rPr>
          <w:rStyle w:val="FootnoteReference"/>
        </w:rPr>
        <w:footnoteRef/>
      </w:r>
      <w:r>
        <w:t xml:space="preserve"> Véase la nota 64 </w:t>
      </w:r>
      <w:r>
        <w:rPr>
          <w:i/>
          <w:iCs/>
        </w:rPr>
        <w:t>supra</w:t>
      </w:r>
      <w:r>
        <w:t>.</w:t>
      </w:r>
    </w:p>
  </w:footnote>
  <w:footnote w:id="69">
    <w:p w:rsidR="00000000" w:rsidRDefault="00000000">
      <w:pPr>
        <w:pStyle w:val="FootnoteText"/>
        <w:spacing w:line="240" w:lineRule="auto"/>
      </w:pPr>
      <w:r>
        <w:rPr>
          <w:rStyle w:val="FootnoteReference"/>
        </w:rPr>
        <w:footnoteRef/>
      </w:r>
      <w:r>
        <w:t xml:space="preserve"> Ministerio de Salud Pública, Plan Nacional de Salud 2000-2005.</w:t>
      </w:r>
    </w:p>
  </w:footnote>
  <w:footnote w:id="70">
    <w:p w:rsidR="00000000" w:rsidRDefault="00000000">
      <w:pPr>
        <w:pStyle w:val="FootnoteText"/>
        <w:spacing w:line="240" w:lineRule="auto"/>
      </w:pPr>
      <w:r>
        <w:rPr>
          <w:rStyle w:val="FootnoteReference"/>
        </w:rPr>
        <w:footnoteRef/>
      </w:r>
      <w:r>
        <w:t xml:space="preserve"> Constitución Política del Estado (art. 66).</w:t>
      </w:r>
    </w:p>
  </w:footnote>
  <w:footnote w:id="71">
    <w:p w:rsidR="00000000" w:rsidRDefault="00000000">
      <w:pPr>
        <w:pStyle w:val="FootnoteText"/>
        <w:spacing w:line="240" w:lineRule="auto"/>
      </w:pPr>
      <w:r>
        <w:rPr>
          <w:rStyle w:val="FootnoteReference"/>
        </w:rPr>
        <w:footnoteRef/>
      </w:r>
      <w:r>
        <w:t xml:space="preserve"> INEC, Encuesta de condiciones de vida, serie estadística 1994-1999.</w:t>
      </w:r>
    </w:p>
  </w:footnote>
  <w:footnote w:id="72">
    <w:p w:rsidR="00000000" w:rsidRDefault="00000000">
      <w:pPr>
        <w:pStyle w:val="FootnoteText"/>
        <w:spacing w:line="240" w:lineRule="auto"/>
      </w:pPr>
      <w:r>
        <w:rPr>
          <w:rStyle w:val="FootnoteReference"/>
        </w:rPr>
        <w:footnoteRef/>
      </w:r>
      <w:r>
        <w:t xml:space="preserve"> Ibíd.</w:t>
      </w:r>
    </w:p>
  </w:footnote>
  <w:footnote w:id="73">
    <w:p w:rsidR="00000000" w:rsidRDefault="00000000">
      <w:pPr>
        <w:pStyle w:val="FootnoteText"/>
        <w:spacing w:after="200" w:line="240" w:lineRule="auto"/>
      </w:pPr>
      <w:r>
        <w:rPr>
          <w:rStyle w:val="FootnoteReference"/>
        </w:rPr>
        <w:footnoteRef/>
      </w:r>
      <w:r>
        <w:t xml:space="preserve"> M</w:t>
      </w:r>
      <w:r>
        <w:rPr>
          <w:szCs w:val="21"/>
          <w:lang w:val="es-ES_tradnl"/>
        </w:rPr>
        <w:t>inisterio de Educación y Cultura - Programa Redes Amigas.</w:t>
      </w:r>
    </w:p>
  </w:footnote>
  <w:footnote w:id="74">
    <w:p w:rsidR="00000000" w:rsidRDefault="00000000">
      <w:pPr>
        <w:pStyle w:val="FootnoteText"/>
        <w:spacing w:after="0" w:line="240" w:lineRule="auto"/>
      </w:pPr>
      <w:r>
        <w:rPr>
          <w:rStyle w:val="FootnoteReference"/>
        </w:rPr>
        <w:footnoteRef/>
      </w:r>
      <w:r>
        <w:t xml:space="preserve"> </w:t>
      </w:r>
      <w:r>
        <w:rPr>
          <w:szCs w:val="21"/>
          <w:lang w:val="es-ES_tradnl"/>
        </w:rPr>
        <w:t>Censo Nacional, 21 de noviembre de 2001.</w:t>
      </w:r>
    </w:p>
  </w:footnote>
  <w:footnote w:id="75">
    <w:p w:rsidR="00000000" w:rsidRDefault="00000000">
      <w:pPr>
        <w:pStyle w:val="FootnoteText"/>
        <w:spacing w:line="240" w:lineRule="auto"/>
      </w:pPr>
      <w:r>
        <w:rPr>
          <w:rStyle w:val="FootnoteReference"/>
        </w:rPr>
        <w:footnoteRef/>
      </w:r>
      <w:r>
        <w:t xml:space="preserve"> </w:t>
      </w:r>
      <w:r>
        <w:rPr>
          <w:lang w:val="es-ES_tradnl"/>
        </w:rPr>
        <w:t>Plan Nacional de Desarrollo Social Ecuador 1996-2005, Secretaría del Frente Social.</w:t>
      </w:r>
    </w:p>
  </w:footnote>
  <w:footnote w:id="76">
    <w:p w:rsidR="00000000" w:rsidRDefault="00000000">
      <w:pPr>
        <w:pStyle w:val="FootnoteText"/>
        <w:spacing w:line="240" w:lineRule="auto"/>
      </w:pPr>
      <w:r>
        <w:rPr>
          <w:rStyle w:val="FootnoteReference"/>
        </w:rPr>
        <w:footnoteRef/>
      </w:r>
      <w:r>
        <w:t xml:space="preserve"> Véase </w:t>
      </w:r>
      <w:r>
        <w:rPr>
          <w:i/>
          <w:iCs/>
          <w:szCs w:val="21"/>
          <w:lang w:val="es-ES_tradnl"/>
        </w:rPr>
        <w:t>Anuario Estadístico de Educación Intercultural Bilingüe</w:t>
      </w:r>
      <w:r>
        <w:rPr>
          <w:szCs w:val="21"/>
          <w:lang w:val="es-ES_tradnl"/>
        </w:rPr>
        <w:t>- años escolares 1989</w:t>
      </w:r>
      <w:r>
        <w:rPr>
          <w:szCs w:val="21"/>
          <w:lang w:val="es-ES_tradnl"/>
        </w:rPr>
        <w:noBreakHyphen/>
        <w:t>1998, Ministerio de Educación y Cultura Proyecto EBI/GTC DINEIB.</w:t>
      </w:r>
    </w:p>
  </w:footnote>
  <w:footnote w:id="77">
    <w:p w:rsidR="00000000" w:rsidRDefault="00000000">
      <w:pPr>
        <w:pStyle w:val="FootnoteText"/>
        <w:spacing w:line="240" w:lineRule="auto"/>
      </w:pPr>
      <w:r>
        <w:rPr>
          <w:rStyle w:val="FootnoteReference"/>
        </w:rPr>
        <w:footnoteRef/>
      </w:r>
      <w:r>
        <w:t xml:space="preserve"> Ibíd.</w:t>
      </w:r>
    </w:p>
  </w:footnote>
  <w:footnote w:id="78">
    <w:p w:rsidR="00000000" w:rsidRDefault="00000000">
      <w:pPr>
        <w:pStyle w:val="FootnoteText"/>
        <w:spacing w:line="240" w:lineRule="auto"/>
      </w:pPr>
      <w:r>
        <w:rPr>
          <w:rStyle w:val="FootnoteReference"/>
        </w:rPr>
        <w:footnoteRef/>
      </w:r>
      <w:r>
        <w:t xml:space="preserve"> Véase la nota 73 </w:t>
      </w:r>
      <w:r>
        <w:rPr>
          <w:i/>
          <w:iCs/>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E/1990/6/Add.36</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141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95</TotalTime>
  <Pages>1</Pages>
  <Words>51376</Words>
  <Characters>292848</Characters>
  <Application>Microsoft Office Word</Application>
  <DocSecurity>4</DocSecurity>
  <Lines>2440</Lines>
  <Paragraphs>585</Paragraphs>
  <ScaleCrop>false</ScaleCrop>
  <HeadingPairs>
    <vt:vector size="2" baseType="variant">
      <vt:variant>
        <vt:lpstr>Título</vt:lpstr>
      </vt:variant>
      <vt:variant>
        <vt:i4>1</vt:i4>
      </vt:variant>
    </vt:vector>
  </HeadingPairs>
  <TitlesOfParts>
    <vt:vector size="1" baseType="lpstr">
      <vt:lpstr>E/1990/6/Add.36;  02-46413</vt:lpstr>
    </vt:vector>
  </TitlesOfParts>
  <Company>ONU</Company>
  <LinksUpToDate>false</LinksUpToDate>
  <CharactersWithSpaces>359637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E/1990/6/Add.36;  02-46413</dc:title>
  <dc:subject/>
  <dc:creator>Mari Tere</dc:creator>
  <cp:keywords/>
  <dc:description/>
  <cp:lastModifiedBy>Mari Tere</cp:lastModifiedBy>
  <cp:revision>15</cp:revision>
  <cp:lastPrinted>2003-02-10T10:00:00Z</cp:lastPrinted>
  <dcterms:created xsi:type="dcterms:W3CDTF">2003-02-07T14:59:00Z</dcterms:created>
  <dcterms:modified xsi:type="dcterms:W3CDTF">2003-02-10T10:10:00Z</dcterms:modified>
</cp:coreProperties>
</file>