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69E2B59" w14:textId="77777777" w:rsidTr="006E27AD">
        <w:trPr>
          <w:trHeight w:hRule="exact" w:val="851"/>
        </w:trPr>
        <w:tc>
          <w:tcPr>
            <w:tcW w:w="1276" w:type="dxa"/>
            <w:tcBorders>
              <w:bottom w:val="single" w:sz="4" w:space="0" w:color="auto"/>
            </w:tcBorders>
          </w:tcPr>
          <w:p w14:paraId="7DE68AC0" w14:textId="754FD04D" w:rsidR="002D5AAC" w:rsidRDefault="002D5AAC" w:rsidP="00E77C05">
            <w:pPr>
              <w:kinsoku w:val="0"/>
              <w:overflowPunct w:val="0"/>
              <w:autoSpaceDE w:val="0"/>
              <w:autoSpaceDN w:val="0"/>
              <w:adjustRightInd w:val="0"/>
              <w:snapToGrid w:val="0"/>
            </w:pPr>
          </w:p>
        </w:tc>
        <w:tc>
          <w:tcPr>
            <w:tcW w:w="2268" w:type="dxa"/>
            <w:tcBorders>
              <w:bottom w:val="single" w:sz="4" w:space="0" w:color="auto"/>
            </w:tcBorders>
            <w:vAlign w:val="bottom"/>
          </w:tcPr>
          <w:p w14:paraId="1065F19F"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F31CA1" w14:textId="4B2BA126" w:rsidR="002D5AAC" w:rsidRDefault="00E77C05" w:rsidP="00E77C05">
            <w:pPr>
              <w:jc w:val="right"/>
            </w:pPr>
            <w:r w:rsidRPr="00E77C05">
              <w:rPr>
                <w:sz w:val="40"/>
              </w:rPr>
              <w:t>E</w:t>
            </w:r>
            <w:r>
              <w:t>/C.12/CAN/7</w:t>
            </w:r>
          </w:p>
        </w:tc>
      </w:tr>
      <w:tr w:rsidR="002D5AAC" w14:paraId="0975C301" w14:textId="77777777" w:rsidTr="006E27AD">
        <w:trPr>
          <w:trHeight w:hRule="exact" w:val="2835"/>
        </w:trPr>
        <w:tc>
          <w:tcPr>
            <w:tcW w:w="1276" w:type="dxa"/>
            <w:tcBorders>
              <w:top w:val="single" w:sz="4" w:space="0" w:color="auto"/>
              <w:bottom w:val="single" w:sz="12" w:space="0" w:color="auto"/>
            </w:tcBorders>
          </w:tcPr>
          <w:p w14:paraId="0CF1CD87" w14:textId="77777777" w:rsidR="002D5AAC" w:rsidRDefault="00DC6544" w:rsidP="006E27AD">
            <w:pPr>
              <w:spacing w:before="120"/>
              <w:jc w:val="center"/>
            </w:pPr>
            <w:r>
              <w:rPr>
                <w:noProof/>
              </w:rPr>
              <w:drawing>
                <wp:inline distT="0" distB="0" distL="0" distR="0" wp14:anchorId="3081108A" wp14:editId="626453E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665F8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A040034" w14:textId="77777777" w:rsidR="002D5AAC" w:rsidRDefault="00E77C05" w:rsidP="006E27AD">
            <w:pPr>
              <w:spacing w:before="240"/>
            </w:pPr>
            <w:r>
              <w:t>Distr. general</w:t>
            </w:r>
          </w:p>
          <w:p w14:paraId="72D79908" w14:textId="77777777" w:rsidR="00E77C05" w:rsidRDefault="00E77C05" w:rsidP="00E77C05">
            <w:pPr>
              <w:spacing w:line="240" w:lineRule="exact"/>
            </w:pPr>
            <w:r>
              <w:t>10 de diciembre de 2024</w:t>
            </w:r>
          </w:p>
          <w:p w14:paraId="1202C954" w14:textId="77777777" w:rsidR="00E77C05" w:rsidRDefault="00E77C05" w:rsidP="00E77C05">
            <w:pPr>
              <w:spacing w:line="240" w:lineRule="exact"/>
            </w:pPr>
            <w:r>
              <w:t>Español</w:t>
            </w:r>
          </w:p>
          <w:p w14:paraId="796A98D3" w14:textId="727D6DA9" w:rsidR="00E77C05" w:rsidRDefault="00E77C05" w:rsidP="00E77C05">
            <w:pPr>
              <w:spacing w:line="240" w:lineRule="exact"/>
            </w:pPr>
            <w:r>
              <w:t>Original: francés e inglés</w:t>
            </w:r>
            <w:r>
              <w:br/>
              <w:t>Español, francés e inglés únicamente</w:t>
            </w:r>
          </w:p>
        </w:tc>
      </w:tr>
    </w:tbl>
    <w:p w14:paraId="2C0DF0EF" w14:textId="77777777" w:rsidR="00E77C05" w:rsidRPr="00B62663" w:rsidRDefault="00E77C05" w:rsidP="00B62663">
      <w:pPr>
        <w:spacing w:before="120"/>
        <w:rPr>
          <w:b/>
          <w:sz w:val="24"/>
          <w:szCs w:val="24"/>
        </w:rPr>
      </w:pPr>
      <w:r w:rsidRPr="00B62663">
        <w:rPr>
          <w:b/>
          <w:sz w:val="24"/>
          <w:szCs w:val="24"/>
        </w:rPr>
        <w:t>Comité de Derechos Económicos, Sociales y Culturales</w:t>
      </w:r>
    </w:p>
    <w:p w14:paraId="2DE0DDD0" w14:textId="75B71BF5" w:rsidR="00E77C05" w:rsidRPr="00DC28B0" w:rsidRDefault="00B62663" w:rsidP="00B62663">
      <w:pPr>
        <w:pStyle w:val="HMG"/>
      </w:pPr>
      <w:r>
        <w:tab/>
      </w:r>
      <w:r w:rsidR="00E77C05">
        <w:tab/>
      </w:r>
      <w:r w:rsidR="00E77C05" w:rsidRPr="00DC28B0">
        <w:t>Séptimo informe periódico que el Canadá debía</w:t>
      </w:r>
      <w:r>
        <w:t> </w:t>
      </w:r>
      <w:r w:rsidR="00E77C05" w:rsidRPr="00DC28B0">
        <w:t>presentar en 2021 en virtud de los artículos</w:t>
      </w:r>
      <w:r>
        <w:t> </w:t>
      </w:r>
      <w:r w:rsidR="00E77C05" w:rsidRPr="00DC28B0">
        <w:t>16 y 17 del Pacto</w:t>
      </w:r>
      <w:r w:rsidR="00E77C05" w:rsidRPr="00B62663">
        <w:rPr>
          <w:b w:val="0"/>
          <w:bCs/>
          <w:sz w:val="20"/>
          <w:szCs w:val="10"/>
        </w:rPr>
        <w:t>*</w:t>
      </w:r>
      <w:r w:rsidRPr="00B62663">
        <w:rPr>
          <w:b w:val="0"/>
          <w:bCs/>
          <w:sz w:val="20"/>
          <w:szCs w:val="10"/>
        </w:rPr>
        <w:t xml:space="preserve"> </w:t>
      </w:r>
      <w:r w:rsidR="00E77C05" w:rsidRPr="00B62663">
        <w:rPr>
          <w:b w:val="0"/>
          <w:bCs/>
          <w:sz w:val="20"/>
          <w:szCs w:val="10"/>
        </w:rPr>
        <w:footnoteReference w:customMarkFollows="1" w:id="1"/>
        <w:t xml:space="preserve">** </w:t>
      </w:r>
      <w:r w:rsidR="00E77C05" w:rsidRPr="00B62663">
        <w:rPr>
          <w:b w:val="0"/>
          <w:bCs/>
          <w:sz w:val="20"/>
          <w:szCs w:val="10"/>
        </w:rPr>
        <w:footnoteReference w:customMarkFollows="1" w:id="2"/>
        <w:t>***</w:t>
      </w:r>
    </w:p>
    <w:p w14:paraId="26AA3800" w14:textId="758846F6" w:rsidR="00E77C05" w:rsidRPr="00DC28B0" w:rsidRDefault="00E77C05" w:rsidP="00B62663">
      <w:pPr>
        <w:pStyle w:val="SingleTxtG"/>
        <w:jc w:val="right"/>
      </w:pPr>
      <w:r w:rsidRPr="00DC28B0">
        <w:t>[Fecha de recepción: 10 de septiembre de 2024]</w:t>
      </w:r>
    </w:p>
    <w:p w14:paraId="6B331DC2" w14:textId="77777777" w:rsidR="00E77C05" w:rsidRPr="00DC28B0" w:rsidRDefault="00E77C05" w:rsidP="00E77C05">
      <w:pPr>
        <w:rPr>
          <w:rFonts w:eastAsiaTheme="minorEastAsia"/>
        </w:rPr>
      </w:pPr>
      <w:r w:rsidRPr="00DC28B0">
        <w:br w:type="page"/>
      </w:r>
    </w:p>
    <w:p w14:paraId="23097970" w14:textId="77777777" w:rsidR="00E77C05" w:rsidRPr="00DC28B0" w:rsidRDefault="00E77C05" w:rsidP="00B62663">
      <w:pPr>
        <w:pStyle w:val="HChG"/>
      </w:pPr>
      <w:bookmarkStart w:id="0" w:name="lt_pId004"/>
      <w:r w:rsidRPr="00DC28B0">
        <w:lastRenderedPageBreak/>
        <w:tab/>
        <w:t>I.</w:t>
      </w:r>
      <w:r w:rsidRPr="00DC28B0">
        <w:tab/>
        <w:t>Introducción</w:t>
      </w:r>
      <w:bookmarkEnd w:id="0"/>
    </w:p>
    <w:p w14:paraId="3D848F23" w14:textId="073CC0B9" w:rsidR="00E77C05" w:rsidRPr="00DC28B0" w:rsidRDefault="00E77C05" w:rsidP="00B62663">
      <w:pPr>
        <w:pStyle w:val="SingleTxtG"/>
      </w:pPr>
      <w:bookmarkStart w:id="1" w:name="lt_pId005"/>
      <w:r w:rsidRPr="00DC28B0">
        <w:t>1.</w:t>
      </w:r>
      <w:r w:rsidRPr="00DC28B0">
        <w:tab/>
        <w:t>El Canadá se complace en presentar al Comité de Derechos Económicos, Sociales y Culturales su séptimo informe sobre el Pacto Internacional de Derechos Económicos, Sociales y Culturales</w:t>
      </w:r>
      <w:bookmarkStart w:id="2" w:name="lt_pId006"/>
      <w:bookmarkEnd w:id="1"/>
      <w:bookmarkEnd w:id="2"/>
      <w:r w:rsidRPr="00DC28B0">
        <w:t>. En el informe se presentan las principales medidas adoptadas por el Canadá para mejorar la aplicación del Pacto desde su última comparecencia ante el Comité, en febrero de 2016, hasta septiembre de 2021, así como las respuestas a la lista de cuestiones elaborada por el Comité</w:t>
      </w:r>
      <w:r w:rsidRPr="00DC28B0">
        <w:rPr>
          <w:rStyle w:val="Refdenotaalpie"/>
        </w:rPr>
        <w:footnoteReference w:id="3"/>
      </w:r>
      <w:r w:rsidRPr="00DC28B0">
        <w:t>.</w:t>
      </w:r>
    </w:p>
    <w:p w14:paraId="2173F634" w14:textId="77777777" w:rsidR="00E77C05" w:rsidRPr="00DC28B0" w:rsidRDefault="00E77C05" w:rsidP="00B62663">
      <w:pPr>
        <w:pStyle w:val="SingleTxtG"/>
      </w:pPr>
      <w:bookmarkStart w:id="4" w:name="lt_pId007"/>
      <w:r w:rsidRPr="00DC28B0">
        <w:t>2.</w:t>
      </w:r>
      <w:r w:rsidRPr="00DC28B0">
        <w:tab/>
        <w:t>En el informe se da respuesta a la mayoría de las preguntas del Comité, dentro del límite de palabras establecido, y se le remite a otras fuentes de información facilitadas recientemente por el Canadá a este y a otros órganos creados en virtud de tratados, así como al documento básico común del país.</w:t>
      </w:r>
      <w:bookmarkEnd w:id="4"/>
    </w:p>
    <w:p w14:paraId="78B8DD1D" w14:textId="77777777" w:rsidR="00E77C05" w:rsidRPr="00DC28B0" w:rsidRDefault="00E77C05" w:rsidP="00B62663">
      <w:pPr>
        <w:pStyle w:val="SingleTxtG"/>
      </w:pPr>
      <w:bookmarkStart w:id="5" w:name="lt_pId008"/>
      <w:r w:rsidRPr="00DC28B0">
        <w:t>3.</w:t>
      </w:r>
      <w:r w:rsidRPr="00DC28B0">
        <w:tab/>
        <w:t xml:space="preserve">El presente informe se centra en la aplicación del Pacto por parte de todos los niveles de gobierno del Canadá. </w:t>
      </w:r>
      <w:bookmarkStart w:id="6" w:name="lt_pId009"/>
      <w:bookmarkEnd w:id="5"/>
      <w:r w:rsidRPr="00DC28B0">
        <w:t xml:space="preserve">Por “Gobierno del Canadá” se entiende el Gobierno federal, en tanto que “el Canadá” designa por lo general al Gobierno federal y a los gobiernos provinciales y territoriales. </w:t>
      </w:r>
      <w:bookmarkStart w:id="7" w:name="lt_pId010"/>
      <w:bookmarkEnd w:id="6"/>
      <w:r w:rsidRPr="00DC28B0">
        <w:t>Toda mención a una provincia o territorio concretos, por ejemplo Quebec o el Yukón, hace referencia al gobierno de dicha provincia o territorio.</w:t>
      </w:r>
      <w:bookmarkEnd w:id="7"/>
    </w:p>
    <w:p w14:paraId="67079286" w14:textId="77777777" w:rsidR="00E77C05" w:rsidRPr="00DC28B0" w:rsidRDefault="00E77C05" w:rsidP="008314B8">
      <w:pPr>
        <w:pStyle w:val="HChG"/>
      </w:pPr>
      <w:bookmarkStart w:id="8" w:name="lt_pId011"/>
      <w:r w:rsidRPr="00DC28B0">
        <w:tab/>
        <w:t>II.</w:t>
      </w:r>
      <w:r w:rsidRPr="00DC28B0">
        <w:tab/>
        <w:t xml:space="preserve">Cuestiones de </w:t>
      </w:r>
      <w:bookmarkEnd w:id="8"/>
      <w:r w:rsidRPr="00DC28B0">
        <w:t>particular importancia</w:t>
      </w:r>
    </w:p>
    <w:p w14:paraId="288D1B96" w14:textId="717AC413" w:rsidR="00E77C05" w:rsidRPr="00DC28B0" w:rsidRDefault="008314B8" w:rsidP="008314B8">
      <w:pPr>
        <w:pStyle w:val="H1G"/>
      </w:pPr>
      <w:bookmarkStart w:id="9" w:name="lt_pId013"/>
      <w:r>
        <w:tab/>
      </w:r>
      <w:r w:rsidR="00E77C05">
        <w:tab/>
      </w:r>
      <w:r w:rsidR="00E77C05" w:rsidRPr="00DC28B0">
        <w:t>Respuesta al párrafo 2 de la lista de cuestiones previa a la presentación</w:t>
      </w:r>
      <w:r>
        <w:t> </w:t>
      </w:r>
      <w:r w:rsidR="00E77C05" w:rsidRPr="00DC28B0">
        <w:t>del informe (E/C.12/CAN/</w:t>
      </w:r>
      <w:proofErr w:type="spellStart"/>
      <w:r w:rsidR="00E77C05" w:rsidRPr="00DC28B0">
        <w:t>QPR</w:t>
      </w:r>
      <w:proofErr w:type="spellEnd"/>
      <w:r w:rsidR="00E77C05" w:rsidRPr="00DC28B0">
        <w:t>/7)</w:t>
      </w:r>
    </w:p>
    <w:p w14:paraId="48681B77" w14:textId="72047758" w:rsidR="00E77C05" w:rsidRPr="00DC28B0" w:rsidRDefault="00E77C05" w:rsidP="008314B8">
      <w:pPr>
        <w:pStyle w:val="H23G"/>
      </w:pPr>
      <w:r>
        <w:tab/>
      </w:r>
      <w:r w:rsidR="008314B8">
        <w:tab/>
      </w:r>
      <w:r w:rsidRPr="00DC28B0">
        <w:t>Nuevas medidas legislativas</w:t>
      </w:r>
      <w:bookmarkEnd w:id="9"/>
    </w:p>
    <w:p w14:paraId="5CF27321" w14:textId="77777777" w:rsidR="00E77C05" w:rsidRPr="00DC28B0" w:rsidRDefault="00E77C05" w:rsidP="00B62663">
      <w:pPr>
        <w:pStyle w:val="SingleTxtG"/>
      </w:pPr>
      <w:bookmarkStart w:id="10" w:name="lt_pId014"/>
      <w:r w:rsidRPr="00DC28B0">
        <w:t>4.</w:t>
      </w:r>
      <w:r w:rsidRPr="00DC28B0">
        <w:tab/>
        <w:t>A nivel federal, durante el período que abarca el presente informe se adoptaron las siguientes medidas legislativas que contribuyeron al avance en la aplicación del Pacto:</w:t>
      </w:r>
      <w:bookmarkEnd w:id="10"/>
    </w:p>
    <w:p w14:paraId="5C379D17" w14:textId="15FC262F" w:rsidR="00E77C05" w:rsidRPr="00DC28B0" w:rsidRDefault="00E77C05" w:rsidP="008314B8">
      <w:pPr>
        <w:pStyle w:val="Bullet1G"/>
      </w:pPr>
      <w:bookmarkStart w:id="11" w:name="lt_pId015"/>
      <w:r w:rsidRPr="00DC28B0">
        <w:t xml:space="preserve">El proyecto de ley C-97, que recibió la anuencia real en junio de 2019, supuso la promulgación de la Ley de la Estrategia Nacional de Vivienda. </w:t>
      </w:r>
      <w:bookmarkStart w:id="12" w:name="lt_pId016"/>
      <w:bookmarkEnd w:id="11"/>
      <w:r w:rsidRPr="00DC28B0">
        <w:t xml:space="preserve">El artículo 4 de esa Ley contiene una declaración sobre la política de vivienda en la que el Gobierno del Canadá reconoce que el derecho a una vivienda adecuada es uno de los derechos humanos fundamentales reconocidos en la legislación internacional y se compromete a hacer realidad de manera progresiva los derechos reconocidos en el Pacto. </w:t>
      </w:r>
      <w:bookmarkStart w:id="13" w:name="lt_pId017"/>
      <w:bookmarkEnd w:id="12"/>
      <w:r w:rsidRPr="00DC28B0">
        <w:t>En esa Ley se pide al Gobierno del Canadá que elabore y aplique una estrategia nacional para impulsar su política de vivienda, teniendo en cuenta los principios clave de un enfoque de la vivienda basado en los derechos humanos.</w:t>
      </w:r>
      <w:bookmarkEnd w:id="13"/>
    </w:p>
    <w:p w14:paraId="5C926EF8" w14:textId="25C8E08B" w:rsidR="00E77C05" w:rsidRPr="00DC28B0" w:rsidRDefault="00E77C05" w:rsidP="008314B8">
      <w:pPr>
        <w:pStyle w:val="Bullet1G"/>
        <w:rPr>
          <w:rFonts w:eastAsiaTheme="minorEastAsia"/>
        </w:rPr>
      </w:pPr>
      <w:bookmarkStart w:id="14" w:name="lt_pId019"/>
      <w:r w:rsidRPr="00DC28B0">
        <w:rPr>
          <w:rFonts w:eastAsiaTheme="minorEastAsia"/>
        </w:rPr>
        <w:t xml:space="preserve">En junio de 2019, el Gobierno aprobó la Ley de Reducción de la Pobreza en el marco de la Estrategia de Reducción de la Pobreza del Canadá (2018). </w:t>
      </w:r>
      <w:bookmarkStart w:id="15" w:name="lt_pId020"/>
      <w:bookmarkEnd w:id="14"/>
      <w:r w:rsidRPr="00DC28B0">
        <w:rPr>
          <w:rFonts w:eastAsiaTheme="minorEastAsia"/>
        </w:rPr>
        <w:t>En esa Ley,</w:t>
      </w:r>
      <w:r w:rsidRPr="00DC28B0">
        <w:t xml:space="preserve"> que constituyó una </w:t>
      </w:r>
      <w:r w:rsidRPr="00DC28B0">
        <w:rPr>
          <w:rFonts w:eastAsiaTheme="minorEastAsia"/>
        </w:rPr>
        <w:t xml:space="preserve">primicia en el Canadá, se estableció un parámetro oficial para cuantificar la pobreza: el umbral de pobreza. </w:t>
      </w:r>
      <w:bookmarkStart w:id="16" w:name="lt_pId021"/>
      <w:bookmarkEnd w:id="15"/>
      <w:r w:rsidRPr="00DC28B0">
        <w:rPr>
          <w:rFonts w:eastAsiaTheme="minorEastAsia"/>
        </w:rPr>
        <w:t>En esa Ley también se establecieron objetivos para la reducción de la pobreza, incluida una reducción del 20 % para 2020 con respecto a los niveles de 2015</w:t>
      </w:r>
      <w:r w:rsidRPr="00DC28B0">
        <w:t xml:space="preserve"> (lograda) </w:t>
      </w:r>
      <w:r w:rsidRPr="00DC28B0">
        <w:rPr>
          <w:rFonts w:eastAsiaTheme="minorEastAsia"/>
        </w:rPr>
        <w:t>y una reducción del 50 % para 2030.</w:t>
      </w:r>
      <w:bookmarkEnd w:id="16"/>
    </w:p>
    <w:p w14:paraId="78B80458" w14:textId="08E0E8DD" w:rsidR="00E77C05" w:rsidRPr="00DC28B0" w:rsidRDefault="00E77C05" w:rsidP="008314B8">
      <w:pPr>
        <w:pStyle w:val="Bullet1G"/>
        <w:rPr>
          <w:rFonts w:eastAsiaTheme="minorEastAsia"/>
        </w:rPr>
      </w:pPr>
      <w:bookmarkStart w:id="17" w:name="lt_pId022"/>
      <w:r w:rsidRPr="00DC28B0">
        <w:rPr>
          <w:rFonts w:eastAsiaTheme="minorEastAsia"/>
        </w:rPr>
        <w:t>La Ley de Igualdad Salarial, promulgada en 2018 como parte del proyecto de ley C</w:t>
      </w:r>
      <w:r w:rsidRPr="00DC28B0">
        <w:rPr>
          <w:rFonts w:eastAsiaTheme="minorEastAsia"/>
        </w:rPr>
        <w:noBreakHyphen/>
        <w:t xml:space="preserve">86, que entró en vigor en 2021. </w:t>
      </w:r>
      <w:bookmarkStart w:id="18" w:name="lt_pId023"/>
      <w:bookmarkEnd w:id="17"/>
      <w:r w:rsidRPr="00DC28B0">
        <w:rPr>
          <w:rFonts w:eastAsiaTheme="minorEastAsia"/>
        </w:rPr>
        <w:t>En esa Ley, y en los reglamentos que la desarrollan, se establece un régimen proactivo de igualdad salarial tendiente a garantizar que,</w:t>
      </w:r>
      <w:r w:rsidRPr="00DC28B0">
        <w:t xml:space="preserve"> </w:t>
      </w:r>
      <w:r w:rsidRPr="00DC28B0">
        <w:rPr>
          <w:rFonts w:eastAsiaTheme="minorEastAsia"/>
        </w:rPr>
        <w:t xml:space="preserve">en los lugares de trabajo regulados a nivel federal, las mujeres y los hombres reciban el mismo salario por un trabajo de igual valor. </w:t>
      </w:r>
      <w:bookmarkStart w:id="19" w:name="lt_pId024"/>
      <w:bookmarkEnd w:id="18"/>
      <w:r w:rsidRPr="00DC28B0">
        <w:rPr>
          <w:rFonts w:eastAsiaTheme="minorEastAsia"/>
        </w:rPr>
        <w:t>El propósito de la Ley es cerrar la brecha salarial de género que afecta negativamente a las mujeres en los lugares de trabajo regulados a nivel federal mediante la eliminación de la discriminación de género sistémica en los sistemas y prácticas de compensación de los empleadores.</w:t>
      </w:r>
      <w:bookmarkEnd w:id="19"/>
    </w:p>
    <w:p w14:paraId="468BA585" w14:textId="37522AC5" w:rsidR="00E77C05" w:rsidRPr="00DC28B0" w:rsidRDefault="00E77C05" w:rsidP="008314B8">
      <w:pPr>
        <w:pStyle w:val="H23G"/>
      </w:pPr>
      <w:bookmarkStart w:id="20" w:name="lt_pId025"/>
      <w:r>
        <w:lastRenderedPageBreak/>
        <w:tab/>
      </w:r>
      <w:r w:rsidR="008314B8">
        <w:tab/>
      </w:r>
      <w:r w:rsidRPr="00DC28B0">
        <w:t>Formación de los jueces</w:t>
      </w:r>
    </w:p>
    <w:p w14:paraId="7659BB66" w14:textId="77777777" w:rsidR="00E77C05" w:rsidRPr="00DC28B0" w:rsidRDefault="00E77C05" w:rsidP="00B62663">
      <w:pPr>
        <w:pStyle w:val="SingleTxtG"/>
      </w:pPr>
      <w:r w:rsidRPr="00DC28B0">
        <w:t>5.</w:t>
      </w:r>
      <w:r w:rsidRPr="00DC28B0">
        <w:tab/>
        <w:t>El Instituto Nacional de la Magistratura es una organización independiente, dirigida por los propios jueces, que ofrece recursos y programas educativos a la judicatura canadiense. El Instituto trabaja en estrecha colaboración con el Consejo de la Magistratura, que establece los requisitos en materia de desarrollo profesional para los jueces de los tribunales superiores. El Consejo reconoce que una formación judicial eficaz requiere un enfoque tridimensional que abarque los contenidos sustantivos, el desarrollo de competencias y la sensibilización con respecto al contexto social, lo que incluye la comprensión de las circunstancias relacionadas con el género, la etnia, el origen socioeconómico, la infancia y la violencia doméstica. Los juristas del Gobierno especializados en el derecho internacional de los derechos humanos imparten formación específica sobre el Pacto a otros abogados y funcionarios.</w:t>
      </w:r>
    </w:p>
    <w:p w14:paraId="6B774152" w14:textId="1537C4A9" w:rsidR="00E77C05" w:rsidRPr="00DC28B0" w:rsidRDefault="00E77C05" w:rsidP="008314B8">
      <w:pPr>
        <w:pStyle w:val="H23G"/>
      </w:pPr>
      <w:r>
        <w:tab/>
      </w:r>
      <w:r w:rsidR="008314B8">
        <w:tab/>
      </w:r>
      <w:r w:rsidRPr="00DC28B0">
        <w:t>Revisión de las estrategias en materia de litigios</w:t>
      </w:r>
      <w:bookmarkEnd w:id="20"/>
    </w:p>
    <w:p w14:paraId="5911DE00" w14:textId="77777777" w:rsidR="00E77C05" w:rsidRPr="00DC28B0" w:rsidRDefault="00E77C05" w:rsidP="00B62663">
      <w:pPr>
        <w:pStyle w:val="SingleTxtG"/>
      </w:pPr>
      <w:bookmarkStart w:id="21" w:name="lt_pId026"/>
      <w:r w:rsidRPr="00DC28B0">
        <w:t>6.</w:t>
      </w:r>
      <w:r w:rsidRPr="00DC28B0">
        <w:tab/>
        <w:t xml:space="preserve">Los Principios que Guían al Fiscal General en los Litigios, basados en la Carta de Derechos y Libertades del Canadá (2018), sirven de orientación a los fiscales en los casos relacionados con la Carta. </w:t>
      </w:r>
      <w:bookmarkStart w:id="22" w:name="lt_pId027"/>
      <w:bookmarkEnd w:id="21"/>
      <w:r w:rsidRPr="00DC28B0">
        <w:t xml:space="preserve">Entre esos Principios figuran el constitucionalismo y el estado de derecho, la democracia parlamentaria, la adjudicación, la continuidad, la aplicación coherente de la Carta y el acceso a la justicia. </w:t>
      </w:r>
      <w:bookmarkStart w:id="23" w:name="lt_pId028"/>
      <w:bookmarkEnd w:id="22"/>
      <w:r w:rsidRPr="00DC28B0">
        <w:t>Sirven para garantizar que el Fiscal General, como guardián del estado de derecho, defienda el interés público y vele por que la Corona trascienda las transiciones entre gobiernos.</w:t>
      </w:r>
      <w:bookmarkEnd w:id="23"/>
    </w:p>
    <w:p w14:paraId="1D7E7F8B" w14:textId="6A17C1DF" w:rsidR="00E77C05" w:rsidRPr="00DC28B0" w:rsidRDefault="00E77C05" w:rsidP="00B62663">
      <w:pPr>
        <w:pStyle w:val="SingleTxtG"/>
      </w:pPr>
      <w:bookmarkStart w:id="24" w:name="lt_pId029"/>
      <w:r w:rsidRPr="00DC28B0">
        <w:t>7.</w:t>
      </w:r>
      <w:r w:rsidRPr="00DC28B0">
        <w:tab/>
        <w:t xml:space="preserve">En enero de 2019 se publicó también la Directiva del Fiscal General sobre Litigios Civiles que Involucran a Pueblos Indígenas en aplicación de los Principios del Gobierno Federal Aplicables a la Relación del Gobierno del Canadá con los Pueblos Indígenas. </w:t>
      </w:r>
      <w:bookmarkStart w:id="25" w:name="lt_pId030"/>
      <w:bookmarkEnd w:id="24"/>
      <w:r w:rsidRPr="00DC28B0">
        <w:t xml:space="preserve">La Directiva sirve de orientación para el Fiscal General sobre la forma en que los fiscales han de plantear los litigios civiles relacionados con los derechos de los Pueblos Indígenas y los tratados y las obligaciones de la Corona para con esos pueblos. </w:t>
      </w:r>
      <w:bookmarkStart w:id="26" w:name="lt_pId031"/>
      <w:bookmarkEnd w:id="25"/>
      <w:r w:rsidRPr="00DC28B0">
        <w:t>En ella se promueve un enfoque de la resolución de los litigios coherente con el objetivo de lograr la reconciliación con los Pueblos Indígenas.</w:t>
      </w:r>
      <w:bookmarkEnd w:id="26"/>
    </w:p>
    <w:p w14:paraId="18EFAD4C" w14:textId="1780564C" w:rsidR="00E77C05" w:rsidRPr="00DC28B0" w:rsidRDefault="00E77C05" w:rsidP="008314B8">
      <w:pPr>
        <w:pStyle w:val="H23G"/>
      </w:pPr>
      <w:bookmarkStart w:id="27" w:name="lt_pId032"/>
      <w:r>
        <w:tab/>
      </w:r>
      <w:r w:rsidR="008314B8">
        <w:tab/>
      </w:r>
      <w:r w:rsidRPr="00DC28B0">
        <w:t>Recurso efectivo</w:t>
      </w:r>
      <w:bookmarkEnd w:id="27"/>
    </w:p>
    <w:p w14:paraId="3DD8001F" w14:textId="77777777" w:rsidR="00E77C05" w:rsidRPr="00DC28B0" w:rsidRDefault="00E77C05" w:rsidP="00B62663">
      <w:pPr>
        <w:pStyle w:val="SingleTxtG"/>
      </w:pPr>
      <w:bookmarkStart w:id="28" w:name="lt_pId033"/>
      <w:r w:rsidRPr="00DC28B0">
        <w:t>8.</w:t>
      </w:r>
      <w:r w:rsidRPr="00DC28B0">
        <w:tab/>
        <w:t xml:space="preserve">Durante el período que abarca el informe se han establecido nuevos mecanismos institucionales a nivel federal para promover la aplicación efectiva de las obligaciones que incumben al Canadá en virtud del Pacto y proporcionar recursos adicionales a las personas que consideren que se han vulnerado los derechos que en él se les reconocen. </w:t>
      </w:r>
      <w:bookmarkStart w:id="29" w:name="lt_pId034"/>
      <w:bookmarkEnd w:id="28"/>
      <w:r w:rsidRPr="00DC28B0">
        <w:t>Por ejemplo:</w:t>
      </w:r>
      <w:bookmarkEnd w:id="29"/>
    </w:p>
    <w:p w14:paraId="228971FE" w14:textId="5D0979F9" w:rsidR="00E77C05" w:rsidRPr="00DC28B0" w:rsidRDefault="00E77C05" w:rsidP="008314B8">
      <w:pPr>
        <w:pStyle w:val="Bullet1G"/>
        <w:rPr>
          <w:rFonts w:eastAsiaTheme="minorEastAsia"/>
        </w:rPr>
      </w:pPr>
      <w:bookmarkStart w:id="30" w:name="lt_pId036"/>
      <w:r w:rsidRPr="00DC28B0">
        <w:rPr>
          <w:rFonts w:eastAsiaTheme="minorEastAsia"/>
        </w:rPr>
        <w:t xml:space="preserve">El Comisionado de Igualdad Salarial del Gobierno del Canadá, cuyo mandato incluye facilitar la resolución de diferencias sobre igualdad salarial, puede intervenir en asuntos en disputa y recibir objeciones y quejas relacionadas con planes de igualdad salarial. </w:t>
      </w:r>
      <w:bookmarkStart w:id="31" w:name="lt_pId037"/>
      <w:bookmarkEnd w:id="30"/>
      <w:r w:rsidRPr="00DC28B0">
        <w:rPr>
          <w:rFonts w:eastAsiaTheme="minorEastAsia"/>
        </w:rPr>
        <w:t>El Comisionado está facultado para investigar, tomar decisiones y redactar normas en relación con los asuntos objeto de litigio, las objeciones o las quejas.</w:t>
      </w:r>
      <w:bookmarkEnd w:id="31"/>
    </w:p>
    <w:p w14:paraId="0DE6D0C1" w14:textId="7CCA68C0" w:rsidR="00E77C05" w:rsidRPr="00DC28B0" w:rsidRDefault="00E77C05" w:rsidP="008314B8">
      <w:pPr>
        <w:pStyle w:val="Bullet1G"/>
        <w:rPr>
          <w:rFonts w:eastAsiaTheme="minorEastAsia"/>
        </w:rPr>
      </w:pPr>
      <w:bookmarkStart w:id="32" w:name="lt_pId038"/>
      <w:r w:rsidRPr="00DC28B0">
        <w:rPr>
          <w:rFonts w:eastAsiaTheme="minorEastAsia"/>
        </w:rPr>
        <w:t xml:space="preserve">En la Ley de la Estrategia Nacional de Vivienda se prevén mecanismos de rendición de cuentas para la creación de una Defensoría Federal de </w:t>
      </w:r>
      <w:r w:rsidRPr="00DC28B0">
        <w:t xml:space="preserve">la Vivienda </w:t>
      </w:r>
      <w:r w:rsidRPr="00DC28B0">
        <w:rPr>
          <w:rFonts w:eastAsiaTheme="minorEastAsia"/>
        </w:rPr>
        <w:t xml:space="preserve">y un Consejo Nacional de la Vivienda. </w:t>
      </w:r>
      <w:bookmarkStart w:id="33" w:name="lt_pId039"/>
      <w:bookmarkEnd w:id="32"/>
      <w:r w:rsidRPr="00DC28B0">
        <w:rPr>
          <w:rFonts w:eastAsiaTheme="minorEastAsia"/>
        </w:rPr>
        <w:t>La Defensoría, cuyo mandato incluye la recepción de quejas del público sobre problemas sistémicos relacionados con la vivienda, está facultada para llevar a cabo una revisión de las quejas recibidas y emitir un informe, que puede incluir la recomendación de la adopción de medidas por parte del Gobierno</w:t>
      </w:r>
      <w:r w:rsidR="00CB6268">
        <w:rPr>
          <w:rFonts w:eastAsiaTheme="minorEastAsia"/>
        </w:rPr>
        <w:t xml:space="preserve"> Federal</w:t>
      </w:r>
      <w:r w:rsidRPr="00DC28B0">
        <w:rPr>
          <w:rFonts w:eastAsiaTheme="minorEastAsia"/>
        </w:rPr>
        <w:t xml:space="preserve">. </w:t>
      </w:r>
      <w:bookmarkStart w:id="34" w:name="lt_pId040"/>
      <w:bookmarkEnd w:id="33"/>
      <w:bookmarkEnd w:id="34"/>
      <w:r w:rsidRPr="00DC28B0">
        <w:rPr>
          <w:rFonts w:eastAsiaTheme="minorEastAsia"/>
        </w:rPr>
        <w:t>La Defensoría también puede solicitar al Consejo Nacional de la Vivienda que establezca una comisión de encuesta encargada de celebrar una audiencia sobre cualquier problema sistémico relacionado con la vivienda planteado por el público</w:t>
      </w:r>
      <w:r w:rsidRPr="00DC28B0">
        <w:t xml:space="preserve"> </w:t>
      </w:r>
      <w:r w:rsidRPr="00DC28B0">
        <w:rPr>
          <w:rFonts w:eastAsiaTheme="minorEastAsia"/>
        </w:rPr>
        <w:t>dentro de la jurisdicción federal. En virtud de lo dispuesto en la Ley de la Estrategia Nacional de Vivienda, el Ministro del ramo debe responder a los informes de la Defensoría y a los de la</w:t>
      </w:r>
      <w:r w:rsidRPr="00DC28B0">
        <w:t xml:space="preserve"> </w:t>
      </w:r>
      <w:r w:rsidRPr="00DC28B0">
        <w:rPr>
          <w:rFonts w:eastAsiaTheme="minorEastAsia"/>
        </w:rPr>
        <w:t>comisión de encuesta.</w:t>
      </w:r>
    </w:p>
    <w:p w14:paraId="6AE3276B" w14:textId="5C5668EF" w:rsidR="00E77C05" w:rsidRPr="00DC28B0" w:rsidRDefault="00E77C05" w:rsidP="008314B8">
      <w:pPr>
        <w:pStyle w:val="H1G"/>
      </w:pPr>
      <w:bookmarkStart w:id="35" w:name="lt_pId042"/>
      <w:r>
        <w:lastRenderedPageBreak/>
        <w:tab/>
      </w:r>
      <w:r w:rsidR="008314B8">
        <w:tab/>
      </w:r>
      <w:r w:rsidRPr="00DC28B0">
        <w:t>Respuesta al párrafo 3 de la lista de cuestiones</w:t>
      </w:r>
    </w:p>
    <w:p w14:paraId="276C33A0" w14:textId="462D91E1" w:rsidR="00E77C05" w:rsidRPr="00DC28B0" w:rsidRDefault="00E77C05" w:rsidP="008314B8">
      <w:pPr>
        <w:pStyle w:val="H23G"/>
      </w:pPr>
      <w:r>
        <w:tab/>
      </w:r>
      <w:r w:rsidR="008314B8">
        <w:tab/>
      </w:r>
      <w:r w:rsidRPr="00DC28B0">
        <w:t>Participación de los Pueblos Indígenas en el proceso de toma de decisiones</w:t>
      </w:r>
      <w:bookmarkEnd w:id="35"/>
    </w:p>
    <w:p w14:paraId="7D054F6C" w14:textId="77777777" w:rsidR="00E77C05" w:rsidRPr="00DC28B0" w:rsidRDefault="00E77C05" w:rsidP="00B62663">
      <w:pPr>
        <w:pStyle w:val="SingleTxtG"/>
      </w:pPr>
      <w:bookmarkStart w:id="36" w:name="lt_pId043"/>
      <w:r w:rsidRPr="00DC28B0">
        <w:t>9.</w:t>
      </w:r>
      <w:r w:rsidRPr="00DC28B0">
        <w:tab/>
        <w:t>En todos los niveles de gobierno del país se reconoce la importancia de la participación de los Pueblos Indígenas en la toma de decisiones sobre asuntos que afectan a sus derechos a través de sus propias instituciones representativas, así como la necesidad de mantener consultas y cultivar la cooperación de buena fe.</w:t>
      </w:r>
      <w:bookmarkEnd w:id="36"/>
    </w:p>
    <w:p w14:paraId="4FC4DB51" w14:textId="7CBF4C9F" w:rsidR="00E77C05" w:rsidRPr="00DC28B0" w:rsidRDefault="00E77C05" w:rsidP="008314B8">
      <w:pPr>
        <w:pStyle w:val="Bullet1G"/>
        <w:rPr>
          <w:rFonts w:eastAsiaTheme="minorEastAsia"/>
        </w:rPr>
      </w:pPr>
      <w:bookmarkStart w:id="37" w:name="lt_pId044"/>
      <w:r w:rsidRPr="00DC28B0">
        <w:rPr>
          <w:rFonts w:eastAsiaTheme="minorEastAsia"/>
        </w:rPr>
        <w:t xml:space="preserve">En noviembre de 2019, Columbia Británica aprobó la Ley de la Declaración sobre los Derechos de los Pueblos </w:t>
      </w:r>
      <w:r w:rsidRPr="00DC28B0">
        <w:t xml:space="preserve">Indígenas, en la </w:t>
      </w:r>
      <w:r w:rsidRPr="00DC28B0">
        <w:rPr>
          <w:rFonts w:eastAsiaTheme="minorEastAsia"/>
        </w:rPr>
        <w:t xml:space="preserve">que se reconocen jurídicamente los derechos humanos de los Pueblos Indígenas. </w:t>
      </w:r>
      <w:bookmarkStart w:id="38" w:name="lt_pId045"/>
      <w:bookmarkEnd w:id="37"/>
      <w:r w:rsidRPr="00DC28B0">
        <w:rPr>
          <w:rFonts w:eastAsiaTheme="minorEastAsia"/>
        </w:rPr>
        <w:t>En esa Ley se recoge la Declaración de las Naciones Unidas sobre los Derechos de los Pueblos Indígenas como marco para la reconciliación dentro de la provincia. Columbia Británica trabaja actualmente con los Pueblos Indígenas en la aplicación de esa legislación.</w:t>
      </w:r>
      <w:bookmarkEnd w:id="38"/>
    </w:p>
    <w:p w14:paraId="4E1EA0A5" w14:textId="4ED1984F" w:rsidR="00E77C05" w:rsidRPr="00DC28B0" w:rsidRDefault="00E77C05" w:rsidP="008314B8">
      <w:pPr>
        <w:pStyle w:val="Bullet1G"/>
        <w:rPr>
          <w:rFonts w:eastAsiaTheme="minorEastAsia"/>
        </w:rPr>
      </w:pPr>
      <w:bookmarkStart w:id="39" w:name="lt_pId046"/>
      <w:r w:rsidRPr="00DC28B0">
        <w:rPr>
          <w:rFonts w:eastAsiaTheme="minorEastAsia"/>
        </w:rPr>
        <w:t xml:space="preserve">En junio de 2021 entró en vigor la Ley de la Declaración de las Naciones Unidas sobre los Derechos de los Pueblos Indígenas del Canadá. </w:t>
      </w:r>
      <w:bookmarkStart w:id="40" w:name="lt_pId047"/>
      <w:bookmarkEnd w:id="39"/>
      <w:r w:rsidRPr="00DC28B0">
        <w:rPr>
          <w:rFonts w:eastAsiaTheme="minorEastAsia"/>
        </w:rPr>
        <w:t>Esa Ley incluye la obligación de elaborar un plan de acción que ayude a alcanzar los objetivos de la Declaración y de tomar medidas para garantizar la coherencia entre la Declaración, en particular los artículos relativos al consentimiento libre, previo e informado, y las leyes federales, en consulta y cooperación con los Pueblos Indígenas.</w:t>
      </w:r>
      <w:bookmarkEnd w:id="40"/>
    </w:p>
    <w:p w14:paraId="0805BB34" w14:textId="77777777" w:rsidR="00E77C05" w:rsidRPr="00DC28B0" w:rsidRDefault="00E77C05" w:rsidP="00B62663">
      <w:pPr>
        <w:pStyle w:val="SingleTxtG"/>
      </w:pPr>
      <w:bookmarkStart w:id="41" w:name="lt_pId048"/>
      <w:r w:rsidRPr="00DC28B0">
        <w:t>10.</w:t>
      </w:r>
      <w:r w:rsidRPr="00DC28B0">
        <w:tab/>
        <w:t>Se han promulgado o enmendado numerosas leyes y políticas para facilitar la participación significativa de los Pueblos Indígenas en los procesos de toma de decisiones sobre proyectos de desarrollo que afecten a sus tierras y territorios.</w:t>
      </w:r>
      <w:bookmarkEnd w:id="41"/>
    </w:p>
    <w:p w14:paraId="5EEB6486" w14:textId="538E0356" w:rsidR="00E77C05" w:rsidRPr="00DC28B0" w:rsidRDefault="00E77C05" w:rsidP="008314B8">
      <w:pPr>
        <w:pStyle w:val="Bullet1G"/>
        <w:rPr>
          <w:rFonts w:eastAsiaTheme="minorEastAsia"/>
        </w:rPr>
      </w:pPr>
      <w:bookmarkStart w:id="42" w:name="lt_pId050"/>
      <w:r w:rsidRPr="00DC28B0">
        <w:rPr>
          <w:rFonts w:eastAsiaTheme="minorEastAsia"/>
        </w:rPr>
        <w:t>En 2018 se modificó el Acuerdo Marco para la Gestión de las Tierras de las Primeras Naciones del Gobierno del Canadá a fin de recoger en él el contenido de la Declaración de las Naciones Unidas sobre los Derechos de los Pueblos Indígenas</w:t>
      </w:r>
      <w:bookmarkEnd w:id="42"/>
      <w:r w:rsidR="008314B8">
        <w:rPr>
          <w:rFonts w:eastAsiaTheme="minorEastAsia"/>
        </w:rPr>
        <w:t>.</w:t>
      </w:r>
    </w:p>
    <w:p w14:paraId="077C5016" w14:textId="7629100C" w:rsidR="00E77C05" w:rsidRPr="00DC28B0" w:rsidRDefault="00E77C05" w:rsidP="008314B8">
      <w:pPr>
        <w:pStyle w:val="Bullet1G"/>
        <w:rPr>
          <w:rFonts w:eastAsiaTheme="minorEastAsia"/>
        </w:rPr>
      </w:pPr>
      <w:bookmarkStart w:id="43" w:name="lt_pId051"/>
      <w:r w:rsidRPr="00DC28B0">
        <w:rPr>
          <w:rFonts w:eastAsiaTheme="minorEastAsia"/>
        </w:rPr>
        <w:t>En 2019 se aprobó La Ley de la Junta de Energía del Canadá para asegurar la participación de los Pueblos Indígenas mediante el reconocimiento de la obligación del Gobierno</w:t>
      </w:r>
      <w:r w:rsidRPr="00DC28B0">
        <w:t xml:space="preserve"> </w:t>
      </w:r>
      <w:r w:rsidRPr="00DC28B0">
        <w:rPr>
          <w:rFonts w:eastAsiaTheme="minorEastAsia"/>
        </w:rPr>
        <w:t>de consultarlos</w:t>
      </w:r>
      <w:bookmarkEnd w:id="43"/>
      <w:r w:rsidR="008314B8">
        <w:rPr>
          <w:rFonts w:eastAsiaTheme="minorEastAsia"/>
        </w:rPr>
        <w:t>.</w:t>
      </w:r>
    </w:p>
    <w:p w14:paraId="47190295" w14:textId="26CA09A7" w:rsidR="00E77C05" w:rsidRPr="00DC28B0" w:rsidRDefault="00E77C05" w:rsidP="008314B8">
      <w:pPr>
        <w:pStyle w:val="Bullet1G"/>
        <w:rPr>
          <w:rFonts w:eastAsiaTheme="minorEastAsia"/>
        </w:rPr>
      </w:pPr>
      <w:bookmarkStart w:id="44" w:name="lt_pId052"/>
      <w:r w:rsidRPr="00DC28B0">
        <w:rPr>
          <w:rFonts w:eastAsiaTheme="minorEastAsia"/>
        </w:rPr>
        <w:t>En 2019 se aprobó el proyecto de ley C-68 del Gobierno del Canadá tendiente a modificar la Ley de Pesca para dar cumplimiento al contenido de la Declaración</w:t>
      </w:r>
      <w:bookmarkEnd w:id="44"/>
      <w:r w:rsidR="008314B8">
        <w:rPr>
          <w:rFonts w:eastAsiaTheme="minorEastAsia"/>
        </w:rPr>
        <w:t>.</w:t>
      </w:r>
    </w:p>
    <w:p w14:paraId="2584D683" w14:textId="6960754E" w:rsidR="00E77C05" w:rsidRPr="00DC28B0" w:rsidRDefault="00E77C05" w:rsidP="008314B8">
      <w:pPr>
        <w:pStyle w:val="Bullet1G"/>
        <w:rPr>
          <w:rFonts w:eastAsiaTheme="minorEastAsia"/>
        </w:rPr>
      </w:pPr>
      <w:bookmarkStart w:id="45" w:name="lt_pId053"/>
      <w:r w:rsidRPr="00DC28B0">
        <w:rPr>
          <w:rFonts w:eastAsiaTheme="minorEastAsia"/>
        </w:rPr>
        <w:t xml:space="preserve">En 2019 se aprobó el proyecto de ley C-69 tendiente a modificar la Ley de Evaluación de Impacto Ambiental con el fin de ampliar el </w:t>
      </w:r>
      <w:r w:rsidRPr="00DC28B0">
        <w:t xml:space="preserve">alcance de la </w:t>
      </w:r>
      <w:r w:rsidRPr="00DC28B0">
        <w:rPr>
          <w:rFonts w:eastAsiaTheme="minorEastAsia"/>
        </w:rPr>
        <w:t>evaluación de los proyectos afectados</w:t>
      </w:r>
      <w:bookmarkEnd w:id="45"/>
      <w:r w:rsidR="008314B8">
        <w:rPr>
          <w:rFonts w:eastAsiaTheme="minorEastAsia"/>
        </w:rPr>
        <w:t>.</w:t>
      </w:r>
    </w:p>
    <w:p w14:paraId="742624E5" w14:textId="6FA19DAC" w:rsidR="00E77C05" w:rsidRPr="00DC28B0" w:rsidRDefault="00E77C05" w:rsidP="008314B8">
      <w:pPr>
        <w:pStyle w:val="Bullet1G"/>
        <w:rPr>
          <w:rFonts w:eastAsiaTheme="minorEastAsia"/>
        </w:rPr>
      </w:pPr>
      <w:bookmarkStart w:id="46" w:name="lt_pId054"/>
      <w:r w:rsidRPr="00DC28B0">
        <w:rPr>
          <w:rFonts w:eastAsiaTheme="minorEastAsia"/>
        </w:rPr>
        <w:t xml:space="preserve">En 2020 se modificó la política de Alberta en materia de consulta con los asentamientos </w:t>
      </w:r>
      <w:proofErr w:type="spellStart"/>
      <w:r w:rsidRPr="00DC28B0">
        <w:rPr>
          <w:rFonts w:eastAsiaTheme="minorEastAsia"/>
        </w:rPr>
        <w:t>métis</w:t>
      </w:r>
      <w:proofErr w:type="spellEnd"/>
      <w:r w:rsidRPr="00DC28B0">
        <w:rPr>
          <w:rFonts w:eastAsiaTheme="minorEastAsia"/>
        </w:rPr>
        <w:t xml:space="preserve"> para la gestión de la tierra y los recursos naturales con el fin de velar por que esos asentamientos pudieran beneficiarse de las oportunidades de desarrollo económico y compartir la prosperidad de la provincia.</w:t>
      </w:r>
      <w:bookmarkEnd w:id="46"/>
    </w:p>
    <w:p w14:paraId="76626611" w14:textId="34811BBC" w:rsidR="00E77C05" w:rsidRPr="00DC28B0" w:rsidRDefault="00E77C05" w:rsidP="008314B8">
      <w:pPr>
        <w:pStyle w:val="H23G"/>
      </w:pPr>
      <w:bookmarkStart w:id="47" w:name="lt_pId055"/>
      <w:r>
        <w:tab/>
      </w:r>
      <w:r w:rsidR="008314B8">
        <w:tab/>
      </w:r>
      <w:r w:rsidRPr="00DC28B0">
        <w:t>Presa del emplazamiento C</w:t>
      </w:r>
      <w:bookmarkEnd w:id="47"/>
    </w:p>
    <w:p w14:paraId="37F28433" w14:textId="77777777" w:rsidR="00E77C05" w:rsidRPr="00DC28B0" w:rsidRDefault="00E77C05" w:rsidP="00B62663">
      <w:pPr>
        <w:pStyle w:val="SingleTxtG"/>
        <w:rPr>
          <w:bCs/>
        </w:rPr>
      </w:pPr>
      <w:bookmarkStart w:id="48" w:name="lt_pId056"/>
      <w:r w:rsidRPr="00DC28B0">
        <w:t>11.</w:t>
      </w:r>
      <w:r w:rsidRPr="00DC28B0">
        <w:tab/>
      </w:r>
      <w:bookmarkStart w:id="49" w:name="lt_pId057"/>
      <w:bookmarkEnd w:id="48"/>
      <w:r w:rsidRPr="00DC28B0">
        <w:t xml:space="preserve">En 2017, </w:t>
      </w:r>
      <w:r w:rsidRPr="00DC28B0">
        <w:rPr>
          <w:bCs/>
        </w:rPr>
        <w:t xml:space="preserve">Columbia Británica ordenó a </w:t>
      </w:r>
      <w:proofErr w:type="spellStart"/>
      <w:r w:rsidRPr="00DC28B0">
        <w:rPr>
          <w:bCs/>
        </w:rPr>
        <w:t>BC</w:t>
      </w:r>
      <w:proofErr w:type="spellEnd"/>
      <w:r w:rsidRPr="00DC28B0">
        <w:rPr>
          <w:bCs/>
        </w:rPr>
        <w:t xml:space="preserve"> </w:t>
      </w:r>
      <w:proofErr w:type="spellStart"/>
      <w:r w:rsidRPr="00DC28B0">
        <w:rPr>
          <w:bCs/>
        </w:rPr>
        <w:t>Hydro</w:t>
      </w:r>
      <w:proofErr w:type="spellEnd"/>
      <w:r w:rsidRPr="00DC28B0">
        <w:rPr>
          <w:bCs/>
        </w:rPr>
        <w:t xml:space="preserve"> que actuara en favor de la reconciliación con </w:t>
      </w:r>
      <w:r w:rsidRPr="00DC28B0">
        <w:t xml:space="preserve">los </w:t>
      </w:r>
      <w:r w:rsidRPr="00DC28B0">
        <w:rPr>
          <w:bCs/>
        </w:rPr>
        <w:t xml:space="preserve">Pueblos Indígenas </w:t>
      </w:r>
      <w:r w:rsidRPr="00B62663">
        <w:t>mediante</w:t>
      </w:r>
      <w:r w:rsidRPr="00DC28B0">
        <w:rPr>
          <w:bCs/>
        </w:rPr>
        <w:t xml:space="preserve"> la incorporación de los principios de la Declaración de las Naciones Unidas sobre los Derechos de los Pueblos Indígenas en sus operaciones, incluida la construcción de la presa del emplazamiento C. </w:t>
      </w:r>
      <w:bookmarkStart w:id="50" w:name="lt_pId058"/>
      <w:bookmarkEnd w:id="49"/>
      <w:r w:rsidRPr="00DC28B0">
        <w:rPr>
          <w:bCs/>
        </w:rPr>
        <w:t xml:space="preserve">Las consultas con los Pueblos Indígenas por parte de Columbia Británica, el Gobierno del Canadá y </w:t>
      </w:r>
      <w:proofErr w:type="spellStart"/>
      <w:r w:rsidRPr="00DC28B0">
        <w:rPr>
          <w:bCs/>
        </w:rPr>
        <w:t>BC</w:t>
      </w:r>
      <w:proofErr w:type="spellEnd"/>
      <w:r w:rsidRPr="00DC28B0">
        <w:rPr>
          <w:bCs/>
        </w:rPr>
        <w:t xml:space="preserve"> </w:t>
      </w:r>
      <w:proofErr w:type="spellStart"/>
      <w:r w:rsidRPr="00DC28B0">
        <w:rPr>
          <w:bCs/>
        </w:rPr>
        <w:t>Hydro</w:t>
      </w:r>
      <w:proofErr w:type="spellEnd"/>
      <w:r w:rsidRPr="00DC28B0">
        <w:rPr>
          <w:bCs/>
        </w:rPr>
        <w:t xml:space="preserve"> han satisfecho todos los requisitos legales y reglamentarios necesarios para que el proyecto siga adelante, según han confirmado los tribunales. </w:t>
      </w:r>
      <w:bookmarkStart w:id="51" w:name="lt_pId059"/>
      <w:bookmarkEnd w:id="50"/>
      <w:proofErr w:type="spellStart"/>
      <w:r w:rsidRPr="00DC28B0">
        <w:rPr>
          <w:bCs/>
        </w:rPr>
        <w:t>BC</w:t>
      </w:r>
      <w:proofErr w:type="spellEnd"/>
      <w:r w:rsidRPr="00DC28B0">
        <w:rPr>
          <w:bCs/>
        </w:rPr>
        <w:t xml:space="preserve"> </w:t>
      </w:r>
      <w:proofErr w:type="spellStart"/>
      <w:r w:rsidRPr="00DC28B0">
        <w:rPr>
          <w:bCs/>
        </w:rPr>
        <w:t>Hydro</w:t>
      </w:r>
      <w:proofErr w:type="spellEnd"/>
      <w:r w:rsidRPr="00DC28B0">
        <w:rPr>
          <w:bCs/>
        </w:rPr>
        <w:t xml:space="preserve"> sigue avanzando en el ámbito de la reconciliación, dentro del respeto de los principios de la Declaración, mediante la colaboración y el diálogo continuos, el reconocimiento cultural y la ejecución de diversos proyectos.</w:t>
      </w:r>
      <w:bookmarkEnd w:id="51"/>
    </w:p>
    <w:p w14:paraId="6DC67343" w14:textId="5811D270" w:rsidR="00E77C05" w:rsidRPr="00DC28B0" w:rsidRDefault="00E77C05" w:rsidP="008314B8">
      <w:pPr>
        <w:pStyle w:val="H23G"/>
      </w:pPr>
      <w:r>
        <w:tab/>
      </w:r>
      <w:r w:rsidR="008314B8">
        <w:tab/>
      </w:r>
      <w:r w:rsidRPr="00DC28B0">
        <w:t xml:space="preserve">Gasoducto </w:t>
      </w:r>
      <w:proofErr w:type="spellStart"/>
      <w:r w:rsidRPr="00DC28B0">
        <w:t>Coastal</w:t>
      </w:r>
      <w:proofErr w:type="spellEnd"/>
      <w:r w:rsidRPr="00DC28B0">
        <w:t xml:space="preserve"> </w:t>
      </w:r>
      <w:proofErr w:type="spellStart"/>
      <w:r w:rsidRPr="00DC28B0">
        <w:t>GasLink</w:t>
      </w:r>
      <w:proofErr w:type="spellEnd"/>
      <w:r w:rsidRPr="00DC28B0">
        <w:t xml:space="preserve"> (</w:t>
      </w:r>
      <w:proofErr w:type="spellStart"/>
      <w:r w:rsidRPr="00DC28B0">
        <w:t>CGL</w:t>
      </w:r>
      <w:proofErr w:type="spellEnd"/>
      <w:r w:rsidRPr="00DC28B0">
        <w:t>)</w:t>
      </w:r>
    </w:p>
    <w:p w14:paraId="7140D044" w14:textId="77777777" w:rsidR="00E77C05" w:rsidRPr="00DC28B0" w:rsidRDefault="00E77C05" w:rsidP="00B62663">
      <w:pPr>
        <w:pStyle w:val="SingleTxtG"/>
      </w:pPr>
      <w:bookmarkStart w:id="52" w:name="lt_pId061"/>
      <w:r w:rsidRPr="00DC28B0">
        <w:t>12.</w:t>
      </w:r>
      <w:r w:rsidRPr="00DC28B0">
        <w:tab/>
        <w:t xml:space="preserve">Columbia Británica, la Comisión de Petróleo y Gas de Columbia Británica y la Oficina de Evaluación Ambiental tienen la responsabilidad legal de garantizar que el proyecto del </w:t>
      </w:r>
      <w:r w:rsidRPr="00DC28B0">
        <w:lastRenderedPageBreak/>
        <w:t xml:space="preserve">gasoducto </w:t>
      </w:r>
      <w:proofErr w:type="spellStart"/>
      <w:r w:rsidRPr="00DC28B0">
        <w:t>Coastal</w:t>
      </w:r>
      <w:proofErr w:type="spellEnd"/>
      <w:r w:rsidRPr="00DC28B0">
        <w:t xml:space="preserve"> </w:t>
      </w:r>
      <w:proofErr w:type="spellStart"/>
      <w:r w:rsidRPr="00DC28B0">
        <w:t>GasLink</w:t>
      </w:r>
      <w:proofErr w:type="spellEnd"/>
      <w:r w:rsidRPr="00DC28B0">
        <w:t xml:space="preserve"> cumpla toda la legislación y satisfaga todos los requisitos aplicables. </w:t>
      </w:r>
      <w:bookmarkStart w:id="53" w:name="lt_pId062"/>
      <w:bookmarkEnd w:id="52"/>
      <w:r w:rsidRPr="00DC28B0">
        <w:t xml:space="preserve">Columbia Británica ha negociado acuerdos sobre los beneficios del gasoducto con las comunidades </w:t>
      </w:r>
      <w:proofErr w:type="spellStart"/>
      <w:r w:rsidRPr="00DC28B0">
        <w:t>wet’suwet’en</w:t>
      </w:r>
      <w:proofErr w:type="spellEnd"/>
      <w:r w:rsidRPr="00DC28B0">
        <w:t xml:space="preserve"> en los que se contemplan pagos durante la construcción, así como pagos continuos a lo largo de la vida del proyecto.</w:t>
      </w:r>
      <w:bookmarkEnd w:id="53"/>
    </w:p>
    <w:p w14:paraId="5E82B584" w14:textId="77777777" w:rsidR="00E77C05" w:rsidRPr="00DC28B0" w:rsidRDefault="00E77C05" w:rsidP="00B62663">
      <w:pPr>
        <w:pStyle w:val="SingleTxtG"/>
      </w:pPr>
      <w:bookmarkStart w:id="54" w:name="lt_pId063"/>
      <w:r w:rsidRPr="00DC28B0">
        <w:t>13.</w:t>
      </w:r>
      <w:r w:rsidRPr="00DC28B0">
        <w:tab/>
        <w:t xml:space="preserve">En 2014, el proyecto del gasoducto recibió un certificado de evaluación ambiental al amparo de la Ley de Evaluación Ambiental de Columbia Británica (2002). </w:t>
      </w:r>
      <w:bookmarkStart w:id="55" w:name="lt_pId064"/>
      <w:bookmarkEnd w:id="54"/>
      <w:r w:rsidRPr="00DC28B0">
        <w:t xml:space="preserve">El certificado incluye 32 condiciones exigidas por el gobierno de la provincia. </w:t>
      </w:r>
      <w:bookmarkStart w:id="56" w:name="lt_pId065"/>
      <w:bookmarkEnd w:id="55"/>
      <w:r w:rsidRPr="00DC28B0">
        <w:t xml:space="preserve">Las condiciones se elaboraron tras consultar y recibir aportaciones de los organismos gubernamentales, la población y los grupos indígenas, incluidos los jefes hereditarios y los consejos electos de las comunidades </w:t>
      </w:r>
      <w:proofErr w:type="spellStart"/>
      <w:r w:rsidRPr="00DC28B0">
        <w:t>wet’suwet’en</w:t>
      </w:r>
      <w:proofErr w:type="spellEnd"/>
      <w:r w:rsidRPr="00DC28B0">
        <w:t>.</w:t>
      </w:r>
      <w:bookmarkEnd w:id="56"/>
    </w:p>
    <w:p w14:paraId="577A69AF" w14:textId="3EC2F60B" w:rsidR="00E77C05" w:rsidRPr="00DC28B0" w:rsidRDefault="00E77C05" w:rsidP="008314B8">
      <w:pPr>
        <w:pStyle w:val="H1G"/>
      </w:pPr>
      <w:bookmarkStart w:id="57" w:name="lt_pId066"/>
      <w:r>
        <w:tab/>
      </w:r>
      <w:r w:rsidR="008314B8">
        <w:tab/>
      </w:r>
      <w:r w:rsidRPr="00DC28B0">
        <w:t>Respuesta al párrafo 4 de la lista de cuestiones</w:t>
      </w:r>
      <w:bookmarkEnd w:id="57"/>
    </w:p>
    <w:p w14:paraId="0E354B86" w14:textId="5865D84A" w:rsidR="00E77C05" w:rsidRPr="00DC28B0" w:rsidRDefault="00E77C05" w:rsidP="008314B8">
      <w:pPr>
        <w:pStyle w:val="H23G"/>
      </w:pPr>
      <w:bookmarkStart w:id="58" w:name="lt_pId067"/>
      <w:r>
        <w:tab/>
      </w:r>
      <w:r w:rsidR="008314B8">
        <w:tab/>
      </w:r>
      <w:r w:rsidRPr="00DC28B0">
        <w:t>Trabajadores con formas atípicas de empleo</w:t>
      </w:r>
      <w:bookmarkEnd w:id="58"/>
    </w:p>
    <w:p w14:paraId="2D9F0B34" w14:textId="77777777" w:rsidR="00E77C05" w:rsidRPr="00DC28B0" w:rsidRDefault="00E77C05" w:rsidP="00B62663">
      <w:pPr>
        <w:pStyle w:val="SingleTxtG"/>
      </w:pPr>
      <w:bookmarkStart w:id="59" w:name="lt_pId068"/>
      <w:r w:rsidRPr="00DC28B0">
        <w:t>14.</w:t>
      </w:r>
      <w:r w:rsidRPr="00DC28B0">
        <w:tab/>
        <w:t xml:space="preserve">Desde 2017, el Gobierno del Canadá ha venido modernizando las normas de ámbito federal establecidas en el Código Laboral del Canadá, que se aplican, aproximadamente, al 6 % de los empleados del país. </w:t>
      </w:r>
      <w:bookmarkStart w:id="60" w:name="lt_pId069"/>
      <w:bookmarkEnd w:id="59"/>
      <w:r w:rsidRPr="00DC28B0">
        <w:t xml:space="preserve">Se confía en que algunos de los cambios legislativos y reglamentarios sirvan para mejorar la protección de los trabajadores con formas atípicas de empleo. </w:t>
      </w:r>
      <w:bookmarkStart w:id="61" w:name="lt_pId070"/>
      <w:bookmarkEnd w:id="60"/>
      <w:r w:rsidRPr="00DC28B0">
        <w:t>Con esos cambios se promueve el equilibrio entre la vida laboral y personal, se otorga a los empleados el derecho a solicitar modalidades de trabajo flexibles, se introducen nuevas disposiciones sobre permisos, como el permiso personal y el permiso para las víctimas de violencia doméstica, y se exige a los empleadores que proporcionen a los empleados información sobre las normas laborales, las condiciones de empleo y las posibilidades de promoción.</w:t>
      </w:r>
      <w:bookmarkEnd w:id="61"/>
    </w:p>
    <w:p w14:paraId="497D9438" w14:textId="77777777" w:rsidR="00E77C05" w:rsidRPr="00DC28B0" w:rsidRDefault="00E77C05" w:rsidP="00B62663">
      <w:pPr>
        <w:pStyle w:val="SingleTxtG"/>
      </w:pPr>
      <w:bookmarkStart w:id="62" w:name="lt_pId071"/>
      <w:r w:rsidRPr="00DC28B0">
        <w:t>15.</w:t>
      </w:r>
      <w:r w:rsidRPr="00DC28B0">
        <w:tab/>
        <w:t xml:space="preserve">Además, los trabajadores autónomos pueden optar por participar en el programa del seguro de empleo y pagar las primas correspondientes para tener acceso a las prestaciones especiales que conlleva, que incluyen prestaciones de maternidad, paternidad, enfermedad, cuidados compasivos y cuidados familiares para niños y adultos. </w:t>
      </w:r>
      <w:bookmarkStart w:id="63" w:name="lt_pId072"/>
      <w:bookmarkEnd w:id="62"/>
      <w:r w:rsidRPr="00DC28B0">
        <w:t>Las prestaciones que se ofrecen a los trabajadores autónomos reproducen, con las adaptaciones necesarias y en la medida de lo posible, las prestaciones especiales que se ofrecen a los asegurados en el marco del programa del seguro de empleo.</w:t>
      </w:r>
      <w:bookmarkEnd w:id="63"/>
    </w:p>
    <w:p w14:paraId="71AC0960" w14:textId="562775FC" w:rsidR="00E77C05" w:rsidRPr="00DC28B0" w:rsidRDefault="00E77C05" w:rsidP="008314B8">
      <w:pPr>
        <w:pStyle w:val="H23G"/>
      </w:pPr>
      <w:bookmarkStart w:id="64" w:name="lt_pId073"/>
      <w:r>
        <w:tab/>
      </w:r>
      <w:r w:rsidR="008314B8">
        <w:tab/>
      </w:r>
      <w:r w:rsidRPr="00DC28B0">
        <w:t>Empleo para los jóvenes</w:t>
      </w:r>
      <w:bookmarkEnd w:id="64"/>
    </w:p>
    <w:p w14:paraId="6FF08A54" w14:textId="77777777" w:rsidR="00E77C05" w:rsidRPr="00DC28B0" w:rsidRDefault="00E77C05" w:rsidP="00B62663">
      <w:pPr>
        <w:pStyle w:val="SingleTxtG"/>
      </w:pPr>
      <w:bookmarkStart w:id="65" w:name="lt_pId074"/>
      <w:r w:rsidRPr="00DC28B0">
        <w:t>16.</w:t>
      </w:r>
      <w:r w:rsidRPr="00DC28B0">
        <w:tab/>
      </w:r>
      <w:bookmarkStart w:id="66" w:name="lt_pId075"/>
      <w:bookmarkEnd w:id="65"/>
      <w:r w:rsidRPr="00DC28B0">
        <w:t>El Gobierno federal y los gobiernos provinciales y territoriales han puesto en marcha medidas para facilitar el empleo juvenil, en particular para los jóvenes que no trabajan, ni estudian, ni reciben formación:</w:t>
      </w:r>
      <w:bookmarkEnd w:id="66"/>
    </w:p>
    <w:p w14:paraId="79F7AC6D" w14:textId="4E966D66" w:rsidR="00E77C05" w:rsidRPr="00DC28B0" w:rsidRDefault="00E77C05" w:rsidP="008314B8">
      <w:pPr>
        <w:pStyle w:val="Bullet1G"/>
        <w:rPr>
          <w:rFonts w:eastAsiaTheme="minorEastAsia"/>
        </w:rPr>
      </w:pPr>
      <w:bookmarkStart w:id="67" w:name="lt_pId076"/>
      <w:r w:rsidRPr="00DC28B0">
        <w:rPr>
          <w:rFonts w:eastAsiaTheme="minorEastAsia"/>
        </w:rPr>
        <w:t xml:space="preserve">La prioridad de la Estrategia de Empleo y Aptitudes de los Jóvenes del Gobierno del Canadá es ayudar a aquellos que </w:t>
      </w:r>
      <w:r w:rsidRPr="00DC28B0">
        <w:t xml:space="preserve">se enfrentan a </w:t>
      </w:r>
      <w:r w:rsidRPr="00DC28B0">
        <w:rPr>
          <w:rFonts w:eastAsiaTheme="minorEastAsia"/>
        </w:rPr>
        <w:t>obstáculos para acceder al empleo, como los no que trabajan, ni estudian, ni reciben formación. En el marco de esa Estrategia se intensifica el apoyo para el desarrollo de las aptitudes y la experiencia laboral necesarias para acceder y permanecer en el mercado laboral. Para ello se proporciona financiación a las organizaciones.</w:t>
      </w:r>
    </w:p>
    <w:p w14:paraId="2D9ED1CD" w14:textId="352AE755" w:rsidR="00E77C05" w:rsidRPr="00DC28B0" w:rsidRDefault="00E77C05" w:rsidP="008314B8">
      <w:pPr>
        <w:pStyle w:val="Bullet1G"/>
        <w:rPr>
          <w:rFonts w:eastAsiaTheme="minorEastAsia"/>
        </w:rPr>
      </w:pPr>
      <w:bookmarkStart w:id="68" w:name="lt_pId079"/>
      <w:bookmarkEnd w:id="67"/>
      <w:r w:rsidRPr="00DC28B0">
        <w:rPr>
          <w:rFonts w:eastAsiaTheme="minorEastAsia"/>
        </w:rPr>
        <w:t xml:space="preserve">El Programa de Empleo Juvenil de Ontario se dirige a las personas de edades comprendidas entre los 15 y los 29 años que se enfrentan a obstáculos múltiples o complejos para encontrar un empleo, y se les ofrece un apoyo que va más allá de los medios tradicionales de búsqueda de empleo y colocación. </w:t>
      </w:r>
      <w:bookmarkStart w:id="69" w:name="lt_pId080"/>
      <w:bookmarkEnd w:id="68"/>
      <w:r w:rsidRPr="00DC28B0">
        <w:rPr>
          <w:rFonts w:eastAsiaTheme="minorEastAsia"/>
        </w:rPr>
        <w:t>Entre octubre de 2015 y marzo de 2020, más de 28.000 participantes habían encontrado empleo cuando abandonaron el programa y más de 7.500 habían decidido continuar su educación y formación.</w:t>
      </w:r>
      <w:bookmarkEnd w:id="69"/>
    </w:p>
    <w:p w14:paraId="40E37738" w14:textId="49F97AD3" w:rsidR="00E77C05" w:rsidRPr="00DC28B0" w:rsidRDefault="008314B8" w:rsidP="008314B8">
      <w:pPr>
        <w:pStyle w:val="H23G"/>
      </w:pPr>
      <w:r>
        <w:tab/>
      </w:r>
      <w:r w:rsidR="00E77C05">
        <w:tab/>
      </w:r>
      <w:r w:rsidR="00E77C05" w:rsidRPr="00DC28B0">
        <w:t>Acceso al mercado laboral de los grupos que buscan igualdad</w:t>
      </w:r>
    </w:p>
    <w:p w14:paraId="71617FB3" w14:textId="77777777" w:rsidR="00E77C05" w:rsidRPr="00DC28B0" w:rsidRDefault="00E77C05" w:rsidP="00B62663">
      <w:pPr>
        <w:pStyle w:val="SingleTxtG"/>
      </w:pPr>
      <w:bookmarkStart w:id="70" w:name="lt_pId082"/>
      <w:r w:rsidRPr="00DC28B0">
        <w:t>17.</w:t>
      </w:r>
      <w:r w:rsidRPr="00DC28B0">
        <w:tab/>
      </w:r>
      <w:bookmarkEnd w:id="70"/>
      <w:r w:rsidRPr="00DC28B0">
        <w:t>El Gobierno federal y los gobiernos provinciales y territoriales han tomado medidas para reducir las barreras de acceso al mercado laboral para los Pueblos Indígenas, las personas racializadas y los inmigrantes.</w:t>
      </w:r>
    </w:p>
    <w:p w14:paraId="446CE67F" w14:textId="2CD4D3DE" w:rsidR="00E77C05" w:rsidRPr="00DC28B0" w:rsidRDefault="00E77C05" w:rsidP="008314B8">
      <w:pPr>
        <w:pStyle w:val="Bullet1G"/>
        <w:rPr>
          <w:rFonts w:eastAsiaTheme="minorEastAsia"/>
        </w:rPr>
      </w:pPr>
      <w:bookmarkStart w:id="71" w:name="lt_pId084"/>
      <w:r w:rsidRPr="00DC28B0">
        <w:rPr>
          <w:rFonts w:eastAsiaTheme="minorEastAsia"/>
        </w:rPr>
        <w:lastRenderedPageBreak/>
        <w:t>En 2021, el Gobierno creó un grupo de trabajo encargado de llevar a cabo una revisión de la Ley de Igualdad en el Empleo con miras a eliminar las barreras sistémicas que afectaban a los Pueblos Indígenas; las personas racializadas, incluidos los afrodescendientes; las mujeres y las personas con discapacidad.</w:t>
      </w:r>
      <w:bookmarkEnd w:id="71"/>
    </w:p>
    <w:p w14:paraId="20D36257" w14:textId="1243A8F3" w:rsidR="00E77C05" w:rsidRPr="00DC28B0" w:rsidRDefault="00E77C05" w:rsidP="008314B8">
      <w:pPr>
        <w:pStyle w:val="Bullet1G"/>
        <w:rPr>
          <w:rFonts w:eastAsiaTheme="minorEastAsia"/>
        </w:rPr>
      </w:pPr>
      <w:bookmarkStart w:id="72" w:name="lt_pId085"/>
      <w:r w:rsidRPr="00DC28B0">
        <w:t xml:space="preserve">En </w:t>
      </w:r>
      <w:r w:rsidRPr="00DC28B0">
        <w:rPr>
          <w:rFonts w:eastAsiaTheme="minorEastAsia"/>
        </w:rPr>
        <w:t>2021, Nueva Brunswick nombró un comisionado independiente sobre el racismo sistémico encargado de celebrar consultas y estudiar la naturaleza y los efectos del racismo sistémico en la provincia.</w:t>
      </w:r>
      <w:bookmarkStart w:id="73" w:name="lt_pId086"/>
      <w:bookmarkEnd w:id="72"/>
    </w:p>
    <w:p w14:paraId="68707307" w14:textId="688D2DC0" w:rsidR="00E77C05" w:rsidRPr="00DC28B0" w:rsidRDefault="00E77C05" w:rsidP="008314B8">
      <w:pPr>
        <w:pStyle w:val="Bullet1G"/>
        <w:rPr>
          <w:rFonts w:eastAsiaTheme="minorEastAsia"/>
        </w:rPr>
      </w:pPr>
      <w:r w:rsidRPr="00DC28B0">
        <w:t xml:space="preserve">En </w:t>
      </w:r>
      <w:r w:rsidRPr="00DC28B0">
        <w:rPr>
          <w:rFonts w:eastAsiaTheme="minorEastAsia"/>
        </w:rPr>
        <w:t>2021, Terranova y Labrador creó un comité ministerial contra el racismo con objeto de desarrollar las herramientas necesarias para acabar con el racismo en la provincia.</w:t>
      </w:r>
      <w:bookmarkEnd w:id="73"/>
    </w:p>
    <w:p w14:paraId="3CF9C210" w14:textId="0BAB41FF" w:rsidR="00E77C05" w:rsidRPr="00DC28B0" w:rsidRDefault="00E77C05" w:rsidP="008314B8">
      <w:pPr>
        <w:pStyle w:val="Bullet1G"/>
        <w:rPr>
          <w:rFonts w:eastAsiaTheme="minorEastAsia"/>
        </w:rPr>
      </w:pPr>
      <w:bookmarkStart w:id="74" w:name="lt_pId087"/>
      <w:r w:rsidRPr="00DC28B0">
        <w:rPr>
          <w:rFonts w:eastAsiaTheme="minorEastAsia"/>
        </w:rPr>
        <w:t>Tras la presentación del informe titulado “Racismo en Quebec: tolerancia cero” en diciembre de 2020, la provincia se comprometió a aplicar las 25 medidas recomendadas en el informe, algunas de las cuales guardaban relación con el empleo. El Grupo de Acción contra el Racismo propuso actuar en tres ámbitos para poner fin al racismo en el acceso al empleo: hacer más accesibles los empleos en el sector de la construcción; mejorar el proceso de reconocimiento de la experiencia y los títulos obtenidos en el extranjero; y garantizar que el Estado actúe de manera ejemplar a la hora de adjudicar los empleos o responsabilidades en los que tiene competencia directa.</w:t>
      </w:r>
    </w:p>
    <w:p w14:paraId="5496B694" w14:textId="440F8337" w:rsidR="00E77C05" w:rsidRPr="00DC28B0" w:rsidRDefault="00E77C05" w:rsidP="008314B8">
      <w:pPr>
        <w:pStyle w:val="H1G"/>
      </w:pPr>
      <w:bookmarkStart w:id="75" w:name="lt_pId088"/>
      <w:bookmarkEnd w:id="74"/>
      <w:r>
        <w:tab/>
      </w:r>
      <w:r w:rsidR="008314B8">
        <w:tab/>
      </w:r>
      <w:r w:rsidRPr="00DC28B0">
        <w:t>Respuesta al párrafo 5 de la lista de cuestiones</w:t>
      </w:r>
      <w:bookmarkEnd w:id="75"/>
    </w:p>
    <w:p w14:paraId="34E732A5" w14:textId="2229BBEF" w:rsidR="00E77C05" w:rsidRPr="00DC28B0" w:rsidRDefault="00E77C05" w:rsidP="008314B8">
      <w:pPr>
        <w:pStyle w:val="H23G"/>
      </w:pPr>
      <w:bookmarkStart w:id="76" w:name="lt_pId089"/>
      <w:r>
        <w:tab/>
      </w:r>
      <w:r w:rsidR="008314B8">
        <w:tab/>
      </w:r>
      <w:r w:rsidRPr="00DC28B0">
        <w:t>Viviendas de alquiler asequible</w:t>
      </w:r>
      <w:bookmarkEnd w:id="76"/>
    </w:p>
    <w:p w14:paraId="248EA67B" w14:textId="77777777" w:rsidR="00E77C05" w:rsidRPr="00DC28B0" w:rsidRDefault="00E77C05" w:rsidP="00B62663">
      <w:pPr>
        <w:pStyle w:val="SingleTxtG"/>
      </w:pPr>
      <w:bookmarkStart w:id="77" w:name="lt_pId090"/>
      <w:r w:rsidRPr="00DC28B0">
        <w:t>18.</w:t>
      </w:r>
      <w:r w:rsidRPr="00DC28B0">
        <w:tab/>
        <w:t>Gracias a varias iniciativas adoptadas en el marco de la Estrategia Nacional de Vivienda del Gobierno Federal está aumentando la disponibilidad de viviendas de alquiler asequible.</w:t>
      </w:r>
      <w:bookmarkEnd w:id="77"/>
      <w:r w:rsidRPr="00DC28B0">
        <w:t xml:space="preserve"> Para junio de 2021, la Estrategia había servido de apoyo a la construcción de 80.300 viviendas y la rehabilitación de más de 205.300, y había proporcionado ayuda económica a más de 227.200 hogares.</w:t>
      </w:r>
    </w:p>
    <w:p w14:paraId="0F957B8D" w14:textId="77777777" w:rsidR="00E77C05" w:rsidRPr="00DC28B0" w:rsidRDefault="00E77C05" w:rsidP="00B62663">
      <w:pPr>
        <w:pStyle w:val="SingleTxtG"/>
      </w:pPr>
      <w:bookmarkStart w:id="78" w:name="lt_pId091"/>
      <w:r w:rsidRPr="00DC28B0">
        <w:t>19.</w:t>
      </w:r>
      <w:r w:rsidRPr="00DC28B0">
        <w:tab/>
        <w:t xml:space="preserve">Todas las provincias y territorios cuentan con legislación sobre arrendamientos residenciales en la que se describen las medidas legales de protección que amparan a los inquilinos, se especifica la frecuencia con la que los propietarios pueden aumentar el alquiler y se detallan los requisitos en cuanto a la antelación con que los propietarios deben enviar las comunicaciones a los inquilinos. </w:t>
      </w:r>
      <w:bookmarkStart w:id="79" w:name="lt_pId092"/>
      <w:bookmarkEnd w:id="78"/>
      <w:r w:rsidRPr="00DC28B0">
        <w:t xml:space="preserve">Cualquier aumento del alquiler que no cumpla los requisitos establecidos se considera nulo y da derecho a los inquilinos a recuperar las cantidades que hayan pagado en exceso. </w:t>
      </w:r>
      <w:bookmarkStart w:id="80" w:name="lt_pId093"/>
      <w:bookmarkEnd w:id="79"/>
      <w:r w:rsidRPr="00DC28B0">
        <w:t>Durante el período que abarca por el informe, las provincias y territorios introdujeron cambios para facilitar el acceso a una vivienda asequible</w:t>
      </w:r>
      <w:bookmarkEnd w:id="80"/>
      <w:r w:rsidRPr="00DC28B0">
        <w:t>:</w:t>
      </w:r>
    </w:p>
    <w:p w14:paraId="74B192E8" w14:textId="6D722BDF" w:rsidR="00E77C05" w:rsidRPr="00DC28B0" w:rsidRDefault="00E77C05" w:rsidP="008314B8">
      <w:pPr>
        <w:pStyle w:val="Bullet1G"/>
        <w:rPr>
          <w:rFonts w:eastAsiaTheme="minorEastAsia"/>
        </w:rPr>
      </w:pPr>
      <w:bookmarkStart w:id="81" w:name="lt_pId095"/>
      <w:r w:rsidRPr="00DC28B0">
        <w:rPr>
          <w:rFonts w:eastAsiaTheme="minorEastAsia"/>
        </w:rPr>
        <w:t xml:space="preserve">Quebec ha asignado nuevos recursos para acelerar la entrega de 15.500 nuevas viviendas en el marco del programa </w:t>
      </w:r>
      <w:proofErr w:type="spellStart"/>
      <w:r w:rsidRPr="00DC28B0">
        <w:rPr>
          <w:rFonts w:eastAsiaTheme="minorEastAsia"/>
        </w:rPr>
        <w:t>AccèsLogis</w:t>
      </w:r>
      <w:proofErr w:type="spellEnd"/>
      <w:r w:rsidRPr="00DC28B0">
        <w:rPr>
          <w:rFonts w:eastAsiaTheme="minorEastAsia"/>
        </w:rPr>
        <w:t xml:space="preserve">. </w:t>
      </w:r>
      <w:bookmarkStart w:id="82" w:name="lt_pId096"/>
      <w:bookmarkEnd w:id="81"/>
      <w:r w:rsidRPr="00DC28B0">
        <w:rPr>
          <w:rFonts w:eastAsiaTheme="minorEastAsia"/>
        </w:rPr>
        <w:t>En virtud del Acuerdo de Vivienda Canadá-Quebec se ofrece financiación para aumentar el número de viviendas asequibles a partir de octubre de 2020.</w:t>
      </w:r>
      <w:bookmarkEnd w:id="82"/>
    </w:p>
    <w:p w14:paraId="5B5DC172" w14:textId="283D1F83" w:rsidR="00E77C05" w:rsidRPr="00DC28B0" w:rsidRDefault="00E77C05" w:rsidP="008314B8">
      <w:pPr>
        <w:pStyle w:val="Bullet1G"/>
        <w:rPr>
          <w:rFonts w:eastAsiaTheme="minorEastAsia"/>
        </w:rPr>
      </w:pPr>
      <w:bookmarkStart w:id="83" w:name="lt_pId097"/>
      <w:r w:rsidRPr="00DC28B0">
        <w:rPr>
          <w:rFonts w:eastAsiaTheme="minorEastAsia"/>
        </w:rPr>
        <w:t xml:space="preserve">En el marco de su programa de vivienda social, Saskatchewan fija los alquileres en función de los ingresos de </w:t>
      </w:r>
      <w:r w:rsidRPr="00DC28B0">
        <w:t>la unidad familiar</w:t>
      </w:r>
      <w:r w:rsidRPr="00DC28B0">
        <w:rPr>
          <w:rFonts w:eastAsiaTheme="minorEastAsia"/>
        </w:rPr>
        <w:t>, utilizando como indicador el 30 % de los ingresos brutos de la unidad familiar, hasta un máximo establecido según el tipo de vivienda y la comunidad en que esté situada.</w:t>
      </w:r>
      <w:bookmarkEnd w:id="83"/>
    </w:p>
    <w:p w14:paraId="36D3134C" w14:textId="4BEE9FA2" w:rsidR="00E77C05" w:rsidRPr="00DC28B0" w:rsidRDefault="00E77C05" w:rsidP="008314B8">
      <w:pPr>
        <w:pStyle w:val="H23G"/>
      </w:pPr>
      <w:bookmarkStart w:id="84" w:name="lt_pId098"/>
      <w:r>
        <w:tab/>
      </w:r>
      <w:r w:rsidR="008314B8">
        <w:tab/>
      </w:r>
      <w:r w:rsidRPr="00DC28B0">
        <w:t>Desalojos por motivos de rehabilitación o demolición</w:t>
      </w:r>
      <w:bookmarkEnd w:id="84"/>
    </w:p>
    <w:p w14:paraId="5A981F21" w14:textId="77777777" w:rsidR="00E77C05" w:rsidRPr="00DC28B0" w:rsidRDefault="00E77C05" w:rsidP="00B62663">
      <w:pPr>
        <w:pStyle w:val="SingleTxtG"/>
      </w:pPr>
      <w:bookmarkStart w:id="85" w:name="lt_pId099"/>
      <w:r w:rsidRPr="00DC28B0">
        <w:t>20.</w:t>
      </w:r>
      <w:r w:rsidRPr="00DC28B0">
        <w:tab/>
        <w:t>Las medidas adoptadas por las provincias y territorios para frenar los desalojos por motivos de rehabilitación o demolición son las siguientes:</w:t>
      </w:r>
      <w:bookmarkEnd w:id="85"/>
    </w:p>
    <w:p w14:paraId="18EF0AA2" w14:textId="258503CC" w:rsidR="00E77C05" w:rsidRPr="00DC28B0" w:rsidRDefault="00E77C05" w:rsidP="008314B8">
      <w:pPr>
        <w:pStyle w:val="Bullet1G"/>
        <w:rPr>
          <w:rFonts w:eastAsiaTheme="minorEastAsia"/>
        </w:rPr>
      </w:pPr>
      <w:bookmarkStart w:id="86" w:name="lt_pId100"/>
      <w:r w:rsidRPr="00DC28B0">
        <w:rPr>
          <w:rFonts w:eastAsiaTheme="minorEastAsia"/>
        </w:rPr>
        <w:t>En 2021, Columbia Británica modificó su Ley de Arrendamientos Residenciales a fin de establecer la obligación de los propietarios de solicitar permiso a la Subdirección de Arrendamientos Residenciales para rescindir un contrato de arrendamiento por motivos de rehabilitación o reparación.</w:t>
      </w:r>
      <w:bookmarkEnd w:id="86"/>
    </w:p>
    <w:p w14:paraId="2577B3EF" w14:textId="4D0D2929" w:rsidR="00E77C05" w:rsidRPr="00DC28B0" w:rsidRDefault="00E77C05" w:rsidP="008314B8">
      <w:pPr>
        <w:pStyle w:val="Bullet1G"/>
        <w:rPr>
          <w:rFonts w:eastAsiaTheme="minorEastAsia"/>
        </w:rPr>
      </w:pPr>
      <w:bookmarkStart w:id="87" w:name="lt_pId101"/>
      <w:r w:rsidRPr="00DC28B0">
        <w:rPr>
          <w:rFonts w:eastAsiaTheme="minorEastAsia"/>
        </w:rPr>
        <w:lastRenderedPageBreak/>
        <w:t xml:space="preserve">En 2020, Ontario aprobó la Ley de Protección de los Arrendatarios y Fortalecimiento de </w:t>
      </w:r>
      <w:r w:rsidRPr="00DC28B0">
        <w:t xml:space="preserve">la Vivienda </w:t>
      </w:r>
      <w:r w:rsidRPr="00DC28B0">
        <w:rPr>
          <w:rFonts w:eastAsiaTheme="minorEastAsia"/>
        </w:rPr>
        <w:t xml:space="preserve">Comunitaria con objeto de hacer que el sistema de alquiler de viviendas fuera más justo para inquilinos y propietarios al facilitar la resolución de conflictos de manera equilibrada y accesible. </w:t>
      </w:r>
      <w:bookmarkStart w:id="88" w:name="lt_pId102"/>
      <w:bookmarkEnd w:id="87"/>
      <w:r w:rsidRPr="00DC28B0">
        <w:rPr>
          <w:rFonts w:eastAsiaTheme="minorEastAsia"/>
        </w:rPr>
        <w:t>La legislación también sirvió para fortalecer varios elementos de protección de los que gozaban los inquilinos contra los desalojos de mala fe.</w:t>
      </w:r>
      <w:bookmarkEnd w:id="88"/>
    </w:p>
    <w:p w14:paraId="7C3E8B72" w14:textId="55D9E747" w:rsidR="00E77C05" w:rsidRPr="00DC28B0" w:rsidRDefault="00E77C05" w:rsidP="008314B8">
      <w:pPr>
        <w:pStyle w:val="Bullet1G"/>
        <w:rPr>
          <w:rFonts w:eastAsiaTheme="minorEastAsia"/>
          <w:b/>
        </w:rPr>
      </w:pPr>
      <w:bookmarkStart w:id="89" w:name="lt_pId103"/>
      <w:r w:rsidRPr="00DC28B0">
        <w:rPr>
          <w:rFonts w:eastAsiaTheme="minorEastAsia"/>
        </w:rPr>
        <w:t xml:space="preserve">En 2016, Quebec impuso límites a los desalojos por motivos de rehabilitación cuando los inquilinos son </w:t>
      </w:r>
      <w:r w:rsidRPr="00DC28B0">
        <w:t xml:space="preserve">mayores de </w:t>
      </w:r>
      <w:r w:rsidRPr="00DC28B0">
        <w:rPr>
          <w:rFonts w:eastAsiaTheme="minorEastAsia"/>
        </w:rPr>
        <w:t>70 años, tienen bajos ingresos y han ocupado la propiedad durante al menos diez años.</w:t>
      </w:r>
      <w:bookmarkStart w:id="90" w:name="lt_pId104"/>
      <w:bookmarkEnd w:id="89"/>
    </w:p>
    <w:p w14:paraId="06789A64" w14:textId="331F6970" w:rsidR="00E77C05" w:rsidRPr="00DC28B0" w:rsidRDefault="00E77C05" w:rsidP="008314B8">
      <w:pPr>
        <w:pStyle w:val="H23G"/>
      </w:pPr>
      <w:r>
        <w:tab/>
      </w:r>
      <w:r w:rsidR="008314B8">
        <w:tab/>
      </w:r>
      <w:r w:rsidRPr="00DC28B0">
        <w:t>Personas sin hogar</w:t>
      </w:r>
      <w:bookmarkEnd w:id="90"/>
    </w:p>
    <w:p w14:paraId="5BC7991C" w14:textId="77777777" w:rsidR="00E77C05" w:rsidRPr="00DC28B0" w:rsidRDefault="00E77C05" w:rsidP="00B62663">
      <w:pPr>
        <w:pStyle w:val="SingleTxtG"/>
      </w:pPr>
      <w:bookmarkStart w:id="91" w:name="lt_pId105"/>
      <w:r w:rsidRPr="00DC28B0">
        <w:t>21.</w:t>
      </w:r>
      <w:r w:rsidRPr="00DC28B0">
        <w:tab/>
      </w:r>
      <w:bookmarkStart w:id="92" w:name="lt_pId106"/>
      <w:bookmarkEnd w:id="91"/>
      <w:r w:rsidRPr="00DC28B0">
        <w:t>El Gobierno federal y los gobiernos provinciales y territoriales reconocen la importancia de reducir el número de personas sin hogar y han tomado medidas para mejorar los servicios que se ofrecen a esas personas:</w:t>
      </w:r>
      <w:bookmarkEnd w:id="92"/>
    </w:p>
    <w:p w14:paraId="1349BC83" w14:textId="12966593" w:rsidR="00E77C05" w:rsidRPr="00DC28B0" w:rsidRDefault="00E77C05" w:rsidP="008314B8">
      <w:pPr>
        <w:pStyle w:val="Bullet1G"/>
        <w:rPr>
          <w:rFonts w:eastAsiaTheme="minorEastAsia"/>
        </w:rPr>
      </w:pPr>
      <w:bookmarkStart w:id="93" w:name="lt_pId107"/>
      <w:r w:rsidRPr="00DC28B0">
        <w:rPr>
          <w:rFonts w:eastAsiaTheme="minorEastAsia"/>
        </w:rPr>
        <w:t xml:space="preserve">En abril de 2019, el Gobierno del Canadá puso en marcha la iniciativa “Hacia una casa propia: estrategia canadiense </w:t>
      </w:r>
      <w:r w:rsidRPr="00DC28B0">
        <w:t>contra la falta de un hogar”</w:t>
      </w:r>
      <w:r w:rsidRPr="00DC28B0">
        <w:rPr>
          <w:rFonts w:eastAsiaTheme="minorEastAsia"/>
        </w:rPr>
        <w:t>, en cuyo marco se proporciona financiación a las comunidades urbanas, indígenas, rurales y remotas para abordar las necesidades de las personas sin hogar, con el objetivo de reducir la falta de hogar crónica en un 50 % para el ejercicio 2027</w:t>
      </w:r>
      <w:r w:rsidR="00CE348A">
        <w:rPr>
          <w:rFonts w:eastAsiaTheme="minorEastAsia"/>
        </w:rPr>
        <w:t>/</w:t>
      </w:r>
      <w:r w:rsidRPr="00DC28B0">
        <w:rPr>
          <w:rFonts w:eastAsiaTheme="minorEastAsia"/>
        </w:rPr>
        <w:t>28.</w:t>
      </w:r>
      <w:bookmarkEnd w:id="93"/>
      <w:r w:rsidRPr="00DC28B0">
        <w:rPr>
          <w:rFonts w:eastAsiaTheme="minorEastAsia"/>
        </w:rPr>
        <w:t xml:space="preserve"> Entre abril de 2019 y junio de 2021, la iniciativa invirtió en 4.213 proyectos.</w:t>
      </w:r>
    </w:p>
    <w:p w14:paraId="0ED1B24D" w14:textId="3FAE6E1C" w:rsidR="00E77C05" w:rsidRPr="00DC28B0" w:rsidRDefault="00E77C05" w:rsidP="008314B8">
      <w:pPr>
        <w:pStyle w:val="Bullet1G"/>
        <w:rPr>
          <w:rFonts w:eastAsiaTheme="minorEastAsia"/>
        </w:rPr>
      </w:pPr>
      <w:bookmarkStart w:id="94" w:name="lt_pId109"/>
      <w:r w:rsidRPr="00DC28B0">
        <w:rPr>
          <w:rFonts w:eastAsiaTheme="minorEastAsia"/>
        </w:rPr>
        <w:t xml:space="preserve">En el marco del plan para las personas sin hogar de Nueva Escocia se proporciona financiación a </w:t>
      </w:r>
      <w:r w:rsidRPr="00DC28B0">
        <w:t xml:space="preserve">los proveedores de </w:t>
      </w:r>
      <w:r w:rsidRPr="00DC28B0">
        <w:rPr>
          <w:rFonts w:eastAsiaTheme="minorEastAsia"/>
        </w:rPr>
        <w:t>servicios que prestan apoyo a las familias con hijos que carecen de hogar o corren el riesgo de quedarse sin hogar, incluida una ayuda de emergencia para la prevención del desahucio, con el fin de fomentar las intervenciones puntuales de los organismos comunitarios.</w:t>
      </w:r>
      <w:bookmarkEnd w:id="94"/>
    </w:p>
    <w:p w14:paraId="1DB1FD1B" w14:textId="52BACD0B" w:rsidR="00E77C05" w:rsidRPr="00DC28B0" w:rsidRDefault="00E77C05" w:rsidP="008314B8">
      <w:pPr>
        <w:pStyle w:val="Bullet1G"/>
        <w:rPr>
          <w:rFonts w:eastAsiaTheme="minorEastAsia"/>
        </w:rPr>
      </w:pPr>
      <w:bookmarkStart w:id="95" w:name="lt_pId110"/>
      <w:r w:rsidRPr="00DC28B0">
        <w:t xml:space="preserve">En </w:t>
      </w:r>
      <w:r w:rsidRPr="00DC28B0">
        <w:rPr>
          <w:rFonts w:eastAsiaTheme="minorEastAsia"/>
        </w:rPr>
        <w:t>mayo de 2021, la Isla del Príncipe Eduardo aprobó la Ley de la Estrategia de Eliminación de la Pobreza, en la que se establecen objetivos para reducir y eliminar la falta de un hogar.</w:t>
      </w:r>
      <w:bookmarkEnd w:id="95"/>
    </w:p>
    <w:p w14:paraId="5047B313" w14:textId="77777777" w:rsidR="00E77C05" w:rsidRPr="00DC28B0" w:rsidRDefault="00E77C05" w:rsidP="008314B8">
      <w:pPr>
        <w:pStyle w:val="HChG"/>
      </w:pPr>
      <w:bookmarkStart w:id="96" w:name="lt_pId111"/>
      <w:r w:rsidRPr="00DC28B0">
        <w:tab/>
        <w:t>III.</w:t>
      </w:r>
      <w:r w:rsidRPr="00DC28B0">
        <w:tab/>
        <w:t>Aplicación en curso del Pacto</w:t>
      </w:r>
      <w:bookmarkEnd w:id="96"/>
    </w:p>
    <w:p w14:paraId="69ADB791" w14:textId="3422D3F7" w:rsidR="00E77C05" w:rsidRPr="00DC28B0" w:rsidRDefault="00E77C05" w:rsidP="008314B8">
      <w:pPr>
        <w:pStyle w:val="H1G"/>
      </w:pPr>
      <w:bookmarkStart w:id="97" w:name="lt_pId112"/>
      <w:r>
        <w:tab/>
      </w:r>
      <w:r w:rsidR="008314B8">
        <w:tab/>
      </w:r>
      <w:r w:rsidRPr="00DC28B0">
        <w:t xml:space="preserve">Respuesta al párrafo 6 de la lista de cuestiones </w:t>
      </w:r>
      <w:bookmarkStart w:id="98" w:name="lt_pId113"/>
      <w:bookmarkEnd w:id="97"/>
    </w:p>
    <w:p w14:paraId="48682372" w14:textId="67898545" w:rsidR="00E77C05" w:rsidRPr="00DC28B0" w:rsidRDefault="00E77C05" w:rsidP="008314B8">
      <w:pPr>
        <w:pStyle w:val="H23G"/>
      </w:pPr>
      <w:r>
        <w:tab/>
      </w:r>
      <w:r w:rsidR="008314B8">
        <w:tab/>
      </w:r>
      <w:r w:rsidRPr="00DC28B0">
        <w:t>Coordinación de esfuerzos en la prestación de servicios</w:t>
      </w:r>
      <w:bookmarkEnd w:id="98"/>
    </w:p>
    <w:p w14:paraId="5E24AA39" w14:textId="77777777" w:rsidR="00E77C05" w:rsidRPr="00DC28B0" w:rsidRDefault="00E77C05" w:rsidP="00B62663">
      <w:pPr>
        <w:pStyle w:val="SingleTxtG"/>
      </w:pPr>
      <w:bookmarkStart w:id="99" w:name="lt_pId114"/>
      <w:r w:rsidRPr="00DC28B0">
        <w:t>22.</w:t>
      </w:r>
      <w:r w:rsidRPr="00DC28B0">
        <w:tab/>
        <w:t>El Gobierno del Canadá mantiene relaciones bilaterales con las provincias y territorios y participa en foros de ámbito federal, provincial y territorial, como:</w:t>
      </w:r>
      <w:bookmarkEnd w:id="99"/>
    </w:p>
    <w:p w14:paraId="3FA3366E" w14:textId="4D3A15AC" w:rsidR="00E77C05" w:rsidRPr="00DC28B0" w:rsidRDefault="00E77C05" w:rsidP="008314B8">
      <w:pPr>
        <w:pStyle w:val="Bullet1G"/>
        <w:rPr>
          <w:rFonts w:eastAsiaTheme="minorEastAsia"/>
        </w:rPr>
      </w:pPr>
      <w:bookmarkStart w:id="100" w:name="lt_pId116"/>
      <w:r w:rsidRPr="00DC28B0">
        <w:rPr>
          <w:rFonts w:eastAsiaTheme="minorEastAsia"/>
        </w:rPr>
        <w:t>El Foro sobre la Vivienda y el Foro Abierto sobre las Personas sin Hogar, en los que el Gobierno Federal y los gobiernos provinciales y territoriales analizan las oportunidades de colaboración, las lagunas en los programas, la financiación y las iniciativas para prevenir y reducir el problema de las personas sin hogar en sus respectivas jurisdicciones</w:t>
      </w:r>
      <w:bookmarkEnd w:id="100"/>
      <w:r w:rsidR="008314B8">
        <w:rPr>
          <w:rFonts w:eastAsiaTheme="minorEastAsia"/>
        </w:rPr>
        <w:t>.</w:t>
      </w:r>
    </w:p>
    <w:p w14:paraId="736BFF1C" w14:textId="63EE53F5" w:rsidR="00E77C05" w:rsidRPr="00DC28B0" w:rsidRDefault="00E77C05" w:rsidP="008314B8">
      <w:pPr>
        <w:pStyle w:val="Bullet1G"/>
        <w:rPr>
          <w:rFonts w:eastAsiaTheme="minorEastAsia"/>
        </w:rPr>
      </w:pPr>
      <w:bookmarkStart w:id="101" w:name="lt_pId117"/>
      <w:r w:rsidRPr="00DC28B0">
        <w:rPr>
          <w:rFonts w:eastAsiaTheme="minorEastAsia"/>
        </w:rPr>
        <w:t xml:space="preserve">El Foro Federal, Provincial y Territorial de Ministros Responsables de los Servicios Sociales, que es una plataforma de colaboración y asociación para abordar cuestiones relacionadas con los servicios sociales con el fin de mejorar </w:t>
      </w:r>
      <w:r w:rsidRPr="00DC28B0">
        <w:t xml:space="preserve">la calidad de </w:t>
      </w:r>
      <w:r w:rsidRPr="00DC28B0">
        <w:rPr>
          <w:rFonts w:eastAsiaTheme="minorEastAsia"/>
        </w:rPr>
        <w:t xml:space="preserve">vida de los canadienses, en particular de los más vulnerables. </w:t>
      </w:r>
      <w:bookmarkStart w:id="102" w:name="lt_pId118"/>
      <w:bookmarkEnd w:id="101"/>
      <w:r w:rsidRPr="00DC28B0">
        <w:rPr>
          <w:rFonts w:eastAsiaTheme="minorEastAsia"/>
        </w:rPr>
        <w:t>Entre sus temas figuran el apoyo a los ingresos de las poblaciones económicamente vulnerables, las personas con discapacidad, la pobreza, la innovación social y la financiación social, así como el intercambio de datos e información para intensificar la cooperación intergubernamental en materia de servicios sociales.</w:t>
      </w:r>
      <w:bookmarkEnd w:id="102"/>
    </w:p>
    <w:p w14:paraId="1126DD9F" w14:textId="4917DCDB" w:rsidR="00E77C05" w:rsidRPr="00DC28B0" w:rsidRDefault="00E77C05" w:rsidP="008314B8">
      <w:pPr>
        <w:pStyle w:val="H23G"/>
      </w:pPr>
      <w:bookmarkStart w:id="103" w:name="lt_pId119"/>
      <w:r>
        <w:tab/>
      </w:r>
      <w:r w:rsidR="008314B8">
        <w:tab/>
      </w:r>
      <w:r w:rsidRPr="00DC28B0">
        <w:t>Disparidades regionales en el disfrute de los servicios públicos esenciales</w:t>
      </w:r>
      <w:bookmarkEnd w:id="103"/>
    </w:p>
    <w:p w14:paraId="1B10C766" w14:textId="77777777" w:rsidR="00E77C05" w:rsidRPr="00DC28B0" w:rsidRDefault="00E77C05" w:rsidP="00B62663">
      <w:pPr>
        <w:pStyle w:val="SingleTxtG"/>
      </w:pPr>
      <w:bookmarkStart w:id="104" w:name="lt_pId120"/>
      <w:r w:rsidRPr="00DC28B0">
        <w:t>23.</w:t>
      </w:r>
      <w:r w:rsidRPr="00DC28B0">
        <w:tab/>
        <w:t>El Gobierno federal y los gobiernos provinciales y territoriales toman medidas para reducir las disparidades regionales en el disfrute de los servicios públicos esenciales:</w:t>
      </w:r>
      <w:bookmarkEnd w:id="104"/>
    </w:p>
    <w:p w14:paraId="6DBE5517" w14:textId="706F0603" w:rsidR="00E77C05" w:rsidRPr="00DC28B0" w:rsidRDefault="00E77C05" w:rsidP="008314B8">
      <w:pPr>
        <w:pStyle w:val="Bullet1G"/>
        <w:rPr>
          <w:rFonts w:eastAsiaTheme="minorEastAsia"/>
        </w:rPr>
      </w:pPr>
      <w:r w:rsidRPr="00DC28B0">
        <w:rPr>
          <w:rFonts w:eastAsiaTheme="minorEastAsia"/>
        </w:rPr>
        <w:lastRenderedPageBreak/>
        <w:t>En 2019, el Gobierno del Canadá publicó el Marco de Política para el Ártico y el Norte tras dos años de una amplia interacción</w:t>
      </w:r>
      <w:r w:rsidRPr="00DC28B0">
        <w:t xml:space="preserve"> </w:t>
      </w:r>
      <w:r w:rsidRPr="00DC28B0">
        <w:rPr>
          <w:rFonts w:eastAsiaTheme="minorEastAsia"/>
        </w:rPr>
        <w:t>con los asociados del Norte. Los objetivos del Marco guiarán las inversiones y actividades del Gobierno hasta 2030 y más allá. En 2019 y 2021, el Gobierno anunció inversiones en apoyo de ese Marco dirigidas a abordar las prioridades del Norte, incluidas la nutrición y la seguridad alimentaria, la educación postsecundaria, las infraestructuras y la vivienda.</w:t>
      </w:r>
    </w:p>
    <w:p w14:paraId="39D346AC" w14:textId="259B3819" w:rsidR="00E77C05" w:rsidRPr="00DC28B0" w:rsidRDefault="00E77C05" w:rsidP="008314B8">
      <w:pPr>
        <w:pStyle w:val="Bullet1G"/>
        <w:rPr>
          <w:rFonts w:eastAsiaTheme="minorEastAsia"/>
        </w:rPr>
      </w:pPr>
      <w:bookmarkStart w:id="105" w:name="lt_pId123"/>
      <w:r w:rsidRPr="00DC28B0">
        <w:rPr>
          <w:rFonts w:eastAsiaTheme="minorEastAsia"/>
        </w:rPr>
        <w:t xml:space="preserve">En 2020, Nueva Brunswick puso en marcha en toda la provincia el servicio 211 (una </w:t>
      </w:r>
      <w:r w:rsidRPr="00DC28B0">
        <w:t>línea de atención telefónica)</w:t>
      </w:r>
      <w:r w:rsidRPr="00DC28B0">
        <w:rPr>
          <w:rFonts w:eastAsiaTheme="minorEastAsia"/>
        </w:rPr>
        <w:t xml:space="preserve"> que facilita el acceso a la información y la consulta de los programas y servicios gubernamentales y comunitarios, y creó unidades móviles de crisis para poder intervenir fuera del horario habitual de los proveedores de atención sanitaria de la comunidad sin que los interesados tengan que acudir al hospital.</w:t>
      </w:r>
      <w:bookmarkEnd w:id="105"/>
    </w:p>
    <w:p w14:paraId="794AFCF0" w14:textId="4A388ADC" w:rsidR="00E77C05" w:rsidRPr="00DC28B0" w:rsidRDefault="00E77C05" w:rsidP="008314B8">
      <w:pPr>
        <w:pStyle w:val="Bullet1G"/>
        <w:rPr>
          <w:rFonts w:eastAsiaTheme="minorEastAsia"/>
        </w:rPr>
      </w:pPr>
      <w:bookmarkStart w:id="106" w:name="lt_pId125"/>
      <w:r w:rsidRPr="00DC28B0">
        <w:rPr>
          <w:rFonts w:eastAsiaTheme="minorEastAsia"/>
        </w:rPr>
        <w:t xml:space="preserve">Desde 2017, Nueva Escocia ha venido facilitando financiación a las asociaciones de transporte rural para que ofrezcan viajes de bajo coste o gratuitos con el fin de superar las barreras económicas que impiden a las personas acceder a los servicios de transporte público en las zonas rurales. </w:t>
      </w:r>
      <w:bookmarkStart w:id="107" w:name="lt_pId126"/>
      <w:bookmarkEnd w:id="106"/>
      <w:r w:rsidRPr="00DC28B0">
        <w:rPr>
          <w:rFonts w:eastAsiaTheme="minorEastAsia"/>
        </w:rPr>
        <w:t>Atendiendo a los resultados obtenidos desde 2017, en 2021 esa iniciativa se convirtió en una característica permanente de los programas del Departamento de Transporte y Transporte Activo de la provincia.</w:t>
      </w:r>
      <w:bookmarkEnd w:id="107"/>
    </w:p>
    <w:p w14:paraId="4CD675D4" w14:textId="7633F6E8" w:rsidR="00E77C05" w:rsidRPr="00DC28B0" w:rsidRDefault="00E77C05" w:rsidP="008314B8">
      <w:pPr>
        <w:pStyle w:val="H1G"/>
      </w:pPr>
      <w:bookmarkStart w:id="108" w:name="lt_pId129"/>
      <w:r>
        <w:tab/>
      </w:r>
      <w:r w:rsidR="008314B8">
        <w:tab/>
      </w:r>
      <w:r w:rsidRPr="00DC28B0">
        <w:t xml:space="preserve">Respuesta al párrafo 7 de la lista de cuestiones </w:t>
      </w:r>
      <w:bookmarkEnd w:id="108"/>
    </w:p>
    <w:p w14:paraId="5A731C8E" w14:textId="2354F707" w:rsidR="00E77C05" w:rsidRPr="00DC28B0" w:rsidRDefault="00E77C05" w:rsidP="008314B8">
      <w:pPr>
        <w:pStyle w:val="H23G"/>
      </w:pPr>
      <w:bookmarkStart w:id="109" w:name="lt_pId130"/>
      <w:r>
        <w:tab/>
      </w:r>
      <w:r w:rsidR="008314B8">
        <w:tab/>
      </w:r>
      <w:r w:rsidRPr="00DC28B0">
        <w:t xml:space="preserve">Respeto de los derechos económicos, sociales y culturales por parte </w:t>
      </w:r>
      <w:r w:rsidR="008314B8">
        <w:br/>
      </w:r>
      <w:r w:rsidRPr="00DC28B0">
        <w:t>de las empresas</w:t>
      </w:r>
      <w:bookmarkEnd w:id="109"/>
    </w:p>
    <w:p w14:paraId="0D1B6BED" w14:textId="77777777" w:rsidR="00E77C05" w:rsidRPr="00DC28B0" w:rsidRDefault="00E77C05" w:rsidP="00B62663">
      <w:pPr>
        <w:pStyle w:val="SingleTxtG"/>
      </w:pPr>
      <w:bookmarkStart w:id="110" w:name="lt_pId131"/>
      <w:r w:rsidRPr="00DC28B0">
        <w:t>24.</w:t>
      </w:r>
      <w:r w:rsidRPr="00DC28B0">
        <w:tab/>
      </w:r>
      <w:bookmarkEnd w:id="110"/>
      <w:r w:rsidRPr="00DC28B0">
        <w:t xml:space="preserve">El Gobierno federal y los gobiernos provinciales y territoriales han tomado medidas para garantizar que las empresas respeten los derechos económicos, sociales y culturales y apliquen los principios de diligencia debida en todas sus operaciones. </w:t>
      </w:r>
    </w:p>
    <w:p w14:paraId="70080BA2" w14:textId="1F9DDB51" w:rsidR="00E77C05" w:rsidRPr="00DC28B0" w:rsidRDefault="00E77C05" w:rsidP="008314B8">
      <w:pPr>
        <w:pStyle w:val="Bullet1G"/>
        <w:rPr>
          <w:rFonts w:eastAsiaTheme="minorEastAsia"/>
        </w:rPr>
      </w:pPr>
      <w:bookmarkStart w:id="111" w:name="lt_pId133"/>
      <w:r w:rsidRPr="00DC28B0">
        <w:rPr>
          <w:rFonts w:eastAsiaTheme="minorEastAsia"/>
        </w:rPr>
        <w:t xml:space="preserve">El Gobierno del Canadá ha modificado la Ley del Arancel de Aduanas a fin de incluir la prohibición de importar mercancías extraídas, fabricadas o producidas total o parcialmente con ayuda del trabajo forzoso. </w:t>
      </w:r>
      <w:bookmarkStart w:id="112" w:name="lt_pId134"/>
      <w:bookmarkEnd w:id="111"/>
      <w:r w:rsidRPr="00DC28B0">
        <w:rPr>
          <w:rFonts w:eastAsiaTheme="minorEastAsia"/>
        </w:rPr>
        <w:t>La prohibición del trabajo forzoso entró en vigor el 1 de julio de 2020 y se aplica a todas las importaciones, independientemente de su origen.</w:t>
      </w:r>
      <w:bookmarkEnd w:id="112"/>
    </w:p>
    <w:p w14:paraId="7FB329F4" w14:textId="68830F07" w:rsidR="00E77C05" w:rsidRPr="00DC28B0" w:rsidRDefault="00E77C05" w:rsidP="008314B8">
      <w:pPr>
        <w:pStyle w:val="Bullet1G"/>
        <w:rPr>
          <w:rFonts w:eastAsiaTheme="minorEastAsia"/>
        </w:rPr>
      </w:pPr>
      <w:bookmarkStart w:id="113" w:name="lt_pId135"/>
      <w:r w:rsidRPr="00DC28B0">
        <w:rPr>
          <w:rFonts w:eastAsiaTheme="minorEastAsia"/>
        </w:rPr>
        <w:t xml:space="preserve">La Ley de Accesibilidad de Columbia Británica (2021) complementa la Ley de Accesibilidad del Canadá y se inspira en la </w:t>
      </w:r>
      <w:r w:rsidRPr="00DC28B0">
        <w:t xml:space="preserve">Convención de las Naciones Unidas sobre los </w:t>
      </w:r>
      <w:r w:rsidRPr="00DC28B0">
        <w:rPr>
          <w:rFonts w:eastAsiaTheme="minorEastAsia"/>
        </w:rPr>
        <w:t xml:space="preserve">Derechos de las Personas con Discapacidad. </w:t>
      </w:r>
      <w:bookmarkStart w:id="114" w:name="lt_pId136"/>
      <w:bookmarkEnd w:id="113"/>
      <w:r w:rsidRPr="00DC28B0">
        <w:rPr>
          <w:rFonts w:eastAsiaTheme="minorEastAsia"/>
        </w:rPr>
        <w:t>Esa ley proporciona un marco para la elaboración de normas tendientes a mejorar la vida de las personas con discapacidad mediante la eliminación de barreras físicas, tecnológicas y de comportamiento.</w:t>
      </w:r>
      <w:bookmarkEnd w:id="114"/>
    </w:p>
    <w:p w14:paraId="175D6942" w14:textId="7A763179" w:rsidR="00E77C05" w:rsidRPr="00DC28B0" w:rsidRDefault="008314B8" w:rsidP="008314B8">
      <w:pPr>
        <w:pStyle w:val="H23G"/>
      </w:pPr>
      <w:bookmarkStart w:id="115" w:name="lt_pId137"/>
      <w:r>
        <w:tab/>
      </w:r>
      <w:r w:rsidR="00E77C05">
        <w:tab/>
      </w:r>
      <w:r w:rsidR="00E77C05" w:rsidRPr="00DC28B0">
        <w:t>Recursos jurídicos para las víctimas de violaciones de los derechos humanos cometidas por empresas canadienses en el extranjero</w:t>
      </w:r>
      <w:bookmarkEnd w:id="115"/>
    </w:p>
    <w:p w14:paraId="759BC6F0" w14:textId="77777777" w:rsidR="00E77C05" w:rsidRPr="00DC28B0" w:rsidRDefault="00E77C05" w:rsidP="00B62663">
      <w:pPr>
        <w:pStyle w:val="SingleTxtG"/>
      </w:pPr>
      <w:bookmarkStart w:id="116" w:name="lt_pId138"/>
      <w:r w:rsidRPr="00DC28B0">
        <w:t>25.</w:t>
      </w:r>
      <w:r w:rsidRPr="00DC28B0">
        <w:tab/>
        <w:t xml:space="preserve">En los últimos años se han presentado ante los tribunales del Canadá algunas demandas civiles contra empresas canadienses que operan en el extranjero en las que los demandantes alegaban que las empresas en cuestión habían cometido violaciones de los derechos humanos en sus operaciones fuera del país. </w:t>
      </w:r>
      <w:bookmarkStart w:id="117" w:name="lt_pId139"/>
      <w:bookmarkEnd w:id="116"/>
      <w:r w:rsidRPr="00DC28B0">
        <w:t xml:space="preserve">El Fiscal General no se constituyó en parte en esos casos y nunca participó en ellos de ninguna manera. </w:t>
      </w:r>
      <w:bookmarkStart w:id="118" w:name="lt_pId140"/>
      <w:bookmarkEnd w:id="117"/>
      <w:r w:rsidRPr="00DC28B0">
        <w:t>Aunque los tribunales canadienses han dictado sentencias preliminares en algunas de esas causas, con lo que han podido seguir adelante, ninguna de ellas ha desembocado aún en una decisión judicial definitiva que implique una declaración de responsabilidad contra las empresas canadienses demandadas.</w:t>
      </w:r>
      <w:bookmarkEnd w:id="118"/>
    </w:p>
    <w:p w14:paraId="742BEDB4" w14:textId="0D959BFE" w:rsidR="00E77C05" w:rsidRPr="00DC28B0" w:rsidRDefault="00E77C05" w:rsidP="008314B8">
      <w:pPr>
        <w:pStyle w:val="H23G"/>
      </w:pPr>
      <w:r>
        <w:tab/>
      </w:r>
      <w:r w:rsidR="008314B8">
        <w:tab/>
      </w:r>
      <w:r w:rsidRPr="00DC28B0">
        <w:t>Defensoría para la Responsabilidad Social de las Empresas del Canadá</w:t>
      </w:r>
    </w:p>
    <w:p w14:paraId="544B10CB" w14:textId="77777777" w:rsidR="00E77C05" w:rsidRPr="00DC28B0" w:rsidRDefault="00E77C05" w:rsidP="00B62663">
      <w:pPr>
        <w:pStyle w:val="SingleTxtG"/>
      </w:pPr>
      <w:bookmarkStart w:id="119" w:name="lt_pId142"/>
      <w:r w:rsidRPr="00DC28B0">
        <w:t>26.</w:t>
      </w:r>
      <w:r w:rsidRPr="00DC28B0">
        <w:tab/>
        <w:t>Creada en 2019, la Defensoría para la Responsabilidad Social de las Empresas del Canadá es un órgano de defensa de los derechos humanos en el ámbito empresarial que opera con independencia del Gobierno.</w:t>
      </w:r>
      <w:bookmarkStart w:id="120" w:name="lt_pId143"/>
      <w:bookmarkEnd w:id="119"/>
    </w:p>
    <w:p w14:paraId="5ED02611" w14:textId="77777777" w:rsidR="00E77C05" w:rsidRPr="00DC28B0" w:rsidRDefault="00E77C05" w:rsidP="00B62663">
      <w:pPr>
        <w:pStyle w:val="SingleTxtG"/>
      </w:pPr>
      <w:r w:rsidRPr="00DC28B0">
        <w:lastRenderedPageBreak/>
        <w:t>27.</w:t>
      </w:r>
      <w:r w:rsidRPr="00DC28B0">
        <w:tab/>
        <w:t>El mandato de la Defensoría consiste en promover la aplicación de los Principios Rectores de las Naciones Unidas sobre las Empresas y los Derechos Humanos y las Directrices para Empresas Multinacionales de la Organización para la Cooperación y el Desarrollo Económicos (OCDE); asesorar a las empresas canadienses sobre sus prácticas y políticas de conducta empresarial responsable; examinar las denuncias de violaciones de los derechos humanos derivadas de las actividades de empresas canadienses en el extranjero en los sectores de la confección, la minería y el petróleo y el gas; prestar servicios oficiosos de mediación; y asesorar al Ministro de Comercio Internacional sobre cualquier asunto relacionado con el mandato.</w:t>
      </w:r>
      <w:bookmarkEnd w:id="120"/>
    </w:p>
    <w:p w14:paraId="725150B6" w14:textId="77777777" w:rsidR="00E77C05" w:rsidRPr="00DC28B0" w:rsidRDefault="00E77C05" w:rsidP="00B62663">
      <w:pPr>
        <w:pStyle w:val="SingleTxtG"/>
      </w:pPr>
      <w:bookmarkStart w:id="121" w:name="lt_pId144"/>
      <w:r w:rsidRPr="00DC28B0">
        <w:t>28.</w:t>
      </w:r>
      <w:r w:rsidRPr="00DC28B0">
        <w:tab/>
        <w:t xml:space="preserve">La Defensoría para la Responsabilidad Social de las Empresas presta asistencia al Punto de Contacto Nacional para la Conducta Empresarial Responsable. Como miembro de la OCDE, el Canadá debe disponer de un punto de contacto nacional encargado de promover la aplicación de las Directrices para Empresas Multinacionales de la OCDE y facilitar la resolución de litigios relativos a su cumplimiento por parte de las empresas multinacionales que operan en o desde el Canadá. </w:t>
      </w:r>
      <w:bookmarkStart w:id="122" w:name="lt_pId145"/>
      <w:bookmarkEnd w:id="121"/>
      <w:r w:rsidRPr="00DC28B0">
        <w:t xml:space="preserve">El punto de contacto nacional puede abordar en todos los sectores cuestiones relativas a una amplia gama de temas, entre ellas las cuestiones laborales, ambientales y de derechos humanos. </w:t>
      </w:r>
      <w:bookmarkStart w:id="123" w:name="lt_pId146"/>
      <w:bookmarkEnd w:id="122"/>
      <w:r w:rsidRPr="00DC28B0">
        <w:t>El punto de contacto del Canadá es un comité interdepartamental creado en 2000.</w:t>
      </w:r>
      <w:bookmarkEnd w:id="123"/>
    </w:p>
    <w:p w14:paraId="34923D98" w14:textId="77777777" w:rsidR="00E77C05" w:rsidRPr="00DC28B0" w:rsidRDefault="00E77C05" w:rsidP="00B62663">
      <w:pPr>
        <w:pStyle w:val="SingleTxtG"/>
      </w:pPr>
      <w:bookmarkStart w:id="124" w:name="lt_pId150"/>
      <w:r w:rsidRPr="00DC28B0">
        <w:t>29.</w:t>
      </w:r>
      <w:r w:rsidRPr="00DC28B0">
        <w:tab/>
        <w:t>La Defensoría para la Responsabilidad Social de las Empresas se ha basado en la labor de la Oficina del Asesor en materia de Responsabilidad Social Corporativa, una entidad que cesó sus actividades en mayo de 2018.</w:t>
      </w:r>
      <w:bookmarkEnd w:id="124"/>
    </w:p>
    <w:p w14:paraId="6951C436" w14:textId="3F8E0796" w:rsidR="00E77C05" w:rsidRPr="00DC28B0" w:rsidRDefault="008314B8" w:rsidP="008314B8">
      <w:pPr>
        <w:pStyle w:val="H1G"/>
      </w:pPr>
      <w:bookmarkStart w:id="125" w:name="lt_pId151"/>
      <w:r>
        <w:tab/>
      </w:r>
      <w:r w:rsidR="00E77C05">
        <w:tab/>
      </w:r>
      <w:r w:rsidR="00E77C05" w:rsidRPr="00DC28B0">
        <w:t xml:space="preserve">Respuesta al párrafo 8 de la lista de cuestiones </w:t>
      </w:r>
      <w:bookmarkEnd w:id="125"/>
    </w:p>
    <w:p w14:paraId="00E13D36" w14:textId="46C5D4B1" w:rsidR="00E77C05" w:rsidRPr="00DC28B0" w:rsidRDefault="008314B8" w:rsidP="008314B8">
      <w:pPr>
        <w:pStyle w:val="H23G"/>
      </w:pPr>
      <w:r>
        <w:tab/>
      </w:r>
      <w:r w:rsidR="00E77C05">
        <w:tab/>
      </w:r>
      <w:r w:rsidR="00E77C05" w:rsidRPr="00DC28B0">
        <w:t>El cambio climático y los Pueblos Indígenas</w:t>
      </w:r>
    </w:p>
    <w:p w14:paraId="5BF6022E" w14:textId="77777777" w:rsidR="00E77C05" w:rsidRPr="00DC28B0" w:rsidRDefault="00E77C05" w:rsidP="00B62663">
      <w:pPr>
        <w:pStyle w:val="SingleTxtG"/>
      </w:pPr>
      <w:bookmarkStart w:id="126" w:name="lt_pId153"/>
      <w:r w:rsidRPr="00DC28B0">
        <w:t>30.</w:t>
      </w:r>
      <w:r w:rsidRPr="00DC28B0">
        <w:tab/>
      </w:r>
      <w:bookmarkStart w:id="127" w:name="lt_pId154"/>
      <w:bookmarkEnd w:id="126"/>
      <w:r w:rsidRPr="00DC28B0">
        <w:t>El Gobierno Federal y los gobiernos provinciales y territoriales se comprometen a trabajar con las comunidades indígenas y del Norte en apoyo de medidas que fomenten la resiliencia comunitaria y climática:</w:t>
      </w:r>
      <w:bookmarkEnd w:id="127"/>
    </w:p>
    <w:p w14:paraId="07BE7615" w14:textId="425E02E2" w:rsidR="00E77C05" w:rsidRPr="00DC28B0" w:rsidRDefault="00E77C05" w:rsidP="008314B8">
      <w:pPr>
        <w:pStyle w:val="Bullet1G"/>
        <w:rPr>
          <w:rFonts w:eastAsiaTheme="minorEastAsia"/>
        </w:rPr>
      </w:pPr>
      <w:bookmarkStart w:id="128" w:name="lt_pId155"/>
      <w:r w:rsidRPr="00DC28B0">
        <w:t xml:space="preserve">Desde </w:t>
      </w:r>
      <w:r w:rsidRPr="00DC28B0">
        <w:rPr>
          <w:rFonts w:eastAsiaTheme="minorEastAsia"/>
        </w:rPr>
        <w:t>2021, en virtud de la Ley de Responsabilidad por la Neutralidad del Carbono del Canadá se exige al Gobierno que, cuando establezca un plan para reducir las emisiones de gases de efecto invernadero, tenga presente la Declaración de las Naciones Unidas sobre los Derechos de los Pueblos Indígenas y los conocimientos de esos pueblos y les dé la oportunidad de formular observaciones.</w:t>
      </w:r>
      <w:bookmarkEnd w:id="128"/>
    </w:p>
    <w:p w14:paraId="30C4BAA1" w14:textId="68A8FE3C" w:rsidR="00E77C05" w:rsidRPr="00DC28B0" w:rsidRDefault="00E77C05" w:rsidP="008314B8">
      <w:pPr>
        <w:pStyle w:val="Bullet1G"/>
        <w:rPr>
          <w:rFonts w:eastAsiaTheme="minorEastAsia"/>
        </w:rPr>
      </w:pPr>
      <w:bookmarkStart w:id="129" w:name="lt_pId156"/>
      <w:r w:rsidRPr="00DC28B0">
        <w:rPr>
          <w:rFonts w:eastAsiaTheme="minorEastAsia"/>
        </w:rPr>
        <w:t xml:space="preserve">En septiembre de 2020 se presentó la estrategia “Nuestro futuro limpio en el Yukón”, resultado de tres </w:t>
      </w:r>
      <w:r w:rsidRPr="00DC28B0">
        <w:t xml:space="preserve">años </w:t>
      </w:r>
      <w:r w:rsidRPr="00DC28B0">
        <w:rPr>
          <w:rFonts w:eastAsiaTheme="minorEastAsia"/>
        </w:rPr>
        <w:t xml:space="preserve">de colaboración con las Primeras Naciones, grupos indígenas transfronterizos y ayuntamientos. </w:t>
      </w:r>
      <w:bookmarkStart w:id="130" w:name="lt_pId157"/>
      <w:bookmarkEnd w:id="129"/>
      <w:r w:rsidRPr="00DC28B0">
        <w:rPr>
          <w:rFonts w:eastAsiaTheme="minorEastAsia"/>
        </w:rPr>
        <w:t xml:space="preserve">En ella se establecen objetivos comunes para todos los interesados del territorio, así como las medidas que el Yukón adoptará para hacer frente a la emergencia climática. </w:t>
      </w:r>
      <w:bookmarkStart w:id="131" w:name="lt_pId158"/>
      <w:bookmarkEnd w:id="130"/>
      <w:r w:rsidRPr="00DC28B0">
        <w:rPr>
          <w:rFonts w:eastAsiaTheme="minorEastAsia"/>
        </w:rPr>
        <w:t>El Yukón se centra en proyectos de energías renovables en edificios gubernamentales y ha ajustado su objetivo de reducción de emisiones al 45 % para 2030.</w:t>
      </w:r>
      <w:bookmarkEnd w:id="131"/>
    </w:p>
    <w:p w14:paraId="06387268" w14:textId="239557FB" w:rsidR="00E77C05" w:rsidRPr="00DC28B0" w:rsidRDefault="00E77C05" w:rsidP="008314B8">
      <w:pPr>
        <w:pStyle w:val="Bullet1G"/>
        <w:rPr>
          <w:rFonts w:eastAsiaTheme="minorEastAsia"/>
        </w:rPr>
      </w:pPr>
      <w:bookmarkStart w:id="132" w:name="lt_pId159"/>
      <w:r w:rsidRPr="00DC28B0">
        <w:rPr>
          <w:rFonts w:eastAsiaTheme="minorEastAsia"/>
        </w:rPr>
        <w:t xml:space="preserve">La Isla del Príncipe Eduardo colabora con </w:t>
      </w:r>
      <w:proofErr w:type="spellStart"/>
      <w:r w:rsidRPr="00DC28B0">
        <w:rPr>
          <w:rFonts w:eastAsiaTheme="minorEastAsia"/>
        </w:rPr>
        <w:t>L’nuey</w:t>
      </w:r>
      <w:proofErr w:type="spellEnd"/>
      <w:r w:rsidRPr="00DC28B0">
        <w:rPr>
          <w:rFonts w:eastAsiaTheme="minorEastAsia"/>
        </w:rPr>
        <w:t xml:space="preserve"> (Asamblea de Consejos </w:t>
      </w:r>
      <w:proofErr w:type="spellStart"/>
      <w:r w:rsidRPr="00DC28B0">
        <w:rPr>
          <w:rFonts w:eastAsiaTheme="minorEastAsia"/>
        </w:rPr>
        <w:t>Epekwitk</w:t>
      </w:r>
      <w:proofErr w:type="spellEnd"/>
      <w:r w:rsidRPr="00DC28B0">
        <w:rPr>
          <w:rFonts w:eastAsiaTheme="minorEastAsia"/>
        </w:rPr>
        <w:t xml:space="preserve">) para garantizar el reconocimiento y la protección de los derechos sociales y culturales de las Primeras Naciones de </w:t>
      </w:r>
      <w:proofErr w:type="spellStart"/>
      <w:r w:rsidRPr="00DC28B0">
        <w:rPr>
          <w:rFonts w:eastAsiaTheme="minorEastAsia"/>
        </w:rPr>
        <w:t>Abegweit</w:t>
      </w:r>
      <w:proofErr w:type="spellEnd"/>
      <w:r w:rsidRPr="00DC28B0">
        <w:rPr>
          <w:rFonts w:eastAsiaTheme="minorEastAsia"/>
        </w:rPr>
        <w:t xml:space="preserve"> y la isla Lennox, al tiempo que busca soluciones innovadoras para adaptarse al </w:t>
      </w:r>
      <w:r w:rsidRPr="00DC28B0">
        <w:t xml:space="preserve">cambio </w:t>
      </w:r>
      <w:r w:rsidRPr="00DC28B0">
        <w:rPr>
          <w:rFonts w:eastAsiaTheme="minorEastAsia"/>
        </w:rPr>
        <w:t>climático</w:t>
      </w:r>
      <w:r w:rsidRPr="00DC28B0">
        <w:t xml:space="preserve">. </w:t>
      </w:r>
      <w:bookmarkStart w:id="133" w:name="lt_pId160"/>
      <w:bookmarkEnd w:id="132"/>
      <w:r w:rsidRPr="00DC28B0">
        <w:rPr>
          <w:rFonts w:eastAsiaTheme="minorEastAsia"/>
        </w:rPr>
        <w:t xml:space="preserve">La provincia también colabora estrechamente con </w:t>
      </w:r>
      <w:proofErr w:type="spellStart"/>
      <w:r w:rsidRPr="00DC28B0">
        <w:rPr>
          <w:rFonts w:eastAsiaTheme="minorEastAsia"/>
        </w:rPr>
        <w:t>L’nuey</w:t>
      </w:r>
      <w:proofErr w:type="spellEnd"/>
      <w:r w:rsidRPr="00DC28B0">
        <w:rPr>
          <w:rFonts w:eastAsiaTheme="minorEastAsia"/>
        </w:rPr>
        <w:t xml:space="preserve"> en la construcción de puentes para modernizar su diseño y asegurarse de que las infraestructuras puedan soportar el aumento previsto de la erosión costera, la elevación del nivel del mar y las tormentas.</w:t>
      </w:r>
      <w:bookmarkEnd w:id="133"/>
    </w:p>
    <w:p w14:paraId="3E89B0EF" w14:textId="335D0968" w:rsidR="00E77C05" w:rsidRPr="00DC28B0" w:rsidRDefault="00E77C05" w:rsidP="008314B8">
      <w:pPr>
        <w:pStyle w:val="H23G"/>
      </w:pPr>
      <w:bookmarkStart w:id="134" w:name="lt_pId161"/>
      <w:r>
        <w:tab/>
      </w:r>
      <w:r w:rsidR="008314B8">
        <w:tab/>
      </w:r>
      <w:r w:rsidRPr="00DC28B0">
        <w:t>Acuerdo de París</w:t>
      </w:r>
      <w:bookmarkEnd w:id="134"/>
    </w:p>
    <w:p w14:paraId="4355A0A8" w14:textId="77777777" w:rsidR="00E77C05" w:rsidRPr="00DC28B0" w:rsidRDefault="00E77C05" w:rsidP="00B62663">
      <w:pPr>
        <w:pStyle w:val="SingleTxtG"/>
      </w:pPr>
      <w:bookmarkStart w:id="135" w:name="lt_pId162"/>
      <w:r w:rsidRPr="00DC28B0">
        <w:t>31.</w:t>
      </w:r>
      <w:r w:rsidRPr="00DC28B0">
        <w:tab/>
        <w:t>El Canadá dio un paso importante hacia la consecución de su objetivo para 2030 en el marco del Acuerdo de París con la aplicación del Marco de Crecimiento Limpio y Cambio Climático para Todo el Canadá. En diciembre de 2020, refrendó su compromiso con su plan climático reforzado titulado “Un medio ambiente sano y una economía sana”.</w:t>
      </w:r>
      <w:bookmarkStart w:id="136" w:name="lt_pId163"/>
      <w:bookmarkEnd w:id="135"/>
    </w:p>
    <w:p w14:paraId="47013315" w14:textId="77777777" w:rsidR="00E77C05" w:rsidRPr="00DC28B0" w:rsidRDefault="00E77C05" w:rsidP="00B62663">
      <w:pPr>
        <w:pStyle w:val="SingleTxtG"/>
      </w:pPr>
      <w:r w:rsidRPr="00DC28B0">
        <w:lastRenderedPageBreak/>
        <w:t>32.</w:t>
      </w:r>
      <w:r w:rsidRPr="00DC28B0">
        <w:tab/>
        <w:t xml:space="preserve">Con el Marco para Todo el Canadá, desarrollado en colaboración con las provincias y territorios y en consulta con los Pueblos Indígenas, se pretende estimular la innovación y el crecimiento fomentando el desarrollo y la adopción de tecnologías para que las empresas canadienses puedan competir en la economía mundial con bajas emisiones de carbono. </w:t>
      </w:r>
      <w:bookmarkStart w:id="137" w:name="lt_pId164"/>
      <w:bookmarkEnd w:id="136"/>
      <w:r w:rsidRPr="00DC28B0">
        <w:t xml:space="preserve">El Marco incluye un enfoque </w:t>
      </w:r>
      <w:proofErr w:type="spellStart"/>
      <w:r w:rsidRPr="00DC28B0">
        <w:t>pancanadiense</w:t>
      </w:r>
      <w:proofErr w:type="spellEnd"/>
      <w:r w:rsidRPr="00DC28B0">
        <w:t xml:space="preserve"> para la imposición de tarifas a la contaminación por carbono, medidas para lograr reducciones en todos los sectores de la economía y medidas para avanzar en la adaptación al cambio climático y aumentar la resiliencia ante los impactos del cambio climático en todo el país.</w:t>
      </w:r>
      <w:bookmarkEnd w:id="137"/>
    </w:p>
    <w:p w14:paraId="1411959B" w14:textId="133EB0BA" w:rsidR="00E77C05" w:rsidRPr="00DC28B0" w:rsidRDefault="00E77C05" w:rsidP="008314B8">
      <w:pPr>
        <w:pStyle w:val="H23G"/>
      </w:pPr>
      <w:bookmarkStart w:id="138" w:name="lt_pId165"/>
      <w:r>
        <w:tab/>
      </w:r>
      <w:r w:rsidR="008314B8">
        <w:tab/>
      </w:r>
      <w:r w:rsidRPr="00DC28B0">
        <w:t>Energía limpia y renovable</w:t>
      </w:r>
      <w:bookmarkEnd w:id="138"/>
    </w:p>
    <w:p w14:paraId="01A52125" w14:textId="77777777" w:rsidR="00E77C05" w:rsidRPr="00DC28B0" w:rsidRDefault="00E77C05" w:rsidP="00B62663">
      <w:pPr>
        <w:pStyle w:val="SingleTxtG"/>
      </w:pPr>
      <w:bookmarkStart w:id="139" w:name="lt_pId166"/>
      <w:r w:rsidRPr="00DC28B0">
        <w:t>33.</w:t>
      </w:r>
      <w:r w:rsidRPr="00DC28B0">
        <w:tab/>
      </w:r>
      <w:bookmarkEnd w:id="139"/>
      <w:r w:rsidRPr="00DC28B0">
        <w:t>El Gobierno Federal y los gobiernos provinciales y territoriales han emprendido proyectos de energías limpias y renovables:</w:t>
      </w:r>
    </w:p>
    <w:p w14:paraId="36F54702" w14:textId="03A55CCC" w:rsidR="00E77C05" w:rsidRPr="00DC28B0" w:rsidRDefault="00E77C05" w:rsidP="008314B8">
      <w:pPr>
        <w:pStyle w:val="Bullet1G"/>
        <w:rPr>
          <w:rFonts w:eastAsiaTheme="minorEastAsia"/>
        </w:rPr>
      </w:pPr>
      <w:bookmarkStart w:id="140" w:name="lt_pId168"/>
      <w:r w:rsidRPr="00DC28B0">
        <w:rPr>
          <w:rFonts w:eastAsiaTheme="minorEastAsia"/>
        </w:rPr>
        <w:t xml:space="preserve">El Gobierno del Canadá y la provincia de Ontario se han asociado con comunidades remotas de las Primeras Naciones del norte de Ontario para conectarlas a la red eléctrica provincial. </w:t>
      </w:r>
      <w:bookmarkStart w:id="141" w:name="lt_pId169"/>
      <w:bookmarkEnd w:id="140"/>
      <w:proofErr w:type="spellStart"/>
      <w:r w:rsidRPr="00DC28B0">
        <w:rPr>
          <w:rFonts w:eastAsiaTheme="minorEastAsia"/>
        </w:rPr>
        <w:t>Watanikaneyap</w:t>
      </w:r>
      <w:proofErr w:type="spellEnd"/>
      <w:r w:rsidRPr="00DC28B0">
        <w:rPr>
          <w:rFonts w:eastAsiaTheme="minorEastAsia"/>
        </w:rPr>
        <w:t xml:space="preserve"> </w:t>
      </w:r>
      <w:proofErr w:type="spellStart"/>
      <w:r w:rsidRPr="00DC28B0">
        <w:rPr>
          <w:rFonts w:eastAsiaTheme="minorEastAsia"/>
        </w:rPr>
        <w:t>Power</w:t>
      </w:r>
      <w:proofErr w:type="spellEnd"/>
      <w:r w:rsidRPr="00DC28B0">
        <w:rPr>
          <w:rFonts w:eastAsiaTheme="minorEastAsia"/>
        </w:rPr>
        <w:t xml:space="preserve"> es una empresa de transmisión de energía propiedad de 24 comunidades indígenas que conectará 16 de esas comunidades remotas a la red y pondrá fin a su costosa</w:t>
      </w:r>
      <w:r w:rsidRPr="00DC28B0">
        <w:t xml:space="preserve"> </w:t>
      </w:r>
      <w:r w:rsidRPr="00DC28B0">
        <w:rPr>
          <w:rFonts w:eastAsiaTheme="minorEastAsia"/>
        </w:rPr>
        <w:t xml:space="preserve">dependencia del gasóleo, que genera muchas emisiones. </w:t>
      </w:r>
      <w:bookmarkStart w:id="142" w:name="lt_pId170"/>
      <w:bookmarkEnd w:id="141"/>
      <w:r w:rsidRPr="00DC28B0">
        <w:rPr>
          <w:rFonts w:eastAsiaTheme="minorEastAsia"/>
        </w:rPr>
        <w:t>Esa iniciativa proporciona una energía limpia, segura y fiable que repercutirá positivamente en la salud y la seguridad de las comunidades y contribuirá a ampliar sus infraestructuras y sus posibilidades de desarrollo económico.</w:t>
      </w:r>
      <w:bookmarkEnd w:id="142"/>
    </w:p>
    <w:p w14:paraId="7AB1E4E7" w14:textId="7A54D041" w:rsidR="00E77C05" w:rsidRPr="00DC28B0" w:rsidRDefault="00E77C05" w:rsidP="008314B8">
      <w:pPr>
        <w:pStyle w:val="Bullet1G"/>
        <w:rPr>
          <w:rFonts w:eastAsiaTheme="minorEastAsia"/>
        </w:rPr>
      </w:pPr>
      <w:bookmarkStart w:id="143" w:name="lt_pId171"/>
      <w:r w:rsidRPr="00DC28B0">
        <w:rPr>
          <w:rFonts w:eastAsiaTheme="minorEastAsia"/>
        </w:rPr>
        <w:t xml:space="preserve">Los Territorios del Noroeste han introducido un impuesto sobre el carbono que aumentará el coste por </w:t>
      </w:r>
      <w:r w:rsidRPr="00DC28B0">
        <w:t xml:space="preserve">tonelada </w:t>
      </w:r>
      <w:r w:rsidRPr="00DC28B0">
        <w:rPr>
          <w:rFonts w:eastAsiaTheme="minorEastAsia"/>
        </w:rPr>
        <w:t>de las emisiones de gases de efecto invernadero hasta</w:t>
      </w:r>
      <w:r w:rsidR="00C26433">
        <w:rPr>
          <w:rFonts w:eastAsiaTheme="minorEastAsia"/>
        </w:rPr>
        <w:t> </w:t>
      </w:r>
      <w:r w:rsidRPr="00DC28B0">
        <w:rPr>
          <w:rFonts w:eastAsiaTheme="minorEastAsia"/>
        </w:rPr>
        <w:t xml:space="preserve">2022, en consonancia con su compromiso con el Marco de Crecimiento Limpio y Cambio Climático del Canadá. </w:t>
      </w:r>
      <w:bookmarkStart w:id="144" w:name="lt_pId172"/>
      <w:bookmarkEnd w:id="143"/>
      <w:r w:rsidRPr="00DC28B0">
        <w:rPr>
          <w:rFonts w:eastAsiaTheme="minorEastAsia"/>
        </w:rPr>
        <w:t>Los ingresos procedentes del impuesto sobre el carbono se destinarán a apoyar los esfuerzos de conservación y la adopción de energías renovables, teniendo presente la necesidad de mitigar los efectos del impuesto en el coste de la vida y la actividad empresarial en el territorio.</w:t>
      </w:r>
      <w:bookmarkEnd w:id="144"/>
    </w:p>
    <w:p w14:paraId="15A75AAC" w14:textId="2C25B94B" w:rsidR="00E77C05" w:rsidRPr="00DC28B0" w:rsidRDefault="00E77C05" w:rsidP="008314B8">
      <w:pPr>
        <w:pStyle w:val="Bullet1G"/>
        <w:rPr>
          <w:rFonts w:eastAsiaTheme="minorEastAsia"/>
        </w:rPr>
      </w:pPr>
      <w:bookmarkStart w:id="145" w:name="lt_pId173"/>
      <w:r w:rsidRPr="00DC28B0">
        <w:rPr>
          <w:rFonts w:eastAsiaTheme="minorEastAsia"/>
        </w:rPr>
        <w:t>El 99 % de la electricidad que se produce</w:t>
      </w:r>
      <w:r w:rsidRPr="00DC28B0">
        <w:t xml:space="preserve"> e</w:t>
      </w:r>
      <w:r w:rsidRPr="00DC28B0">
        <w:rPr>
          <w:rFonts w:eastAsiaTheme="minorEastAsia"/>
        </w:rPr>
        <w:t xml:space="preserve">n Quebec es limpia y renovable. </w:t>
      </w:r>
      <w:bookmarkStart w:id="146" w:name="lt_pId174"/>
      <w:bookmarkEnd w:id="145"/>
      <w:r w:rsidRPr="00DC28B0">
        <w:rPr>
          <w:rFonts w:eastAsiaTheme="minorEastAsia"/>
        </w:rPr>
        <w:t>Desde</w:t>
      </w:r>
      <w:r w:rsidR="00C26433">
        <w:rPr>
          <w:rFonts w:eastAsiaTheme="minorEastAsia"/>
        </w:rPr>
        <w:t> </w:t>
      </w:r>
      <w:r w:rsidRPr="00DC28B0">
        <w:rPr>
          <w:rFonts w:eastAsiaTheme="minorEastAsia"/>
        </w:rPr>
        <w:t xml:space="preserve">2018, el Plan </w:t>
      </w:r>
      <w:r w:rsidRPr="00DC28B0">
        <w:t xml:space="preserve">Director </w:t>
      </w:r>
      <w:r w:rsidRPr="00DC28B0">
        <w:rPr>
          <w:rFonts w:eastAsiaTheme="minorEastAsia"/>
        </w:rPr>
        <w:t>de Transición, Innovación y Eficiencia Energéticas se autofinancia gracias al sistema de pago de una ecotasa que genera ingresos que se reinvierten para alcanzar los objetivos fijados por la provincia en materia de uso de hidrocarburos y producción de gases de efecto invernadero.</w:t>
      </w:r>
      <w:bookmarkEnd w:id="146"/>
    </w:p>
    <w:p w14:paraId="504E2990" w14:textId="0783BC54" w:rsidR="00E77C05" w:rsidRPr="00DC28B0" w:rsidRDefault="00E77C05" w:rsidP="008314B8">
      <w:pPr>
        <w:pStyle w:val="H23G"/>
      </w:pPr>
      <w:bookmarkStart w:id="147" w:name="lt_pId175"/>
      <w:r>
        <w:tab/>
      </w:r>
      <w:r w:rsidR="008314B8">
        <w:tab/>
      </w:r>
      <w:r w:rsidRPr="00DC28B0">
        <w:t>Asistencia para el desarrollo</w:t>
      </w:r>
      <w:bookmarkEnd w:id="147"/>
    </w:p>
    <w:p w14:paraId="619D522D" w14:textId="0D6E3C33" w:rsidR="00E77C05" w:rsidRPr="00DC28B0" w:rsidRDefault="00E77C05" w:rsidP="00B62663">
      <w:pPr>
        <w:pStyle w:val="SingleTxtG"/>
      </w:pPr>
      <w:bookmarkStart w:id="148" w:name="lt_pId176"/>
      <w:r w:rsidRPr="00DC28B0">
        <w:t>34.</w:t>
      </w:r>
      <w:r w:rsidRPr="00DC28B0">
        <w:tab/>
        <w:t xml:space="preserve">El Canadá otorga una gran prioridad a la calidad y la eficacia de la ayuda que presta, así como al avance de la innovación en materia de desarrollo para lograr mejores resultados. </w:t>
      </w:r>
      <w:bookmarkStart w:id="149" w:name="lt_pId177"/>
      <w:bookmarkEnd w:id="148"/>
      <w:r w:rsidRPr="00DC28B0">
        <w:t>Entre 2019 y 2020, la asistencia oficial para el desarrollo global del Canadá aumentó de 4.700</w:t>
      </w:r>
      <w:r w:rsidR="00C26433">
        <w:t> </w:t>
      </w:r>
      <w:r w:rsidRPr="00DC28B0">
        <w:t>a 5.000 millones de dólares de los EE.UU. y la ratio entre esa asistencia y el ingreso nacional bruto pasó de 0,27 a 0,31.</w:t>
      </w:r>
      <w:bookmarkEnd w:id="149"/>
    </w:p>
    <w:p w14:paraId="6B667285" w14:textId="63DC93E4" w:rsidR="00E77C05" w:rsidRPr="00DC28B0" w:rsidRDefault="00E77C05" w:rsidP="008314B8">
      <w:pPr>
        <w:pStyle w:val="H1G"/>
      </w:pPr>
      <w:bookmarkStart w:id="150" w:name="lt_pId178"/>
      <w:r>
        <w:tab/>
      </w:r>
      <w:r w:rsidR="008314B8">
        <w:tab/>
      </w:r>
      <w:r w:rsidRPr="00DC28B0">
        <w:t>Respuesta al párrafo 9 de la lista de cuestiones</w:t>
      </w:r>
      <w:bookmarkEnd w:id="150"/>
    </w:p>
    <w:p w14:paraId="544440EA" w14:textId="3AB741FB" w:rsidR="00E77C05" w:rsidRPr="00DC28B0" w:rsidRDefault="00E77C05" w:rsidP="00B62663">
      <w:pPr>
        <w:pStyle w:val="SingleTxtG"/>
      </w:pPr>
      <w:bookmarkStart w:id="151" w:name="lt_pId179"/>
      <w:r w:rsidRPr="00DC28B0">
        <w:t>35.</w:t>
      </w:r>
      <w:r w:rsidRPr="00DC28B0">
        <w:tab/>
        <w:t>Entre las medidas adoptadas por el Gobierno Federal y los gobiernos provinciales y territoriales para abordar las causas profundas de la violencia, la pobreza, la vivienda inadecuada y la falta de hogar; los obstáculos para acceder al empleo, la atención sanitaria y la educación; y para eliminar las disparidades socioeconómicas entre las poblaciones indígenas y no indígenas cabe mencionar</w:t>
      </w:r>
      <w:bookmarkEnd w:id="151"/>
      <w:r w:rsidR="00E74EE7">
        <w:t>.</w:t>
      </w:r>
    </w:p>
    <w:p w14:paraId="597B40BA" w14:textId="20228692" w:rsidR="00E77C05" w:rsidRPr="00DC28B0" w:rsidRDefault="00E77C05" w:rsidP="008314B8">
      <w:pPr>
        <w:pStyle w:val="H23G"/>
      </w:pPr>
      <w:bookmarkStart w:id="152" w:name="lt_pId181"/>
      <w:r>
        <w:tab/>
      </w:r>
      <w:r w:rsidR="008314B8">
        <w:tab/>
      </w:r>
      <w:r w:rsidRPr="00DC28B0">
        <w:t>Violencia</w:t>
      </w:r>
      <w:bookmarkEnd w:id="152"/>
    </w:p>
    <w:p w14:paraId="686EF2BD" w14:textId="77777777" w:rsidR="00E77C05" w:rsidRPr="00DC28B0" w:rsidRDefault="00E77C05" w:rsidP="00B62663">
      <w:pPr>
        <w:pStyle w:val="SingleTxtG"/>
      </w:pPr>
      <w:bookmarkStart w:id="153" w:name="lt_pId182"/>
      <w:r w:rsidRPr="00DC28B0">
        <w:t>36.</w:t>
      </w:r>
      <w:r w:rsidRPr="00DC28B0">
        <w:tab/>
        <w:t>El 3 de junio de 2021 se publicó el Plan de Acción Nacional para Erradicar la Violencia contra las Mujeres, las Niñas y las Personas de Dos Espíritus, Lesbianas, Gais, Bisexuales, Transgénero, Queer, que Cuestionan, Intersexuales y Asexuales Plus (</w:t>
      </w:r>
      <w:proofErr w:type="spellStart"/>
      <w:r w:rsidRPr="00DC28B0">
        <w:t>2ELGBTQQIA</w:t>
      </w:r>
      <w:proofErr w:type="spellEnd"/>
      <w:r w:rsidRPr="00DC28B0">
        <w:t>+).</w:t>
      </w:r>
      <w:bookmarkStart w:id="154" w:name="lt_pId183"/>
      <w:bookmarkEnd w:id="153"/>
    </w:p>
    <w:p w14:paraId="03632E55" w14:textId="77777777" w:rsidR="00E77C05" w:rsidRPr="00DC28B0" w:rsidRDefault="00E77C05" w:rsidP="00B62663">
      <w:pPr>
        <w:pStyle w:val="SingleTxtG"/>
      </w:pPr>
      <w:r w:rsidRPr="00DC28B0">
        <w:t>37.</w:t>
      </w:r>
      <w:r w:rsidRPr="00DC28B0">
        <w:tab/>
      </w:r>
      <w:bookmarkStart w:id="155" w:name="lt_pId184"/>
      <w:bookmarkEnd w:id="154"/>
      <w:r w:rsidRPr="00DC28B0">
        <w:t xml:space="preserve">En la Senda Federal sobre las Mujeres, las Niñas y las Personas Indígenas </w:t>
      </w:r>
      <w:proofErr w:type="spellStart"/>
      <w:r w:rsidRPr="00DC28B0">
        <w:t>2ELGBTQQIA</w:t>
      </w:r>
      <w:proofErr w:type="spellEnd"/>
      <w:r w:rsidRPr="00DC28B0">
        <w:t xml:space="preserve">+, que es un elemento clave del Plan de Acción Nacional, se describen los </w:t>
      </w:r>
      <w:r w:rsidRPr="00DC28B0">
        <w:lastRenderedPageBreak/>
        <w:t xml:space="preserve">compromisos del Gobierno para apoyar la lucha contra la violencia contra las mujeres, las niñas y las personas indígenas </w:t>
      </w:r>
      <w:proofErr w:type="spellStart"/>
      <w:r w:rsidRPr="00DC28B0">
        <w:t>2ELGBTQQIA</w:t>
      </w:r>
      <w:proofErr w:type="spellEnd"/>
      <w:r w:rsidRPr="00DC28B0">
        <w:t>+. En 2021, el Gobierno propuso inversiones para ayudar a construir una sociedad más segura, fuerte e inclusiva, y para prevenir y combatir la violencia de género, lo que contribuirá a alcanzar los compromisos establecidos en la Senda Federal.</w:t>
      </w:r>
      <w:bookmarkEnd w:id="155"/>
    </w:p>
    <w:p w14:paraId="0EF5150D" w14:textId="707A035B" w:rsidR="00E77C05" w:rsidRPr="00DC28B0" w:rsidRDefault="00E77C05" w:rsidP="00B62663">
      <w:pPr>
        <w:pStyle w:val="SingleTxtG"/>
      </w:pPr>
      <w:bookmarkStart w:id="156" w:name="lt_pId185"/>
      <w:r w:rsidRPr="00DC28B0">
        <w:t>38.</w:t>
      </w:r>
      <w:r w:rsidRPr="00DC28B0">
        <w:tab/>
        <w:t>Las Seis Vías Hacia la Seguridad de Ontario (seguridad, cultura, salud y bienestar, justicia, identificación y lucha contra el racismo hacia las personas indígenas y el análisis comparativo de los sexos entre los indígenas, y responsabilidad, colectiva) constituyen la estrategia de la provincia en respuesta al informe final de la Encuesta Nacional sobre Mujeres y Niñas Indígenas Desaparecidas y Asesinadas. La estrategia incluye un conjunto de 118</w:t>
      </w:r>
      <w:r w:rsidR="00643DFD">
        <w:t> </w:t>
      </w:r>
      <w:r w:rsidRPr="00DC28B0">
        <w:t>iniciativas organizadas en seis vías que ayudarán a promover los cambios necesarios para eliminar las causas profundas de la violencia y fomentar una reconciliación genuina.</w:t>
      </w:r>
      <w:bookmarkEnd w:id="156"/>
    </w:p>
    <w:p w14:paraId="6B35409A" w14:textId="77777777" w:rsidR="00E77C05" w:rsidRPr="00DC28B0" w:rsidRDefault="00E77C05" w:rsidP="00B62663">
      <w:pPr>
        <w:pStyle w:val="SingleTxtG"/>
      </w:pPr>
      <w:r w:rsidRPr="00DC28B0">
        <w:t>39.</w:t>
      </w:r>
      <w:r w:rsidRPr="00DC28B0">
        <w:tab/>
        <w:t>En 2021, Ontario puso en marcha el Programa de Financiación del Mantenimiento de las Sepulturas de los Internados Indígenas y se comprometió a apoyar la identificación, investigación, protección y conmemoración de las sepulturas de los antiguos internados indígenas en toda la provincia. La función de las autoridades de la provincia es apoyar a los supervivientes y a las comunidades que llevan a cabo investigaciones sobre las sepulturas en cada uno de los internados indígenas de la provincia.</w:t>
      </w:r>
    </w:p>
    <w:p w14:paraId="74FC4C94" w14:textId="6791425D" w:rsidR="00E77C05" w:rsidRPr="00DC28B0" w:rsidRDefault="00E77C05" w:rsidP="008314B8">
      <w:pPr>
        <w:pStyle w:val="H23G"/>
      </w:pPr>
      <w:bookmarkStart w:id="157" w:name="lt_pId186"/>
      <w:r>
        <w:tab/>
      </w:r>
      <w:r w:rsidR="008314B8">
        <w:tab/>
      </w:r>
      <w:r w:rsidRPr="00DC28B0">
        <w:t>Pobreza</w:t>
      </w:r>
      <w:bookmarkEnd w:id="157"/>
    </w:p>
    <w:p w14:paraId="0E12B4B1" w14:textId="77777777" w:rsidR="00E77C05" w:rsidRPr="00DC28B0" w:rsidRDefault="00E77C05" w:rsidP="00B62663">
      <w:pPr>
        <w:pStyle w:val="SingleTxtG"/>
      </w:pPr>
      <w:bookmarkStart w:id="158" w:name="lt_pId187"/>
      <w:r w:rsidRPr="00DC28B0">
        <w:t>40.</w:t>
      </w:r>
      <w:r w:rsidRPr="00DC28B0">
        <w:tab/>
        <w:t>En 2018, el Gobierno del Canadá presentó la iniciativa “Oportunidades para Todos”, la primera estrategia de reducción de la pobreza del Canadá que tenía como objetivo reducir la pobreza en un 50 % para 2030 en comparación con los niveles de 2015</w:t>
      </w:r>
      <w:bookmarkEnd w:id="158"/>
      <w:r w:rsidRPr="00DC28B0">
        <w:t>. El Canadá</w:t>
      </w:r>
      <w:bookmarkStart w:id="159" w:name="lt_pId188"/>
      <w:r w:rsidRPr="00DC28B0">
        <w:t xml:space="preserve"> está trabajando con asociados indígenas para desarrollar conjuntamente indicadores de pobreza y bienestar desde la perspectiva de las Primeras Naciones, los inuit y los </w:t>
      </w:r>
      <w:proofErr w:type="spellStart"/>
      <w:r w:rsidRPr="00DC28B0">
        <w:t>métis</w:t>
      </w:r>
      <w:proofErr w:type="spellEnd"/>
      <w:r w:rsidRPr="00DC28B0">
        <w:t xml:space="preserve"> que faciliten la cuantificación de la pobreza entre las poblaciones indígenas de una manera culturalmente apropiada.</w:t>
      </w:r>
      <w:bookmarkEnd w:id="159"/>
    </w:p>
    <w:p w14:paraId="7EAAA591" w14:textId="4AABD3E2" w:rsidR="00E77C05" w:rsidRPr="00DC28B0" w:rsidRDefault="00E77C05" w:rsidP="008314B8">
      <w:pPr>
        <w:pStyle w:val="H23G"/>
      </w:pPr>
      <w:bookmarkStart w:id="160" w:name="lt_pId192"/>
      <w:r>
        <w:tab/>
      </w:r>
      <w:r w:rsidR="008314B8">
        <w:tab/>
      </w:r>
      <w:r w:rsidRPr="00DC28B0">
        <w:t>Alojamiento y personas sin hogar</w:t>
      </w:r>
      <w:bookmarkEnd w:id="160"/>
    </w:p>
    <w:p w14:paraId="739E9F83" w14:textId="77777777" w:rsidR="00E77C05" w:rsidRPr="00DC28B0" w:rsidRDefault="00E77C05" w:rsidP="00B62663">
      <w:pPr>
        <w:pStyle w:val="SingleTxtG"/>
      </w:pPr>
      <w:bookmarkStart w:id="161" w:name="lt_pId193"/>
      <w:r w:rsidRPr="00DC28B0">
        <w:t>41.</w:t>
      </w:r>
      <w:r w:rsidRPr="00DC28B0">
        <w:tab/>
        <w:t xml:space="preserve">La Estrategia Nacional de Vivienda del Gobierno del Canadá está orientada a ayudar a los asociados indígenas a construir casas, rehabilitar las existentes y hacer que las viviendas sean asequibles para los indígenas que viven en zonas urbanas y rurales y en las regiones del Norte. </w:t>
      </w:r>
      <w:bookmarkStart w:id="162" w:name="lt_pId194"/>
      <w:bookmarkEnd w:id="161"/>
      <w:r w:rsidRPr="00DC28B0">
        <w:t>Desde 2016, y hasta el 30 de septiembre de 2021, el Gobierno ha prestado apoyo para construcción, renovación o rehabilitación de 23.294 viviendas en comunidades indígenas.</w:t>
      </w:r>
      <w:bookmarkStart w:id="163" w:name="lt_pId195"/>
      <w:bookmarkEnd w:id="162"/>
      <w:r w:rsidRPr="00DC28B0">
        <w:t xml:space="preserve"> El Fondo Nacional de Inversión Conjunta en Vivienda, puesto en marcha en 2018 como parte de la Estrategia, sirve de apoyo a la construcción, renovación y rehabilitación de viviendas asequibles, refugios y viviendas de transición, también para las personas indígenas y supervivientes de la violencia de género.</w:t>
      </w:r>
      <w:bookmarkEnd w:id="163"/>
    </w:p>
    <w:p w14:paraId="275A5DE7" w14:textId="77777777" w:rsidR="00E77C05" w:rsidRPr="00DC28B0" w:rsidRDefault="00E77C05" w:rsidP="00B62663">
      <w:pPr>
        <w:pStyle w:val="SingleTxtG"/>
      </w:pPr>
      <w:bookmarkStart w:id="164" w:name="lt_pId196"/>
      <w:r w:rsidRPr="00DC28B0">
        <w:t>42.</w:t>
      </w:r>
      <w:r w:rsidRPr="00DC28B0">
        <w:tab/>
        <w:t xml:space="preserve">El Gobierno del Canadá, a través de la iniciativa “Hacia una casa propia: estrategia canadiense contra la falta de hogar”, proporciona financiación a las comunidades urbanas, indígenas, rurales y remotas para abordar las necesidades locales de las personas sin hogar. También presta asistencia a las poblaciones indígenas que viven fuera de las reservas y que carecen de hogar o corren el riesgo de quedarse sin hogar, aborda de forma diferenciada el problema de los indígenas sin hogar (Primeras Naciones, inuit y </w:t>
      </w:r>
      <w:proofErr w:type="spellStart"/>
      <w:r w:rsidRPr="00DC28B0">
        <w:t>métis</w:t>
      </w:r>
      <w:proofErr w:type="spellEnd"/>
      <w:r w:rsidRPr="00DC28B0">
        <w:t>) y apoya proyectos en los tres territorios del Canadá, reconociendo así sus problemas específicos en materia de falta de hogar.</w:t>
      </w:r>
    </w:p>
    <w:p w14:paraId="50D11D64" w14:textId="7C420462" w:rsidR="00E77C05" w:rsidRPr="00DC28B0" w:rsidRDefault="00E77C05" w:rsidP="00B62663">
      <w:pPr>
        <w:pStyle w:val="SingleTxtG"/>
        <w:rPr>
          <w:b/>
          <w:bCs/>
        </w:rPr>
      </w:pPr>
      <w:r w:rsidRPr="00DC28B0">
        <w:t>43.</w:t>
      </w:r>
      <w:r w:rsidRPr="00DC28B0">
        <w:tab/>
        <w:t>En el Plan de Acción Interministerial de Quebec para las Personas Sin Hogar 2015</w:t>
      </w:r>
      <w:r w:rsidR="008314B8">
        <w:noBreakHyphen/>
      </w:r>
      <w:r w:rsidRPr="00DC28B0">
        <w:t xml:space="preserve">2020, denominado “Movilizados y comprometidos para prevenir y reducir el problema de las personas sin hogar”, se contemplan medidas concretas para prevenir y reducir el problema, en particular entre las Primeras Naciones y los inuit. </w:t>
      </w:r>
      <w:bookmarkStart w:id="165" w:name="lt_pId197"/>
      <w:bookmarkEnd w:id="164"/>
      <w:r w:rsidRPr="00DC28B0">
        <w:t>Con el Plan se pretende poner en marcha medidas adaptadas a la realidad indígena, adquirir un mejor conocimiento del problema de las personas indígenas sin hogar y garantizar una mejor coordinación de los servicios.</w:t>
      </w:r>
      <w:bookmarkStart w:id="166" w:name="lt_pId198"/>
      <w:bookmarkEnd w:id="165"/>
    </w:p>
    <w:p w14:paraId="01616132" w14:textId="149AF366" w:rsidR="00E77C05" w:rsidRPr="00DC28B0" w:rsidRDefault="00E77C05" w:rsidP="008314B8">
      <w:pPr>
        <w:pStyle w:val="H23G"/>
      </w:pPr>
      <w:r>
        <w:lastRenderedPageBreak/>
        <w:tab/>
      </w:r>
      <w:r w:rsidR="008314B8">
        <w:tab/>
      </w:r>
      <w:r w:rsidRPr="00DC28B0">
        <w:t>Empleo</w:t>
      </w:r>
      <w:bookmarkEnd w:id="166"/>
    </w:p>
    <w:p w14:paraId="0FDA62CE" w14:textId="7EBF9A3E" w:rsidR="00E77C05" w:rsidRPr="00DC28B0" w:rsidRDefault="00E77C05" w:rsidP="00B62663">
      <w:pPr>
        <w:pStyle w:val="SingleTxtG"/>
      </w:pPr>
      <w:bookmarkStart w:id="167" w:name="lt_pId199"/>
      <w:r w:rsidRPr="00DC28B0">
        <w:t>44.</w:t>
      </w:r>
      <w:r w:rsidRPr="00DC28B0">
        <w:tab/>
        <w:t xml:space="preserve">Presentado en 2019, el Programa de Formación en Aptitudes y Empleo para Indígenas de Gobierno del Canadá está diseñado para ayudar a las personas pertenecientes a las Primeras Naciones, inuit, </w:t>
      </w:r>
      <w:proofErr w:type="spellStart"/>
      <w:r w:rsidRPr="00DC28B0">
        <w:t>métis</w:t>
      </w:r>
      <w:proofErr w:type="spellEnd"/>
      <w:r w:rsidRPr="00DC28B0">
        <w:t xml:space="preserve"> e indígenas urbanos o no afiliados a desarrollar sus aptitudes y alcanzar sus metas en materia de empleo a largo plazo. </w:t>
      </w:r>
      <w:bookmarkStart w:id="168" w:name="lt_pId200"/>
      <w:bookmarkEnd w:id="167"/>
      <w:r w:rsidRPr="00DC28B0">
        <w:t xml:space="preserve">Su objetivo es reducir la brecha de empleo en un 25 % y la brecha de competencias entre la población indígena y no indígena en un 50 % en un plazo de </w:t>
      </w:r>
      <w:r w:rsidR="00392043">
        <w:t>diez</w:t>
      </w:r>
      <w:r w:rsidRPr="00DC28B0">
        <w:t xml:space="preserve"> años. </w:t>
      </w:r>
      <w:bookmarkStart w:id="169" w:name="lt_pId201"/>
      <w:bookmarkEnd w:id="168"/>
      <w:r w:rsidRPr="00DC28B0">
        <w:t xml:space="preserve">En 2020-2021, el programa atendió a </w:t>
      </w:r>
      <w:r w:rsidR="00CB6268">
        <w:t>35.504</w:t>
      </w:r>
      <w:r w:rsidRPr="00DC28B0">
        <w:t xml:space="preserve"> beneficiarios, el 5</w:t>
      </w:r>
      <w:r w:rsidR="00CB6268">
        <w:t>0</w:t>
      </w:r>
      <w:r w:rsidRPr="00DC28B0">
        <w:t xml:space="preserve"> % de los cuales eran mujeres: </w:t>
      </w:r>
      <w:r w:rsidR="00CB6268">
        <w:t>14.535</w:t>
      </w:r>
      <w:r w:rsidRPr="00DC28B0">
        <w:t xml:space="preserve"> de esos beneficiarios encontraron empleo (el 4</w:t>
      </w:r>
      <w:r w:rsidR="00CB6268">
        <w:t>6</w:t>
      </w:r>
      <w:r w:rsidRPr="00DC28B0">
        <w:t xml:space="preserve"> % eran mujeres) y </w:t>
      </w:r>
      <w:r w:rsidR="00CB6268">
        <w:t>5.392</w:t>
      </w:r>
      <w:r w:rsidRPr="00DC28B0">
        <w:t xml:space="preserve"> volvieron a matricularse en la escuela (el 60 % eran mujeres).</w:t>
      </w:r>
      <w:bookmarkEnd w:id="169"/>
    </w:p>
    <w:p w14:paraId="480D2FAF" w14:textId="0BAF2DD9" w:rsidR="00E77C05" w:rsidRPr="00DC28B0" w:rsidRDefault="00E77C05" w:rsidP="008314B8">
      <w:pPr>
        <w:pStyle w:val="H23G"/>
      </w:pPr>
      <w:bookmarkStart w:id="170" w:name="lt_pId202"/>
      <w:r>
        <w:tab/>
      </w:r>
      <w:r w:rsidR="008314B8">
        <w:tab/>
      </w:r>
      <w:r w:rsidRPr="00DC28B0">
        <w:t>Sanidad</w:t>
      </w:r>
      <w:bookmarkEnd w:id="170"/>
    </w:p>
    <w:p w14:paraId="3CEB306B" w14:textId="77777777" w:rsidR="00E77C05" w:rsidRPr="00DC28B0" w:rsidRDefault="00E77C05" w:rsidP="00B62663">
      <w:pPr>
        <w:pStyle w:val="SingleTxtG"/>
      </w:pPr>
      <w:bookmarkStart w:id="171" w:name="lt_pId203"/>
      <w:r w:rsidRPr="00DC28B0">
        <w:t>45.</w:t>
      </w:r>
      <w:r w:rsidRPr="00DC28B0">
        <w:tab/>
        <w:t>Los programas “Navegador para pacientes indígenas” y “Navegador para enfermos de cáncer indígenas” de Alberta tienen por objeto mejorar los resultados de los pacientes y hacer frente a las desigualdades en la esfera sanitaria entre las poblaciones indígenas y no indígenas, ayudando a aquellas a orientarse en la compleja gama de programas y servicios que ofrecen los servicios de salud de la provincia.</w:t>
      </w:r>
      <w:bookmarkStart w:id="172" w:name="lt_pId204"/>
      <w:bookmarkEnd w:id="171"/>
    </w:p>
    <w:p w14:paraId="25AD40F4" w14:textId="77777777" w:rsidR="00E77C05" w:rsidRPr="00DC28B0" w:rsidRDefault="00E77C05" w:rsidP="00B62663">
      <w:pPr>
        <w:pStyle w:val="SingleTxtG"/>
      </w:pPr>
      <w:r w:rsidRPr="00DC28B0">
        <w:t>46.</w:t>
      </w:r>
      <w:r w:rsidRPr="00DC28B0">
        <w:tab/>
        <w:t xml:space="preserve">En mayo de 2021, el Departamento de Salud y Bienestar de Nueva Escocia creó la División de Igualdad y Compromiso. </w:t>
      </w:r>
      <w:bookmarkStart w:id="173" w:name="lt_pId207"/>
      <w:bookmarkEnd w:id="172"/>
      <w:r w:rsidRPr="00DC28B0">
        <w:t>Parte de su mandato consiste en trabajar con los dirigentes y las comunidades indígenas para ayudarles a comprender los obstáculos sistémicos que dificultan la atención de la salud, fomentar el intercambio respetuoso de opiniones y administrar programas para mejorar los resultados a largo plazo en materia de igualdad sanitaria entre las poblaciones indígenas. Los resultados ayudarán a establecer prioridades específicas en materia sanitaria y otros determinantes sociales de la salud dentro de la jurisdicción del Departamento.</w:t>
      </w:r>
      <w:bookmarkEnd w:id="173"/>
    </w:p>
    <w:p w14:paraId="02A1A071" w14:textId="5A7E9640" w:rsidR="00E77C05" w:rsidRPr="00DC28B0" w:rsidRDefault="00E77C05" w:rsidP="008314B8">
      <w:pPr>
        <w:pStyle w:val="H23G"/>
      </w:pPr>
      <w:bookmarkStart w:id="174" w:name="lt_pId208"/>
      <w:r>
        <w:tab/>
      </w:r>
      <w:r w:rsidR="008314B8">
        <w:tab/>
      </w:r>
      <w:r w:rsidRPr="00DC28B0">
        <w:t>Educación</w:t>
      </w:r>
      <w:bookmarkEnd w:id="174"/>
    </w:p>
    <w:p w14:paraId="0D94D3B0" w14:textId="77777777" w:rsidR="00E77C05" w:rsidRPr="00DC28B0" w:rsidRDefault="00E77C05" w:rsidP="00B62663">
      <w:pPr>
        <w:pStyle w:val="SingleTxtG"/>
      </w:pPr>
      <w:bookmarkStart w:id="175" w:name="lt_pId209"/>
      <w:r w:rsidRPr="00DC28B0">
        <w:t>47.</w:t>
      </w:r>
      <w:r w:rsidRPr="00DC28B0">
        <w:tab/>
        <w:t xml:space="preserve">El marco normativo de Saskatchewan, denominado “Fomentar el éxito: un marco de políticas para la educación de las Primeras Naciones y los </w:t>
      </w:r>
      <w:proofErr w:type="spellStart"/>
      <w:r w:rsidRPr="00DC28B0">
        <w:t>métis</w:t>
      </w:r>
      <w:proofErr w:type="spellEnd"/>
      <w:r w:rsidRPr="00DC28B0">
        <w:t xml:space="preserve">, del jardín de infancia hasta el grado 12”, sirve para orientar la dirección estratégica de todas las iniciativas de educación de las Primeras Naciones y los </w:t>
      </w:r>
      <w:proofErr w:type="spellStart"/>
      <w:r w:rsidRPr="00DC28B0">
        <w:t>métis</w:t>
      </w:r>
      <w:proofErr w:type="spellEnd"/>
      <w:r w:rsidRPr="00DC28B0">
        <w:t xml:space="preserve"> a nivel provincial, de distrito y de escuela. </w:t>
      </w:r>
      <w:bookmarkStart w:id="176" w:name="lt_pId210"/>
      <w:bookmarkEnd w:id="175"/>
      <w:r w:rsidRPr="00DC28B0">
        <w:t>El marco apoya la integración de los contenidos, las perspectivas y las formas de conocimiento indígenas en unos planes de estudios renovados en beneficio de todos los alumnos; la enseñanza de la cultura, la lengua y la historia indígenas en las aulas; el establecimiento de relaciones positivas; la reconciliación; y la enseñanza obligatoria de los tratados.</w:t>
      </w:r>
      <w:bookmarkEnd w:id="176"/>
    </w:p>
    <w:p w14:paraId="2189C91B" w14:textId="45570CD6" w:rsidR="00E77C05" w:rsidRPr="00DC28B0" w:rsidRDefault="00E77C05" w:rsidP="008314B8">
      <w:pPr>
        <w:pStyle w:val="H23G"/>
      </w:pPr>
      <w:r>
        <w:tab/>
      </w:r>
      <w:r w:rsidR="008314B8">
        <w:tab/>
      </w:r>
      <w:r w:rsidRPr="00DC28B0">
        <w:t>Presupuesto anual asignado a los Pueblos Indígenas</w:t>
      </w:r>
    </w:p>
    <w:p w14:paraId="3DF4C3D6" w14:textId="0F59B9BE" w:rsidR="00E77C05" w:rsidRPr="00DC28B0" w:rsidRDefault="00E77C05" w:rsidP="00B62663">
      <w:pPr>
        <w:pStyle w:val="SingleTxtG"/>
      </w:pPr>
      <w:bookmarkStart w:id="177" w:name="lt_pId212"/>
      <w:r w:rsidRPr="00DC28B0">
        <w:t>48.</w:t>
      </w:r>
      <w:r w:rsidRPr="00DC28B0">
        <w:tab/>
        <w:t>Las inversiones federales destinadas a atender prioridades indígenas en general alcanzaron aproximadamente 12.900 millones de dólares canadienses en el ejercicio 2016</w:t>
      </w:r>
      <w:r w:rsidR="00976E2D">
        <w:t>/</w:t>
      </w:r>
      <w:r w:rsidRPr="00DC28B0">
        <w:t>17, 15.400 millones en 2017</w:t>
      </w:r>
      <w:r w:rsidR="00976E2D">
        <w:t>/</w:t>
      </w:r>
      <w:r w:rsidRPr="00DC28B0">
        <w:t>18, 17.000 millones en 2018</w:t>
      </w:r>
      <w:r w:rsidR="00976E2D">
        <w:t>/</w:t>
      </w:r>
      <w:r w:rsidRPr="00DC28B0">
        <w:t>19 y 20.500 millones en 2019</w:t>
      </w:r>
      <w:r w:rsidR="00976E2D">
        <w:t>/</w:t>
      </w:r>
      <w:r w:rsidRPr="00DC28B0">
        <w:t xml:space="preserve">20. </w:t>
      </w:r>
      <w:bookmarkStart w:id="178" w:name="lt_pId213"/>
      <w:bookmarkEnd w:id="177"/>
      <w:r w:rsidRPr="00DC28B0">
        <w:t>Eso representa un aumento del 59 % entre los ejercicios 2016</w:t>
      </w:r>
      <w:r w:rsidR="00976E2D">
        <w:t>/</w:t>
      </w:r>
      <w:r w:rsidRPr="00DC28B0">
        <w:t>17 y 2019</w:t>
      </w:r>
      <w:r w:rsidR="00976E2D">
        <w:t>/</w:t>
      </w:r>
      <w:r w:rsidRPr="00DC28B0">
        <w:t xml:space="preserve">20. </w:t>
      </w:r>
      <w:bookmarkStart w:id="179" w:name="lt_pId214"/>
      <w:bookmarkEnd w:id="178"/>
      <w:r w:rsidRPr="00DC28B0">
        <w:t xml:space="preserve">En 2021 se anunciaron inversiones adicionales de más de 18.000 millones de dólares canadienses en los próximos cinco años para mejorar la calidad de vida y crear nuevas oportunidades para las personas que viven en comunidades indígenas. </w:t>
      </w:r>
      <w:bookmarkStart w:id="180" w:name="lt_pId215"/>
      <w:bookmarkEnd w:id="179"/>
      <w:r w:rsidRPr="00DC28B0">
        <w:t>Cabe señalar que en esas cifras no se han tenido en cuenta las inversiones generales adicionales realizadas en el marco de otras iniciativas federales que pueden beneficiar a los pueblos y comunidades indígenas, como el plan Invertir en el Canadá o el Fondo Universal de Banda Ancha.</w:t>
      </w:r>
      <w:bookmarkEnd w:id="180"/>
    </w:p>
    <w:p w14:paraId="7209B6F7" w14:textId="379443B0" w:rsidR="00E77C05" w:rsidRPr="00DC28B0" w:rsidRDefault="00E77C05" w:rsidP="008314B8">
      <w:pPr>
        <w:pStyle w:val="H1G"/>
      </w:pPr>
      <w:bookmarkStart w:id="181" w:name="lt_pId216"/>
      <w:r>
        <w:lastRenderedPageBreak/>
        <w:tab/>
      </w:r>
      <w:r w:rsidR="008314B8">
        <w:tab/>
      </w:r>
      <w:r w:rsidRPr="00DC28B0">
        <w:t xml:space="preserve">Respuesta al párrafo 10 de la lista de cuestiones </w:t>
      </w:r>
      <w:bookmarkEnd w:id="181"/>
    </w:p>
    <w:p w14:paraId="79BD13D8" w14:textId="4DF57786" w:rsidR="00E77C05" w:rsidRPr="00DC28B0" w:rsidRDefault="00E77C05" w:rsidP="008314B8">
      <w:pPr>
        <w:pStyle w:val="H23G"/>
      </w:pPr>
      <w:bookmarkStart w:id="182" w:name="lt_pId217"/>
      <w:r>
        <w:tab/>
      </w:r>
      <w:r w:rsidR="008314B8">
        <w:tab/>
      </w:r>
      <w:r w:rsidRPr="00DC28B0">
        <w:t>Población por debajo del umbral de pobreza</w:t>
      </w:r>
      <w:bookmarkEnd w:id="182"/>
    </w:p>
    <w:p w14:paraId="65AF37E2" w14:textId="77777777" w:rsidR="00E77C05" w:rsidRPr="00DC28B0" w:rsidRDefault="00E77C05" w:rsidP="00B62663">
      <w:pPr>
        <w:pStyle w:val="SingleTxtG"/>
      </w:pPr>
      <w:bookmarkStart w:id="183" w:name="lt_pId218"/>
      <w:r w:rsidRPr="00DC28B0">
        <w:t>49.</w:t>
      </w:r>
      <w:r w:rsidRPr="00DC28B0">
        <w:tab/>
        <w:t xml:space="preserve">El Canadá ha avanzado considerablemente en la reducción de la pobreza en los últimos años. </w:t>
      </w:r>
      <w:bookmarkStart w:id="184" w:name="lt_pId219"/>
      <w:bookmarkEnd w:id="183"/>
      <w:bookmarkEnd w:id="184"/>
      <w:r w:rsidRPr="00DC28B0">
        <w:t>Entre 2015 y 2019, la proporción de la población canadiense que vivía por debajo del umbral de pobreza se redujo en un 4,2 %, del 14,5 % al 10,3 %</w:t>
      </w:r>
      <w:r w:rsidRPr="00DC28B0">
        <w:rPr>
          <w:rStyle w:val="Refdenotaalpie"/>
          <w:rFonts w:eastAsiaTheme="minorHAnsi"/>
        </w:rPr>
        <w:footnoteReference w:id="4"/>
      </w:r>
      <w:r w:rsidRPr="00DC28B0">
        <w:t>.</w:t>
      </w:r>
    </w:p>
    <w:p w14:paraId="0DFFC108" w14:textId="77777777" w:rsidR="00E77C05" w:rsidRPr="00DC28B0" w:rsidRDefault="00E77C05" w:rsidP="00B62663">
      <w:pPr>
        <w:pStyle w:val="SingleTxtG"/>
      </w:pPr>
      <w:bookmarkStart w:id="186" w:name="lt_pId220"/>
      <w:r w:rsidRPr="00DC28B0">
        <w:t>50.</w:t>
      </w:r>
      <w:r w:rsidRPr="00DC28B0">
        <w:tab/>
        <w:t>La desigualdad, tal como se define en la pregunta formulada por el Comité, ha mejorado ligeramente durante este período:</w:t>
      </w:r>
      <w:bookmarkEnd w:id="186"/>
    </w:p>
    <w:p w14:paraId="279D00E9" w14:textId="40446D19" w:rsidR="00E77C05" w:rsidRPr="00DC28B0" w:rsidRDefault="00E77C05" w:rsidP="008314B8">
      <w:pPr>
        <w:pStyle w:val="Bullet1G"/>
        <w:rPr>
          <w:rFonts w:eastAsiaTheme="minorEastAsia"/>
        </w:rPr>
      </w:pPr>
      <w:bookmarkStart w:id="187" w:name="lt_pId221"/>
      <w:r w:rsidRPr="00DC28B0">
        <w:rPr>
          <w:rFonts w:eastAsiaTheme="minorEastAsia"/>
        </w:rPr>
        <w:t>La proporción de la renta ajustada después de impuestos correspondiente al decil más rico disminuyó del 23,5 % al 22,6 %.</w:t>
      </w:r>
      <w:bookmarkEnd w:id="187"/>
    </w:p>
    <w:p w14:paraId="4D38BC8A" w14:textId="30B861E9" w:rsidR="00E77C05" w:rsidRPr="00DC28B0" w:rsidRDefault="00E77C05" w:rsidP="008314B8">
      <w:pPr>
        <w:pStyle w:val="Bullet1G"/>
        <w:rPr>
          <w:rFonts w:eastAsiaTheme="minorEastAsia"/>
        </w:rPr>
      </w:pPr>
      <w:bookmarkStart w:id="188" w:name="lt_pId222"/>
      <w:r w:rsidRPr="00DC28B0">
        <w:rPr>
          <w:rFonts w:eastAsiaTheme="minorEastAsia"/>
        </w:rPr>
        <w:t>La proporción de la renta que corresponde al 40 % más pobre ha aumentado ligeramente, del 20,2 % (en 2015) al 21,0 % (en 2019).</w:t>
      </w:r>
      <w:bookmarkEnd w:id="188"/>
    </w:p>
    <w:p w14:paraId="14A5E86E" w14:textId="2C9106E1" w:rsidR="00E77C05" w:rsidRPr="00DC28B0" w:rsidRDefault="00E77C05" w:rsidP="008314B8">
      <w:pPr>
        <w:pStyle w:val="H23G"/>
      </w:pPr>
      <w:bookmarkStart w:id="189" w:name="lt_pId223"/>
      <w:r>
        <w:tab/>
      </w:r>
      <w:r w:rsidR="008314B8">
        <w:tab/>
      </w:r>
      <w:r w:rsidRPr="00DC28B0">
        <w:t>Proporción de los ingresos públicos financiada mediante impuestos</w:t>
      </w:r>
      <w:bookmarkEnd w:id="189"/>
    </w:p>
    <w:p w14:paraId="3BD285D3" w14:textId="2B693118" w:rsidR="00E77C05" w:rsidRPr="00DC28B0" w:rsidRDefault="00E77C05" w:rsidP="00B62663">
      <w:pPr>
        <w:pStyle w:val="SingleTxtG"/>
      </w:pPr>
      <w:bookmarkStart w:id="190" w:name="lt_pId224"/>
      <w:r w:rsidRPr="00DC28B0">
        <w:t>51.</w:t>
      </w:r>
      <w:r w:rsidRPr="00DC28B0">
        <w:tab/>
        <w:t>En los últimos diez años, la proporción de los ingresos públicos procedente de los impuestos (es decir, el impuesto sobre la renta y los impuestos especiales) ha aumentado del 82,4 % en el ejercicio 2009</w:t>
      </w:r>
      <w:r w:rsidR="00A21552">
        <w:t>/</w:t>
      </w:r>
      <w:r w:rsidRPr="00DC28B0">
        <w:t>10 al 84,1 % en 2019</w:t>
      </w:r>
      <w:r w:rsidR="00A21552">
        <w:t>/</w:t>
      </w:r>
      <w:r w:rsidRPr="00DC28B0">
        <w:t>20.</w:t>
      </w:r>
      <w:bookmarkEnd w:id="190"/>
    </w:p>
    <w:p w14:paraId="1664BC88" w14:textId="52C1BA68" w:rsidR="00E77C05" w:rsidRPr="00DC28B0" w:rsidRDefault="00E77C05" w:rsidP="008314B8">
      <w:pPr>
        <w:pStyle w:val="H23G"/>
      </w:pPr>
      <w:bookmarkStart w:id="191" w:name="lt_pId225"/>
      <w:r>
        <w:tab/>
      </w:r>
      <w:r w:rsidR="008314B8">
        <w:tab/>
      </w:r>
      <w:r w:rsidRPr="00DC28B0">
        <w:t>Tipos impositivos</w:t>
      </w:r>
      <w:bookmarkEnd w:id="191"/>
    </w:p>
    <w:p w14:paraId="31A16ED2" w14:textId="77777777" w:rsidR="00E77C05" w:rsidRPr="00DC28B0" w:rsidRDefault="00E77C05" w:rsidP="00B62663">
      <w:pPr>
        <w:pStyle w:val="SingleTxtG"/>
      </w:pPr>
      <w:bookmarkStart w:id="192" w:name="lt_pId226"/>
      <w:r w:rsidRPr="00DC28B0">
        <w:t>52.</w:t>
      </w:r>
      <w:r w:rsidRPr="00DC28B0">
        <w:tab/>
        <w:t>Los tipos impositivos federales también experimentaron diversos cambios entre 2009 y 2019:</w:t>
      </w:r>
      <w:bookmarkEnd w:id="192"/>
    </w:p>
    <w:p w14:paraId="192537B9" w14:textId="27BA24B7" w:rsidR="00E77C05" w:rsidRPr="00DC28B0" w:rsidRDefault="00E77C05" w:rsidP="008314B8">
      <w:pPr>
        <w:pStyle w:val="Bullet1G"/>
        <w:rPr>
          <w:rFonts w:eastAsiaTheme="minorEastAsia"/>
        </w:rPr>
      </w:pPr>
      <w:bookmarkStart w:id="193" w:name="lt_pId227"/>
      <w:r w:rsidRPr="00DC28B0">
        <w:rPr>
          <w:rFonts w:eastAsiaTheme="minorEastAsia"/>
        </w:rPr>
        <w:t>Los tipos del impuesto de sociedades se redujeron del 19 % al 15 % para las empresas en general, y del 11 % al 9 % para las pequeñas empresas.</w:t>
      </w:r>
      <w:bookmarkEnd w:id="193"/>
    </w:p>
    <w:p w14:paraId="43D767FC" w14:textId="6A5D8A0A" w:rsidR="00E77C05" w:rsidRPr="00DC28B0" w:rsidRDefault="00E77C05" w:rsidP="008314B8">
      <w:pPr>
        <w:pStyle w:val="Bullet1G"/>
        <w:rPr>
          <w:rFonts w:eastAsiaTheme="minorEastAsia"/>
        </w:rPr>
      </w:pPr>
      <w:r w:rsidRPr="00DC28B0">
        <w:rPr>
          <w:rFonts w:eastAsiaTheme="minorEastAsia"/>
        </w:rPr>
        <w:t xml:space="preserve">Durante ese período, </w:t>
      </w:r>
      <w:r w:rsidRPr="00DC28B0">
        <w:t xml:space="preserve">el tipo del impuesto sobre la renta de las personas físicas se redujo del 22 % al 20,5 % </w:t>
      </w:r>
      <w:r w:rsidRPr="00DC28B0">
        <w:rPr>
          <w:rFonts w:eastAsiaTheme="minorEastAsia"/>
        </w:rPr>
        <w:t>para las rentas medias (el segundo tramo más bajo) y se añadió un nuevo tramo para las rentas más altas, para las que el tipo impositivo aumentó del 29 % al 33 %.</w:t>
      </w:r>
    </w:p>
    <w:p w14:paraId="39BCF5BB" w14:textId="1D0ED265" w:rsidR="00E77C05" w:rsidRPr="00DC28B0" w:rsidRDefault="00E77C05" w:rsidP="008314B8">
      <w:pPr>
        <w:pStyle w:val="Bullet1G"/>
        <w:rPr>
          <w:rFonts w:eastAsiaTheme="minorEastAsia"/>
        </w:rPr>
      </w:pPr>
      <w:bookmarkStart w:id="194" w:name="lt_pId231"/>
      <w:r w:rsidRPr="00DC28B0">
        <w:rPr>
          <w:rFonts w:eastAsiaTheme="minorEastAsia"/>
        </w:rPr>
        <w:t xml:space="preserve">El impuesto federal sobre el valor añadido, o impuesto sobre los bienes y servicios, se </w:t>
      </w:r>
      <w:r w:rsidRPr="00DC28B0">
        <w:t xml:space="preserve">mantuvo </w:t>
      </w:r>
      <w:r w:rsidRPr="00DC28B0">
        <w:rPr>
          <w:rFonts w:eastAsiaTheme="minorEastAsia"/>
        </w:rPr>
        <w:t>en el 5 %.</w:t>
      </w:r>
      <w:bookmarkEnd w:id="194"/>
    </w:p>
    <w:p w14:paraId="212BCFD7" w14:textId="18FB7915" w:rsidR="00E77C05" w:rsidRPr="00DC28B0" w:rsidRDefault="00E77C05" w:rsidP="008314B8">
      <w:pPr>
        <w:pStyle w:val="Bullet1G"/>
        <w:rPr>
          <w:rFonts w:eastAsiaTheme="minorEastAsia"/>
        </w:rPr>
      </w:pPr>
      <w:r w:rsidRPr="00DC28B0">
        <w:rPr>
          <w:rFonts w:eastAsiaTheme="minorEastAsia"/>
        </w:rPr>
        <w:t>El Gobierno del Canadá aplica un impuesto especial a tanto alzado de 10 céntimos por litro a la gasolina (desde 1995) y de 4 céntimos por litro al gasóleo (desde 1987)</w:t>
      </w:r>
      <w:r w:rsidR="00FA6C18" w:rsidRPr="00DC28B0">
        <w:rPr>
          <w:rStyle w:val="Refdenotaalpie"/>
          <w:rFonts w:eastAsiaTheme="minorEastAsia"/>
        </w:rPr>
        <w:footnoteReference w:id="5"/>
      </w:r>
      <w:r w:rsidRPr="00DC28B0">
        <w:rPr>
          <w:rFonts w:eastAsiaTheme="minorEastAsia"/>
        </w:rPr>
        <w:t>.</w:t>
      </w:r>
    </w:p>
    <w:p w14:paraId="28D13AD5" w14:textId="77777777" w:rsidR="00E77C05" w:rsidRPr="00DC28B0" w:rsidRDefault="00E77C05" w:rsidP="00B62663">
      <w:pPr>
        <w:pStyle w:val="SingleTxtG"/>
      </w:pPr>
      <w:bookmarkStart w:id="196" w:name="lt_pId233"/>
      <w:r w:rsidRPr="00DC28B0">
        <w:t>53.</w:t>
      </w:r>
      <w:r w:rsidRPr="00DC28B0">
        <w:tab/>
        <w:t>En general, en 2018 el Gobierno Federal y los gobiernos provinciales y territoriales recaudaron el 54 % del impuesto sobre la renta de las personas físicas del decil de ingresos más altos de la población, en comparación con el 55 % en 2008.</w:t>
      </w:r>
      <w:bookmarkEnd w:id="196"/>
    </w:p>
    <w:p w14:paraId="7DCABB0B" w14:textId="77777777" w:rsidR="00E77C05" w:rsidRPr="00DC28B0" w:rsidRDefault="00E77C05" w:rsidP="00B62663">
      <w:pPr>
        <w:pStyle w:val="SingleTxtG"/>
      </w:pPr>
      <w:bookmarkStart w:id="197" w:name="lt_pId234"/>
      <w:r w:rsidRPr="00DC28B0">
        <w:t>54.</w:t>
      </w:r>
      <w:r w:rsidRPr="00DC28B0">
        <w:tab/>
        <w:t>En los cuadros 1 a 3 del anexo 1 pueden verse más detalles sobre el presupuesto público asignado a las prioridades sociales y los niveles absolutos de gasto social ajustados a la inflación.</w:t>
      </w:r>
      <w:bookmarkEnd w:id="197"/>
    </w:p>
    <w:p w14:paraId="657681A4" w14:textId="35279F40" w:rsidR="00E77C05" w:rsidRPr="00DC28B0" w:rsidRDefault="00E77C05" w:rsidP="00FA6C18">
      <w:pPr>
        <w:pStyle w:val="H1G"/>
      </w:pPr>
      <w:bookmarkStart w:id="198" w:name="lt_pId235"/>
      <w:r>
        <w:tab/>
      </w:r>
      <w:r w:rsidR="00FA6C18">
        <w:tab/>
      </w:r>
      <w:r w:rsidRPr="00DC28B0">
        <w:t xml:space="preserve">Respuesta al párrafo 11 de la lista de cuestiones </w:t>
      </w:r>
      <w:bookmarkEnd w:id="198"/>
    </w:p>
    <w:p w14:paraId="0E58591B" w14:textId="4C151A03" w:rsidR="00E77C05" w:rsidRPr="00DC28B0" w:rsidRDefault="00E77C05" w:rsidP="00FA6C18">
      <w:pPr>
        <w:pStyle w:val="H23G"/>
      </w:pPr>
      <w:bookmarkStart w:id="199" w:name="lt_pId236"/>
      <w:r>
        <w:tab/>
      </w:r>
      <w:r w:rsidR="00FA6C18">
        <w:tab/>
      </w:r>
      <w:r w:rsidRPr="00DC28B0">
        <w:t>Efectos de las medidas de austeridad</w:t>
      </w:r>
      <w:bookmarkEnd w:id="199"/>
    </w:p>
    <w:p w14:paraId="6E5F2331" w14:textId="682BD622" w:rsidR="00E77C05" w:rsidRPr="00DC28B0" w:rsidRDefault="00E77C05" w:rsidP="00B62663">
      <w:pPr>
        <w:pStyle w:val="SingleTxtG"/>
      </w:pPr>
      <w:bookmarkStart w:id="200" w:name="lt_pId237"/>
      <w:r w:rsidRPr="00DC28B0">
        <w:t>55.</w:t>
      </w:r>
      <w:r w:rsidRPr="00DC28B0">
        <w:tab/>
      </w:r>
      <w:bookmarkEnd w:id="200"/>
      <w:r w:rsidRPr="00DC28B0">
        <w:t>Reconociendo los efectos negativos de las medidas de austeridad sobre las personas marginadas y desfavorecidas en su disfrute de los derechos a la seguridad social, la salud y la educación, el Gobierno Federal y los gobiernos provinciales y territoriales han aplicado medidas para mitigar esos efectos</w:t>
      </w:r>
      <w:r w:rsidR="00BB3F27">
        <w:t>.</w:t>
      </w:r>
    </w:p>
    <w:p w14:paraId="52D60C74" w14:textId="6093D508" w:rsidR="00E77C05" w:rsidRPr="00DC28B0" w:rsidRDefault="00E77C05" w:rsidP="00FA6C18">
      <w:pPr>
        <w:pStyle w:val="H23G"/>
      </w:pPr>
      <w:bookmarkStart w:id="201" w:name="lt_pId239"/>
      <w:r>
        <w:lastRenderedPageBreak/>
        <w:tab/>
      </w:r>
      <w:r w:rsidR="00FA6C18">
        <w:tab/>
      </w:r>
      <w:r w:rsidRPr="00DC28B0">
        <w:t>Seguridad social</w:t>
      </w:r>
      <w:bookmarkEnd w:id="201"/>
    </w:p>
    <w:p w14:paraId="78A8AF81" w14:textId="271FBB53" w:rsidR="00E77C05" w:rsidRPr="00DC28B0" w:rsidRDefault="00E77C05" w:rsidP="00B62663">
      <w:pPr>
        <w:pStyle w:val="SingleTxtG"/>
      </w:pPr>
      <w:bookmarkStart w:id="202" w:name="lt_pId240"/>
      <w:r w:rsidRPr="00DC28B0">
        <w:t>56.</w:t>
      </w:r>
      <w:r w:rsidRPr="00DC28B0">
        <w:tab/>
        <w:t xml:space="preserve">En 2018, el Gobierno del Canadá introdujo el subsidio de trabajo, un crédito fiscal reembolsable que complementa los ingresos de los trabajadores elegibles con ingresos bajos y medianos, con lo que se mejoran los incentivos para trabajar. </w:t>
      </w:r>
      <w:bookmarkStart w:id="203" w:name="lt_pId241"/>
      <w:bookmarkEnd w:id="202"/>
      <w:r w:rsidRPr="00DC28B0">
        <w:t xml:space="preserve">En 2021 se revisó el umbral de elegibilidad para el subsidio a fin de hacerlo accesible a alrededor de </w:t>
      </w:r>
      <w:r w:rsidR="00BC1516">
        <w:t>1</w:t>
      </w:r>
      <w:r w:rsidRPr="00DC28B0">
        <w:t xml:space="preserve"> millón más de canadienses. </w:t>
      </w:r>
      <w:bookmarkStart w:id="204" w:name="lt_pId242"/>
      <w:bookmarkEnd w:id="203"/>
      <w:r w:rsidRPr="00DC28B0">
        <w:t>Ese cambio ayudó a sacar de la pobreza a casi 100.000 personas más.</w:t>
      </w:r>
      <w:bookmarkEnd w:id="204"/>
    </w:p>
    <w:p w14:paraId="7A61E13E" w14:textId="77777777" w:rsidR="00E77C05" w:rsidRPr="00DC28B0" w:rsidRDefault="00E77C05" w:rsidP="00B62663">
      <w:pPr>
        <w:pStyle w:val="SingleTxtG"/>
      </w:pPr>
      <w:bookmarkStart w:id="205" w:name="lt_pId245"/>
      <w:r w:rsidRPr="00DC28B0">
        <w:t>57.</w:t>
      </w:r>
      <w:r w:rsidRPr="00DC28B0">
        <w:tab/>
        <w:t>En 2021, el Gobierno introdujo legislación para aumentar en un 10 % de forma permanente la pensión de seguridad en la vejez para los mayores de 75 años a fin de hacer frente a la mayor vulnerabilidad económica a la que se enfrentan los mayores a medida que envejecen. Como primer paso en la aplicación de esa medida, el Gobierno introdujo en agosto de 2021 una subvención única de 500 dólares no exenta de impuestos para cubrir las necesidades inmediatas de los beneficiarios de la pensión de seguridad en la vejez mayores de 75 años a partir del 30 de junio de 2022. Además, los pensionistas que reciben pocos o ningún ingreso aparte de esa pensión también pueden optar al suplemento de garantía de ingresos, una prestación mensual exenta de impuestos y condicionada a los ingresos que se abona a los beneficiarios de la pensión de seguridad en la vejez con bajos ingresos en todo el país.</w:t>
      </w:r>
      <w:bookmarkEnd w:id="205"/>
    </w:p>
    <w:p w14:paraId="180B119E" w14:textId="22607BFC" w:rsidR="00E77C05" w:rsidRPr="00DC28B0" w:rsidRDefault="00E77C05" w:rsidP="00FA6C18">
      <w:pPr>
        <w:pStyle w:val="H23G"/>
      </w:pPr>
      <w:bookmarkStart w:id="206" w:name="lt_pId246"/>
      <w:r>
        <w:tab/>
      </w:r>
      <w:r w:rsidR="00FA6C18">
        <w:tab/>
      </w:r>
      <w:r w:rsidRPr="00DC28B0">
        <w:t>Salud</w:t>
      </w:r>
      <w:bookmarkEnd w:id="206"/>
    </w:p>
    <w:p w14:paraId="7BAFAB3E" w14:textId="5C990C4F" w:rsidR="00E77C05" w:rsidRPr="00DC28B0" w:rsidRDefault="00E77C05" w:rsidP="00B62663">
      <w:pPr>
        <w:pStyle w:val="SingleTxtG"/>
      </w:pPr>
      <w:bookmarkStart w:id="207" w:name="lt_pId247"/>
      <w:r w:rsidRPr="00DC28B0">
        <w:t>58.</w:t>
      </w:r>
      <w:r w:rsidRPr="00DC28B0">
        <w:tab/>
        <w:t>Desde el ejercicio 2017</w:t>
      </w:r>
      <w:r w:rsidR="00BB3F27">
        <w:t>/</w:t>
      </w:r>
      <w:r w:rsidRPr="00DC28B0">
        <w:t>18, Ontario ha venido proporcionando financiación directa a</w:t>
      </w:r>
      <w:r w:rsidR="00BC1516">
        <w:t> </w:t>
      </w:r>
      <w:r w:rsidRPr="00DC28B0">
        <w:t>125 comunidades de las Primeras Naciones para ampliar el acceso a los servicios de atención domiciliaria y comunitaria, incluidas las visitas de enfermería a domicilio y los apoyos personales y comunitarios, como el transporte para las personas con problemas de movilidad, y para mejorar el acceso a esos servicios de atención en más de 20 centros de prestación de cuidados en toda la provincia con el fin de facilitar el acceso a la atención de las poblaciones indígenas que viven en zonas urbanas.</w:t>
      </w:r>
      <w:bookmarkEnd w:id="207"/>
    </w:p>
    <w:p w14:paraId="1D49695B" w14:textId="6A81317C" w:rsidR="00E77C05" w:rsidRPr="00DC28B0" w:rsidRDefault="00E77C05" w:rsidP="00FA6C18">
      <w:pPr>
        <w:pStyle w:val="H23G"/>
      </w:pPr>
      <w:bookmarkStart w:id="208" w:name="lt_pId248"/>
      <w:r>
        <w:tab/>
      </w:r>
      <w:r w:rsidR="00FA6C18">
        <w:tab/>
      </w:r>
      <w:r w:rsidRPr="00DC28B0">
        <w:t>Educación</w:t>
      </w:r>
      <w:bookmarkEnd w:id="208"/>
    </w:p>
    <w:p w14:paraId="245B770A" w14:textId="77777777" w:rsidR="00E77C05" w:rsidRPr="00DC28B0" w:rsidRDefault="00E77C05" w:rsidP="00B62663">
      <w:pPr>
        <w:pStyle w:val="SingleTxtG"/>
      </w:pPr>
      <w:bookmarkStart w:id="209" w:name="lt_pId249"/>
      <w:r w:rsidRPr="00DC28B0">
        <w:t>59.</w:t>
      </w:r>
      <w:r w:rsidRPr="00DC28B0">
        <w:tab/>
        <w:t xml:space="preserve">En 2021, Terranova y Labrador anunció una nueva subvención destinada a compensar los gastos de matrícula para los estudiantes de la Universidad Memorial, con el fin de ayudar a los beneficiarios a compensar el aumento de las tasas de matrícula universitaria en otoño de 2022. </w:t>
      </w:r>
      <w:bookmarkStart w:id="210" w:name="lt_pId250"/>
      <w:bookmarkEnd w:id="209"/>
      <w:r w:rsidRPr="00DC28B0">
        <w:t>La decisión de la Universidad de aumentar las tasas de matrícula se tomó en respuesta a la reducción de la subvención del Gobierno para su funcionamiento.</w:t>
      </w:r>
      <w:bookmarkEnd w:id="210"/>
    </w:p>
    <w:p w14:paraId="63F29033" w14:textId="79545210" w:rsidR="00E77C05" w:rsidRPr="00DC28B0" w:rsidRDefault="00E77C05" w:rsidP="00FA6C18">
      <w:pPr>
        <w:pStyle w:val="H1G"/>
      </w:pPr>
      <w:bookmarkStart w:id="211" w:name="lt_pId251"/>
      <w:r>
        <w:tab/>
      </w:r>
      <w:r w:rsidR="00FA6C18">
        <w:tab/>
      </w:r>
      <w:r w:rsidRPr="00DC28B0">
        <w:t>Respuesta al párrafo 12 de la lista de cuestiones</w:t>
      </w:r>
      <w:bookmarkEnd w:id="211"/>
    </w:p>
    <w:p w14:paraId="6B92DF00" w14:textId="32DD1EDB" w:rsidR="00E77C05" w:rsidRPr="00DC28B0" w:rsidRDefault="00E77C05" w:rsidP="00FA6C18">
      <w:pPr>
        <w:pStyle w:val="H23G"/>
      </w:pPr>
      <w:bookmarkStart w:id="212" w:name="lt_pId252"/>
      <w:r>
        <w:tab/>
      </w:r>
      <w:r w:rsidR="00FA6C18">
        <w:tab/>
      </w:r>
      <w:r w:rsidRPr="00DC28B0">
        <w:t>Transparencia y responsabilidad en la gestión de los asuntos públicos y privados</w:t>
      </w:r>
      <w:bookmarkEnd w:id="212"/>
    </w:p>
    <w:p w14:paraId="7C81E11B" w14:textId="7F95A415" w:rsidR="00E77C05" w:rsidRPr="00DC28B0" w:rsidRDefault="00E77C05" w:rsidP="00B62663">
      <w:pPr>
        <w:pStyle w:val="SingleTxtG"/>
      </w:pPr>
      <w:bookmarkStart w:id="213" w:name="lt_pId253"/>
      <w:r w:rsidRPr="00DC28B0">
        <w:t>60.</w:t>
      </w:r>
      <w:r w:rsidRPr="00DC28B0">
        <w:tab/>
        <w:t xml:space="preserve">El Gobierno Federal y los gobiernos provinciales y territoriales han adoptado medidas para combatir la corrupción en los sectores público y privado. </w:t>
      </w:r>
      <w:bookmarkStart w:id="214" w:name="lt_pId254"/>
      <w:bookmarkEnd w:id="213"/>
      <w:r w:rsidRPr="00DC28B0">
        <w:t xml:space="preserve">En 2018, por ejemplo, se introdujeron enmiendas al Código Penal para crear una nueva herramienta </w:t>
      </w:r>
      <w:r w:rsidR="00BB3F27">
        <w:t>—</w:t>
      </w:r>
      <w:r w:rsidRPr="00DC28B0">
        <w:t>un acuerdo de reparación del que pueden hacer uso las autoridades fiscales</w:t>
      </w:r>
      <w:r w:rsidR="00BB3F27">
        <w:t>—</w:t>
      </w:r>
      <w:r w:rsidRPr="00DC28B0">
        <w:t xml:space="preserve"> que puede utilizarse para combatir los delitos corporativos, incluido el soborno. </w:t>
      </w:r>
      <w:bookmarkStart w:id="215" w:name="lt_pId255"/>
      <w:bookmarkEnd w:id="214"/>
      <w:r w:rsidRPr="00DC28B0">
        <w:t xml:space="preserve">Se trata de un acuerdo, que ha de aprobar un juez, entre una organización acusada de cometer un delito corporativo incluido en la lista correspondiente y un fiscal; el acuerdo entraña la suspensión de los procedimientos relacionados con ese delito si la organización cumple los términos establecidos. </w:t>
      </w:r>
      <w:bookmarkStart w:id="216" w:name="lt_pId256"/>
      <w:bookmarkEnd w:id="215"/>
      <w:r w:rsidRPr="00DC28B0">
        <w:t>El acuerdo de reparación responsabiliza a las organizaciones de sus irregularidades y las anima a rectificar, al tiempo que evita algunas de las consecuencias negativas de una condena penal, en particular para los empleados que no participaron en el delito.</w:t>
      </w:r>
      <w:bookmarkEnd w:id="216"/>
    </w:p>
    <w:p w14:paraId="1DA5CE68" w14:textId="77777777" w:rsidR="00E77C05" w:rsidRPr="00DC28B0" w:rsidRDefault="00E77C05" w:rsidP="00B62663">
      <w:pPr>
        <w:pStyle w:val="SingleTxtG"/>
      </w:pPr>
      <w:bookmarkStart w:id="217" w:name="lt_pId258"/>
      <w:r w:rsidRPr="00DC28B0">
        <w:t>61.</w:t>
      </w:r>
      <w:r w:rsidRPr="00DC28B0">
        <w:tab/>
        <w:t>El Gobierno Federal y los gobiernos provinciales y territoriales han puesto en marcha medidas para reforzar la transparencia y la rendición de cuentas en la contratación pública, la administración de tierras y la administración fiscal:</w:t>
      </w:r>
      <w:bookmarkEnd w:id="217"/>
    </w:p>
    <w:p w14:paraId="7CEC4086" w14:textId="479FAEEC" w:rsidR="00E77C05" w:rsidRPr="00DC28B0" w:rsidRDefault="00E77C05" w:rsidP="00FA6C18">
      <w:pPr>
        <w:pStyle w:val="Bullet1G"/>
        <w:rPr>
          <w:rFonts w:eastAsiaTheme="minorEastAsia"/>
        </w:rPr>
      </w:pPr>
      <w:bookmarkStart w:id="218" w:name="lt_pId260"/>
      <w:r w:rsidRPr="00DC28B0">
        <w:rPr>
          <w:rFonts w:eastAsiaTheme="minorEastAsia"/>
        </w:rPr>
        <w:t xml:space="preserve">En agosto de 2021 se modificó el Código de Conducta para la Contratación Pública del Gobierno del Canadá con el fin de mejorar su compatibilidad con la Estrategia Nacional de Lucha contra la Trata de Personas. El Código actualizado incluye disposiciones encaminadas a lograr que los contratistas garanticen el cumplimiento de </w:t>
      </w:r>
      <w:r w:rsidRPr="00DC28B0">
        <w:rPr>
          <w:rFonts w:eastAsiaTheme="minorEastAsia"/>
        </w:rPr>
        <w:lastRenderedPageBreak/>
        <w:t>las normas internacionales laborales y de derechos humanos. En los contratos públicos federales se incluye una referencia al Código, que sirve de ayuda al Gobierno a la hora de cumplir su compromiso de garantizar la transparencia y las normas éticas de conducta en la contratación.</w:t>
      </w:r>
      <w:bookmarkEnd w:id="218"/>
    </w:p>
    <w:p w14:paraId="0E743F3B" w14:textId="16FC82B0" w:rsidR="00E77C05" w:rsidRPr="00DC28B0" w:rsidRDefault="00E77C05" w:rsidP="00FA6C18">
      <w:pPr>
        <w:pStyle w:val="Bullet1G"/>
        <w:rPr>
          <w:rFonts w:eastAsiaTheme="minorEastAsia"/>
        </w:rPr>
      </w:pPr>
      <w:bookmarkStart w:id="219" w:name="lt_pId263"/>
      <w:r w:rsidRPr="00DC28B0">
        <w:rPr>
          <w:rFonts w:eastAsiaTheme="minorEastAsia"/>
        </w:rPr>
        <w:t xml:space="preserve">El Manual de Administración de la Contratación Pública de Manitoba incluye procedimientos y directrices con los que se busca satisfacer el compromiso de la provincia con la transparencia y la responsabilidad en todas sus actividades de contratación pública. </w:t>
      </w:r>
      <w:bookmarkStart w:id="220" w:name="lt_pId264"/>
      <w:bookmarkEnd w:id="219"/>
      <w:r w:rsidRPr="00DC28B0">
        <w:rPr>
          <w:rFonts w:eastAsiaTheme="minorEastAsia"/>
        </w:rPr>
        <w:t>Se incluye un Código Ético sobre las Adquisiciones en el que se esboza un marco de principios que las autoridades utilizan en sus adquisiciones para garantizar que los contratos se adjudiquen de manera racional y transparente, promoviendo al mismo tiempo la consecución de los objetivos generales de la provincia.</w:t>
      </w:r>
      <w:bookmarkStart w:id="221" w:name="lt_pId265"/>
      <w:bookmarkEnd w:id="220"/>
    </w:p>
    <w:p w14:paraId="1CAA794D" w14:textId="4BE4B527" w:rsidR="00E77C05" w:rsidRPr="00DC28B0" w:rsidRDefault="00E77C05" w:rsidP="00FA6C18">
      <w:pPr>
        <w:pStyle w:val="Bullet1G"/>
        <w:rPr>
          <w:rFonts w:eastAsiaTheme="minorEastAsia"/>
        </w:rPr>
      </w:pPr>
      <w:r w:rsidRPr="00DC28B0">
        <w:rPr>
          <w:rFonts w:eastAsiaTheme="minorEastAsia"/>
        </w:rPr>
        <w:t xml:space="preserve">En Alberta, en virtud de lo dispuesto en la Ley de Títulos de Propiedad, el gobierno provincial puede ser considerado responsable en caso de que la Oficina de Títulos de Propiedad acepte registrar un documento fraudulento. </w:t>
      </w:r>
      <w:bookmarkStart w:id="222" w:name="lt_pId266"/>
      <w:bookmarkEnd w:id="221"/>
      <w:r w:rsidRPr="00DC28B0">
        <w:rPr>
          <w:rFonts w:eastAsiaTheme="minorEastAsia"/>
        </w:rPr>
        <w:t xml:space="preserve">Para los titulares, el riesgo financiero debido al fraude se ve mitigado por esas disposiciones y otros artículos de la Ley en los que se contempla la indemnización a los titulares que hayan visto vulnerados sus intereses como consecuencia de errores cometidos por el Registrador, o a los que la </w:t>
      </w:r>
      <w:r w:rsidR="00D9468F">
        <w:rPr>
          <w:rFonts w:eastAsiaTheme="minorEastAsia"/>
        </w:rPr>
        <w:t>L</w:t>
      </w:r>
      <w:r w:rsidRPr="00DC28B0">
        <w:rPr>
          <w:rFonts w:eastAsiaTheme="minorEastAsia"/>
        </w:rPr>
        <w:t>ey impide emprender acciones legales en defensa de dichos intereses.</w:t>
      </w:r>
      <w:bookmarkStart w:id="223" w:name="lt_pId267"/>
      <w:bookmarkEnd w:id="222"/>
    </w:p>
    <w:p w14:paraId="52FC41A8" w14:textId="284E05B2" w:rsidR="00E77C05" w:rsidRPr="00DC28B0" w:rsidRDefault="00E77C05" w:rsidP="00FA6C18">
      <w:pPr>
        <w:pStyle w:val="H1G"/>
      </w:pPr>
      <w:bookmarkStart w:id="224" w:name="lt_pId273"/>
      <w:bookmarkEnd w:id="223"/>
      <w:r>
        <w:tab/>
      </w:r>
      <w:r w:rsidR="00FA6C18">
        <w:tab/>
      </w:r>
      <w:r w:rsidRPr="00DC28B0">
        <w:t>Respuesta al párrafo 13 de la lista de cuestiones</w:t>
      </w:r>
      <w:bookmarkEnd w:id="224"/>
    </w:p>
    <w:p w14:paraId="326FBD32" w14:textId="543D53D5" w:rsidR="00E77C05" w:rsidRPr="00DC28B0" w:rsidRDefault="00E77C05" w:rsidP="00FA6C18">
      <w:pPr>
        <w:pStyle w:val="H23G"/>
      </w:pPr>
      <w:bookmarkStart w:id="225" w:name="lt_pId274"/>
      <w:r>
        <w:tab/>
      </w:r>
      <w:r w:rsidR="00FA6C18">
        <w:tab/>
      </w:r>
      <w:r w:rsidRPr="00DC28B0">
        <w:tab/>
        <w:t>Disposiciones contra la discriminación</w:t>
      </w:r>
      <w:bookmarkEnd w:id="225"/>
    </w:p>
    <w:p w14:paraId="03BA07FA" w14:textId="765D3983" w:rsidR="00E77C05" w:rsidRPr="00DC28B0" w:rsidRDefault="00E77C05" w:rsidP="00B62663">
      <w:pPr>
        <w:pStyle w:val="SingleTxtG"/>
      </w:pPr>
      <w:bookmarkStart w:id="226" w:name="lt_pId275"/>
      <w:r w:rsidRPr="00DC28B0">
        <w:t>62.</w:t>
      </w:r>
      <w:r w:rsidRPr="00DC28B0">
        <w:tab/>
        <w:t>Como se explica en el párrafo 128 del documento básico del Canadá presentado en</w:t>
      </w:r>
      <w:r w:rsidR="00FA6C18">
        <w:t> </w:t>
      </w:r>
      <w:r w:rsidRPr="00DC28B0">
        <w:t xml:space="preserve">2020, en virtud de la legislación en materia de derechos humanos de ámbito federal, provincial y territorial se prohíbe la discriminación por muchos motivos, entre ellos, en muchos casos, las creencias u opiniones políticas y la fuente de ingresos o la condición social. </w:t>
      </w:r>
      <w:bookmarkStart w:id="227" w:name="lt_pId276"/>
      <w:bookmarkEnd w:id="226"/>
      <w:r w:rsidRPr="00DC28B0">
        <w:t xml:space="preserve">En los últimos cinco años, el Gobierno Federal y los gobiernos provinciales y territoriales han modificado su legislación sobre derechos humanos y han añadido nuevos motivos de discriminación, como la identidad sexual o la expresión de género. </w:t>
      </w:r>
      <w:bookmarkStart w:id="228" w:name="lt_pId277"/>
      <w:bookmarkEnd w:id="227"/>
      <w:r w:rsidRPr="00DC28B0">
        <w:t>Además, durante el mismo período, se han añadido las características genéticas como los motivos prohibidos de discriminación en la Ley de Derechos Humanos del Canadá, mientras que en la Ley de Derechos Humanos de Nueva Brunswick se ha añadido la situación familiar como motivo prohibido.</w:t>
      </w:r>
      <w:bookmarkStart w:id="229" w:name="lt_pId278"/>
      <w:bookmarkEnd w:id="228"/>
    </w:p>
    <w:p w14:paraId="12D0A903" w14:textId="77777777" w:rsidR="00E77C05" w:rsidRPr="00DC28B0" w:rsidRDefault="00E77C05" w:rsidP="00B62663">
      <w:pPr>
        <w:pStyle w:val="SingleTxtG"/>
      </w:pPr>
      <w:r w:rsidRPr="00DC28B0">
        <w:t>63.</w:t>
      </w:r>
      <w:r w:rsidRPr="00DC28B0">
        <w:tab/>
        <w:t xml:space="preserve">Al amparo de la Ley de Derechos Humanos, se pueden presentar denuncias de discriminación ante la Comisión de Derechos Humanos del Canadá en relación con actos de discriminación ocurridos cuando, en el momento de la acción u omisión, la víctima se encontrase legalmente presente en el país o, estando temporalmente ausente, tuviese derecho a regresar. </w:t>
      </w:r>
      <w:bookmarkStart w:id="230" w:name="lt_pId279"/>
      <w:bookmarkEnd w:id="229"/>
      <w:r w:rsidRPr="00DC28B0">
        <w:t>En 2018, el Tribunal Federal de Apelación dictaminó que el término “legalmente presente” incluía a las personas que no se encontraban en una situación migratoria regular, pero estuviesen cumpliendo una pena de prisión en el Canadá impuesta de conformidad con la ley.</w:t>
      </w:r>
      <w:bookmarkEnd w:id="230"/>
    </w:p>
    <w:p w14:paraId="69F08B7D" w14:textId="5E3EE609" w:rsidR="00E77C05" w:rsidRPr="00DC28B0" w:rsidRDefault="00E77C05" w:rsidP="00FA6C18">
      <w:pPr>
        <w:pStyle w:val="H1G"/>
      </w:pPr>
      <w:bookmarkStart w:id="231" w:name="lt_pId280"/>
      <w:r>
        <w:tab/>
      </w:r>
      <w:r w:rsidR="00FA6C18">
        <w:tab/>
      </w:r>
      <w:r w:rsidRPr="00DC28B0">
        <w:t>Respuesta al párrafo 14 de la lista de cuestiones</w:t>
      </w:r>
      <w:bookmarkStart w:id="232" w:name="lt_pId281"/>
      <w:bookmarkEnd w:id="231"/>
    </w:p>
    <w:p w14:paraId="4C242B7A" w14:textId="121A9B83" w:rsidR="00E77C05" w:rsidRPr="00DC28B0" w:rsidRDefault="00E77C05" w:rsidP="00FA6C18">
      <w:pPr>
        <w:pStyle w:val="H23G"/>
      </w:pPr>
      <w:r>
        <w:tab/>
      </w:r>
      <w:r w:rsidR="00FA6C18">
        <w:tab/>
      </w:r>
      <w:r w:rsidRPr="00DC28B0">
        <w:t>Procedimientos para determinar la condición de refugiado</w:t>
      </w:r>
      <w:bookmarkEnd w:id="232"/>
    </w:p>
    <w:p w14:paraId="22A4C4D5" w14:textId="77777777" w:rsidR="00E77C05" w:rsidRPr="00DC28B0" w:rsidRDefault="00E77C05" w:rsidP="00B62663">
      <w:pPr>
        <w:pStyle w:val="SingleTxtG"/>
        <w:rPr>
          <w:bCs/>
        </w:rPr>
      </w:pPr>
      <w:bookmarkStart w:id="233" w:name="lt_pId282"/>
      <w:r w:rsidRPr="00DC28B0">
        <w:t>64.</w:t>
      </w:r>
      <w:r w:rsidRPr="00DC28B0">
        <w:tab/>
        <w:t>Una</w:t>
      </w:r>
      <w:r w:rsidRPr="00DC28B0">
        <w:rPr>
          <w:bCs/>
        </w:rPr>
        <w:t xml:space="preserve"> solicitud de asilo puede presentarse en cualquier puerto de entrada sometiéndose a una entrevista de admisibilidad o, ya </w:t>
      </w:r>
      <w:r w:rsidRPr="00DC28B0">
        <w:t xml:space="preserve">en el interior del país, </w:t>
      </w:r>
      <w:r w:rsidRPr="00DC28B0">
        <w:rPr>
          <w:bCs/>
        </w:rPr>
        <w:t xml:space="preserve">en determinadas oficinas del Gobierno Federal. </w:t>
      </w:r>
      <w:bookmarkStart w:id="234" w:name="lt_pId283"/>
      <w:bookmarkEnd w:id="233"/>
      <w:r w:rsidRPr="00DC28B0">
        <w:rPr>
          <w:bCs/>
        </w:rPr>
        <w:t>Todos los solicitantes que cumplen los requisitos comparecen en una audiencia imparcial ante la Comisión de Inmigración y Refugiados, un tribunal administrativo independiente de naturaleza</w:t>
      </w:r>
      <w:r w:rsidRPr="00DC28B0">
        <w:t xml:space="preserve"> </w:t>
      </w:r>
      <w:r w:rsidRPr="00DC28B0">
        <w:rPr>
          <w:bCs/>
        </w:rPr>
        <w:t xml:space="preserve">cuasi judicial. </w:t>
      </w:r>
      <w:bookmarkStart w:id="235" w:name="lt_pId284"/>
      <w:bookmarkEnd w:id="234"/>
      <w:r w:rsidRPr="00DC28B0">
        <w:rPr>
          <w:bCs/>
        </w:rPr>
        <w:t xml:space="preserve">Dentro de la Comisión, compete a la Sección de Protección de los Refugiados decidir si una persona reúne o no los requisitos para la obtención de asilo establecidos en la legislación. </w:t>
      </w:r>
      <w:bookmarkStart w:id="236" w:name="lt_pId285"/>
      <w:bookmarkEnd w:id="235"/>
      <w:r w:rsidRPr="00DC28B0">
        <w:rPr>
          <w:bCs/>
        </w:rPr>
        <w:t>Cada solicitud se evalúa en función de sus méritos, de conformidad con las normas de la Comisión y los principios de imparcialidad y justicia natural.</w:t>
      </w:r>
      <w:bookmarkStart w:id="237" w:name="lt_pId286"/>
      <w:bookmarkEnd w:id="236"/>
    </w:p>
    <w:p w14:paraId="261FED3B" w14:textId="77777777" w:rsidR="00E77C05" w:rsidRPr="00DC28B0" w:rsidRDefault="00E77C05" w:rsidP="00B62663">
      <w:pPr>
        <w:pStyle w:val="SingleTxtG"/>
        <w:rPr>
          <w:bCs/>
        </w:rPr>
      </w:pPr>
      <w:r w:rsidRPr="00DC28B0">
        <w:lastRenderedPageBreak/>
        <w:t>65.</w:t>
      </w:r>
      <w:r w:rsidRPr="00DC28B0">
        <w:tab/>
        <w:t xml:space="preserve">La Comisión de Inmigración y Refugiados </w:t>
      </w:r>
      <w:r w:rsidRPr="00DC28B0">
        <w:rPr>
          <w:bCs/>
        </w:rPr>
        <w:t>ha duplicado con creces su capacidad de tramitación de reclamaciones y ha acelerado la introducción de mecanismos</w:t>
      </w:r>
      <w:r w:rsidRPr="00DC28B0">
        <w:t xml:space="preserve"> </w:t>
      </w:r>
      <w:r w:rsidRPr="00DC28B0">
        <w:rPr>
          <w:bCs/>
        </w:rPr>
        <w:t xml:space="preserve">digitales innovadores para conseguir que los solicitantes sigan teniendo acceso a una protección oportuna. </w:t>
      </w:r>
      <w:bookmarkStart w:id="238" w:name="lt_pId287"/>
      <w:bookmarkEnd w:id="237"/>
      <w:r w:rsidRPr="00DC28B0">
        <w:rPr>
          <w:bCs/>
        </w:rPr>
        <w:t>Esas medidas incluyen la puesta en marcha de un modelo de audiencia virtual, una nueva infraestructura digital que permite el intercambio electrónico de información y la ampliación de su proceso simplificado para las solicitudes menos complejas, que permite que algunas solicitudes se resuelvan favorablemente sin necesidad de que se celebre una audiencia.</w:t>
      </w:r>
      <w:bookmarkEnd w:id="238"/>
    </w:p>
    <w:p w14:paraId="31DCBFB5" w14:textId="77777777" w:rsidR="00E77C05" w:rsidRPr="00DC28B0" w:rsidRDefault="00E77C05" w:rsidP="00B62663">
      <w:pPr>
        <w:pStyle w:val="SingleTxtG"/>
        <w:rPr>
          <w:bCs/>
        </w:rPr>
      </w:pPr>
      <w:bookmarkStart w:id="239" w:name="lt_pId288"/>
      <w:r w:rsidRPr="00DC28B0">
        <w:t>66.</w:t>
      </w:r>
      <w:r w:rsidRPr="00DC28B0">
        <w:tab/>
      </w:r>
      <w:bookmarkStart w:id="240" w:name="lt_pId289"/>
      <w:bookmarkEnd w:id="239"/>
      <w:r w:rsidRPr="00DC28B0">
        <w:rPr>
          <w:bCs/>
        </w:rPr>
        <w:t xml:space="preserve">La mayoría de los solicitantes de asilo rechazados pueden recurrir esa decisión ante la Sección de </w:t>
      </w:r>
      <w:r w:rsidRPr="00DC28B0">
        <w:t xml:space="preserve">Apelación de los </w:t>
      </w:r>
      <w:r w:rsidRPr="00DC28B0">
        <w:rPr>
          <w:bCs/>
        </w:rPr>
        <w:t xml:space="preserve">Refugiados, que revisa las decisiones de aceptación o rechazo tomadas por la Sección de Protección de los </w:t>
      </w:r>
      <w:r w:rsidRPr="00B62663">
        <w:t>Refugiados</w:t>
      </w:r>
      <w:r w:rsidRPr="00DC28B0">
        <w:rPr>
          <w:bCs/>
        </w:rPr>
        <w:t xml:space="preserve">. </w:t>
      </w:r>
      <w:bookmarkStart w:id="241" w:name="lt_pId290"/>
      <w:bookmarkEnd w:id="240"/>
      <w:r w:rsidRPr="00DC28B0">
        <w:rPr>
          <w:bCs/>
        </w:rPr>
        <w:t>Todos los solicitantes de asilo rechazados tienen la posibilidad de presentar ante el Tribunal Federal una demanda de revisión judicial de una resolución desfavorable</w:t>
      </w:r>
      <w:bookmarkEnd w:id="241"/>
      <w:r w:rsidRPr="00DC28B0">
        <w:rPr>
          <w:bCs/>
        </w:rPr>
        <w:t>. El Canadá</w:t>
      </w:r>
      <w:bookmarkStart w:id="242" w:name="lt_pId292"/>
      <w:r w:rsidRPr="00DC28B0">
        <w:rPr>
          <w:bCs/>
        </w:rPr>
        <w:t xml:space="preserve"> también demuestra su compromiso con el principio de no devolución mediante el proceso previo de evaluación del riesgo para las personas sujetas a una orden de expulsión, en virtud del cual se evalúa el riesgo de persecución basándose en los mismos motivos de protección que aplica la</w:t>
      </w:r>
      <w:r w:rsidRPr="00DC28B0">
        <w:t xml:space="preserve"> </w:t>
      </w:r>
      <w:r w:rsidRPr="00DC28B0">
        <w:rPr>
          <w:bCs/>
        </w:rPr>
        <w:t>Comisión de Inmigración y Refugiados.</w:t>
      </w:r>
      <w:bookmarkEnd w:id="242"/>
    </w:p>
    <w:p w14:paraId="7CB36355" w14:textId="77777777" w:rsidR="00E77C05" w:rsidRPr="00DC28B0" w:rsidRDefault="00E77C05" w:rsidP="00B62663">
      <w:pPr>
        <w:pStyle w:val="SingleTxtG"/>
      </w:pPr>
      <w:r w:rsidRPr="00DC28B0">
        <w:t>67.</w:t>
      </w:r>
      <w:r w:rsidRPr="00DC28B0">
        <w:tab/>
        <w:t>En los cuadros 4 a 6 del anexo 1 figura el número de solicitudes presentadas y su resultado.</w:t>
      </w:r>
    </w:p>
    <w:p w14:paraId="08F6B941" w14:textId="21CC9887" w:rsidR="00E77C05" w:rsidRPr="00DC28B0" w:rsidRDefault="00E77C05" w:rsidP="00FA6C18">
      <w:pPr>
        <w:pStyle w:val="H23G"/>
      </w:pPr>
      <w:bookmarkStart w:id="243" w:name="lt_pId294"/>
      <w:r>
        <w:tab/>
      </w:r>
      <w:r w:rsidR="00FA6C18">
        <w:tab/>
      </w:r>
      <w:r w:rsidRPr="00DC28B0">
        <w:t>Asistencia jurídica</w:t>
      </w:r>
      <w:bookmarkEnd w:id="243"/>
    </w:p>
    <w:p w14:paraId="7C2DB260" w14:textId="77777777" w:rsidR="00E77C05" w:rsidRPr="00DC28B0" w:rsidRDefault="00E77C05" w:rsidP="00B62663">
      <w:pPr>
        <w:pStyle w:val="SingleTxtG"/>
        <w:rPr>
          <w:bCs/>
        </w:rPr>
      </w:pPr>
      <w:bookmarkStart w:id="244" w:name="lt_pId295"/>
      <w:r w:rsidRPr="00DC28B0">
        <w:t>68.</w:t>
      </w:r>
      <w:r w:rsidRPr="00DC28B0">
        <w:tab/>
      </w:r>
      <w:r w:rsidRPr="00DC28B0">
        <w:rPr>
          <w:bCs/>
        </w:rPr>
        <w:t xml:space="preserve">Los servicios de asistencia jurídica son responsabilidad de las provincias y territorios. </w:t>
      </w:r>
      <w:bookmarkStart w:id="245" w:name="lt_pId296"/>
      <w:bookmarkEnd w:id="244"/>
      <w:r w:rsidRPr="00DC28B0">
        <w:rPr>
          <w:bCs/>
        </w:rPr>
        <w:t xml:space="preserve">El Gobierno del Canadá presta </w:t>
      </w:r>
      <w:r w:rsidRPr="00B62663">
        <w:t>apoyo</w:t>
      </w:r>
      <w:r w:rsidRPr="00DC28B0">
        <w:rPr>
          <w:bCs/>
        </w:rPr>
        <w:t xml:space="preserve"> a las provincias que ofrecen esa asistencia a los beneficiarios, proporcionándoles financiación a través del Programa de Asistencia </w:t>
      </w:r>
      <w:r w:rsidRPr="00DC28B0">
        <w:t xml:space="preserve">Jurídica </w:t>
      </w:r>
      <w:r w:rsidRPr="00DC28B0">
        <w:rPr>
          <w:bCs/>
        </w:rPr>
        <w:t xml:space="preserve">para ayudarles a cumplir con sus responsabilidades en materia de asistencia jurídica en ámbitos estrechamente relacionados con la jurisdicción federal, incluidos los procedimientos de inmigración y asilo. </w:t>
      </w:r>
      <w:bookmarkStart w:id="246" w:name="lt_pId297"/>
      <w:bookmarkEnd w:id="245"/>
      <w:r w:rsidRPr="00DC28B0">
        <w:rPr>
          <w:bCs/>
        </w:rPr>
        <w:t>Las provincias proporcionan asistencia jurídica a los solicitantes de asilo para que puedan comparecer con representación en las audiencias ante la Comisión de Inmigración y Refugiados y demás fases del proceso de asilo, incluida la solicitud de aplicación del proceso de evaluación del riesgo previo a la expulsión.</w:t>
      </w:r>
      <w:bookmarkEnd w:id="246"/>
    </w:p>
    <w:p w14:paraId="0020FCD2" w14:textId="410445C4" w:rsidR="00E77C05" w:rsidRPr="00DC28B0" w:rsidRDefault="00E77C05" w:rsidP="00FA6C18">
      <w:pPr>
        <w:pStyle w:val="H23G"/>
      </w:pPr>
      <w:bookmarkStart w:id="247" w:name="lt_pId298"/>
      <w:r>
        <w:tab/>
      </w:r>
      <w:r w:rsidR="00FA6C18">
        <w:tab/>
      </w:r>
      <w:r w:rsidRPr="00DC28B0">
        <w:t>Apátridas</w:t>
      </w:r>
      <w:bookmarkEnd w:id="247"/>
    </w:p>
    <w:p w14:paraId="0C8FC628" w14:textId="77777777" w:rsidR="00E77C05" w:rsidRPr="00DC28B0" w:rsidRDefault="00E77C05" w:rsidP="00B62663">
      <w:pPr>
        <w:pStyle w:val="SingleTxtG"/>
        <w:rPr>
          <w:bCs/>
        </w:rPr>
      </w:pPr>
      <w:bookmarkStart w:id="248" w:name="lt_pId299"/>
      <w:r w:rsidRPr="00DC28B0">
        <w:t>69.</w:t>
      </w:r>
      <w:r w:rsidRPr="00DC28B0">
        <w:tab/>
      </w:r>
      <w:r w:rsidRPr="00DC28B0">
        <w:rPr>
          <w:bCs/>
        </w:rPr>
        <w:t xml:space="preserve">En virtud de la Ley de Inmigración y Protección de los Refugiados, los apátridas que sean objeto de una orden de expulsión pueden obtener la </w:t>
      </w:r>
      <w:r w:rsidRPr="00DC28B0">
        <w:t xml:space="preserve">protección </w:t>
      </w:r>
      <w:r w:rsidRPr="00DC28B0">
        <w:rPr>
          <w:bCs/>
        </w:rPr>
        <w:t>o el estatuto de residente permanente a través del Programa de Reasentamiento del Canadá, el sistema canadiense de asilo, el procedimiento por motivos humanitarios, las políticas públicas y el</w:t>
      </w:r>
      <w:r w:rsidRPr="00DC28B0">
        <w:t xml:space="preserve"> </w:t>
      </w:r>
      <w:r w:rsidRPr="00DC28B0">
        <w:rPr>
          <w:bCs/>
        </w:rPr>
        <w:t>proceso de evaluación del riesgo previo a la expulsión.</w:t>
      </w:r>
      <w:bookmarkStart w:id="249" w:name="lt_pId300"/>
      <w:bookmarkEnd w:id="248"/>
    </w:p>
    <w:p w14:paraId="02B1930D" w14:textId="77777777" w:rsidR="00E77C05" w:rsidRPr="00DC28B0" w:rsidRDefault="00E77C05" w:rsidP="00B62663">
      <w:pPr>
        <w:pStyle w:val="SingleTxtG"/>
        <w:rPr>
          <w:bCs/>
        </w:rPr>
      </w:pPr>
      <w:r w:rsidRPr="00DC28B0">
        <w:t>70.</w:t>
      </w:r>
      <w:r w:rsidRPr="00DC28B0">
        <w:tab/>
      </w:r>
      <w:r w:rsidRPr="00DC28B0">
        <w:rPr>
          <w:bCs/>
        </w:rPr>
        <w:t xml:space="preserve">En casos excepcionales, la Ley de Ciudadanía otorga al Ministro Federal de Inmigración, </w:t>
      </w:r>
      <w:r w:rsidRPr="00DC28B0">
        <w:t xml:space="preserve">Refugiados </w:t>
      </w:r>
      <w:r w:rsidRPr="00DC28B0">
        <w:rPr>
          <w:bCs/>
        </w:rPr>
        <w:t>y Ciudadanía la facultad discrecional de conceder la ciudadanía a cualquier persona para remediar casos de apatridia, para atender dificultades especiales e inusuales o para recompensar servicios de carácter excepcional prestados al país.</w:t>
      </w:r>
      <w:bookmarkStart w:id="250" w:name="lt_pId301"/>
      <w:bookmarkEnd w:id="249"/>
      <w:r w:rsidRPr="00DC28B0">
        <w:rPr>
          <w:bCs/>
        </w:rPr>
        <w:t xml:space="preserve"> En 2017 se añadió la apatridia como motivo que puede tenerse en cuenta para la concesión discrecional de la ciudadanía.</w:t>
      </w:r>
      <w:bookmarkEnd w:id="250"/>
    </w:p>
    <w:p w14:paraId="71630325" w14:textId="5BF5380F" w:rsidR="00E77C05" w:rsidRPr="00DC28B0" w:rsidRDefault="00E77C05" w:rsidP="00FA6C18">
      <w:pPr>
        <w:pStyle w:val="H23G"/>
      </w:pPr>
      <w:bookmarkStart w:id="251" w:name="lt_pId302"/>
      <w:r>
        <w:tab/>
      </w:r>
      <w:r w:rsidR="00FA6C18">
        <w:tab/>
      </w:r>
      <w:r w:rsidRPr="00DC28B0">
        <w:t>Principales medidas de apoyo social a los refugiados y solicitantes de asilo</w:t>
      </w:r>
      <w:bookmarkEnd w:id="251"/>
    </w:p>
    <w:p w14:paraId="7E7CA48B" w14:textId="77777777" w:rsidR="00E77C05" w:rsidRPr="00DC28B0" w:rsidRDefault="00E77C05" w:rsidP="00B62663">
      <w:pPr>
        <w:pStyle w:val="SingleTxtG"/>
        <w:rPr>
          <w:bCs/>
        </w:rPr>
      </w:pPr>
      <w:bookmarkStart w:id="252" w:name="lt_pId303"/>
      <w:r w:rsidRPr="00DC28B0">
        <w:t>71.</w:t>
      </w:r>
      <w:r w:rsidRPr="00DC28B0">
        <w:tab/>
        <w:t>Compete en primer lugar a l</w:t>
      </w:r>
      <w:r w:rsidRPr="00DC28B0">
        <w:rPr>
          <w:bCs/>
        </w:rPr>
        <w:t>as provincias y territorios prestar a los refugiados y solicitantes de asilo</w:t>
      </w:r>
      <w:r w:rsidRPr="00DC28B0">
        <w:t xml:space="preserve"> </w:t>
      </w:r>
      <w:r w:rsidRPr="00DC28B0">
        <w:rPr>
          <w:bCs/>
        </w:rPr>
        <w:t xml:space="preserve">servicios como alojamiento de emergencia, asistencia social, educación, servicios sanitarios temporales y </w:t>
      </w:r>
      <w:r w:rsidRPr="00DC28B0">
        <w:t xml:space="preserve">asistencia </w:t>
      </w:r>
      <w:r w:rsidRPr="00DC28B0">
        <w:rPr>
          <w:bCs/>
        </w:rPr>
        <w:t>jurídica</w:t>
      </w:r>
      <w:r w:rsidRPr="00DC28B0">
        <w:t xml:space="preserve">. </w:t>
      </w:r>
      <w:bookmarkStart w:id="253" w:name="lt_pId304"/>
      <w:bookmarkEnd w:id="252"/>
      <w:r w:rsidRPr="00DC28B0">
        <w:rPr>
          <w:bCs/>
        </w:rPr>
        <w:t xml:space="preserve">La mayoría </w:t>
      </w:r>
      <w:r w:rsidRPr="00B62663">
        <w:t>de</w:t>
      </w:r>
      <w:r w:rsidRPr="00DC28B0">
        <w:rPr>
          <w:bCs/>
        </w:rPr>
        <w:t xml:space="preserve"> los servicios que se ofrecen a los solicitantes de asilo y a quienes presentan apelaciones se ofrecen también a quienes solicitan el</w:t>
      </w:r>
      <w:r w:rsidRPr="00DC28B0">
        <w:t xml:space="preserve"> </w:t>
      </w:r>
      <w:r w:rsidRPr="00DC28B0">
        <w:rPr>
          <w:bCs/>
        </w:rPr>
        <w:t xml:space="preserve">proceso de evaluación del riesgo previo a la expulsión. </w:t>
      </w:r>
      <w:bookmarkStart w:id="254" w:name="lt_pId305"/>
      <w:bookmarkEnd w:id="253"/>
      <w:r w:rsidRPr="00DC28B0">
        <w:rPr>
          <w:bCs/>
        </w:rPr>
        <w:t>El Gobierno del Canadá presta asistencia a los solicitantes de asilo que están a la espera de una decisión de la</w:t>
      </w:r>
      <w:r w:rsidRPr="00DC28B0">
        <w:t xml:space="preserve"> </w:t>
      </w:r>
      <w:r w:rsidRPr="00DC28B0">
        <w:rPr>
          <w:bCs/>
        </w:rPr>
        <w:t>Comisión de Inmigración y Refugiados proporcionándoles una cobertura temporal de servicios de atención sanitaria a través del Programa Federal Provisional de Salud y concediéndoles permisos de trabajo para que puedan trabajar y proveer a su mantenimiento mientras se tramita su solicitud ante la Comisión.</w:t>
      </w:r>
      <w:bookmarkEnd w:id="254"/>
      <w:r w:rsidRPr="00DC28B0">
        <w:rPr>
          <w:bCs/>
        </w:rPr>
        <w:t xml:space="preserve"> El Gobierno también contribuye a mitigar los costes que asumen las</w:t>
      </w:r>
      <w:r w:rsidRPr="00DC28B0">
        <w:t xml:space="preserve"> </w:t>
      </w:r>
      <w:r w:rsidRPr="00DC28B0">
        <w:rPr>
          <w:bCs/>
        </w:rPr>
        <w:t xml:space="preserve">provincias y territorios asociados a la provisión de alojamiento </w:t>
      </w:r>
      <w:r w:rsidRPr="00DC28B0">
        <w:rPr>
          <w:bCs/>
        </w:rPr>
        <w:lastRenderedPageBreak/>
        <w:t>temporal a los solicitantes de asilo a través del Programa de Ayuda Provisional al Alojamiento.</w:t>
      </w:r>
    </w:p>
    <w:p w14:paraId="0EC16D59" w14:textId="169AF5C2" w:rsidR="00E77C05" w:rsidRPr="00DC28B0" w:rsidRDefault="00E77C05" w:rsidP="00FA6C18">
      <w:pPr>
        <w:pStyle w:val="Bullet1G"/>
        <w:rPr>
          <w:rFonts w:eastAsiaTheme="minorEastAsia"/>
        </w:rPr>
      </w:pPr>
      <w:bookmarkStart w:id="255" w:name="lt_pId309"/>
      <w:r w:rsidRPr="00DC28B0">
        <w:rPr>
          <w:rFonts w:eastAsiaTheme="minorEastAsia"/>
        </w:rPr>
        <w:t>En Ontario, las personas que solicitan asilo en el Canadá pueden acceder, mientras esperan una decisión sobre su solicitud, a programas como asistencia social, servicios de empleo, ayuda para encontrar vivienda, educación pública desde el jardín de infancia hasta el grado 12, servicios de asentamiento y formación lingüística.</w:t>
      </w:r>
      <w:bookmarkEnd w:id="255"/>
    </w:p>
    <w:p w14:paraId="2D8CA4C2" w14:textId="2099F41F" w:rsidR="00E77C05" w:rsidRPr="00DC28B0" w:rsidRDefault="00E77C05" w:rsidP="00FA6C18">
      <w:pPr>
        <w:pStyle w:val="Bullet1G"/>
        <w:rPr>
          <w:rFonts w:eastAsiaTheme="minorEastAsia"/>
        </w:rPr>
      </w:pPr>
      <w:bookmarkStart w:id="256" w:name="lt_pId310"/>
      <w:r w:rsidRPr="00DC28B0">
        <w:rPr>
          <w:rFonts w:eastAsiaTheme="minorEastAsia"/>
        </w:rPr>
        <w:t>En la Isla del Príncipe Eduardo, todos los refugiados pueden acceder a programas de apoyo al empleo, salud mental, formación y desarrollo, y formación lingüística relacionada con el empleo</w:t>
      </w:r>
      <w:r w:rsidRPr="00DC28B0">
        <w:t xml:space="preserve"> </w:t>
      </w:r>
      <w:r w:rsidRPr="00DC28B0">
        <w:rPr>
          <w:rFonts w:eastAsiaTheme="minorEastAsia"/>
        </w:rPr>
        <w:t>financiados con cargo al gobierno de la provincia.</w:t>
      </w:r>
      <w:bookmarkEnd w:id="256"/>
    </w:p>
    <w:p w14:paraId="07996D83" w14:textId="18EC4E58" w:rsidR="00E77C05" w:rsidRPr="00DC28B0" w:rsidRDefault="00E77C05" w:rsidP="00FA6C18">
      <w:pPr>
        <w:pStyle w:val="Bullet1G"/>
        <w:rPr>
          <w:rFonts w:eastAsiaTheme="minorEastAsia"/>
        </w:rPr>
      </w:pPr>
      <w:bookmarkStart w:id="257" w:name="lt_pId311"/>
      <w:r w:rsidRPr="00DC28B0">
        <w:rPr>
          <w:rFonts w:eastAsiaTheme="minorEastAsia"/>
        </w:rPr>
        <w:t xml:space="preserve">Terranova y Labrador proporciona anualmente financiación a las organizaciones que atienden a los recién llegados, incluidos los refugiados reasentados, los solicitantes de asilo y los residentes temporales, para facilitar su asentamiento e integración. </w:t>
      </w:r>
      <w:bookmarkStart w:id="258" w:name="lt_pId312"/>
      <w:bookmarkEnd w:id="257"/>
      <w:r w:rsidRPr="00DC28B0">
        <w:rPr>
          <w:rFonts w:eastAsiaTheme="minorEastAsia"/>
        </w:rPr>
        <w:t>En el Programa de Asentamiento e Integración y del Programa de Integración Laboral de los Recién Llegados de Terranova y Labrador se facilita anualmente</w:t>
      </w:r>
      <w:r w:rsidRPr="00DC28B0">
        <w:t xml:space="preserve"> </w:t>
      </w:r>
      <w:r w:rsidRPr="00DC28B0">
        <w:rPr>
          <w:rFonts w:eastAsiaTheme="minorEastAsia"/>
        </w:rPr>
        <w:t>financiación a organizaciones que se encargan de satisfacer las necesidades sociales, culturales y económicas de los recién llegados a la provincia.</w:t>
      </w:r>
      <w:bookmarkEnd w:id="258"/>
    </w:p>
    <w:p w14:paraId="240AF58F" w14:textId="077E57C0" w:rsidR="00E77C05" w:rsidRPr="00DC28B0" w:rsidRDefault="00E77C05" w:rsidP="00FA6C18">
      <w:pPr>
        <w:pStyle w:val="Bullet1G"/>
        <w:rPr>
          <w:rFonts w:eastAsiaTheme="minorEastAsia"/>
          <w:b/>
        </w:rPr>
      </w:pPr>
      <w:bookmarkStart w:id="259" w:name="lt_pId313"/>
      <w:r w:rsidRPr="00DC28B0">
        <w:rPr>
          <w:rFonts w:eastAsiaTheme="minorEastAsia"/>
        </w:rPr>
        <w:t xml:space="preserve">En 2019, el gobierno de Quebec aprobó un decreto por el que se promulgaba un reglamento relativo a las situaciones en las que se reconocía a determinadas personas el derecho a recibir servicios educativos o de formación gratuitos. </w:t>
      </w:r>
      <w:bookmarkStart w:id="260" w:name="lt_pId314"/>
      <w:bookmarkEnd w:id="259"/>
      <w:r w:rsidRPr="00DC28B0">
        <w:rPr>
          <w:rFonts w:eastAsiaTheme="minorEastAsia"/>
        </w:rPr>
        <w:t>En virtud de ese reglamento se garantiza el acceso gratuito a la educación pública a los menores inmigrantes en situación precaria.</w:t>
      </w:r>
      <w:bookmarkStart w:id="261" w:name="lt_pId315"/>
      <w:bookmarkEnd w:id="260"/>
    </w:p>
    <w:p w14:paraId="537B46EA" w14:textId="6D8A4C40" w:rsidR="00E77C05" w:rsidRPr="00DC28B0" w:rsidRDefault="00E77C05" w:rsidP="00FA6C18">
      <w:pPr>
        <w:pStyle w:val="H1G"/>
      </w:pPr>
      <w:r>
        <w:tab/>
      </w:r>
      <w:r w:rsidR="00FA6C18">
        <w:tab/>
      </w:r>
      <w:r w:rsidRPr="00DC28B0">
        <w:t>Respuesta al párrafo 15 de la lista de cuestiones</w:t>
      </w:r>
      <w:bookmarkEnd w:id="261"/>
    </w:p>
    <w:p w14:paraId="3B5C624A" w14:textId="6D9C2FC7" w:rsidR="00E77C05" w:rsidRPr="00DC28B0" w:rsidRDefault="00E77C05" w:rsidP="00FA6C18">
      <w:pPr>
        <w:pStyle w:val="H23G"/>
      </w:pPr>
      <w:bookmarkStart w:id="262" w:name="lt_pId316"/>
      <w:r>
        <w:tab/>
      </w:r>
      <w:r w:rsidR="00FA6C18">
        <w:tab/>
      </w:r>
      <w:r w:rsidRPr="00DC28B0">
        <w:t>Salario mínimo</w:t>
      </w:r>
      <w:bookmarkEnd w:id="262"/>
    </w:p>
    <w:p w14:paraId="62337E35" w14:textId="77777777" w:rsidR="00E77C05" w:rsidRPr="00DC28B0" w:rsidRDefault="00E77C05" w:rsidP="00B62663">
      <w:pPr>
        <w:pStyle w:val="SingleTxtG"/>
        <w:rPr>
          <w:bCs/>
        </w:rPr>
      </w:pPr>
      <w:bookmarkStart w:id="263" w:name="lt_pId317"/>
      <w:r w:rsidRPr="00DC28B0">
        <w:t>72.</w:t>
      </w:r>
      <w:r w:rsidRPr="00DC28B0">
        <w:tab/>
        <w:t xml:space="preserve">La regulación del </w:t>
      </w:r>
      <w:r w:rsidRPr="00DC28B0">
        <w:rPr>
          <w:bCs/>
        </w:rPr>
        <w:t xml:space="preserve">salario mínimo por hora corresponde a las provincias y territorios en sus respectivas </w:t>
      </w:r>
      <w:r w:rsidRPr="00B62663">
        <w:t>jurisdicciones</w:t>
      </w:r>
      <w:r w:rsidRPr="00DC28B0">
        <w:rPr>
          <w:bCs/>
        </w:rPr>
        <w:t>.</w:t>
      </w:r>
      <w:bookmarkEnd w:id="263"/>
    </w:p>
    <w:p w14:paraId="6C7DA279" w14:textId="77777777" w:rsidR="00E77C05" w:rsidRPr="00FA6C18" w:rsidRDefault="00E77C05" w:rsidP="00FA6C18">
      <w:pPr>
        <w:pStyle w:val="SingleTxtG"/>
        <w:jc w:val="left"/>
        <w:rPr>
          <w:b/>
          <w:bCs/>
        </w:rPr>
      </w:pPr>
      <w:r w:rsidRPr="00DC28B0">
        <w:t xml:space="preserve">Cuadro 1 </w:t>
      </w:r>
      <w:r w:rsidRPr="00DC28B0">
        <w:br/>
      </w:r>
      <w:r w:rsidRPr="00FA6C18">
        <w:rPr>
          <w:b/>
          <w:bCs/>
        </w:rPr>
        <w:t xml:space="preserve">Salario mínimo por hora en septiembre de 2021 aprobado por cada gobierno </w:t>
      </w:r>
      <w:r w:rsidRPr="00FA6C18">
        <w:rPr>
          <w:b/>
          <w:bCs/>
        </w:rPr>
        <w:br/>
        <w:t>en dólares canadienses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40"/>
        <w:gridCol w:w="3530"/>
      </w:tblGrid>
      <w:tr w:rsidR="00E77C05" w:rsidRPr="00FA6C18" w14:paraId="41F23FDA" w14:textId="77777777" w:rsidTr="00FA6C18">
        <w:trPr>
          <w:trHeight w:val="240"/>
          <w:tblHeader/>
        </w:trPr>
        <w:tc>
          <w:tcPr>
            <w:tcW w:w="2605" w:type="pct"/>
            <w:tcBorders>
              <w:top w:val="single" w:sz="4" w:space="0" w:color="auto"/>
              <w:bottom w:val="single" w:sz="12" w:space="0" w:color="auto"/>
            </w:tcBorders>
            <w:shd w:val="clear" w:color="auto" w:fill="auto"/>
            <w:vAlign w:val="bottom"/>
          </w:tcPr>
          <w:p w14:paraId="2ACEF963" w14:textId="77777777" w:rsidR="00E77C05" w:rsidRPr="00FA6C18" w:rsidRDefault="00E77C05" w:rsidP="00FA6C18">
            <w:pPr>
              <w:spacing w:before="80" w:after="80" w:line="200" w:lineRule="exact"/>
              <w:rPr>
                <w:bCs/>
                <w:i/>
                <w:sz w:val="16"/>
              </w:rPr>
            </w:pPr>
            <w:r w:rsidRPr="00FA6C18">
              <w:rPr>
                <w:bCs/>
                <w:i/>
                <w:sz w:val="16"/>
              </w:rPr>
              <w:t xml:space="preserve">Administración </w:t>
            </w:r>
          </w:p>
        </w:tc>
        <w:tc>
          <w:tcPr>
            <w:tcW w:w="2395" w:type="pct"/>
            <w:tcBorders>
              <w:top w:val="single" w:sz="4" w:space="0" w:color="auto"/>
              <w:bottom w:val="single" w:sz="12" w:space="0" w:color="auto"/>
            </w:tcBorders>
            <w:shd w:val="clear" w:color="auto" w:fill="auto"/>
            <w:vAlign w:val="bottom"/>
          </w:tcPr>
          <w:p w14:paraId="61422780" w14:textId="77777777" w:rsidR="00E77C05" w:rsidRPr="00FA6C18" w:rsidRDefault="00E77C05" w:rsidP="00FA6C18">
            <w:pPr>
              <w:spacing w:before="80" w:after="80" w:line="200" w:lineRule="exact"/>
              <w:ind w:left="113"/>
              <w:jc w:val="right"/>
              <w:rPr>
                <w:bCs/>
                <w:i/>
                <w:sz w:val="16"/>
              </w:rPr>
            </w:pPr>
            <w:bookmarkStart w:id="264" w:name="lt_pId319"/>
            <w:r w:rsidRPr="00FA6C18">
              <w:rPr>
                <w:bCs/>
                <w:i/>
                <w:sz w:val="16"/>
              </w:rPr>
              <w:t xml:space="preserve">Salario mínimo por hora </w:t>
            </w:r>
            <w:r w:rsidRPr="00FA6C18">
              <w:rPr>
                <w:bCs/>
                <w:i/>
                <w:sz w:val="16"/>
              </w:rPr>
              <w:br/>
              <w:t>vigente en septiembre de 2021</w:t>
            </w:r>
            <w:bookmarkEnd w:id="264"/>
          </w:p>
        </w:tc>
      </w:tr>
      <w:tr w:rsidR="00E77C05" w:rsidRPr="00FA6C18" w14:paraId="63818629" w14:textId="77777777" w:rsidTr="00FA6C18">
        <w:trPr>
          <w:trHeight w:val="240"/>
        </w:trPr>
        <w:tc>
          <w:tcPr>
            <w:tcW w:w="2605" w:type="pct"/>
            <w:tcBorders>
              <w:top w:val="single" w:sz="12" w:space="0" w:color="auto"/>
            </w:tcBorders>
            <w:shd w:val="clear" w:color="auto" w:fill="auto"/>
          </w:tcPr>
          <w:p w14:paraId="05886CAF" w14:textId="77777777" w:rsidR="00E77C05" w:rsidRPr="00FA6C18" w:rsidRDefault="00E77C05" w:rsidP="00FA6C18">
            <w:pPr>
              <w:spacing w:before="40" w:after="40" w:line="220" w:lineRule="exact"/>
              <w:rPr>
                <w:sz w:val="18"/>
              </w:rPr>
            </w:pPr>
            <w:r w:rsidRPr="00FA6C18">
              <w:rPr>
                <w:sz w:val="18"/>
              </w:rPr>
              <w:t>Gobierno del Canadá</w:t>
            </w:r>
          </w:p>
        </w:tc>
        <w:tc>
          <w:tcPr>
            <w:tcW w:w="2395" w:type="pct"/>
            <w:tcBorders>
              <w:top w:val="single" w:sz="12" w:space="0" w:color="auto"/>
            </w:tcBorders>
            <w:shd w:val="clear" w:color="auto" w:fill="auto"/>
            <w:vAlign w:val="bottom"/>
          </w:tcPr>
          <w:p w14:paraId="5DBE2AEC" w14:textId="77777777" w:rsidR="00E77C05" w:rsidRPr="00FA6C18" w:rsidRDefault="00E77C05" w:rsidP="00FA6C18">
            <w:pPr>
              <w:spacing w:before="40" w:after="40" w:line="220" w:lineRule="exact"/>
              <w:ind w:left="113"/>
              <w:jc w:val="right"/>
              <w:rPr>
                <w:bCs/>
                <w:iCs/>
                <w:sz w:val="18"/>
              </w:rPr>
            </w:pPr>
            <w:bookmarkStart w:id="265" w:name="lt_pId321"/>
            <w:bookmarkEnd w:id="265"/>
            <w:r w:rsidRPr="00FA6C18">
              <w:rPr>
                <w:bCs/>
                <w:iCs/>
                <w:sz w:val="18"/>
              </w:rPr>
              <w:t>15,00</w:t>
            </w:r>
          </w:p>
        </w:tc>
      </w:tr>
      <w:tr w:rsidR="00E77C05" w:rsidRPr="00FA6C18" w14:paraId="30ED159D" w14:textId="77777777" w:rsidTr="00FA6C18">
        <w:trPr>
          <w:trHeight w:val="240"/>
        </w:trPr>
        <w:tc>
          <w:tcPr>
            <w:tcW w:w="2605" w:type="pct"/>
            <w:shd w:val="clear" w:color="auto" w:fill="auto"/>
          </w:tcPr>
          <w:p w14:paraId="7B04B858" w14:textId="77777777" w:rsidR="00E77C05" w:rsidRPr="00FA6C18" w:rsidRDefault="00E77C05" w:rsidP="00FA6C18">
            <w:pPr>
              <w:spacing w:before="40" w:after="40" w:line="220" w:lineRule="exact"/>
              <w:rPr>
                <w:sz w:val="18"/>
              </w:rPr>
            </w:pPr>
            <w:bookmarkStart w:id="266" w:name="lt_pId322"/>
            <w:r w:rsidRPr="00FA6C18">
              <w:rPr>
                <w:sz w:val="18"/>
              </w:rPr>
              <w:t>Alberta</w:t>
            </w:r>
          </w:p>
        </w:tc>
        <w:tc>
          <w:tcPr>
            <w:tcW w:w="2395" w:type="pct"/>
            <w:shd w:val="clear" w:color="auto" w:fill="auto"/>
            <w:vAlign w:val="bottom"/>
          </w:tcPr>
          <w:p w14:paraId="7F2105EB" w14:textId="77777777" w:rsidR="00E77C05" w:rsidRPr="00FA6C18" w:rsidRDefault="00E77C05" w:rsidP="00FA6C18">
            <w:pPr>
              <w:spacing w:before="40" w:after="40" w:line="220" w:lineRule="exact"/>
              <w:ind w:left="113"/>
              <w:jc w:val="right"/>
              <w:rPr>
                <w:sz w:val="18"/>
              </w:rPr>
            </w:pPr>
            <w:bookmarkStart w:id="267" w:name="lt_pId323"/>
            <w:bookmarkEnd w:id="267"/>
            <w:r w:rsidRPr="00FA6C18">
              <w:rPr>
                <w:bCs/>
                <w:iCs/>
                <w:sz w:val="18"/>
              </w:rPr>
              <w:t>15,00</w:t>
            </w:r>
          </w:p>
        </w:tc>
      </w:tr>
      <w:tr w:rsidR="00E77C05" w:rsidRPr="00FA6C18" w14:paraId="1ACF2BA5" w14:textId="77777777" w:rsidTr="00FA6C18">
        <w:trPr>
          <w:trHeight w:val="240"/>
        </w:trPr>
        <w:tc>
          <w:tcPr>
            <w:tcW w:w="2605" w:type="pct"/>
            <w:shd w:val="clear" w:color="auto" w:fill="auto"/>
          </w:tcPr>
          <w:p w14:paraId="1262EAA6" w14:textId="77777777" w:rsidR="00E77C05" w:rsidRPr="00FA6C18" w:rsidRDefault="00E77C05" w:rsidP="00FA6C18">
            <w:pPr>
              <w:spacing w:before="40" w:after="40" w:line="220" w:lineRule="exact"/>
              <w:rPr>
                <w:sz w:val="18"/>
              </w:rPr>
            </w:pPr>
            <w:bookmarkStart w:id="268" w:name="lt_pId324"/>
            <w:r w:rsidRPr="00FA6C18">
              <w:rPr>
                <w:sz w:val="18"/>
              </w:rPr>
              <w:t>Columbia Británica</w:t>
            </w:r>
            <w:bookmarkEnd w:id="268"/>
          </w:p>
        </w:tc>
        <w:tc>
          <w:tcPr>
            <w:tcW w:w="2395" w:type="pct"/>
            <w:shd w:val="clear" w:color="auto" w:fill="auto"/>
            <w:vAlign w:val="bottom"/>
          </w:tcPr>
          <w:p w14:paraId="77D0A823" w14:textId="77777777" w:rsidR="00E77C05" w:rsidRPr="00FA6C18" w:rsidRDefault="00E77C05" w:rsidP="00FA6C18">
            <w:pPr>
              <w:spacing w:before="40" w:after="40" w:line="220" w:lineRule="exact"/>
              <w:ind w:left="113"/>
              <w:jc w:val="right"/>
              <w:rPr>
                <w:sz w:val="18"/>
              </w:rPr>
            </w:pPr>
            <w:bookmarkStart w:id="269" w:name="lt_pId325"/>
            <w:bookmarkEnd w:id="269"/>
            <w:r w:rsidRPr="00FA6C18">
              <w:rPr>
                <w:bCs/>
                <w:iCs/>
                <w:sz w:val="18"/>
              </w:rPr>
              <w:t>15,20</w:t>
            </w:r>
          </w:p>
        </w:tc>
      </w:tr>
      <w:tr w:rsidR="00E77C05" w:rsidRPr="00FA6C18" w14:paraId="01169647" w14:textId="77777777" w:rsidTr="00FA6C18">
        <w:trPr>
          <w:trHeight w:val="240"/>
        </w:trPr>
        <w:tc>
          <w:tcPr>
            <w:tcW w:w="2605" w:type="pct"/>
            <w:shd w:val="clear" w:color="auto" w:fill="auto"/>
          </w:tcPr>
          <w:p w14:paraId="18CA2632" w14:textId="77777777" w:rsidR="00E77C05" w:rsidRPr="00FA6C18" w:rsidRDefault="00E77C05" w:rsidP="00FA6C18">
            <w:pPr>
              <w:spacing w:before="40" w:after="40" w:line="220" w:lineRule="exact"/>
              <w:rPr>
                <w:sz w:val="18"/>
              </w:rPr>
            </w:pPr>
            <w:bookmarkStart w:id="270" w:name="lt_pId338"/>
            <w:r w:rsidRPr="00FA6C18">
              <w:rPr>
                <w:sz w:val="18"/>
              </w:rPr>
              <w:t>Isla del Príncipe Eduardo</w:t>
            </w:r>
            <w:bookmarkEnd w:id="270"/>
          </w:p>
        </w:tc>
        <w:tc>
          <w:tcPr>
            <w:tcW w:w="2395" w:type="pct"/>
            <w:shd w:val="clear" w:color="auto" w:fill="auto"/>
            <w:vAlign w:val="bottom"/>
          </w:tcPr>
          <w:p w14:paraId="1E280A0F" w14:textId="77777777" w:rsidR="00E77C05" w:rsidRPr="00FA6C18" w:rsidRDefault="00E77C05" w:rsidP="00FA6C18">
            <w:pPr>
              <w:spacing w:before="40" w:after="40" w:line="220" w:lineRule="exact"/>
              <w:ind w:left="113"/>
              <w:jc w:val="right"/>
              <w:rPr>
                <w:sz w:val="18"/>
              </w:rPr>
            </w:pPr>
            <w:bookmarkStart w:id="271" w:name="lt_pId339"/>
            <w:bookmarkEnd w:id="271"/>
            <w:r w:rsidRPr="00FA6C18">
              <w:rPr>
                <w:bCs/>
                <w:iCs/>
                <w:sz w:val="18"/>
              </w:rPr>
              <w:t>13,00</w:t>
            </w:r>
          </w:p>
        </w:tc>
      </w:tr>
      <w:tr w:rsidR="00E77C05" w:rsidRPr="00FA6C18" w14:paraId="7B3A9531" w14:textId="77777777" w:rsidTr="00FA6C18">
        <w:trPr>
          <w:trHeight w:val="240"/>
        </w:trPr>
        <w:tc>
          <w:tcPr>
            <w:tcW w:w="2605" w:type="pct"/>
            <w:shd w:val="clear" w:color="auto" w:fill="auto"/>
          </w:tcPr>
          <w:p w14:paraId="5ED6300A" w14:textId="77777777" w:rsidR="00E77C05" w:rsidRPr="00FA6C18" w:rsidRDefault="00E77C05" w:rsidP="00FA6C18">
            <w:pPr>
              <w:spacing w:before="40" w:after="40" w:line="220" w:lineRule="exact"/>
              <w:rPr>
                <w:sz w:val="18"/>
              </w:rPr>
            </w:pPr>
            <w:bookmarkStart w:id="272" w:name="lt_pId326"/>
            <w:r w:rsidRPr="00FA6C18">
              <w:rPr>
                <w:sz w:val="18"/>
              </w:rPr>
              <w:t>Manitoba</w:t>
            </w:r>
            <w:bookmarkEnd w:id="272"/>
          </w:p>
        </w:tc>
        <w:tc>
          <w:tcPr>
            <w:tcW w:w="2395" w:type="pct"/>
            <w:shd w:val="clear" w:color="auto" w:fill="auto"/>
            <w:vAlign w:val="bottom"/>
          </w:tcPr>
          <w:p w14:paraId="59FDDE00" w14:textId="77777777" w:rsidR="00E77C05" w:rsidRPr="00FA6C18" w:rsidRDefault="00E77C05" w:rsidP="00FA6C18">
            <w:pPr>
              <w:spacing w:before="40" w:after="40" w:line="220" w:lineRule="exact"/>
              <w:ind w:left="113"/>
              <w:jc w:val="right"/>
              <w:rPr>
                <w:sz w:val="18"/>
              </w:rPr>
            </w:pPr>
            <w:bookmarkStart w:id="273" w:name="lt_pId327"/>
            <w:bookmarkEnd w:id="273"/>
            <w:r w:rsidRPr="00FA6C18">
              <w:rPr>
                <w:bCs/>
                <w:iCs/>
                <w:sz w:val="18"/>
              </w:rPr>
              <w:t>11,90</w:t>
            </w:r>
          </w:p>
        </w:tc>
      </w:tr>
      <w:tr w:rsidR="00E77C05" w:rsidRPr="00FA6C18" w14:paraId="105EDC76" w14:textId="77777777" w:rsidTr="00FA6C18">
        <w:trPr>
          <w:trHeight w:val="240"/>
        </w:trPr>
        <w:tc>
          <w:tcPr>
            <w:tcW w:w="2605" w:type="pct"/>
            <w:shd w:val="clear" w:color="auto" w:fill="auto"/>
          </w:tcPr>
          <w:p w14:paraId="117A67EC" w14:textId="77777777" w:rsidR="00E77C05" w:rsidRPr="00FA6C18" w:rsidRDefault="00E77C05" w:rsidP="00FA6C18">
            <w:pPr>
              <w:spacing w:before="40" w:after="40" w:line="220" w:lineRule="exact"/>
              <w:rPr>
                <w:sz w:val="18"/>
              </w:rPr>
            </w:pPr>
            <w:bookmarkStart w:id="274" w:name="lt_pId328"/>
            <w:r w:rsidRPr="00FA6C18">
              <w:rPr>
                <w:sz w:val="18"/>
              </w:rPr>
              <w:t>Nueva Brunswick</w:t>
            </w:r>
            <w:bookmarkEnd w:id="274"/>
          </w:p>
        </w:tc>
        <w:tc>
          <w:tcPr>
            <w:tcW w:w="2395" w:type="pct"/>
            <w:shd w:val="clear" w:color="auto" w:fill="auto"/>
            <w:vAlign w:val="bottom"/>
          </w:tcPr>
          <w:p w14:paraId="1FF18A99" w14:textId="77777777" w:rsidR="00E77C05" w:rsidRPr="00FA6C18" w:rsidRDefault="00E77C05" w:rsidP="00FA6C18">
            <w:pPr>
              <w:spacing w:before="40" w:after="40" w:line="220" w:lineRule="exact"/>
              <w:ind w:left="113"/>
              <w:jc w:val="right"/>
              <w:rPr>
                <w:sz w:val="18"/>
              </w:rPr>
            </w:pPr>
            <w:bookmarkStart w:id="275" w:name="lt_pId329"/>
            <w:bookmarkEnd w:id="275"/>
            <w:r w:rsidRPr="00FA6C18">
              <w:rPr>
                <w:bCs/>
                <w:iCs/>
                <w:sz w:val="18"/>
              </w:rPr>
              <w:t>11,75</w:t>
            </w:r>
          </w:p>
        </w:tc>
      </w:tr>
      <w:tr w:rsidR="00E77C05" w:rsidRPr="00FA6C18" w14:paraId="07D5F7A2" w14:textId="77777777" w:rsidTr="00FA6C18">
        <w:trPr>
          <w:trHeight w:val="240"/>
        </w:trPr>
        <w:tc>
          <w:tcPr>
            <w:tcW w:w="2605" w:type="pct"/>
            <w:shd w:val="clear" w:color="auto" w:fill="auto"/>
          </w:tcPr>
          <w:p w14:paraId="223C5C48" w14:textId="77777777" w:rsidR="00E77C05" w:rsidRPr="00FA6C18" w:rsidRDefault="00E77C05" w:rsidP="00FA6C18">
            <w:pPr>
              <w:spacing w:before="40" w:after="40" w:line="220" w:lineRule="exact"/>
              <w:rPr>
                <w:sz w:val="18"/>
              </w:rPr>
            </w:pPr>
            <w:bookmarkStart w:id="276" w:name="lt_pId332"/>
            <w:r w:rsidRPr="00FA6C18">
              <w:rPr>
                <w:sz w:val="18"/>
              </w:rPr>
              <w:t>Nueva Escocia</w:t>
            </w:r>
            <w:bookmarkEnd w:id="276"/>
          </w:p>
        </w:tc>
        <w:tc>
          <w:tcPr>
            <w:tcW w:w="2395" w:type="pct"/>
            <w:shd w:val="clear" w:color="auto" w:fill="auto"/>
            <w:vAlign w:val="bottom"/>
          </w:tcPr>
          <w:p w14:paraId="00ACFF97" w14:textId="77777777" w:rsidR="00E77C05" w:rsidRPr="00FA6C18" w:rsidRDefault="00E77C05" w:rsidP="00FA6C18">
            <w:pPr>
              <w:spacing w:before="40" w:after="40" w:line="220" w:lineRule="exact"/>
              <w:ind w:left="113"/>
              <w:jc w:val="right"/>
              <w:rPr>
                <w:sz w:val="18"/>
              </w:rPr>
            </w:pPr>
            <w:bookmarkStart w:id="277" w:name="lt_pId333"/>
            <w:bookmarkEnd w:id="277"/>
            <w:r w:rsidRPr="00FA6C18">
              <w:rPr>
                <w:sz w:val="18"/>
              </w:rPr>
              <w:t>12,95</w:t>
            </w:r>
          </w:p>
        </w:tc>
      </w:tr>
      <w:tr w:rsidR="00E77C05" w:rsidRPr="00FA6C18" w14:paraId="0C8EF543" w14:textId="77777777" w:rsidTr="00FA6C18">
        <w:trPr>
          <w:trHeight w:val="240"/>
        </w:trPr>
        <w:tc>
          <w:tcPr>
            <w:tcW w:w="2605" w:type="pct"/>
            <w:shd w:val="clear" w:color="auto" w:fill="auto"/>
          </w:tcPr>
          <w:p w14:paraId="3689C909" w14:textId="77777777" w:rsidR="00E77C05" w:rsidRPr="00FA6C18" w:rsidRDefault="00E77C05" w:rsidP="00FA6C18">
            <w:pPr>
              <w:spacing w:before="40" w:after="40" w:line="220" w:lineRule="exact"/>
              <w:rPr>
                <w:sz w:val="18"/>
              </w:rPr>
            </w:pPr>
            <w:r w:rsidRPr="00FA6C18">
              <w:rPr>
                <w:sz w:val="18"/>
              </w:rPr>
              <w:t>Nunavut</w:t>
            </w:r>
          </w:p>
        </w:tc>
        <w:tc>
          <w:tcPr>
            <w:tcW w:w="2395" w:type="pct"/>
            <w:shd w:val="clear" w:color="auto" w:fill="auto"/>
            <w:vAlign w:val="bottom"/>
          </w:tcPr>
          <w:p w14:paraId="5EF232AD" w14:textId="77777777" w:rsidR="00E77C05" w:rsidRPr="00FA6C18" w:rsidRDefault="00E77C05" w:rsidP="00FA6C18">
            <w:pPr>
              <w:spacing w:before="40" w:after="40" w:line="220" w:lineRule="exact"/>
              <w:ind w:left="113"/>
              <w:jc w:val="right"/>
              <w:rPr>
                <w:bCs/>
                <w:iCs/>
                <w:sz w:val="18"/>
              </w:rPr>
            </w:pPr>
            <w:r w:rsidRPr="00FA6C18">
              <w:rPr>
                <w:bCs/>
                <w:iCs/>
                <w:sz w:val="18"/>
              </w:rPr>
              <w:t>16,00</w:t>
            </w:r>
          </w:p>
        </w:tc>
      </w:tr>
      <w:tr w:rsidR="00E77C05" w:rsidRPr="00FA6C18" w14:paraId="2B408B68" w14:textId="77777777" w:rsidTr="00FA6C18">
        <w:trPr>
          <w:trHeight w:val="240"/>
        </w:trPr>
        <w:tc>
          <w:tcPr>
            <w:tcW w:w="2605" w:type="pct"/>
            <w:shd w:val="clear" w:color="auto" w:fill="auto"/>
          </w:tcPr>
          <w:p w14:paraId="6363B9B8" w14:textId="77777777" w:rsidR="00E77C05" w:rsidRPr="00FA6C18" w:rsidRDefault="00E77C05" w:rsidP="00FA6C18">
            <w:pPr>
              <w:spacing w:before="40" w:after="40" w:line="220" w:lineRule="exact"/>
              <w:rPr>
                <w:sz w:val="18"/>
              </w:rPr>
            </w:pPr>
            <w:bookmarkStart w:id="278" w:name="lt_pId336"/>
            <w:r w:rsidRPr="00FA6C18">
              <w:rPr>
                <w:sz w:val="18"/>
              </w:rPr>
              <w:t>Ontario</w:t>
            </w:r>
            <w:bookmarkEnd w:id="278"/>
          </w:p>
        </w:tc>
        <w:tc>
          <w:tcPr>
            <w:tcW w:w="2395" w:type="pct"/>
            <w:shd w:val="clear" w:color="auto" w:fill="auto"/>
            <w:vAlign w:val="bottom"/>
          </w:tcPr>
          <w:p w14:paraId="03D8B265" w14:textId="77777777" w:rsidR="00E77C05" w:rsidRPr="00FA6C18" w:rsidRDefault="00E77C05" w:rsidP="00FA6C18">
            <w:pPr>
              <w:spacing w:before="40" w:after="40" w:line="220" w:lineRule="exact"/>
              <w:ind w:left="113"/>
              <w:jc w:val="right"/>
              <w:rPr>
                <w:sz w:val="18"/>
              </w:rPr>
            </w:pPr>
            <w:bookmarkStart w:id="279" w:name="lt_pId337"/>
            <w:bookmarkEnd w:id="279"/>
            <w:r w:rsidRPr="00FA6C18">
              <w:rPr>
                <w:sz w:val="18"/>
              </w:rPr>
              <w:t>14,25</w:t>
            </w:r>
          </w:p>
        </w:tc>
      </w:tr>
      <w:tr w:rsidR="00E77C05" w:rsidRPr="00FA6C18" w14:paraId="28B952DB" w14:textId="77777777" w:rsidTr="00FA6C18">
        <w:trPr>
          <w:trHeight w:val="240"/>
        </w:trPr>
        <w:tc>
          <w:tcPr>
            <w:tcW w:w="2605" w:type="pct"/>
            <w:shd w:val="clear" w:color="auto" w:fill="auto"/>
          </w:tcPr>
          <w:p w14:paraId="6630EFE4" w14:textId="77777777" w:rsidR="00E77C05" w:rsidRPr="00FA6C18" w:rsidRDefault="00E77C05" w:rsidP="00FA6C18">
            <w:pPr>
              <w:spacing w:before="40" w:after="40" w:line="220" w:lineRule="exact"/>
              <w:rPr>
                <w:sz w:val="18"/>
              </w:rPr>
            </w:pPr>
            <w:bookmarkStart w:id="280" w:name="lt_pId340"/>
            <w:r w:rsidRPr="00FA6C18">
              <w:rPr>
                <w:sz w:val="18"/>
              </w:rPr>
              <w:t>Quebec</w:t>
            </w:r>
            <w:bookmarkEnd w:id="280"/>
          </w:p>
        </w:tc>
        <w:tc>
          <w:tcPr>
            <w:tcW w:w="2395" w:type="pct"/>
            <w:shd w:val="clear" w:color="auto" w:fill="auto"/>
            <w:vAlign w:val="bottom"/>
          </w:tcPr>
          <w:p w14:paraId="7E6FF93B" w14:textId="77777777" w:rsidR="00E77C05" w:rsidRPr="00FA6C18" w:rsidRDefault="00E77C05" w:rsidP="00FA6C18">
            <w:pPr>
              <w:spacing w:before="40" w:after="40" w:line="220" w:lineRule="exact"/>
              <w:ind w:left="113"/>
              <w:jc w:val="right"/>
              <w:rPr>
                <w:sz w:val="18"/>
              </w:rPr>
            </w:pPr>
            <w:bookmarkStart w:id="281" w:name="lt_pId341"/>
            <w:bookmarkEnd w:id="281"/>
            <w:r w:rsidRPr="00FA6C18">
              <w:rPr>
                <w:sz w:val="18"/>
              </w:rPr>
              <w:t>13,50</w:t>
            </w:r>
          </w:p>
        </w:tc>
      </w:tr>
      <w:tr w:rsidR="00E77C05" w:rsidRPr="00FA6C18" w14:paraId="224EE766" w14:textId="77777777" w:rsidTr="00FA6C18">
        <w:trPr>
          <w:trHeight w:val="240"/>
        </w:trPr>
        <w:tc>
          <w:tcPr>
            <w:tcW w:w="2605" w:type="pct"/>
            <w:shd w:val="clear" w:color="auto" w:fill="auto"/>
          </w:tcPr>
          <w:p w14:paraId="68AC704D" w14:textId="77777777" w:rsidR="00E77C05" w:rsidRPr="00FA6C18" w:rsidRDefault="00E77C05" w:rsidP="00FA6C18">
            <w:pPr>
              <w:spacing w:before="40" w:after="40" w:line="220" w:lineRule="exact"/>
              <w:rPr>
                <w:sz w:val="18"/>
              </w:rPr>
            </w:pPr>
            <w:bookmarkStart w:id="282" w:name="lt_pId342"/>
            <w:r w:rsidRPr="00FA6C18">
              <w:rPr>
                <w:sz w:val="18"/>
              </w:rPr>
              <w:t>Saskatchewan</w:t>
            </w:r>
            <w:bookmarkEnd w:id="282"/>
          </w:p>
        </w:tc>
        <w:tc>
          <w:tcPr>
            <w:tcW w:w="2395" w:type="pct"/>
            <w:shd w:val="clear" w:color="auto" w:fill="auto"/>
            <w:vAlign w:val="bottom"/>
          </w:tcPr>
          <w:p w14:paraId="3A5D2485" w14:textId="77777777" w:rsidR="00E77C05" w:rsidRPr="00FA6C18" w:rsidRDefault="00E77C05" w:rsidP="00FA6C18">
            <w:pPr>
              <w:spacing w:before="40" w:after="40" w:line="220" w:lineRule="exact"/>
              <w:ind w:left="113"/>
              <w:jc w:val="right"/>
              <w:rPr>
                <w:sz w:val="18"/>
              </w:rPr>
            </w:pPr>
            <w:bookmarkStart w:id="283" w:name="lt_pId343"/>
            <w:bookmarkEnd w:id="283"/>
            <w:r w:rsidRPr="00FA6C18">
              <w:rPr>
                <w:sz w:val="18"/>
              </w:rPr>
              <w:t>11,45</w:t>
            </w:r>
          </w:p>
        </w:tc>
      </w:tr>
      <w:tr w:rsidR="00E77C05" w:rsidRPr="00FA6C18" w14:paraId="6165C6CB" w14:textId="77777777" w:rsidTr="00FA6C18">
        <w:trPr>
          <w:trHeight w:val="240"/>
        </w:trPr>
        <w:tc>
          <w:tcPr>
            <w:tcW w:w="2605" w:type="pct"/>
            <w:shd w:val="clear" w:color="auto" w:fill="auto"/>
          </w:tcPr>
          <w:p w14:paraId="480FE8CE" w14:textId="77777777" w:rsidR="00E77C05" w:rsidRPr="00FA6C18" w:rsidRDefault="00E77C05" w:rsidP="00FA6C18">
            <w:pPr>
              <w:spacing w:before="40" w:after="40" w:line="220" w:lineRule="exact"/>
              <w:rPr>
                <w:sz w:val="18"/>
              </w:rPr>
            </w:pPr>
            <w:bookmarkStart w:id="284" w:name="lt_pId330"/>
            <w:r w:rsidRPr="00FA6C18">
              <w:rPr>
                <w:sz w:val="18"/>
              </w:rPr>
              <w:t>Terranova y Labrador</w:t>
            </w:r>
            <w:bookmarkEnd w:id="284"/>
          </w:p>
        </w:tc>
        <w:tc>
          <w:tcPr>
            <w:tcW w:w="2395" w:type="pct"/>
            <w:shd w:val="clear" w:color="auto" w:fill="auto"/>
            <w:vAlign w:val="bottom"/>
          </w:tcPr>
          <w:p w14:paraId="2562FBE2" w14:textId="77777777" w:rsidR="00E77C05" w:rsidRPr="00FA6C18" w:rsidRDefault="00E77C05" w:rsidP="00FA6C18">
            <w:pPr>
              <w:spacing w:before="40" w:after="40" w:line="220" w:lineRule="exact"/>
              <w:ind w:left="113"/>
              <w:jc w:val="right"/>
              <w:rPr>
                <w:sz w:val="18"/>
              </w:rPr>
            </w:pPr>
            <w:bookmarkStart w:id="285" w:name="lt_pId331"/>
            <w:bookmarkEnd w:id="285"/>
            <w:r w:rsidRPr="00FA6C18">
              <w:rPr>
                <w:bCs/>
                <w:iCs/>
                <w:sz w:val="18"/>
              </w:rPr>
              <w:t>12,50</w:t>
            </w:r>
          </w:p>
        </w:tc>
      </w:tr>
      <w:tr w:rsidR="00E77C05" w:rsidRPr="00FA6C18" w14:paraId="77579F51" w14:textId="77777777" w:rsidTr="00A51A0C">
        <w:trPr>
          <w:trHeight w:val="240"/>
        </w:trPr>
        <w:tc>
          <w:tcPr>
            <w:tcW w:w="2605" w:type="pct"/>
            <w:shd w:val="clear" w:color="auto" w:fill="auto"/>
          </w:tcPr>
          <w:p w14:paraId="188854B5" w14:textId="77777777" w:rsidR="00E77C05" w:rsidRPr="00FA6C18" w:rsidRDefault="00E77C05" w:rsidP="00FA6C18">
            <w:pPr>
              <w:spacing w:before="40" w:after="40" w:line="220" w:lineRule="exact"/>
              <w:rPr>
                <w:sz w:val="18"/>
              </w:rPr>
            </w:pPr>
            <w:bookmarkStart w:id="286" w:name="lt_pId334"/>
            <w:r w:rsidRPr="00FA6C18">
              <w:rPr>
                <w:sz w:val="18"/>
              </w:rPr>
              <w:t>Territorios del Noroeste</w:t>
            </w:r>
            <w:bookmarkEnd w:id="286"/>
          </w:p>
        </w:tc>
        <w:tc>
          <w:tcPr>
            <w:tcW w:w="2395" w:type="pct"/>
            <w:shd w:val="clear" w:color="auto" w:fill="auto"/>
            <w:vAlign w:val="bottom"/>
          </w:tcPr>
          <w:p w14:paraId="41265A01" w14:textId="77777777" w:rsidR="00E77C05" w:rsidRPr="00FA6C18" w:rsidRDefault="00E77C05" w:rsidP="00FA6C18">
            <w:pPr>
              <w:spacing w:before="40" w:after="40" w:line="220" w:lineRule="exact"/>
              <w:ind w:left="113"/>
              <w:jc w:val="right"/>
              <w:rPr>
                <w:sz w:val="18"/>
              </w:rPr>
            </w:pPr>
            <w:bookmarkStart w:id="287" w:name="lt_pId335"/>
            <w:bookmarkEnd w:id="287"/>
            <w:r w:rsidRPr="00FA6C18">
              <w:rPr>
                <w:bCs/>
                <w:iCs/>
                <w:sz w:val="18"/>
              </w:rPr>
              <w:t>15,20</w:t>
            </w:r>
          </w:p>
        </w:tc>
      </w:tr>
      <w:tr w:rsidR="00A51A0C" w:rsidRPr="00FA6C18" w14:paraId="116DF6D2" w14:textId="77777777" w:rsidTr="00FA6C18">
        <w:trPr>
          <w:trHeight w:val="240"/>
        </w:trPr>
        <w:tc>
          <w:tcPr>
            <w:tcW w:w="2605" w:type="pct"/>
            <w:tcBorders>
              <w:bottom w:val="single" w:sz="12" w:space="0" w:color="auto"/>
            </w:tcBorders>
            <w:shd w:val="clear" w:color="auto" w:fill="auto"/>
          </w:tcPr>
          <w:p w14:paraId="42979E5F" w14:textId="38C94542" w:rsidR="00A51A0C" w:rsidRPr="00FA6C18" w:rsidRDefault="00A51A0C" w:rsidP="00A51A0C">
            <w:pPr>
              <w:spacing w:before="40" w:after="40" w:line="220" w:lineRule="exact"/>
              <w:rPr>
                <w:sz w:val="18"/>
              </w:rPr>
            </w:pPr>
            <w:bookmarkStart w:id="288" w:name="lt_pId344"/>
            <w:r w:rsidRPr="00FA6C18">
              <w:rPr>
                <w:sz w:val="18"/>
              </w:rPr>
              <w:t>Yukón</w:t>
            </w:r>
            <w:bookmarkEnd w:id="288"/>
          </w:p>
        </w:tc>
        <w:tc>
          <w:tcPr>
            <w:tcW w:w="2395" w:type="pct"/>
            <w:tcBorders>
              <w:bottom w:val="single" w:sz="12" w:space="0" w:color="auto"/>
            </w:tcBorders>
            <w:shd w:val="clear" w:color="auto" w:fill="auto"/>
            <w:vAlign w:val="bottom"/>
          </w:tcPr>
          <w:p w14:paraId="4DA36BDE" w14:textId="1C72D749" w:rsidR="00A51A0C" w:rsidRPr="00FA6C18" w:rsidRDefault="00A51A0C" w:rsidP="00A51A0C">
            <w:pPr>
              <w:spacing w:before="40" w:after="40" w:line="220" w:lineRule="exact"/>
              <w:ind w:left="113"/>
              <w:jc w:val="right"/>
              <w:rPr>
                <w:bCs/>
                <w:iCs/>
                <w:sz w:val="18"/>
              </w:rPr>
            </w:pPr>
            <w:r w:rsidRPr="00FA6C18">
              <w:rPr>
                <w:sz w:val="18"/>
              </w:rPr>
              <w:t>15,20</w:t>
            </w:r>
          </w:p>
        </w:tc>
      </w:tr>
    </w:tbl>
    <w:p w14:paraId="7787E726" w14:textId="77777777" w:rsidR="00E77C05" w:rsidRPr="00DC28B0" w:rsidRDefault="00E77C05" w:rsidP="00FA6C18">
      <w:pPr>
        <w:pStyle w:val="SingleTxtG"/>
        <w:keepNext/>
        <w:keepLines/>
        <w:spacing w:before="240"/>
      </w:pPr>
      <w:bookmarkStart w:id="289" w:name="lt_pId346"/>
      <w:bookmarkEnd w:id="266"/>
      <w:r w:rsidRPr="00DC28B0">
        <w:lastRenderedPageBreak/>
        <w:t>73.</w:t>
      </w:r>
      <w:r w:rsidRPr="00DC28B0">
        <w:tab/>
        <w:t>El grado de cumplimiento de la normativa sobre el salario mínimo es, en general, elevado:</w:t>
      </w:r>
      <w:bookmarkEnd w:id="289"/>
    </w:p>
    <w:p w14:paraId="33BB9F68" w14:textId="26C1C38A" w:rsidR="00E77C05" w:rsidRPr="00DC28B0" w:rsidRDefault="00E77C05" w:rsidP="00FA6C18">
      <w:pPr>
        <w:pStyle w:val="Bullet1G"/>
        <w:rPr>
          <w:rFonts w:eastAsiaTheme="minorEastAsia"/>
        </w:rPr>
      </w:pPr>
      <w:bookmarkStart w:id="290" w:name="lt_pId350"/>
      <w:r w:rsidRPr="00DC28B0">
        <w:rPr>
          <w:rFonts w:eastAsiaTheme="minorEastAsia"/>
        </w:rPr>
        <w:t xml:space="preserve">Entre enero de 2016 y septiembre de 2021, la Dirección de Normas de Empleo de Manitoba recibió 9.442 reclamaciones relacionadas con el salario mínimo. </w:t>
      </w:r>
      <w:bookmarkStart w:id="291" w:name="lt_pId351"/>
      <w:bookmarkEnd w:id="290"/>
      <w:r w:rsidRPr="00DC28B0">
        <w:rPr>
          <w:rFonts w:eastAsiaTheme="minorEastAsia"/>
        </w:rPr>
        <w:t>Los funcionarios competentes determinaron que solo en 12 casos contemplados en esas reclamaciones se incumplían los requisitos relativos al salario mínimo.</w:t>
      </w:r>
      <w:bookmarkEnd w:id="291"/>
    </w:p>
    <w:p w14:paraId="3FDF2356" w14:textId="77777777" w:rsidR="00E77C05" w:rsidRPr="00DC28B0" w:rsidRDefault="00E77C05" w:rsidP="00B62663">
      <w:pPr>
        <w:pStyle w:val="SingleTxtG"/>
      </w:pPr>
      <w:bookmarkStart w:id="292" w:name="lt_pId352"/>
      <w:r w:rsidRPr="00DC28B0">
        <w:t>74.</w:t>
      </w:r>
      <w:r w:rsidRPr="00DC28B0">
        <w:tab/>
        <w:t>Reconociendo la importancia de gozar de un nivel de vida adecuado, el Gobierno Federal y los gobiernos provinciales y territoriales se esfuerzan por garantizar que el salario mínimo sea suficiente para satisfacer las necesidades de los trabajadores y sus familias:</w:t>
      </w:r>
      <w:bookmarkEnd w:id="292"/>
    </w:p>
    <w:p w14:paraId="6E5B69D0" w14:textId="698681C3" w:rsidR="00E77C05" w:rsidRPr="00DC28B0" w:rsidRDefault="00E77C05" w:rsidP="00FA6C18">
      <w:pPr>
        <w:pStyle w:val="Bullet1G"/>
        <w:rPr>
          <w:rFonts w:eastAsiaTheme="minorEastAsia"/>
        </w:rPr>
      </w:pPr>
      <w:bookmarkStart w:id="293" w:name="lt_pId354"/>
      <w:r w:rsidRPr="00DC28B0">
        <w:rPr>
          <w:rFonts w:eastAsiaTheme="minorEastAsia"/>
        </w:rPr>
        <w:t>En virtud de las nuevas disposiciones del Código Laboral del Canadá, que entraron en vigor el 29 de diciembre de 2021, se ha establecido a nivel federal un salario mínimo de 15 dólares por hora y se garantiza que, si en una provincia o territorio se hubiera establecido un salario mínimo más alto, ese será el que prevalezca. Para tener en cuenta la inflación, el salario mínimo se ajusta el 1 de abril de cada año de acuerdo con el índice de precios al consumo del Canadá correspondiente al año natural anterior.</w:t>
      </w:r>
    </w:p>
    <w:p w14:paraId="43F74D05" w14:textId="214C7CDB" w:rsidR="00E77C05" w:rsidRPr="00DC28B0" w:rsidRDefault="00E77C05" w:rsidP="00FA6C18">
      <w:pPr>
        <w:pStyle w:val="Bullet1G"/>
        <w:rPr>
          <w:rFonts w:eastAsiaTheme="minorEastAsia"/>
        </w:rPr>
      </w:pPr>
      <w:r w:rsidRPr="00DC28B0">
        <w:rPr>
          <w:rFonts w:eastAsiaTheme="minorEastAsia"/>
        </w:rPr>
        <w:t xml:space="preserve">En la Ley de Normas Laborales de Terranova y Labrador se contempla una revisión periódica del salario mínimo y del mecanismo establecido para fijarlo. </w:t>
      </w:r>
      <w:bookmarkStart w:id="294" w:name="lt_pId355"/>
      <w:bookmarkEnd w:id="293"/>
      <w:r w:rsidRPr="00DC28B0">
        <w:rPr>
          <w:rFonts w:eastAsiaTheme="minorEastAsia"/>
        </w:rPr>
        <w:t>En la revisión del salario mínimo correspondiente a 2020 participaron las partes interesadas del mundo laboral y empresarial para determinar la cuantía adecuada</w:t>
      </w:r>
      <w:r w:rsidRPr="00DC28B0">
        <w:t xml:space="preserve"> d</w:t>
      </w:r>
      <w:r w:rsidRPr="00DC28B0">
        <w:rPr>
          <w:rFonts w:eastAsiaTheme="minorEastAsia"/>
        </w:rPr>
        <w:t>el salario mínimo y el nivel de vida deseado.</w:t>
      </w:r>
      <w:bookmarkEnd w:id="294"/>
    </w:p>
    <w:p w14:paraId="0152876C" w14:textId="60055460" w:rsidR="00E77C05" w:rsidRPr="00DC28B0" w:rsidRDefault="00E77C05" w:rsidP="00FA6C18">
      <w:pPr>
        <w:pStyle w:val="Bullet1G"/>
        <w:rPr>
          <w:rFonts w:eastAsiaTheme="minorEastAsia"/>
        </w:rPr>
      </w:pPr>
      <w:bookmarkStart w:id="295" w:name="lt_pId356"/>
      <w:r w:rsidRPr="00DC28B0">
        <w:rPr>
          <w:rFonts w:eastAsiaTheme="minorEastAsia"/>
        </w:rPr>
        <w:t xml:space="preserve">En Saskatchewan, el aumento del salario mínimo se calcula según una fórmula en la que se asigna el mismo peso a la variación porcentual del salario medio por hora y a la variación experimentada por el índice de precios al consumo en la provincia el año anterior publicados por la Oficina de Estadística del Canadá. </w:t>
      </w:r>
      <w:bookmarkStart w:id="296" w:name="lt_pId357"/>
      <w:bookmarkEnd w:id="295"/>
      <w:r w:rsidRPr="00DC28B0">
        <w:rPr>
          <w:rFonts w:eastAsiaTheme="minorEastAsia"/>
        </w:rPr>
        <w:t>La utilización del salario medio por hora y del índice de precios al consumo tiene por objeto garantizar que los salarios de los trabajadores puedan seguir el ritmo del coste de la vida en la provincia.</w:t>
      </w:r>
      <w:bookmarkEnd w:id="296"/>
    </w:p>
    <w:p w14:paraId="5621DC1A" w14:textId="52EA0ED7" w:rsidR="00E77C05" w:rsidRPr="00DC28B0" w:rsidRDefault="00E77C05" w:rsidP="00FA6C18">
      <w:pPr>
        <w:pStyle w:val="Bullet1G"/>
        <w:rPr>
          <w:rFonts w:eastAsiaTheme="minorEastAsia"/>
        </w:rPr>
      </w:pPr>
      <w:r w:rsidRPr="00DC28B0">
        <w:rPr>
          <w:rFonts w:eastAsiaTheme="minorEastAsia"/>
        </w:rPr>
        <w:t>En 2017, Quebec adoptó una nueva política en relación con el salario mínimo. Esa política se inscribe en un aumento gradual de la ratio entre el salario mínimo y el salario medio por hora, elevándola del 47</w:t>
      </w:r>
      <w:r w:rsidR="00A51A0C">
        <w:rPr>
          <w:rFonts w:eastAsiaTheme="minorEastAsia"/>
        </w:rPr>
        <w:t xml:space="preserve"> </w:t>
      </w:r>
      <w:r w:rsidRPr="00DC28B0">
        <w:rPr>
          <w:rFonts w:eastAsiaTheme="minorEastAsia"/>
        </w:rPr>
        <w:t>% al 50</w:t>
      </w:r>
      <w:r w:rsidR="00A51A0C">
        <w:rPr>
          <w:rFonts w:eastAsiaTheme="minorEastAsia"/>
        </w:rPr>
        <w:t xml:space="preserve"> </w:t>
      </w:r>
      <w:r w:rsidRPr="00DC28B0">
        <w:rPr>
          <w:rFonts w:eastAsiaTheme="minorEastAsia"/>
        </w:rPr>
        <w:t>%. Los aumentos del salario mínimo en los últimos años han contribuido a lograr este objetivo. Mantener esa proporción en el 50 % permite a Quebec preservar el poder adquisitivo de los asalariados, respetando al mismo tiempo la capacidad de pago de las empresas radicadas en la provincia.</w:t>
      </w:r>
    </w:p>
    <w:p w14:paraId="6C05AF2E" w14:textId="044AB086" w:rsidR="00E77C05" w:rsidRPr="00DC28B0" w:rsidRDefault="00E77C05" w:rsidP="00FA6C18">
      <w:pPr>
        <w:pStyle w:val="H23G"/>
      </w:pPr>
      <w:bookmarkStart w:id="297" w:name="lt_pId358"/>
      <w:r>
        <w:tab/>
      </w:r>
      <w:r w:rsidR="00FA6C18">
        <w:tab/>
      </w:r>
      <w:r w:rsidRPr="00DC28B0">
        <w:t>Igualdad salarial</w:t>
      </w:r>
      <w:bookmarkEnd w:id="297"/>
    </w:p>
    <w:p w14:paraId="311E65EF" w14:textId="77777777" w:rsidR="00E77C05" w:rsidRPr="00DC28B0" w:rsidRDefault="00E77C05" w:rsidP="00B62663">
      <w:pPr>
        <w:pStyle w:val="SingleTxtG"/>
      </w:pPr>
      <w:bookmarkStart w:id="298" w:name="lt_pId359"/>
      <w:r w:rsidRPr="00DC28B0">
        <w:t>75.</w:t>
      </w:r>
      <w:r w:rsidRPr="00DC28B0">
        <w:tab/>
      </w:r>
      <w:bookmarkStart w:id="299" w:name="lt_pId360"/>
      <w:bookmarkEnd w:id="298"/>
      <w:r w:rsidRPr="00DC28B0">
        <w:t>Además de la Ley de Igualdad Salarial del Gobierno del Canadá (véase la respuesta a la pregunta 2), las provincias y territorios también tienen leyes que incorporan el principio de igualdad de retribución por un trabajo de igual valor:</w:t>
      </w:r>
      <w:bookmarkEnd w:id="299"/>
    </w:p>
    <w:p w14:paraId="76393CCA" w14:textId="0DBD4E9A" w:rsidR="00E77C05" w:rsidRPr="00DC28B0" w:rsidRDefault="00E77C05" w:rsidP="00FA6C18">
      <w:pPr>
        <w:pStyle w:val="Bullet1G"/>
        <w:rPr>
          <w:rFonts w:eastAsiaTheme="minorEastAsia"/>
        </w:rPr>
      </w:pPr>
      <w:bookmarkStart w:id="300" w:name="lt_pId361"/>
      <w:r w:rsidRPr="00DC28B0">
        <w:rPr>
          <w:rFonts w:eastAsiaTheme="minorEastAsia"/>
        </w:rPr>
        <w:t xml:space="preserve">En virtud del Código de Normas Laborales de Nueva Escocia se prohíbe a los empresarios pagar a los empleados que realizan esencialmente el mismo trabajo un salario diferente en función de su sexo. </w:t>
      </w:r>
      <w:bookmarkStart w:id="301" w:name="lt_pId362"/>
      <w:bookmarkEnd w:id="300"/>
      <w:r w:rsidRPr="00DC28B0">
        <w:rPr>
          <w:rFonts w:eastAsiaTheme="minorEastAsia"/>
        </w:rPr>
        <w:t xml:space="preserve">En el Código se prohíbe a los empleadores que impidan a los trabajadores hablar de sus salarios en el lugar de trabajo. </w:t>
      </w:r>
      <w:bookmarkStart w:id="302" w:name="lt_pId363"/>
      <w:bookmarkEnd w:id="301"/>
      <w:r w:rsidRPr="00DC28B0">
        <w:rPr>
          <w:rFonts w:eastAsiaTheme="minorEastAsia"/>
        </w:rPr>
        <w:t>También se prohíbe a los posibles empleadores preguntar a un posible trabajador por su historial salarial o exigir que ese historial salarial haya de satisfacer cualquier criterio, incluidos unos niveles máximos o mínimos.</w:t>
      </w:r>
      <w:bookmarkEnd w:id="302"/>
    </w:p>
    <w:p w14:paraId="0CDE0FB7" w14:textId="0742CE5D" w:rsidR="00E77C05" w:rsidRPr="00DC28B0" w:rsidRDefault="00E77C05" w:rsidP="00FA6C18">
      <w:pPr>
        <w:pStyle w:val="Bullet1G"/>
        <w:rPr>
          <w:rFonts w:eastAsiaTheme="minorEastAsia"/>
          <w:b/>
        </w:rPr>
      </w:pPr>
      <w:bookmarkStart w:id="303" w:name="lt_pId364"/>
      <w:r w:rsidRPr="00DC28B0">
        <w:rPr>
          <w:rFonts w:eastAsiaTheme="minorEastAsia"/>
        </w:rPr>
        <w:t xml:space="preserve">Ontario cuenta con dos textos legislativos en los que se abordan las cuestiones de igualdad salarial entre hombres y mujeres: la Ley de Igualdad Salarial y la Ley de Normas de Empleo de 2000. </w:t>
      </w:r>
      <w:bookmarkStart w:id="304" w:name="lt_pId365"/>
      <w:bookmarkEnd w:id="303"/>
      <w:r w:rsidRPr="00DC28B0">
        <w:rPr>
          <w:rFonts w:eastAsiaTheme="minorEastAsia"/>
        </w:rPr>
        <w:t xml:space="preserve">La Ley de Igualdad Salarial está en vigor desde 1988 y tiene por objeto corregir la discriminación sistémica por razón de sexo en la forma en que se retribuye a los empleados de categorías laborales predominantemente femeninas por el trabajo que realizan. </w:t>
      </w:r>
      <w:bookmarkStart w:id="305" w:name="lt_pId366"/>
      <w:bookmarkEnd w:id="304"/>
      <w:r w:rsidRPr="00DC28B0">
        <w:rPr>
          <w:rFonts w:eastAsiaTheme="minorEastAsia"/>
        </w:rPr>
        <w:t xml:space="preserve">Se aplica a los empleadores del sector privado con diez o más empleados y a todos los empleadores del sector público de la provincia, incluidos los empleadores del sector público en sentido amplio. </w:t>
      </w:r>
      <w:bookmarkStart w:id="306" w:name="lt_pId367"/>
      <w:bookmarkEnd w:id="305"/>
      <w:r w:rsidRPr="00DC28B0">
        <w:rPr>
          <w:rFonts w:eastAsiaTheme="minorEastAsia"/>
        </w:rPr>
        <w:t xml:space="preserve">La Ley de Normas de Empleo contiene disposiciones relativas a la igualdad de retribución por un mismo </w:t>
      </w:r>
      <w:r w:rsidRPr="00DC28B0">
        <w:rPr>
          <w:rFonts w:eastAsiaTheme="minorEastAsia"/>
        </w:rPr>
        <w:lastRenderedPageBreak/>
        <w:t xml:space="preserve">trabajo. </w:t>
      </w:r>
      <w:bookmarkStart w:id="307" w:name="lt_pId368"/>
      <w:bookmarkEnd w:id="306"/>
      <w:r w:rsidRPr="00DC28B0">
        <w:rPr>
          <w:rFonts w:eastAsiaTheme="minorEastAsia"/>
        </w:rPr>
        <w:t>En consecuencia, un empleador no puede pagar a un trabajador un salario inferior al de otro por razón de sexo cuando realizan sustancialmente el mismo tipo de trabajo en el mismo establecimiento; el trabajo requiere sustancialmente la misma habilidad, esfuerzo y responsabilidad; y se realiza en condiciones laborales similares.</w:t>
      </w:r>
      <w:bookmarkStart w:id="308" w:name="lt_pId370"/>
      <w:bookmarkEnd w:id="307"/>
    </w:p>
    <w:p w14:paraId="3E0D9C8C" w14:textId="68489CDD" w:rsidR="00E77C05" w:rsidRPr="00DC28B0" w:rsidRDefault="00E77C05" w:rsidP="00FA6C18">
      <w:pPr>
        <w:pStyle w:val="Bullet1G"/>
        <w:rPr>
          <w:rFonts w:eastAsiaTheme="minorEastAsia"/>
        </w:rPr>
      </w:pPr>
      <w:r w:rsidRPr="00DC28B0">
        <w:rPr>
          <w:rFonts w:eastAsiaTheme="minorEastAsia"/>
        </w:rPr>
        <w:t>En 2019, Quebec aprobó la Ley de Enmienda de la Ley de Igualdad Salarial, cuyo principal objetivo es mejorar la evaluación de la igualdad salarial. La Ley también tiene por objeto promover la participación de los empleados durante las auditorías de equidad salarial, proporcionar un marco para la tramitación de las reclamaciones y mejorar la aplicación de la Ley.</w:t>
      </w:r>
    </w:p>
    <w:p w14:paraId="2B3B8220" w14:textId="21801F45" w:rsidR="00E77C05" w:rsidRPr="00DC28B0" w:rsidRDefault="00E77C05" w:rsidP="00FA6C18">
      <w:pPr>
        <w:pStyle w:val="H1G"/>
      </w:pPr>
      <w:r>
        <w:tab/>
      </w:r>
      <w:r w:rsidR="00FA6C18">
        <w:tab/>
      </w:r>
      <w:r w:rsidRPr="00DC28B0">
        <w:t>Respuesta al párrafo 16 de la lista de cuestiones</w:t>
      </w:r>
      <w:bookmarkEnd w:id="308"/>
    </w:p>
    <w:p w14:paraId="24FBC23E" w14:textId="4B3C5A6E" w:rsidR="00E77C05" w:rsidRPr="00DC28B0" w:rsidRDefault="00FA6C18" w:rsidP="00FA6C18">
      <w:pPr>
        <w:pStyle w:val="H23G"/>
      </w:pPr>
      <w:bookmarkStart w:id="309" w:name="lt_pId371"/>
      <w:r>
        <w:tab/>
      </w:r>
      <w:r w:rsidR="00E77C05">
        <w:tab/>
      </w:r>
      <w:r w:rsidR="00E77C05" w:rsidRPr="00DC28B0">
        <w:t>Mecanismo de denuncia en materia de salud y seguridad</w:t>
      </w:r>
      <w:bookmarkEnd w:id="309"/>
    </w:p>
    <w:p w14:paraId="69579C56" w14:textId="77777777" w:rsidR="00E77C05" w:rsidRPr="00DC28B0" w:rsidRDefault="00E77C05" w:rsidP="00B62663">
      <w:pPr>
        <w:pStyle w:val="SingleTxtG"/>
      </w:pPr>
      <w:bookmarkStart w:id="310" w:name="lt_pId372"/>
      <w:r w:rsidRPr="00DC28B0">
        <w:t>76.</w:t>
      </w:r>
      <w:r w:rsidRPr="00DC28B0">
        <w:tab/>
        <w:t xml:space="preserve">Durante su estancia en el Canadá, los trabajadores temporales extranjeros tienen el mismo derecho que los ciudadanos canadienses y los residentes a la protección en el lugar de trabajo en virtud de las normas de empleo federales, provinciales y territoriales. </w:t>
      </w:r>
      <w:bookmarkStart w:id="311" w:name="lt_pId373"/>
      <w:bookmarkEnd w:id="310"/>
      <w:r w:rsidRPr="00DC28B0">
        <w:t>Los mecanismos de denuncia también se aplican a los trabajadores migrantes, inmigrantes, residentes permanentes y ciudadanos canadienses empleados en cualquier sector regulado.</w:t>
      </w:r>
      <w:bookmarkEnd w:id="311"/>
    </w:p>
    <w:p w14:paraId="61158AF2" w14:textId="77777777" w:rsidR="00E77C05" w:rsidRPr="00DC28B0" w:rsidRDefault="00E77C05" w:rsidP="00B62663">
      <w:pPr>
        <w:pStyle w:val="SingleTxtG"/>
      </w:pPr>
      <w:r w:rsidRPr="00DC28B0">
        <w:t>77.</w:t>
      </w:r>
      <w:r w:rsidRPr="00DC28B0">
        <w:tab/>
        <w:t>Además de las normas laborales y la legislación vigente de ámbito federal, provincial y territorial, los empleadores que contratan a trabajadores extranjeros con permisos de trabajo específicos están sujetos a un régimen de cumplimiento de las normas, administrado por el Gobierno Federal, que incluye inspecciones del cumplimiento. Las condiciones y consecuencias de ese régimen se establecen en el Reglamento de Inmigración y Protección de los Refugiados.</w:t>
      </w:r>
    </w:p>
    <w:p w14:paraId="128061D9" w14:textId="77777777" w:rsidR="00E77C05" w:rsidRPr="00DC28B0" w:rsidRDefault="00E77C05" w:rsidP="00B62663">
      <w:pPr>
        <w:pStyle w:val="SingleTxtG"/>
      </w:pPr>
      <w:bookmarkStart w:id="312" w:name="lt_pId374"/>
      <w:r w:rsidRPr="00DC28B0">
        <w:t>78.</w:t>
      </w:r>
      <w:r w:rsidRPr="00DC28B0">
        <w:tab/>
        <w:t>Los dos programas canadienses orientados a la contratación de trabajadores temporales extranjeros, el Programa de Trabajadores Temporales Extranjeros y el Programa de Movilidad Internacional, cuentan con mecanismos gestionados por el Gobierno que permiten a cualquier persona presentar una denuncia, en particular con respecto a la salud y la seguridad en el trabajo de los trabajadores temporales extranjeros. Se responde a las consultas a través de los Centros de Servicio al Empleador, tanto en línea como de manera presencial, y también hay una línea telefónica multilingüe a través de la cual los trabajadores temporales extranjeros pueden plantear sus preocupaciones, incluidas cuestiones relativas a su seguridad personal y los casos de abuso, actividad ilegal o incumplimiento de las condiciones de su contrato por parte de su empleador.</w:t>
      </w:r>
      <w:bookmarkEnd w:id="312"/>
      <w:r w:rsidRPr="00DC28B0">
        <w:t xml:space="preserve"> En el marco del Programa de Trabajadores Temporales Extranjeros se examina y evalúa toda la información y las denuncias, y se toman las medidas oportunas, como la inspección del cumplimiento por parte del empleador y el aviso a las fuerzas de seguridad.</w:t>
      </w:r>
    </w:p>
    <w:p w14:paraId="623685F1" w14:textId="77777777" w:rsidR="00E77C05" w:rsidRPr="00DC28B0" w:rsidRDefault="00E77C05" w:rsidP="00B62663">
      <w:pPr>
        <w:pStyle w:val="SingleTxtG"/>
      </w:pPr>
      <w:bookmarkStart w:id="313" w:name="lt_pId375"/>
      <w:r w:rsidRPr="00DC28B0">
        <w:t>79.</w:t>
      </w:r>
      <w:r w:rsidRPr="00DC28B0">
        <w:tab/>
        <w:t xml:space="preserve">En Alberta, Columbia Británica, Manitoba, Terranova y Labrador, los Territorios del Noroeste, Ontario, la Isla del Príncipe Eduardo y Quebec existen también mecanismos a través de los cuales se pueden comunicar las preocupaciones en materia de salud y seguridad a diversas juntas y comités del lugar de trabajo, o a los reguladores gubernamentales, por teléfono o en línea, a menudo de forma confidencial y anónima. </w:t>
      </w:r>
      <w:bookmarkStart w:id="314" w:name="lt_pId376"/>
      <w:bookmarkEnd w:id="313"/>
      <w:r w:rsidRPr="00DC28B0">
        <w:t>En Columbia Británica, Manitoba y Ontario, esos mecanismos de notificación ofrecen también servicios de traducción para quienes plantean sus preocupaciones.</w:t>
      </w:r>
      <w:bookmarkEnd w:id="314"/>
    </w:p>
    <w:p w14:paraId="60BD4CA9" w14:textId="656608EC" w:rsidR="00E77C05" w:rsidRPr="00DC28B0" w:rsidRDefault="00E77C05" w:rsidP="00FA6C18">
      <w:pPr>
        <w:pStyle w:val="H23G"/>
      </w:pPr>
      <w:bookmarkStart w:id="315" w:name="lt_pId377"/>
      <w:r>
        <w:tab/>
      </w:r>
      <w:r w:rsidR="00FA6C18">
        <w:tab/>
      </w:r>
      <w:r w:rsidRPr="00DC28B0">
        <w:t>Medidas para resolver los problemas sistémicos</w:t>
      </w:r>
      <w:bookmarkEnd w:id="315"/>
    </w:p>
    <w:p w14:paraId="5932CEA1" w14:textId="77777777" w:rsidR="00E77C05" w:rsidRPr="00DC28B0" w:rsidRDefault="00E77C05" w:rsidP="00B62663">
      <w:pPr>
        <w:pStyle w:val="SingleTxtG"/>
      </w:pPr>
      <w:bookmarkStart w:id="316" w:name="lt_pId378"/>
      <w:r w:rsidRPr="00DC28B0">
        <w:t>80.</w:t>
      </w:r>
      <w:r w:rsidRPr="00DC28B0">
        <w:tab/>
        <w:t xml:space="preserve">El Gobierno del Canadá supervisa el cumplimiento de la legislación en materia laboral y de igualdad en el empleo y de la legislación en materia de protección de la salud y la seguridad de los trabajadores en los centros de trabajo de las empresas y organizaciones bajo su jurisdicción y responde a todas las quejas recibidas a través de los diversos canales de comunicación establecidos. </w:t>
      </w:r>
      <w:bookmarkStart w:id="317" w:name="lt_pId379"/>
      <w:bookmarkEnd w:id="316"/>
      <w:r w:rsidRPr="00DC28B0">
        <w:t xml:space="preserve">Además, anualmente se recopilan y comunican datos sobre los lugares de trabajo, lo que permite al Gobierno identificar las esferas prioritarias de actividad dentro de su jurisdicción. </w:t>
      </w:r>
      <w:bookmarkStart w:id="318" w:name="lt_pId380"/>
      <w:bookmarkEnd w:id="317"/>
      <w:r w:rsidRPr="00DC28B0">
        <w:t xml:space="preserve">Anualmente, la dirección lleva a cabo una revisión del Plan Estratégico de Operaciones a fin de actualizar las medidas necesarias para abordar los problemas sistémicos en las esferas prioritarias mediante una intervención significativa y </w:t>
      </w:r>
      <w:r w:rsidRPr="00DC28B0">
        <w:lastRenderedPageBreak/>
        <w:t>proactiva que garantice el cumplimiento del Código Laboral del Canadá y demás normas conexas.</w:t>
      </w:r>
      <w:bookmarkEnd w:id="318"/>
    </w:p>
    <w:p w14:paraId="0D2DCB29" w14:textId="77777777" w:rsidR="00E77C05" w:rsidRPr="00DC28B0" w:rsidRDefault="00E77C05" w:rsidP="00B62663">
      <w:pPr>
        <w:pStyle w:val="SingleTxtG"/>
      </w:pPr>
      <w:bookmarkStart w:id="319" w:name="lt_pId381"/>
      <w:r w:rsidRPr="00DC28B0">
        <w:t>81.</w:t>
      </w:r>
      <w:r w:rsidRPr="00DC28B0">
        <w:tab/>
        <w:t xml:space="preserve">En Alberta, los datos se revisan con objeto de detectar tendencias sistémicas que sirvan para orientar la asignación de recursos en materia de concienciación y de aplicación de la ley. </w:t>
      </w:r>
      <w:bookmarkStart w:id="320" w:name="lt_pId382"/>
      <w:bookmarkEnd w:id="319"/>
      <w:r w:rsidRPr="00DC28B0">
        <w:t>Los datos históricos sobre remuneración y cumplimiento a nivel de empleador e industria se utilizan para determinar qué empleadores e industrias se consideran de alto riesgo y merecen una vigilancia proactiva.</w:t>
      </w:r>
      <w:bookmarkEnd w:id="320"/>
    </w:p>
    <w:p w14:paraId="30D7A11D" w14:textId="77777777" w:rsidR="00E77C05" w:rsidRPr="00DC28B0" w:rsidRDefault="00E77C05" w:rsidP="00B62663">
      <w:pPr>
        <w:pStyle w:val="SingleTxtG"/>
      </w:pPr>
      <w:bookmarkStart w:id="321" w:name="lt_pId383"/>
      <w:r w:rsidRPr="00DC28B0">
        <w:t>82.</w:t>
      </w:r>
      <w:r w:rsidRPr="00DC28B0">
        <w:tab/>
        <w:t xml:space="preserve">En Columbia Británica, la aplicación de las disposiciones en materia de salud y seguridad en el trabajo de la Ley de Indemnización de los Trabajadores está en manos de </w:t>
      </w:r>
      <w:proofErr w:type="spellStart"/>
      <w:r w:rsidRPr="00DC28B0">
        <w:t>WorkSafeBC</w:t>
      </w:r>
      <w:proofErr w:type="spellEnd"/>
      <w:r w:rsidRPr="00DC28B0">
        <w:t>, un organismo gubernamental independiente que, entre otras cosas, se ocupa de identificar y abordar los problemas sistémicos que afectan a la salud y la seguridad en el trabajo.</w:t>
      </w:r>
      <w:bookmarkEnd w:id="321"/>
    </w:p>
    <w:p w14:paraId="5B4C985F" w14:textId="16713335" w:rsidR="00E77C05" w:rsidRPr="00DC28B0" w:rsidRDefault="00E77C05" w:rsidP="00FA6C18">
      <w:pPr>
        <w:pStyle w:val="H23G"/>
      </w:pPr>
      <w:bookmarkStart w:id="322" w:name="lt_pId386"/>
      <w:r>
        <w:tab/>
      </w:r>
      <w:r w:rsidR="00FA6C18">
        <w:tab/>
      </w:r>
      <w:r w:rsidRPr="00DC28B0">
        <w:t>Medidas para mejorar la salud y la seguridad en el trabajo</w:t>
      </w:r>
      <w:bookmarkEnd w:id="322"/>
    </w:p>
    <w:p w14:paraId="247E4F40" w14:textId="77777777" w:rsidR="00E77C05" w:rsidRPr="00DC28B0" w:rsidRDefault="00E77C05" w:rsidP="00B62663">
      <w:pPr>
        <w:pStyle w:val="SingleTxtG"/>
      </w:pPr>
      <w:bookmarkStart w:id="323" w:name="lt_pId387"/>
      <w:r w:rsidRPr="00DC28B0">
        <w:t>83.</w:t>
      </w:r>
      <w:r w:rsidRPr="00DC28B0">
        <w:tab/>
        <w:t xml:space="preserve">En 2019, todos los responsables de la cartera de trabajo a nivel federal, provincial y territorial del Canadá firmaron el Acuerdo sobre la Armonización de las Normas de Salud y Seguridad en el Trabajo en el Canadá, cuyo objetivo es armonizar las normas de protección de la salud y la seguridad en todas las jurisdicciones. </w:t>
      </w:r>
      <w:bookmarkStart w:id="324" w:name="lt_pId388"/>
      <w:bookmarkEnd w:id="323"/>
      <w:r w:rsidRPr="00DC28B0">
        <w:t>La Isla del Príncipe Eduardo y Nueva Brunswick ya han comenzado a actualizar sus normas y directrices de conformidad con el acuerdo.</w:t>
      </w:r>
      <w:bookmarkEnd w:id="324"/>
    </w:p>
    <w:p w14:paraId="1CB322D1" w14:textId="602FB4DC" w:rsidR="00E77C05" w:rsidRPr="00DC28B0" w:rsidRDefault="00E77C05" w:rsidP="00B62663">
      <w:pPr>
        <w:pStyle w:val="SingleTxtG"/>
        <w:rPr>
          <w:bCs/>
        </w:rPr>
      </w:pPr>
      <w:bookmarkStart w:id="325" w:name="lt_pId389"/>
      <w:r w:rsidRPr="00DC28B0">
        <w:t>84.</w:t>
      </w:r>
      <w:r w:rsidRPr="00DC28B0">
        <w:tab/>
        <w:t xml:space="preserve">En 2018, el Gobierno del Canadá aprobó la Ley de Enmienda del Código Laboral del Canadá (Acoso y Violencia), la Ley de Empleo y Relaciones con el Personal en el Parlamento, y la Ley núm. </w:t>
      </w:r>
      <w:r w:rsidR="00C5767A" w:rsidRPr="00DC28B0">
        <w:t>1 de</w:t>
      </w:r>
      <w:r w:rsidRPr="00DC28B0">
        <w:t xml:space="preserve"> Ejecución Presupuestaria de 2017.</w:t>
      </w:r>
      <w:bookmarkStart w:id="326" w:name="lt_pId390"/>
      <w:bookmarkEnd w:id="325"/>
      <w:r w:rsidRPr="00DC28B0">
        <w:rPr>
          <w:bCs/>
        </w:rPr>
        <w:t xml:space="preserve"> El propósito de esa Ley era garantizar que tanto los lugares de trabajo bajo jurisdicción federal, como el sector privado, el servicio público y el Parlamento del Canadá, estuviesen libres de acoso y violencia. </w:t>
      </w:r>
      <w:bookmarkStart w:id="327" w:name="lt_pId391"/>
      <w:bookmarkEnd w:id="326"/>
      <w:r w:rsidRPr="00DC28B0">
        <w:rPr>
          <w:bCs/>
        </w:rPr>
        <w:t>En enero de 2021 también entró en vigor el Reglamento de Prevención del Acoso y la Violencia en el Lugar de Trabajo.</w:t>
      </w:r>
      <w:bookmarkEnd w:id="327"/>
    </w:p>
    <w:p w14:paraId="1F4B7A3A" w14:textId="0FC63A32" w:rsidR="00E77C05" w:rsidRPr="00DC28B0" w:rsidRDefault="00E77C05" w:rsidP="00FA6C18">
      <w:pPr>
        <w:pStyle w:val="H23G"/>
      </w:pPr>
      <w:bookmarkStart w:id="328" w:name="lt_pId392"/>
      <w:r>
        <w:tab/>
      </w:r>
      <w:r w:rsidR="00FA6C18">
        <w:tab/>
      </w:r>
      <w:r w:rsidRPr="00DC28B0">
        <w:t>Medidas adoptadas para reforzar las inspecciones en el lugar de trabajo</w:t>
      </w:r>
      <w:bookmarkEnd w:id="328"/>
    </w:p>
    <w:p w14:paraId="2D9CD5CB" w14:textId="77777777" w:rsidR="00E77C05" w:rsidRPr="00DC28B0" w:rsidRDefault="00E77C05" w:rsidP="00B62663">
      <w:pPr>
        <w:pStyle w:val="SingleTxtG"/>
        <w:rPr>
          <w:bCs/>
        </w:rPr>
      </w:pPr>
      <w:bookmarkStart w:id="329" w:name="lt_pId393"/>
      <w:r w:rsidRPr="00DC28B0">
        <w:t>85.</w:t>
      </w:r>
      <w:r w:rsidRPr="00DC28B0">
        <w:tab/>
        <w:t xml:space="preserve">Desde </w:t>
      </w:r>
      <w:r w:rsidRPr="00DC28B0">
        <w:rPr>
          <w:bCs/>
        </w:rPr>
        <w:t xml:space="preserve">2016, el Gobierno del Canadá ha venido aumentando continuamente el número de inspecciones en materia de </w:t>
      </w:r>
      <w:r w:rsidRPr="00B62663">
        <w:t>salud</w:t>
      </w:r>
      <w:r w:rsidRPr="00DC28B0">
        <w:rPr>
          <w:bCs/>
        </w:rPr>
        <w:t xml:space="preserve"> y seguridad en el trabajo en los centros de cuya regulación se ocupa.</w:t>
      </w:r>
      <w:bookmarkEnd w:id="329"/>
      <w:r w:rsidRPr="00DC28B0">
        <w:rPr>
          <w:bCs/>
        </w:rPr>
        <w:t xml:space="preserve"> En el seno del Programa de Trabajadores Temporales Extranjeros se administra un régimen de cumplimiento que incluye inspecciones en los lugares de trabajo para mantener la integridad del programa y proteger a esos trabajadores. En ese régimen también se contemplan sanciones para los empleadores en caso de incumplimiento.</w:t>
      </w:r>
    </w:p>
    <w:p w14:paraId="74C29499" w14:textId="4DB9370C" w:rsidR="00E77C05" w:rsidRPr="00DC28B0" w:rsidRDefault="00E77C05" w:rsidP="00B62663">
      <w:pPr>
        <w:pStyle w:val="SingleTxtG"/>
        <w:rPr>
          <w:bCs/>
        </w:rPr>
      </w:pPr>
      <w:bookmarkStart w:id="330" w:name="lt_pId395"/>
      <w:r w:rsidRPr="00DC28B0">
        <w:t>86.</w:t>
      </w:r>
      <w:r w:rsidRPr="00DC28B0">
        <w:tab/>
      </w:r>
      <w:r w:rsidRPr="00DC28B0">
        <w:rPr>
          <w:bCs/>
        </w:rPr>
        <w:t xml:space="preserve">En el marco de su Plan Plurianual de Prevención e Inspección 2020-2023, Quebec se ha fijado como prioridad el cuidado de </w:t>
      </w:r>
      <w:r w:rsidRPr="00B62663">
        <w:t>las</w:t>
      </w:r>
      <w:r w:rsidRPr="00DC28B0">
        <w:rPr>
          <w:bCs/>
        </w:rPr>
        <w:t xml:space="preserve"> personas que acceden a nuevos empleos, en particular mediante la realización de inspecciones en los lugares de trabajo. </w:t>
      </w:r>
      <w:bookmarkStart w:id="331" w:name="lt_pId396"/>
      <w:bookmarkEnd w:id="330"/>
      <w:r w:rsidRPr="00DC28B0">
        <w:rPr>
          <w:bCs/>
        </w:rPr>
        <w:t xml:space="preserve">En el marco de ese </w:t>
      </w:r>
      <w:r w:rsidR="00BC1516">
        <w:rPr>
          <w:bCs/>
        </w:rPr>
        <w:t>Plan</w:t>
      </w:r>
      <w:r w:rsidRPr="00DC28B0">
        <w:rPr>
          <w:bCs/>
        </w:rPr>
        <w:t xml:space="preserve">, está previsto realizar inspecciones </w:t>
      </w:r>
      <w:r w:rsidRPr="00DC28B0">
        <w:t>anuales</w:t>
      </w:r>
      <w:r w:rsidRPr="00DC28B0">
        <w:rPr>
          <w:bCs/>
        </w:rPr>
        <w:t xml:space="preserve"> en los lugares de toda la provincia en los que haya trabajadores de origen inmigrante. </w:t>
      </w:r>
      <w:bookmarkEnd w:id="331"/>
      <w:r w:rsidRPr="00DC28B0">
        <w:rPr>
          <w:bCs/>
        </w:rPr>
        <w:t>Además, desde el 1 de enero de 2020, a raíz de la reforma de la Ley sobre Normas Laborales, el trabajo de las agencias de contratación de trabajadores extranjeros</w:t>
      </w:r>
      <w:r w:rsidRPr="00DC28B0">
        <w:t xml:space="preserve"> está regulado mediante </w:t>
      </w:r>
      <w:r w:rsidRPr="00DC28B0">
        <w:rPr>
          <w:bCs/>
        </w:rPr>
        <w:t>una serie de medidas legislativas, incluida la obligación de disponer de un permiso válido expedido por la autoridad competente.</w:t>
      </w:r>
    </w:p>
    <w:p w14:paraId="67CBB933" w14:textId="77777777" w:rsidR="00E77C05" w:rsidRPr="00DC28B0" w:rsidRDefault="00E77C05" w:rsidP="00B62663">
      <w:pPr>
        <w:pStyle w:val="SingleTxtG"/>
        <w:rPr>
          <w:b/>
          <w:bCs/>
        </w:rPr>
      </w:pPr>
      <w:bookmarkStart w:id="332" w:name="lt_pId397"/>
      <w:r w:rsidRPr="00DC28B0">
        <w:t>87.</w:t>
      </w:r>
      <w:r w:rsidRPr="00DC28B0">
        <w:tab/>
        <w:t>En los cuadros 7 a 15 del apéndice 1 puede consultarse el número de inspecciones realizadas en los sectores regulados a nivel federal, los riesgos para la salud y la seguridad en el trabajo y los accidentes y enfermedades profesionales desglosados por sector.</w:t>
      </w:r>
      <w:bookmarkStart w:id="333" w:name="lt_pId398"/>
      <w:bookmarkEnd w:id="332"/>
    </w:p>
    <w:p w14:paraId="0D8CD10B" w14:textId="18D89DA9" w:rsidR="00E77C05" w:rsidRPr="00DC28B0" w:rsidRDefault="00E77C05" w:rsidP="00FA6C18">
      <w:pPr>
        <w:pStyle w:val="H1G"/>
      </w:pPr>
      <w:r>
        <w:tab/>
      </w:r>
      <w:r w:rsidR="00FA6C18">
        <w:tab/>
      </w:r>
      <w:r w:rsidRPr="00DC28B0">
        <w:t>Respuesta al párrafo 17 de la lista de cuestiones</w:t>
      </w:r>
      <w:bookmarkEnd w:id="333"/>
    </w:p>
    <w:p w14:paraId="6E3C3B9B" w14:textId="492515F0" w:rsidR="00E77C05" w:rsidRPr="00DC28B0" w:rsidRDefault="00E77C05" w:rsidP="00FA6C18">
      <w:pPr>
        <w:pStyle w:val="H23G"/>
      </w:pPr>
      <w:r>
        <w:tab/>
      </w:r>
      <w:r w:rsidR="00FA6C18">
        <w:tab/>
      </w:r>
      <w:r w:rsidRPr="00DC28B0">
        <w:t>Derecho de huelga y derecho a fundar sindicatos y a afiliarse a ellos</w:t>
      </w:r>
    </w:p>
    <w:p w14:paraId="17C79462" w14:textId="77777777" w:rsidR="00E77C05" w:rsidRPr="00DC28B0" w:rsidRDefault="00E77C05" w:rsidP="00B62663">
      <w:pPr>
        <w:pStyle w:val="SingleTxtG"/>
      </w:pPr>
      <w:bookmarkStart w:id="334" w:name="lt_pId400"/>
      <w:r w:rsidRPr="00DC28B0">
        <w:t>88.</w:t>
      </w:r>
      <w:r w:rsidRPr="00DC28B0">
        <w:tab/>
        <w:t>A nivel federal, las siguientes categorías de trabajadores no tienen derecho a la huelga:</w:t>
      </w:r>
      <w:bookmarkEnd w:id="334"/>
    </w:p>
    <w:p w14:paraId="5E943CCE" w14:textId="405C3FF9" w:rsidR="00E77C05" w:rsidRPr="00DC28B0" w:rsidRDefault="00E77C05" w:rsidP="00FA6C18">
      <w:pPr>
        <w:pStyle w:val="Bullet1G"/>
        <w:rPr>
          <w:rFonts w:eastAsiaTheme="minorEastAsia"/>
        </w:rPr>
      </w:pPr>
      <w:bookmarkStart w:id="335" w:name="lt_pId401"/>
      <w:r w:rsidRPr="00DC28B0">
        <w:rPr>
          <w:rFonts w:eastAsiaTheme="minorEastAsia"/>
        </w:rPr>
        <w:t xml:space="preserve">Empleados cuyos puestos están excluidos de la negociación colectiva en virtud del párrafo 59.1 de la Ley Federal de Relaciones Laborales del Sector Público. </w:t>
      </w:r>
      <w:bookmarkEnd w:id="335"/>
      <w:r w:rsidRPr="00DC28B0">
        <w:rPr>
          <w:rFonts w:eastAsiaTheme="minorEastAsia"/>
        </w:rPr>
        <w:t>Por lo general, se trata de puestos directivos o de confianza</w:t>
      </w:r>
      <w:r w:rsidR="00DE2772">
        <w:rPr>
          <w:rFonts w:eastAsiaTheme="minorEastAsia"/>
        </w:rPr>
        <w:t>.</w:t>
      </w:r>
    </w:p>
    <w:p w14:paraId="77ED966E" w14:textId="14219B67" w:rsidR="00E77C05" w:rsidRPr="00DC28B0" w:rsidRDefault="00E77C05" w:rsidP="00FA6C18">
      <w:pPr>
        <w:pStyle w:val="Bullet1G"/>
        <w:rPr>
          <w:rFonts w:eastAsiaTheme="minorEastAsia"/>
        </w:rPr>
      </w:pPr>
      <w:r w:rsidRPr="00DC28B0">
        <w:rPr>
          <w:rFonts w:eastAsiaTheme="minorEastAsia"/>
        </w:rPr>
        <w:lastRenderedPageBreak/>
        <w:t>Empleados cuyos puestos son esenciales en virtud del artículo 8 de la Ley Federal de Relaciones Laborales del Sector Público, con el fin de garantizar la salud y la seguridad de los canadienses</w:t>
      </w:r>
      <w:r w:rsidR="00DE2772">
        <w:rPr>
          <w:rFonts w:eastAsiaTheme="minorEastAsia"/>
        </w:rPr>
        <w:t>.</w:t>
      </w:r>
    </w:p>
    <w:p w14:paraId="70B0F3DE" w14:textId="4A5A0996" w:rsidR="00E77C05" w:rsidRPr="00DC28B0" w:rsidRDefault="00E77C05" w:rsidP="00FA6C18">
      <w:pPr>
        <w:pStyle w:val="Bullet1G"/>
        <w:rPr>
          <w:rFonts w:eastAsiaTheme="minorEastAsia"/>
        </w:rPr>
      </w:pPr>
      <w:bookmarkStart w:id="336" w:name="lt_pId403"/>
      <w:r w:rsidRPr="00DC28B0">
        <w:rPr>
          <w:rFonts w:eastAsiaTheme="minorEastAsia"/>
        </w:rPr>
        <w:t>Empleados que no están representados por un sindicato en virtud de la Ley Federal de Relaciones Laborales del Sector Público, como los empleados del Grupo de Gestión y Administración de Personal.</w:t>
      </w:r>
      <w:bookmarkEnd w:id="336"/>
    </w:p>
    <w:p w14:paraId="4F8879DE" w14:textId="77777777" w:rsidR="00E77C05" w:rsidRPr="00DC28B0" w:rsidRDefault="00E77C05" w:rsidP="00B62663">
      <w:pPr>
        <w:pStyle w:val="SingleTxtG"/>
      </w:pPr>
      <w:bookmarkStart w:id="337" w:name="lt_pId404"/>
      <w:r w:rsidRPr="00DC28B0">
        <w:t>89.</w:t>
      </w:r>
      <w:r w:rsidRPr="00DC28B0">
        <w:tab/>
        <w:t>A nivel federal, las siguientes categorías de trabajadores no pueden constituir sindicatos ni afiliarse a ellos:</w:t>
      </w:r>
      <w:bookmarkEnd w:id="337"/>
    </w:p>
    <w:p w14:paraId="41B81AFB" w14:textId="66059BB0" w:rsidR="00E77C05" w:rsidRPr="00DC28B0" w:rsidRDefault="00E77C05" w:rsidP="00FA6C18">
      <w:pPr>
        <w:pStyle w:val="Bullet1G"/>
        <w:rPr>
          <w:rFonts w:eastAsiaTheme="minorEastAsia"/>
        </w:rPr>
      </w:pPr>
      <w:bookmarkStart w:id="338" w:name="lt_pId405"/>
      <w:r w:rsidRPr="00DC28B0">
        <w:rPr>
          <w:rFonts w:eastAsiaTheme="minorEastAsia"/>
        </w:rPr>
        <w:t>Viceministros y otros altos funcionarios nombrados por los gobernadores, personal ministerial, altos funcionarios y determinados miembros del personal diplomático y del personal contratado localmente fuera del Canadá</w:t>
      </w:r>
      <w:bookmarkEnd w:id="338"/>
      <w:r w:rsidR="00DE2772">
        <w:rPr>
          <w:rFonts w:eastAsiaTheme="minorEastAsia"/>
        </w:rPr>
        <w:t>.</w:t>
      </w:r>
    </w:p>
    <w:p w14:paraId="4EEFE726" w14:textId="091B33EF" w:rsidR="00E77C05" w:rsidRPr="00DC28B0" w:rsidRDefault="00E77C05" w:rsidP="00FA6C18">
      <w:pPr>
        <w:pStyle w:val="Bullet1G"/>
        <w:rPr>
          <w:rFonts w:eastAsiaTheme="minorEastAsia"/>
        </w:rPr>
      </w:pPr>
      <w:bookmarkStart w:id="339" w:name="lt_pId406"/>
      <w:r w:rsidRPr="00DC28B0">
        <w:rPr>
          <w:rFonts w:eastAsiaTheme="minorEastAsia"/>
        </w:rPr>
        <w:t>Trabajadores a tiempo parcial, eventuales o contratados por menos de tres meses;</w:t>
      </w:r>
      <w:bookmarkEnd w:id="339"/>
    </w:p>
    <w:p w14:paraId="64838015" w14:textId="2F093CB5" w:rsidR="00E77C05" w:rsidRPr="00DC28B0" w:rsidRDefault="00E77C05" w:rsidP="00FA6C18">
      <w:pPr>
        <w:pStyle w:val="Bullet1G"/>
        <w:rPr>
          <w:rFonts w:eastAsiaTheme="minorEastAsia"/>
        </w:rPr>
      </w:pPr>
      <w:bookmarkStart w:id="340" w:name="lt_pId407"/>
      <w:r w:rsidRPr="00DC28B0">
        <w:rPr>
          <w:rFonts w:eastAsiaTheme="minorEastAsia"/>
        </w:rPr>
        <w:t>Personas empleadas en el marco de un programa designado por el empresario como programa de empleo para estudiantes</w:t>
      </w:r>
      <w:bookmarkEnd w:id="340"/>
      <w:r w:rsidR="00DE2772">
        <w:rPr>
          <w:rFonts w:eastAsiaTheme="minorEastAsia"/>
        </w:rPr>
        <w:t>.</w:t>
      </w:r>
    </w:p>
    <w:p w14:paraId="23D59952" w14:textId="391CA91E" w:rsidR="00E77C05" w:rsidRPr="00DC28B0" w:rsidRDefault="00E77C05" w:rsidP="00FA6C18">
      <w:pPr>
        <w:pStyle w:val="Bullet1G"/>
        <w:rPr>
          <w:rFonts w:eastAsiaTheme="minorEastAsia"/>
        </w:rPr>
      </w:pPr>
      <w:bookmarkStart w:id="341" w:name="lt_pId408"/>
      <w:r w:rsidRPr="00DC28B0">
        <w:rPr>
          <w:rFonts w:eastAsiaTheme="minorEastAsia"/>
        </w:rPr>
        <w:t>Personas empleadas por el Servicio de Apoyo al Tribunal Administrativo del Canadá que prestan o participan en la prestación de servicios de mediación, jurídicos o de resolución de litigios al Consejo Federal de Relaciones Laborales y Empleo del Sector Público.</w:t>
      </w:r>
      <w:bookmarkEnd w:id="341"/>
    </w:p>
    <w:p w14:paraId="5467A3A6" w14:textId="77777777" w:rsidR="00E77C05" w:rsidRPr="00DC28B0" w:rsidRDefault="00E77C05" w:rsidP="00B62663">
      <w:pPr>
        <w:pStyle w:val="SingleTxtG"/>
      </w:pPr>
      <w:bookmarkStart w:id="342" w:name="lt_pId409"/>
      <w:r w:rsidRPr="00DC28B0">
        <w:t>90.</w:t>
      </w:r>
      <w:r w:rsidRPr="00DC28B0">
        <w:tab/>
        <w:t>A nivel de las provincias y territorios, las categorías de trabajadores que no tienen derecho a la huelga o que no pueden constituir sindicatos o afiliarse a ellos varían:</w:t>
      </w:r>
      <w:bookmarkEnd w:id="342"/>
    </w:p>
    <w:p w14:paraId="26FDEE60" w14:textId="7B296B86" w:rsidR="00E77C05" w:rsidRPr="00DC28B0" w:rsidRDefault="00E77C05" w:rsidP="00FA6C18">
      <w:pPr>
        <w:pStyle w:val="Bullet1G"/>
        <w:rPr>
          <w:rFonts w:eastAsiaTheme="minorEastAsia"/>
        </w:rPr>
      </w:pPr>
      <w:bookmarkStart w:id="343" w:name="lt_pId412"/>
      <w:r w:rsidRPr="00DC28B0">
        <w:rPr>
          <w:rFonts w:eastAsiaTheme="minorEastAsia"/>
        </w:rPr>
        <w:t xml:space="preserve">En Nueva Escocia, tienen prohibido hacer huelga los agentes de policía y los bomberos en virtud de la Ley de Sindicatos. </w:t>
      </w:r>
      <w:bookmarkStart w:id="344" w:name="lt_pId413"/>
      <w:bookmarkEnd w:id="343"/>
      <w:r w:rsidRPr="00DC28B0">
        <w:rPr>
          <w:rFonts w:eastAsiaTheme="minorEastAsia"/>
        </w:rPr>
        <w:t xml:space="preserve">En la Ley de Negociación Colectiva de la Función Pública también se prohíbe la huelga de los funcionarios de la administración provincial. </w:t>
      </w:r>
      <w:bookmarkStart w:id="345" w:name="lt_pId414"/>
      <w:bookmarkEnd w:id="344"/>
      <w:r w:rsidRPr="00DC28B0">
        <w:rPr>
          <w:rFonts w:eastAsiaTheme="minorEastAsia"/>
        </w:rPr>
        <w:t xml:space="preserve">Asimismo, en virtud de la Ley de Negociación Colectiva de los Trabajadores de la Carretera se prohíbe hacer huelga a los trabajadores de carretera de ámbito provincial. </w:t>
      </w:r>
      <w:bookmarkStart w:id="346" w:name="lt_pId415"/>
      <w:bookmarkEnd w:id="345"/>
      <w:r w:rsidRPr="00DC28B0">
        <w:rPr>
          <w:rFonts w:eastAsiaTheme="minorEastAsia"/>
        </w:rPr>
        <w:t xml:space="preserve">Cuando se produce un bloqueo en la negociación colectiva con cualquiera de estos grupos, se resuelve mediante arbitraje. </w:t>
      </w:r>
      <w:bookmarkStart w:id="347" w:name="lt_pId416"/>
      <w:bookmarkEnd w:id="346"/>
      <w:r w:rsidRPr="00DC28B0">
        <w:rPr>
          <w:rFonts w:eastAsiaTheme="minorEastAsia"/>
        </w:rPr>
        <w:t>Además, en virtud de los dispuesto en la Ley de Sindicatos, no se permite formar un sindicato o afiliarse a él a las siguientes personas o grupos de empleados: miembros de profesiones médicas, dentales, arquitectónicas, de ingeniería o jurídicas cualificados para ejercer conforme a las leyes de la provincia y empleados como tales.</w:t>
      </w:r>
      <w:bookmarkEnd w:id="347"/>
    </w:p>
    <w:p w14:paraId="76AE8EE5" w14:textId="7B8C7866" w:rsidR="00E77C05" w:rsidRPr="00DC28B0" w:rsidRDefault="00E77C05" w:rsidP="00FA6C18">
      <w:pPr>
        <w:pStyle w:val="Bullet1G"/>
        <w:rPr>
          <w:rFonts w:eastAsiaTheme="minorEastAsia"/>
          <w:b/>
        </w:rPr>
      </w:pPr>
      <w:bookmarkStart w:id="348" w:name="lt_pId417"/>
      <w:r w:rsidRPr="00DC28B0">
        <w:rPr>
          <w:rFonts w:eastAsiaTheme="minorEastAsia"/>
        </w:rPr>
        <w:t xml:space="preserve">En Quebec, no tienen derecho a la huelga, debido a la naturaleza esencial de los servicios que prestan, los miembros de los servicios de policía y bomberos, determinadas categorías de funcionarios (por ejemplo, los funcionarios de seguridad civil o los agentes de paz), determinadas categorías de trabajadores de la salud (por ejemplo, los servicios de emergencia) y los trabajadores agrícolas, a menos que estén empleados en grupos mínimos de tres de forma ordinaria y continua. </w:t>
      </w:r>
      <w:bookmarkStart w:id="349" w:name="lt_pId418"/>
      <w:bookmarkEnd w:id="348"/>
      <w:r w:rsidRPr="00DC28B0">
        <w:rPr>
          <w:rFonts w:eastAsiaTheme="minorEastAsia"/>
        </w:rPr>
        <w:t xml:space="preserve">Desde 2019, la Ley del Código Laboral faculta al Tribunal Administrativo Laboral para determinar quién está sujeto al mantenimiento de los servicios esenciales en caso de huelga. En general, se prevén disposiciones específicas para respetar su libertad de asociación (por ejemplo, un mecanismo de arbitraje). </w:t>
      </w:r>
      <w:bookmarkStart w:id="350" w:name="lt_pId419"/>
      <w:bookmarkEnd w:id="349"/>
      <w:r w:rsidRPr="00DC28B0">
        <w:rPr>
          <w:rFonts w:eastAsiaTheme="minorEastAsia"/>
        </w:rPr>
        <w:t xml:space="preserve">Los trabajadores que no se ajustan a la definición de “empleado” establecida en el Código Laboral no pueden formar un sindicato, ya que los mecanismos de representación colectiva están diseñados para regir la relación empleador/empleado. </w:t>
      </w:r>
      <w:bookmarkStart w:id="351" w:name="lt_pId420"/>
      <w:bookmarkEnd w:id="350"/>
      <w:r w:rsidRPr="00DC28B0">
        <w:rPr>
          <w:rFonts w:eastAsiaTheme="minorEastAsia"/>
        </w:rPr>
        <w:t xml:space="preserve">Para evitar conflictos de intereses, ciertas categorías de trabajadores deben formar sindicatos independientes exclusivos (por ejemplo, los agentes de la policía municipal y los fiscales de lo penal). </w:t>
      </w:r>
      <w:bookmarkStart w:id="352" w:name="lt_pId421"/>
      <w:bookmarkEnd w:id="351"/>
      <w:r w:rsidRPr="00DC28B0">
        <w:rPr>
          <w:rFonts w:eastAsiaTheme="minorEastAsia"/>
        </w:rPr>
        <w:t>Todos los demás empleados pueden formar o afiliarse al sindicato de su elección.</w:t>
      </w:r>
      <w:bookmarkEnd w:id="352"/>
    </w:p>
    <w:p w14:paraId="21ACE5F9" w14:textId="56F3CC93" w:rsidR="00E77C05" w:rsidRPr="00DC28B0" w:rsidRDefault="00E77C05" w:rsidP="00FA6C18">
      <w:pPr>
        <w:pStyle w:val="H1G"/>
      </w:pPr>
      <w:bookmarkStart w:id="353" w:name="lt_pId422"/>
      <w:r>
        <w:lastRenderedPageBreak/>
        <w:tab/>
      </w:r>
      <w:r w:rsidR="00FA6C18">
        <w:tab/>
      </w:r>
      <w:r w:rsidRPr="00DC28B0">
        <w:t>Respuesta al párrafo 18 de la lista de cuestiones</w:t>
      </w:r>
      <w:bookmarkEnd w:id="353"/>
    </w:p>
    <w:p w14:paraId="00FF41D3" w14:textId="61FC166A" w:rsidR="00E77C05" w:rsidRPr="00DC28B0" w:rsidRDefault="00E77C05" w:rsidP="00FA6C18">
      <w:pPr>
        <w:pStyle w:val="H23G"/>
      </w:pPr>
      <w:r>
        <w:tab/>
      </w:r>
      <w:r w:rsidR="00FA6C18">
        <w:tab/>
      </w:r>
      <w:r w:rsidRPr="00DC28B0">
        <w:t>Régimen de pensiones del Canadá</w:t>
      </w:r>
    </w:p>
    <w:p w14:paraId="5B8CF040" w14:textId="77777777" w:rsidR="00E77C05" w:rsidRPr="00DC28B0" w:rsidRDefault="00E77C05" w:rsidP="00B62663">
      <w:pPr>
        <w:pStyle w:val="SingleTxtG"/>
      </w:pPr>
      <w:bookmarkStart w:id="354" w:name="lt_pId424"/>
      <w:r w:rsidRPr="00DC28B0">
        <w:t>91.</w:t>
      </w:r>
      <w:r w:rsidRPr="00DC28B0">
        <w:tab/>
        <w:t>El Gobierno del Canadá se ha comprometido a ayudar a los ciudadanos a disfrutar de una jubilación más segura. Para ello, ha trabajado con las provincias y territorios para reforzar el sistema de ingresos de jubilación mejorando el régimen de pensiones.</w:t>
      </w:r>
    </w:p>
    <w:p w14:paraId="48E9B4B9" w14:textId="77777777" w:rsidR="00E77C05" w:rsidRPr="00DC28B0" w:rsidRDefault="00E77C05" w:rsidP="00B62663">
      <w:pPr>
        <w:pStyle w:val="SingleTxtG"/>
      </w:pPr>
      <w:r w:rsidRPr="00DC28B0">
        <w:t>92.</w:t>
      </w:r>
      <w:r w:rsidRPr="00DC28B0">
        <w:tab/>
        <w:t>La mejora del régimen de pensiones del Canadá comenzó su aplicación escalonada de siete años el 1 de enero de 2019. Con ella se complementa el componente básico del régimen. Se incrementa la tasa de sustitución de ingresos proporcionada por el régimen del 25 % al 33,33 % y también se aumenta en un 14 % el ingreso máximo pensionable. Juntos, esos dos cambios conducirán a un aumento de la pensión de jubilación máxima en más de un 50 %. La mejora también conduce a un incremento de las pensiones de invalidez y supervivencia contempladas en el régimen de pensiones. Sin embargo, dado que la mejora debe financiarse íntegramente con las cotizaciones de empresarios y trabajadores, las prestaciones aumentan lentamente con el tiempo a medida que los canadienses trabajan y cotizan, hasta alcanzar su pleno cumplimiento en 2065.</w:t>
      </w:r>
      <w:bookmarkEnd w:id="354"/>
    </w:p>
    <w:p w14:paraId="48C6EA9C" w14:textId="3DC7016B" w:rsidR="00E77C05" w:rsidRPr="00DC28B0" w:rsidRDefault="00E77C05" w:rsidP="00FA6C18">
      <w:pPr>
        <w:pStyle w:val="H23G"/>
      </w:pPr>
      <w:bookmarkStart w:id="355" w:name="lt_pId427"/>
      <w:r>
        <w:tab/>
      </w:r>
      <w:r w:rsidR="00FA6C18">
        <w:tab/>
      </w:r>
      <w:r w:rsidRPr="00DC28B0">
        <w:t>Medidas para ampliar la cobertura de las prestaciones familiares, de invalidez y</w:t>
      </w:r>
      <w:r w:rsidR="00CA1813">
        <w:t> </w:t>
      </w:r>
      <w:r w:rsidRPr="00DC28B0">
        <w:t>de</w:t>
      </w:r>
      <w:r w:rsidR="00CA1813">
        <w:t> </w:t>
      </w:r>
      <w:r w:rsidRPr="00DC28B0">
        <w:t xml:space="preserve">desempleo </w:t>
      </w:r>
      <w:bookmarkEnd w:id="355"/>
    </w:p>
    <w:p w14:paraId="12232E81" w14:textId="77777777" w:rsidR="00E77C05" w:rsidRPr="00DC28B0" w:rsidRDefault="00E77C05" w:rsidP="00B62663">
      <w:pPr>
        <w:pStyle w:val="SingleTxtG"/>
      </w:pPr>
      <w:bookmarkStart w:id="356" w:name="lt_pId428"/>
      <w:r w:rsidRPr="00DC28B0">
        <w:t>93.</w:t>
      </w:r>
      <w:r w:rsidRPr="00DC28B0">
        <w:tab/>
        <w:t>El Gobierno Federal y los gobiernos provinciales y territoriales han ampliado la cobertura de las prestaciones por hijo a cargo, las prestaciones por discapacidad y las prestaciones por desempleo:</w:t>
      </w:r>
      <w:bookmarkEnd w:id="356"/>
    </w:p>
    <w:p w14:paraId="6ABBB771" w14:textId="4DC59531" w:rsidR="00E77C05" w:rsidRPr="00DC28B0" w:rsidRDefault="00E77C05" w:rsidP="00FA6C18">
      <w:pPr>
        <w:pStyle w:val="Bullet1G"/>
        <w:rPr>
          <w:rFonts w:eastAsiaTheme="minorEastAsia"/>
        </w:rPr>
      </w:pPr>
      <w:bookmarkStart w:id="357" w:name="lt_pId429"/>
      <w:r w:rsidRPr="00DC28B0">
        <w:rPr>
          <w:rFonts w:eastAsiaTheme="minorEastAsia"/>
        </w:rPr>
        <w:t>Desde 2016, la prestación por hijo a cargo ha venido proporcionando una ayuda exenta de impuestos a unos 3,5 millones de familias</w:t>
      </w:r>
      <w:r w:rsidRPr="00DC28B0">
        <w:t xml:space="preserve"> </w:t>
      </w:r>
      <w:r w:rsidRPr="00DC28B0">
        <w:rPr>
          <w:rFonts w:eastAsiaTheme="minorEastAsia"/>
        </w:rPr>
        <w:t>del Canadá. Esa ayuda se ha indexado al coste de la vida</w:t>
      </w:r>
      <w:r w:rsidRPr="00DC28B0">
        <w:rPr>
          <w:rStyle w:val="Refdenotaalpie"/>
          <w:rFonts w:eastAsiaTheme="minorEastAsia"/>
        </w:rPr>
        <w:footnoteReference w:id="6"/>
      </w:r>
      <w:r w:rsidRPr="00DC28B0">
        <w:rPr>
          <w:rFonts w:eastAsiaTheme="minorEastAsia"/>
        </w:rPr>
        <w:t>. La prestación por hijo está teniendo un impacto positivo: la tasa de pobreza infantil cayó del 10,6 % al 9,4 % entre 201</w:t>
      </w:r>
      <w:r w:rsidR="00BC1516">
        <w:rPr>
          <w:rFonts w:eastAsiaTheme="minorEastAsia"/>
        </w:rPr>
        <w:t>8</w:t>
      </w:r>
      <w:r w:rsidRPr="00DC28B0">
        <w:rPr>
          <w:rFonts w:eastAsiaTheme="minorEastAsia"/>
        </w:rPr>
        <w:t xml:space="preserve"> y 2019, y en ese año había 4</w:t>
      </w:r>
      <w:r w:rsidR="00BC1516">
        <w:rPr>
          <w:rFonts w:eastAsiaTheme="minorEastAsia"/>
        </w:rPr>
        <w:t>5</w:t>
      </w:r>
      <w:r w:rsidRPr="00DC28B0">
        <w:rPr>
          <w:rFonts w:eastAsiaTheme="minorEastAsia"/>
        </w:rPr>
        <w:t>0.000 niños menos que vivían en la pobreza en comparación con 2015.</w:t>
      </w:r>
    </w:p>
    <w:p w14:paraId="3E796D2D" w14:textId="37706653" w:rsidR="00E77C05" w:rsidRPr="00DC28B0" w:rsidRDefault="00E77C05" w:rsidP="00FA6C18">
      <w:pPr>
        <w:pStyle w:val="Bullet1G"/>
        <w:rPr>
          <w:rFonts w:eastAsiaTheme="minorEastAsia"/>
        </w:rPr>
      </w:pPr>
      <w:r w:rsidRPr="00DC28B0">
        <w:rPr>
          <w:rFonts w:eastAsiaTheme="minorEastAsia"/>
        </w:rPr>
        <w:t>Las prestaciones de invalidez del régimen de pensiones del Canadá sustituyen parcialmente a los ingresos de los contribuyentes que cumplen los requisitos si ya no pueden trabajar regularmente en una ocupación lucrativa debido a una invalidez grave y prolongada. A</w:t>
      </w:r>
      <w:r w:rsidRPr="00DC28B0">
        <w:t xml:space="preserve"> esos </w:t>
      </w:r>
      <w:r w:rsidRPr="00DC28B0">
        <w:rPr>
          <w:rFonts w:eastAsiaTheme="minorEastAsia"/>
        </w:rPr>
        <w:t>contribuyentes se les abona una prestación de invalidez hasta los 65 años, tras lo cual la prestación se convierte automáticamente en una pensión de jubilación. Las prestaciones de invalidez del régimen de pensiones se indexan anualmente.</w:t>
      </w:r>
    </w:p>
    <w:p w14:paraId="535E2C3E" w14:textId="4CEC894E" w:rsidR="00E77C05" w:rsidRPr="00DC28B0" w:rsidRDefault="00E77C05" w:rsidP="00FA6C18">
      <w:pPr>
        <w:pStyle w:val="Bullet1G"/>
        <w:rPr>
          <w:rFonts w:eastAsiaTheme="minorEastAsia"/>
        </w:rPr>
      </w:pPr>
      <w:r w:rsidRPr="00DC28B0">
        <w:rPr>
          <w:rFonts w:eastAsiaTheme="minorEastAsia"/>
        </w:rPr>
        <w:t xml:space="preserve">En el marco del Programa Gubernamental de Prestaciones Especiales por Hijos se conceden ayudas a los organismos e instituciones federales y provinciales que se ocupan de los niños, como las sociedades de ayuda a la infancia. </w:t>
      </w:r>
      <w:bookmarkStart w:id="358" w:name="lt_pId430"/>
      <w:bookmarkEnd w:id="357"/>
      <w:r w:rsidRPr="00DC28B0">
        <w:rPr>
          <w:rFonts w:eastAsiaTheme="minorEastAsia"/>
        </w:rPr>
        <w:t>La cuantía mensual que se abona por cada niño equivale a la cuantía máxima de la prestación por hijo a cargo.</w:t>
      </w:r>
      <w:bookmarkEnd w:id="358"/>
    </w:p>
    <w:p w14:paraId="5ED418A5" w14:textId="10396531" w:rsidR="00E77C05" w:rsidRPr="00DC28B0" w:rsidRDefault="00E77C05" w:rsidP="00FA6C18">
      <w:pPr>
        <w:pStyle w:val="Bullet1G"/>
        <w:rPr>
          <w:rFonts w:eastAsiaTheme="minorEastAsia"/>
        </w:rPr>
      </w:pPr>
      <w:bookmarkStart w:id="359" w:name="lt_pId431"/>
      <w:r w:rsidRPr="00DC28B0">
        <w:rPr>
          <w:rFonts w:eastAsiaTheme="minorEastAsia"/>
        </w:rPr>
        <w:t>La Prestación Gubernamental por Hijo con Discapacidad es una ayuda mensual exenta de impuestos que se concede a las familias que tienen a su cargo un hijo menor de 18</w:t>
      </w:r>
      <w:r w:rsidR="00C85ACE">
        <w:rPr>
          <w:rFonts w:eastAsiaTheme="minorEastAsia"/>
        </w:rPr>
        <w:t> </w:t>
      </w:r>
      <w:r w:rsidRPr="00DC28B0">
        <w:rPr>
          <w:rFonts w:eastAsiaTheme="minorEastAsia"/>
        </w:rPr>
        <w:t>años con una discapacidad física o mental grave y prolongada.</w:t>
      </w:r>
      <w:bookmarkEnd w:id="359"/>
    </w:p>
    <w:p w14:paraId="09C24EC8" w14:textId="0BE29E73" w:rsidR="00E77C05" w:rsidRPr="00DC28B0" w:rsidRDefault="00E77C05" w:rsidP="00FA6C18">
      <w:pPr>
        <w:pStyle w:val="Bullet1G"/>
        <w:rPr>
          <w:rFonts w:eastAsiaTheme="minorEastAsia"/>
        </w:rPr>
      </w:pPr>
      <w:bookmarkStart w:id="360" w:name="lt_pId435"/>
      <w:r w:rsidRPr="00DC28B0">
        <w:rPr>
          <w:rFonts w:eastAsiaTheme="minorEastAsia"/>
        </w:rPr>
        <w:t xml:space="preserve">Una de las principales medidas del Plan de Acción para la Inclusión Económica y la Participación Social de Quebec (2017-2023) es la introducción de un Programa de Renta Básica para personas con graves limitaciones laborales. </w:t>
      </w:r>
      <w:bookmarkStart w:id="361" w:name="lt_pId436"/>
      <w:bookmarkEnd w:id="360"/>
      <w:r w:rsidRPr="00DC28B0">
        <w:rPr>
          <w:rFonts w:eastAsiaTheme="minorEastAsia"/>
        </w:rPr>
        <w:t xml:space="preserve">Ese programa está dirigido en gran medida a las personas que viven con una discapacidad. </w:t>
      </w:r>
      <w:bookmarkStart w:id="362" w:name="lt_pId437"/>
      <w:bookmarkEnd w:id="361"/>
      <w:r w:rsidRPr="00DC28B0">
        <w:rPr>
          <w:rFonts w:eastAsiaTheme="minorEastAsia"/>
        </w:rPr>
        <w:t>La medida se ha venido aplicando gradualmente desde 2018.</w:t>
      </w:r>
      <w:bookmarkEnd w:id="362"/>
    </w:p>
    <w:p w14:paraId="7E550427" w14:textId="6DFE5985" w:rsidR="00E77C05" w:rsidRPr="00DC28B0" w:rsidRDefault="00E77C05" w:rsidP="00FA6C18">
      <w:pPr>
        <w:pStyle w:val="Bullet1G"/>
        <w:rPr>
          <w:rFonts w:eastAsiaTheme="minorEastAsia"/>
        </w:rPr>
      </w:pPr>
      <w:bookmarkStart w:id="363" w:name="lt_pId438"/>
      <w:r w:rsidRPr="00DC28B0">
        <w:rPr>
          <w:rFonts w:eastAsiaTheme="minorEastAsia"/>
        </w:rPr>
        <w:t xml:space="preserve">En noviembre de 2018 se creó un grupo independiente de expertos para llevar a cabo una revisión exhaustiva de los servicios sanitarios y sociales en el Yukón. </w:t>
      </w:r>
      <w:bookmarkStart w:id="364" w:name="lt_pId439"/>
      <w:bookmarkEnd w:id="363"/>
      <w:r w:rsidRPr="00DC28B0">
        <w:rPr>
          <w:rFonts w:eastAsiaTheme="minorEastAsia"/>
        </w:rPr>
        <w:t xml:space="preserve">El informe resultante, “La gente es lo primero”, incluye 76 recomendaciones sobre los servicios sanitarios y sociales en el territorio, todas las cuales fueron aceptadas por el gobierno. </w:t>
      </w:r>
      <w:bookmarkStart w:id="365" w:name="lt_pId440"/>
      <w:bookmarkEnd w:id="364"/>
      <w:r w:rsidRPr="00DC28B0">
        <w:rPr>
          <w:rFonts w:eastAsiaTheme="minorEastAsia"/>
        </w:rPr>
        <w:t xml:space="preserve">Ese trabajo debería contribuir a ampliar la cobertura de las prestaciones de invalidez </w:t>
      </w:r>
      <w:r w:rsidRPr="00DC28B0">
        <w:rPr>
          <w:rFonts w:eastAsiaTheme="minorEastAsia"/>
        </w:rPr>
        <w:lastRenderedPageBreak/>
        <w:t>y complementar la prestación por hijo a cargo y el subsidio de desempleo para garantizar un nivel de vida adecuado a los beneficiarios.</w:t>
      </w:r>
      <w:bookmarkEnd w:id="365"/>
    </w:p>
    <w:p w14:paraId="1E8D4089" w14:textId="654CD1A1" w:rsidR="00E77C05" w:rsidRPr="00DC28B0" w:rsidRDefault="00E77C05" w:rsidP="00FA6C18">
      <w:pPr>
        <w:pStyle w:val="Bullet1G"/>
        <w:rPr>
          <w:rFonts w:eastAsiaTheme="minorEastAsia"/>
        </w:rPr>
      </w:pPr>
      <w:bookmarkStart w:id="366" w:name="lt_pId441"/>
      <w:r w:rsidRPr="00DC28B0">
        <w:rPr>
          <w:rFonts w:eastAsiaTheme="minorEastAsia"/>
        </w:rPr>
        <w:t xml:space="preserve">En el marco del Programa de Ayuda a los Ingresos de los Territorios del Noroeste se proporciona asistencia financiera a los residentes para ayudarles a cubrir sus necesidades. </w:t>
      </w:r>
      <w:bookmarkStart w:id="367" w:name="lt_pId442"/>
      <w:bookmarkEnd w:id="366"/>
      <w:r w:rsidRPr="00DC28B0">
        <w:rPr>
          <w:rFonts w:eastAsiaTheme="minorEastAsia"/>
        </w:rPr>
        <w:t xml:space="preserve">Se proporciona una cantidad fija, basada en el tamaño de la familia y de la comunidad, destinada a la compra de alimentos, el ajuste de los gastos comunitarios y la adquisición de ropa y mobiliario. </w:t>
      </w:r>
      <w:bookmarkStart w:id="368" w:name="lt_pId443"/>
      <w:bookmarkEnd w:id="367"/>
      <w:r w:rsidRPr="00DC28B0">
        <w:rPr>
          <w:rFonts w:eastAsiaTheme="minorEastAsia"/>
        </w:rPr>
        <w:t xml:space="preserve">El Programa ayuda a pagar la vivienda y los servicios públicos, sobre la base de los importes reales, y ofrece exenciones anuales para la asistencia en virtud del entendimiento sobre las repercusiones y los beneficios (oficialmente el Acuerdo sobre las Repercusiones y los Beneficios), las reclamaciones de tierras y las anualidades establecidas en los tratados. </w:t>
      </w:r>
      <w:bookmarkStart w:id="369" w:name="lt_pId444"/>
      <w:bookmarkEnd w:id="368"/>
      <w:r w:rsidRPr="00DC28B0">
        <w:rPr>
          <w:rFonts w:eastAsiaTheme="minorEastAsia"/>
        </w:rPr>
        <w:t>En 2021, los Territorios del Noroeste iniciaron una revisión de su Programa de Ayuda a los Ingresos para asegurar su eficacia y para que responda mejor a las necesidades de los residentes, e incluyeron un programa especializado para las personas mayores y las personas que conviven con la discapacidad.</w:t>
      </w:r>
      <w:bookmarkEnd w:id="369"/>
    </w:p>
    <w:p w14:paraId="2BF17EB2" w14:textId="4F130094" w:rsidR="00E77C05" w:rsidRPr="00DC28B0" w:rsidRDefault="00E77C05" w:rsidP="00FA6C18">
      <w:pPr>
        <w:pStyle w:val="H1G"/>
      </w:pPr>
      <w:bookmarkStart w:id="370" w:name="lt_pId445"/>
      <w:r>
        <w:tab/>
      </w:r>
      <w:r w:rsidR="00FA6C18">
        <w:tab/>
      </w:r>
      <w:r w:rsidRPr="00DC28B0">
        <w:t>Respuesta al párrafo 19 de la lista de cuestiones</w:t>
      </w:r>
      <w:bookmarkEnd w:id="370"/>
    </w:p>
    <w:p w14:paraId="6A962B9B" w14:textId="17F6F493" w:rsidR="00E77C05" w:rsidRPr="00DC28B0" w:rsidRDefault="00E77C05" w:rsidP="00FA6C18">
      <w:pPr>
        <w:pStyle w:val="H23G"/>
      </w:pPr>
      <w:bookmarkStart w:id="371" w:name="lt_pId446"/>
      <w:r>
        <w:tab/>
      </w:r>
      <w:r w:rsidR="00FA6C18">
        <w:tab/>
      </w:r>
      <w:r w:rsidRPr="00DC28B0">
        <w:t>Fallo del Tribunal de Derechos Humanos del Canadá en el caso de la separación de</w:t>
      </w:r>
      <w:r w:rsidR="00FA6C18">
        <w:t> </w:t>
      </w:r>
      <w:r w:rsidRPr="00DC28B0">
        <w:t xml:space="preserve">niños indígenas de sus familias (2019 </w:t>
      </w:r>
      <w:proofErr w:type="spellStart"/>
      <w:r w:rsidRPr="00DC28B0">
        <w:t>CHRT</w:t>
      </w:r>
      <w:proofErr w:type="spellEnd"/>
      <w:r w:rsidRPr="00DC28B0">
        <w:t xml:space="preserve"> 39)</w:t>
      </w:r>
      <w:bookmarkEnd w:id="371"/>
    </w:p>
    <w:p w14:paraId="1E13DB50" w14:textId="77777777" w:rsidR="00E77C05" w:rsidRPr="00DC28B0" w:rsidRDefault="00E77C05" w:rsidP="00B62663">
      <w:pPr>
        <w:pStyle w:val="SingleTxtG"/>
      </w:pPr>
      <w:bookmarkStart w:id="372" w:name="lt_pId447"/>
      <w:r w:rsidRPr="00DC28B0">
        <w:t>94.</w:t>
      </w:r>
      <w:r w:rsidRPr="00DC28B0">
        <w:tab/>
        <w:t xml:space="preserve">En relación con el fallo </w:t>
      </w:r>
      <w:proofErr w:type="spellStart"/>
      <w:r w:rsidRPr="00DC28B0">
        <w:t>CHRT</w:t>
      </w:r>
      <w:proofErr w:type="spellEnd"/>
      <w:r w:rsidRPr="00DC28B0">
        <w:t xml:space="preserve"> 39, de 2019, el Gobierno del Canadá dejó clara su intención de indemnizar a los niños indígenas que se hubieran visto perjudicados por la infrafinanciación del Programa de Servicios para la Infancia y la Familia de las Primeras Naciones y la interpretación restrictiva del principio de </w:t>
      </w:r>
      <w:proofErr w:type="spellStart"/>
      <w:r w:rsidRPr="00DC28B0">
        <w:t>Jordan</w:t>
      </w:r>
      <w:proofErr w:type="spellEnd"/>
      <w:r w:rsidRPr="00DC28B0">
        <w:t xml:space="preserve">. </w:t>
      </w:r>
      <w:bookmarkStart w:id="373" w:name="lt_pId448"/>
      <w:bookmarkEnd w:id="372"/>
      <w:r w:rsidRPr="00DC28B0">
        <w:t>El Gobierno colaboró con las partes en la denuncia ante el Tribunal de Derechos Humanos del Canadá para elaborar un marco de indemnización que fue presentado al Tribunal y aprobado por este.</w:t>
      </w:r>
      <w:bookmarkEnd w:id="373"/>
      <w:r w:rsidRPr="00DC28B0">
        <w:t xml:space="preserve"> El Gobierno hará cuanto sea posible para llegar a un acuerdo definitivo.</w:t>
      </w:r>
    </w:p>
    <w:p w14:paraId="7AD14528" w14:textId="77777777" w:rsidR="00E77C05" w:rsidRPr="00DC28B0" w:rsidRDefault="00E77C05" w:rsidP="00B62663">
      <w:pPr>
        <w:pStyle w:val="SingleTxtG"/>
      </w:pPr>
      <w:bookmarkStart w:id="374" w:name="lt_pId449"/>
      <w:r w:rsidRPr="00DC28B0">
        <w:t>95.</w:t>
      </w:r>
      <w:r w:rsidRPr="00DC28B0">
        <w:tab/>
        <w:t xml:space="preserve">La Ley relativa a la Infancia, la Juventud y la Familia de las Primeras Naciones, los Inuit y los </w:t>
      </w:r>
      <w:proofErr w:type="spellStart"/>
      <w:r w:rsidRPr="00DC28B0">
        <w:t>Métis</w:t>
      </w:r>
      <w:proofErr w:type="spellEnd"/>
      <w:r w:rsidRPr="00DC28B0">
        <w:t xml:space="preserve"> se elaboró conjuntamente con los asociados indígenas, con el objetivo de reducir el número de niños indígenas acogidos y reformar los servicios para la infancia y la familia. </w:t>
      </w:r>
      <w:bookmarkStart w:id="375" w:name="lt_pId450"/>
      <w:bookmarkEnd w:id="374"/>
      <w:r w:rsidRPr="00DC28B0">
        <w:t xml:space="preserve">En esa Ley, que entró en vigor en enero de 2020, se afirma que el derecho inherente al autogobierno de las Primeras Naciones, los inuit y los </w:t>
      </w:r>
      <w:proofErr w:type="spellStart"/>
      <w:r w:rsidRPr="00DC28B0">
        <w:t>métis</w:t>
      </w:r>
      <w:proofErr w:type="spellEnd"/>
      <w:r w:rsidRPr="00DC28B0">
        <w:t xml:space="preserve"> incluye la jurisdicción sobre los servicios a la infancia y la familia. </w:t>
      </w:r>
      <w:bookmarkStart w:id="376" w:name="lt_pId451"/>
      <w:bookmarkEnd w:id="375"/>
      <w:bookmarkEnd w:id="376"/>
      <w:r w:rsidRPr="00DC28B0">
        <w:t>En la Ley también se establecen principios de alcance nacional aplicables a la prestación de servicios a la infancia y la familia, como el interés superior del niño, la continuidad cultural y la igualdad sustantiva.</w:t>
      </w:r>
    </w:p>
    <w:p w14:paraId="4956F91B" w14:textId="34E20C03" w:rsidR="00E77C05" w:rsidRPr="00DC28B0" w:rsidRDefault="00E77C05" w:rsidP="00FA6C18">
      <w:pPr>
        <w:pStyle w:val="H23G"/>
      </w:pPr>
      <w:r>
        <w:tab/>
      </w:r>
      <w:bookmarkStart w:id="377" w:name="lt_pId453"/>
      <w:r w:rsidR="00FA6C18">
        <w:tab/>
      </w:r>
      <w:r w:rsidRPr="00DC28B0">
        <w:t>Ley relativa a la Infancia, la Juventud y la Familia de las Primeras Naciones, los</w:t>
      </w:r>
      <w:r w:rsidR="00FA6C18">
        <w:t> </w:t>
      </w:r>
      <w:r w:rsidRPr="00DC28B0">
        <w:t>Inuit</w:t>
      </w:r>
      <w:r w:rsidR="00FA6C18">
        <w:t> </w:t>
      </w:r>
      <w:r w:rsidRPr="00DC28B0">
        <w:t xml:space="preserve">y los </w:t>
      </w:r>
      <w:proofErr w:type="spellStart"/>
      <w:r w:rsidRPr="00DC28B0">
        <w:t>Métis</w:t>
      </w:r>
      <w:proofErr w:type="spellEnd"/>
      <w:r w:rsidRPr="00DC28B0">
        <w:t xml:space="preserve"> (L.C. 2019, ch. 24)</w:t>
      </w:r>
      <w:bookmarkEnd w:id="377"/>
    </w:p>
    <w:p w14:paraId="289F581A" w14:textId="77777777" w:rsidR="00E77C05" w:rsidRPr="00DC28B0" w:rsidRDefault="00E77C05" w:rsidP="00B62663">
      <w:pPr>
        <w:pStyle w:val="SingleTxtG"/>
      </w:pPr>
      <w:bookmarkStart w:id="378" w:name="lt_pId454"/>
      <w:r w:rsidRPr="00DC28B0">
        <w:t>96.</w:t>
      </w:r>
      <w:r w:rsidRPr="00DC28B0">
        <w:tab/>
      </w:r>
      <w:bookmarkEnd w:id="378"/>
      <w:r w:rsidRPr="00DC28B0">
        <w:t xml:space="preserve">En 2020, el Gobierno del Canadá se comprometió a invertir más de 542 millones de dólares en cinco años para apoyar la aplicación de la Ley, incluida la negociación de acuerdos fiscales sostenibles, basados en las necesidades y compatibles con el principio de igualdad real para aportar recursos que permitan a las comunidades mantener unidas a las familias, donde sea seguro hacerlo, y mantener a los niños en entornos culturalmente apropiados, independientemente de donde vivan. </w:t>
      </w:r>
      <w:bookmarkStart w:id="379" w:name="lt_pId456"/>
      <w:r w:rsidRPr="00DC28B0">
        <w:t>Entre las medidas adicionales adoptadas para aplicar la Ley se incluye la financiación del fomento de la capacidad y la participación en las mesas de acuerdos de coordinación, así como un marco de financiación provisional para atender las necesidades de las comunidades que “adopten rápidamente” medidas y traten de ejercer sus competencias.</w:t>
      </w:r>
      <w:bookmarkEnd w:id="379"/>
    </w:p>
    <w:p w14:paraId="0403A861" w14:textId="77777777" w:rsidR="00E77C05" w:rsidRPr="00DC28B0" w:rsidRDefault="00E77C05" w:rsidP="00B62663">
      <w:pPr>
        <w:pStyle w:val="SingleTxtG"/>
      </w:pPr>
      <w:bookmarkStart w:id="380" w:name="lt_pId457"/>
      <w:r w:rsidRPr="00DC28B0">
        <w:t>97.</w:t>
      </w:r>
      <w:r w:rsidRPr="00DC28B0">
        <w:tab/>
        <w:t xml:space="preserve">En agosto de 2021, en virtud de esa Ley, más de 100 comunidades indígenas habían comenzado a desarrollar y aplicar políticas y leyes indígenas basadas en su historia, cultura y circunstancias únicas con respecto a los servicios para la infancia y la familia. </w:t>
      </w:r>
      <w:bookmarkStart w:id="381" w:name="lt_pId458"/>
      <w:bookmarkEnd w:id="380"/>
      <w:bookmarkEnd w:id="381"/>
      <w:r w:rsidRPr="00DC28B0">
        <w:t>También se ha avanzado hacia la entrada en vigor de esas leyes indígenas como leyes federales a través de la negociación de acuerdos de coordinación tripartita en virtud de la Ley, con la celebración de 17 debates sobre acuerdos de coordinación que comenzaron en junio de 2021.</w:t>
      </w:r>
    </w:p>
    <w:p w14:paraId="1B5F36EE" w14:textId="3D367F47" w:rsidR="00E77C05" w:rsidRPr="00FA6C18" w:rsidRDefault="00E77C05" w:rsidP="00FA6C18">
      <w:pPr>
        <w:pStyle w:val="SingleTxtG"/>
        <w:jc w:val="left"/>
        <w:rPr>
          <w:sz w:val="16"/>
          <w:szCs w:val="16"/>
        </w:rPr>
      </w:pPr>
      <w:r w:rsidRPr="00DC28B0">
        <w:lastRenderedPageBreak/>
        <w:t>Cuadro 5</w:t>
      </w:r>
      <w:r w:rsidRPr="00DC28B0">
        <w:br/>
      </w:r>
      <w:r w:rsidRPr="00FA6C18">
        <w:rPr>
          <w:b/>
          <w:bCs/>
        </w:rPr>
        <w:t>Previsión del gasto asignado al Programa de Servicios para la Infancia</w:t>
      </w:r>
      <w:r w:rsidR="00FA6C18">
        <w:rPr>
          <w:b/>
          <w:bCs/>
        </w:rPr>
        <w:br/>
      </w:r>
      <w:r w:rsidRPr="00FA6C18">
        <w:rPr>
          <w:b/>
          <w:bCs/>
        </w:rPr>
        <w:t xml:space="preserve">y la Familia de los Servicios para los Pueblos Indígenas del Canadá, </w:t>
      </w:r>
      <w:r w:rsidR="00FA6C18">
        <w:rPr>
          <w:b/>
          <w:bCs/>
        </w:rPr>
        <w:br/>
      </w:r>
      <w:r w:rsidRPr="00FA6C18">
        <w:rPr>
          <w:b/>
          <w:bCs/>
        </w:rPr>
        <w:t>ejercicios 2020</w:t>
      </w:r>
      <w:r w:rsidR="00773DF6">
        <w:rPr>
          <w:b/>
          <w:bCs/>
        </w:rPr>
        <w:t>/</w:t>
      </w:r>
      <w:r w:rsidRPr="00FA6C18">
        <w:rPr>
          <w:b/>
          <w:bCs/>
        </w:rPr>
        <w:t>21 a 2023</w:t>
      </w:r>
      <w:r w:rsidR="00773DF6">
        <w:rPr>
          <w:b/>
          <w:bCs/>
        </w:rPr>
        <w:t>/</w:t>
      </w:r>
      <w:r w:rsidRPr="00FA6C18">
        <w:rPr>
          <w:b/>
          <w:bCs/>
        </w:rPr>
        <w:t xml:space="preserve">24 </w:t>
      </w:r>
      <w:r w:rsidRPr="00FA6C18">
        <w:rPr>
          <w:b/>
          <w:bCs/>
        </w:rPr>
        <w:br/>
      </w:r>
      <w:r w:rsidRPr="00FA6C18">
        <w:rPr>
          <w:sz w:val="16"/>
          <w:szCs w:val="16"/>
        </w:rPr>
        <w:t>(</w:t>
      </w:r>
      <w:r w:rsidR="00FA6C18">
        <w:rPr>
          <w:sz w:val="16"/>
          <w:szCs w:val="16"/>
        </w:rPr>
        <w:t>E</w:t>
      </w:r>
      <w:r w:rsidRPr="00FA6C18">
        <w:rPr>
          <w:sz w:val="16"/>
          <w:szCs w:val="16"/>
        </w:rPr>
        <w:t>n dólares)</w:t>
      </w:r>
    </w:p>
    <w:tbl>
      <w:tblPr>
        <w:tblStyle w:val="Tablaconcuadrcula"/>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33"/>
        <w:gridCol w:w="1733"/>
        <w:gridCol w:w="2771"/>
        <w:gridCol w:w="2274"/>
      </w:tblGrid>
      <w:tr w:rsidR="00E77C05" w:rsidRPr="00DC28B0" w14:paraId="3E497FAD" w14:textId="77777777" w:rsidTr="00553E57">
        <w:trPr>
          <w:tblHeader/>
        </w:trPr>
        <w:tc>
          <w:tcPr>
            <w:tcW w:w="8511" w:type="dxa"/>
            <w:gridSpan w:val="4"/>
            <w:tcBorders>
              <w:top w:val="single" w:sz="4" w:space="0" w:color="auto"/>
              <w:bottom w:val="single" w:sz="12" w:space="0" w:color="auto"/>
            </w:tcBorders>
            <w:shd w:val="clear" w:color="auto" w:fill="auto"/>
            <w:vAlign w:val="bottom"/>
          </w:tcPr>
          <w:p w14:paraId="2ECB09F3" w14:textId="77777777" w:rsidR="00E77C05" w:rsidRPr="00FA6C18" w:rsidRDefault="00E77C05" w:rsidP="00FA6C18">
            <w:pPr>
              <w:spacing w:before="80" w:after="80" w:line="200" w:lineRule="exact"/>
              <w:rPr>
                <w:rFonts w:eastAsiaTheme="minorEastAsia"/>
                <w:i/>
                <w:sz w:val="16"/>
              </w:rPr>
            </w:pPr>
            <w:r w:rsidRPr="00FA6C18">
              <w:rPr>
                <w:rFonts w:eastAsiaTheme="minorEastAsia"/>
                <w:i/>
                <w:sz w:val="16"/>
              </w:rPr>
              <w:t>Servicios para la Infancia y la Familia de las Primeras Naciones</w:t>
            </w:r>
          </w:p>
        </w:tc>
      </w:tr>
      <w:tr w:rsidR="00E77C05" w:rsidRPr="00DC28B0" w14:paraId="3630FF91" w14:textId="77777777" w:rsidTr="00922E5D">
        <w:tc>
          <w:tcPr>
            <w:tcW w:w="1733" w:type="dxa"/>
            <w:tcBorders>
              <w:top w:val="single" w:sz="12" w:space="0" w:color="auto"/>
            </w:tcBorders>
            <w:shd w:val="clear" w:color="auto" w:fill="auto"/>
          </w:tcPr>
          <w:p w14:paraId="24B3E5DE" w14:textId="0424C5BD" w:rsidR="00E77C05" w:rsidRPr="00FA6C18" w:rsidRDefault="00E77C05" w:rsidP="00FA6C18">
            <w:pPr>
              <w:spacing w:before="40" w:after="40" w:line="220" w:lineRule="exact"/>
              <w:rPr>
                <w:b/>
                <w:iCs/>
                <w:sz w:val="18"/>
                <w:szCs w:val="18"/>
              </w:rPr>
            </w:pPr>
            <w:r w:rsidRPr="00FA6C18">
              <w:rPr>
                <w:b/>
                <w:iCs/>
                <w:sz w:val="18"/>
                <w:szCs w:val="18"/>
              </w:rPr>
              <w:t>2020</w:t>
            </w:r>
            <w:r w:rsidR="00773DF6">
              <w:rPr>
                <w:b/>
                <w:iCs/>
                <w:sz w:val="18"/>
                <w:szCs w:val="18"/>
              </w:rPr>
              <w:t>/</w:t>
            </w:r>
            <w:r w:rsidRPr="00FA6C18">
              <w:rPr>
                <w:b/>
                <w:iCs/>
                <w:sz w:val="18"/>
                <w:szCs w:val="18"/>
              </w:rPr>
              <w:t>21 gasto real (cuentas públicas)</w:t>
            </w:r>
          </w:p>
        </w:tc>
        <w:tc>
          <w:tcPr>
            <w:tcW w:w="1733" w:type="dxa"/>
            <w:tcBorders>
              <w:top w:val="single" w:sz="12" w:space="0" w:color="auto"/>
            </w:tcBorders>
            <w:shd w:val="clear" w:color="auto" w:fill="auto"/>
          </w:tcPr>
          <w:p w14:paraId="24863D35" w14:textId="21E2A3BB" w:rsidR="00E77C05" w:rsidRPr="00FA6C18" w:rsidRDefault="00E77C05" w:rsidP="00773DF6">
            <w:pPr>
              <w:spacing w:before="40" w:after="40" w:line="220" w:lineRule="exact"/>
              <w:ind w:left="113"/>
              <w:rPr>
                <w:b/>
                <w:iCs/>
                <w:sz w:val="18"/>
                <w:szCs w:val="18"/>
              </w:rPr>
            </w:pPr>
            <w:r w:rsidRPr="00FA6C18">
              <w:rPr>
                <w:b/>
                <w:iCs/>
                <w:sz w:val="18"/>
                <w:szCs w:val="18"/>
              </w:rPr>
              <w:t>2021</w:t>
            </w:r>
            <w:r w:rsidR="00773DF6">
              <w:rPr>
                <w:b/>
                <w:iCs/>
                <w:sz w:val="18"/>
                <w:szCs w:val="18"/>
              </w:rPr>
              <w:t>/</w:t>
            </w:r>
            <w:r w:rsidRPr="00FA6C18">
              <w:rPr>
                <w:b/>
                <w:iCs/>
                <w:sz w:val="18"/>
                <w:szCs w:val="18"/>
              </w:rPr>
              <w:t>22 gasto real (cuentas públicas)</w:t>
            </w:r>
          </w:p>
        </w:tc>
        <w:tc>
          <w:tcPr>
            <w:tcW w:w="2771" w:type="dxa"/>
            <w:tcBorders>
              <w:top w:val="single" w:sz="12" w:space="0" w:color="auto"/>
            </w:tcBorders>
            <w:shd w:val="clear" w:color="auto" w:fill="auto"/>
          </w:tcPr>
          <w:p w14:paraId="4CE6DFA3" w14:textId="50AECF9F" w:rsidR="00E77C05" w:rsidRPr="00FA6C18" w:rsidRDefault="00E77C05" w:rsidP="00773DF6">
            <w:pPr>
              <w:spacing w:before="40" w:after="40" w:line="220" w:lineRule="exact"/>
              <w:ind w:left="113"/>
              <w:rPr>
                <w:b/>
                <w:iCs/>
                <w:sz w:val="18"/>
                <w:szCs w:val="18"/>
              </w:rPr>
            </w:pPr>
            <w:r w:rsidRPr="00FA6C18">
              <w:rPr>
                <w:b/>
                <w:iCs/>
                <w:sz w:val="18"/>
                <w:szCs w:val="18"/>
              </w:rPr>
              <w:t>2022</w:t>
            </w:r>
            <w:r w:rsidR="00773DF6">
              <w:rPr>
                <w:b/>
                <w:iCs/>
                <w:sz w:val="18"/>
                <w:szCs w:val="18"/>
              </w:rPr>
              <w:t>/</w:t>
            </w:r>
            <w:r w:rsidRPr="00FA6C18">
              <w:rPr>
                <w:b/>
                <w:iCs/>
                <w:sz w:val="18"/>
                <w:szCs w:val="18"/>
              </w:rPr>
              <w:t>23 Autorizaciones hasta la fecha (presupuesto de fin de año)</w:t>
            </w:r>
          </w:p>
        </w:tc>
        <w:tc>
          <w:tcPr>
            <w:tcW w:w="2274" w:type="dxa"/>
            <w:tcBorders>
              <w:top w:val="single" w:sz="12" w:space="0" w:color="auto"/>
            </w:tcBorders>
            <w:shd w:val="clear" w:color="auto" w:fill="auto"/>
          </w:tcPr>
          <w:p w14:paraId="501E51B2" w14:textId="77777777" w:rsidR="00E77C05" w:rsidRPr="00FA6C18" w:rsidRDefault="00E77C05" w:rsidP="00FA6C18">
            <w:pPr>
              <w:spacing w:before="40" w:after="40" w:line="220" w:lineRule="exact"/>
              <w:rPr>
                <w:b/>
                <w:iCs/>
                <w:sz w:val="18"/>
                <w:szCs w:val="18"/>
              </w:rPr>
            </w:pPr>
            <w:r w:rsidRPr="00FA6C18">
              <w:rPr>
                <w:b/>
                <w:iCs/>
                <w:sz w:val="18"/>
                <w:szCs w:val="18"/>
              </w:rPr>
              <w:t>Autorizaciones hasta la fecha (presupuesto hasta la fecha)</w:t>
            </w:r>
          </w:p>
        </w:tc>
      </w:tr>
      <w:tr w:rsidR="00E77C05" w:rsidRPr="00DC28B0" w14:paraId="467E335E" w14:textId="77777777" w:rsidTr="00922E5D">
        <w:tc>
          <w:tcPr>
            <w:tcW w:w="1733" w:type="dxa"/>
            <w:shd w:val="clear" w:color="auto" w:fill="auto"/>
          </w:tcPr>
          <w:p w14:paraId="10C938B8" w14:textId="77777777" w:rsidR="00E77C05" w:rsidRPr="00FA6C18" w:rsidRDefault="00E77C05" w:rsidP="00FA6C18">
            <w:pPr>
              <w:spacing w:before="40" w:after="40" w:line="220" w:lineRule="exact"/>
              <w:jc w:val="right"/>
              <w:rPr>
                <w:bCs/>
                <w:iCs/>
                <w:sz w:val="18"/>
                <w:szCs w:val="18"/>
              </w:rPr>
            </w:pPr>
            <w:r w:rsidRPr="00FA6C18">
              <w:rPr>
                <w:bCs/>
                <w:iCs/>
                <w:sz w:val="18"/>
                <w:szCs w:val="18"/>
              </w:rPr>
              <w:t>1 503 544 590</w:t>
            </w:r>
          </w:p>
        </w:tc>
        <w:tc>
          <w:tcPr>
            <w:tcW w:w="1733" w:type="dxa"/>
            <w:shd w:val="clear" w:color="auto" w:fill="auto"/>
          </w:tcPr>
          <w:p w14:paraId="1291928F" w14:textId="77777777" w:rsidR="00E77C05" w:rsidRPr="00FA6C18" w:rsidRDefault="00E77C05" w:rsidP="00FA6C18">
            <w:pPr>
              <w:spacing w:before="40" w:after="40" w:line="220" w:lineRule="exact"/>
              <w:jc w:val="right"/>
              <w:rPr>
                <w:bCs/>
                <w:iCs/>
                <w:sz w:val="18"/>
                <w:szCs w:val="18"/>
              </w:rPr>
            </w:pPr>
            <w:r w:rsidRPr="00FA6C18">
              <w:rPr>
                <w:bCs/>
                <w:iCs/>
                <w:sz w:val="18"/>
                <w:szCs w:val="18"/>
              </w:rPr>
              <w:t>1 720 417 611</w:t>
            </w:r>
          </w:p>
        </w:tc>
        <w:tc>
          <w:tcPr>
            <w:tcW w:w="2771" w:type="dxa"/>
            <w:shd w:val="clear" w:color="auto" w:fill="auto"/>
          </w:tcPr>
          <w:p w14:paraId="75B035C3" w14:textId="77777777" w:rsidR="00E77C05" w:rsidRPr="00FA6C18" w:rsidRDefault="00E77C05" w:rsidP="00922E5D">
            <w:pPr>
              <w:spacing w:before="40" w:after="40" w:line="220" w:lineRule="exact"/>
              <w:ind w:right="113"/>
              <w:jc w:val="right"/>
              <w:rPr>
                <w:bCs/>
                <w:iCs/>
                <w:sz w:val="18"/>
                <w:szCs w:val="18"/>
              </w:rPr>
            </w:pPr>
            <w:r w:rsidRPr="00FA6C18">
              <w:rPr>
                <w:bCs/>
                <w:iCs/>
                <w:sz w:val="18"/>
                <w:szCs w:val="18"/>
              </w:rPr>
              <w:t>3 066 821 830</w:t>
            </w:r>
          </w:p>
        </w:tc>
        <w:tc>
          <w:tcPr>
            <w:tcW w:w="2274" w:type="dxa"/>
            <w:shd w:val="clear" w:color="auto" w:fill="auto"/>
          </w:tcPr>
          <w:p w14:paraId="040B746D" w14:textId="77777777" w:rsidR="00E77C05" w:rsidRPr="00FA6C18" w:rsidRDefault="00E77C05" w:rsidP="00FA6C18">
            <w:pPr>
              <w:spacing w:before="40" w:after="40" w:line="220" w:lineRule="exact"/>
              <w:jc w:val="right"/>
              <w:rPr>
                <w:bCs/>
                <w:iCs/>
                <w:sz w:val="18"/>
                <w:szCs w:val="18"/>
              </w:rPr>
            </w:pPr>
            <w:r w:rsidRPr="00FA6C18">
              <w:rPr>
                <w:bCs/>
                <w:iCs/>
                <w:sz w:val="18"/>
                <w:szCs w:val="18"/>
              </w:rPr>
              <w:t>3 020 123 220</w:t>
            </w:r>
          </w:p>
        </w:tc>
      </w:tr>
      <w:tr w:rsidR="00E77C05" w:rsidRPr="00DC28B0" w14:paraId="0574B69D" w14:textId="77777777" w:rsidTr="00553E57">
        <w:tc>
          <w:tcPr>
            <w:tcW w:w="8511" w:type="dxa"/>
            <w:gridSpan w:val="4"/>
            <w:shd w:val="clear" w:color="auto" w:fill="auto"/>
          </w:tcPr>
          <w:p w14:paraId="728578B5" w14:textId="570BCE25" w:rsidR="00E77C05" w:rsidRPr="00773DF6" w:rsidRDefault="00E77C05" w:rsidP="00FA6C18">
            <w:pPr>
              <w:spacing w:before="40" w:after="40" w:line="220" w:lineRule="exact"/>
              <w:rPr>
                <w:bCs/>
                <w:i/>
                <w:iCs/>
                <w:sz w:val="18"/>
                <w:szCs w:val="18"/>
              </w:rPr>
            </w:pPr>
            <w:r w:rsidRPr="00773DF6">
              <w:rPr>
                <w:rFonts w:eastAsiaTheme="minorEastAsia"/>
                <w:i/>
                <w:iCs/>
                <w:sz w:val="16"/>
                <w:szCs w:val="16"/>
              </w:rPr>
              <w:t xml:space="preserve">Aplicación de la Ley relativa a los Niños, Jóvenes y Familias de las Primeras Naciones, Inuit y </w:t>
            </w:r>
            <w:proofErr w:type="spellStart"/>
            <w:r w:rsidRPr="00773DF6">
              <w:rPr>
                <w:rFonts w:eastAsiaTheme="minorEastAsia"/>
                <w:i/>
                <w:iCs/>
                <w:sz w:val="16"/>
                <w:szCs w:val="16"/>
              </w:rPr>
              <w:t>Métis</w:t>
            </w:r>
            <w:proofErr w:type="spellEnd"/>
          </w:p>
        </w:tc>
      </w:tr>
      <w:tr w:rsidR="00E77C05" w:rsidRPr="00DC28B0" w14:paraId="4E785206" w14:textId="77777777" w:rsidTr="00922E5D">
        <w:tc>
          <w:tcPr>
            <w:tcW w:w="1733" w:type="dxa"/>
            <w:shd w:val="clear" w:color="auto" w:fill="auto"/>
          </w:tcPr>
          <w:p w14:paraId="698E4614" w14:textId="10BC201B" w:rsidR="00E77C05" w:rsidRPr="00FA6C18" w:rsidRDefault="00E77C05" w:rsidP="00FA6C18">
            <w:pPr>
              <w:spacing w:before="40" w:after="40" w:line="220" w:lineRule="exact"/>
              <w:rPr>
                <w:bCs/>
                <w:iCs/>
                <w:sz w:val="18"/>
                <w:szCs w:val="18"/>
              </w:rPr>
            </w:pPr>
            <w:r w:rsidRPr="00FA6C18">
              <w:rPr>
                <w:b/>
                <w:iCs/>
                <w:sz w:val="18"/>
                <w:szCs w:val="18"/>
              </w:rPr>
              <w:t>2020</w:t>
            </w:r>
            <w:r w:rsidR="00773DF6">
              <w:rPr>
                <w:b/>
                <w:iCs/>
                <w:sz w:val="18"/>
                <w:szCs w:val="18"/>
              </w:rPr>
              <w:t>/</w:t>
            </w:r>
            <w:r w:rsidRPr="00FA6C18">
              <w:rPr>
                <w:b/>
                <w:iCs/>
                <w:sz w:val="18"/>
                <w:szCs w:val="18"/>
              </w:rPr>
              <w:t>21 gasto real (cuentas públicas)</w:t>
            </w:r>
          </w:p>
        </w:tc>
        <w:tc>
          <w:tcPr>
            <w:tcW w:w="1733" w:type="dxa"/>
            <w:shd w:val="clear" w:color="auto" w:fill="auto"/>
          </w:tcPr>
          <w:p w14:paraId="12234B14" w14:textId="44E44E33" w:rsidR="00E77C05" w:rsidRPr="00FA6C18" w:rsidRDefault="00E77C05" w:rsidP="00773DF6">
            <w:pPr>
              <w:spacing w:before="40" w:after="40" w:line="220" w:lineRule="exact"/>
              <w:ind w:left="113"/>
              <w:rPr>
                <w:bCs/>
                <w:iCs/>
                <w:sz w:val="18"/>
                <w:szCs w:val="18"/>
              </w:rPr>
            </w:pPr>
            <w:r w:rsidRPr="00FA6C18">
              <w:rPr>
                <w:b/>
                <w:iCs/>
                <w:sz w:val="18"/>
                <w:szCs w:val="18"/>
              </w:rPr>
              <w:t>2021</w:t>
            </w:r>
            <w:r w:rsidR="00773DF6">
              <w:rPr>
                <w:b/>
                <w:iCs/>
                <w:sz w:val="18"/>
                <w:szCs w:val="18"/>
              </w:rPr>
              <w:t>/</w:t>
            </w:r>
            <w:r w:rsidRPr="00FA6C18">
              <w:rPr>
                <w:b/>
                <w:iCs/>
                <w:sz w:val="18"/>
                <w:szCs w:val="18"/>
              </w:rPr>
              <w:t>22 gasto real (cuentas públicas)</w:t>
            </w:r>
          </w:p>
        </w:tc>
        <w:tc>
          <w:tcPr>
            <w:tcW w:w="2771" w:type="dxa"/>
            <w:shd w:val="clear" w:color="auto" w:fill="auto"/>
          </w:tcPr>
          <w:p w14:paraId="6F0401A0" w14:textId="509A7116" w:rsidR="00E77C05" w:rsidRPr="00FA6C18" w:rsidRDefault="00E77C05" w:rsidP="00773DF6">
            <w:pPr>
              <w:spacing w:before="40" w:after="40" w:line="220" w:lineRule="exact"/>
              <w:ind w:left="113"/>
              <w:rPr>
                <w:bCs/>
                <w:iCs/>
                <w:sz w:val="18"/>
                <w:szCs w:val="18"/>
              </w:rPr>
            </w:pPr>
            <w:r w:rsidRPr="00FA6C18">
              <w:rPr>
                <w:b/>
                <w:iCs/>
                <w:sz w:val="18"/>
                <w:szCs w:val="18"/>
              </w:rPr>
              <w:t>2022</w:t>
            </w:r>
            <w:r w:rsidR="00773DF6">
              <w:rPr>
                <w:b/>
                <w:iCs/>
                <w:sz w:val="18"/>
                <w:szCs w:val="18"/>
              </w:rPr>
              <w:t>/</w:t>
            </w:r>
            <w:r w:rsidRPr="00FA6C18">
              <w:rPr>
                <w:b/>
                <w:iCs/>
                <w:sz w:val="18"/>
                <w:szCs w:val="18"/>
              </w:rPr>
              <w:t>23 Autorizaciones hasta la fecha (presupuesto de fin de año)</w:t>
            </w:r>
          </w:p>
        </w:tc>
        <w:tc>
          <w:tcPr>
            <w:tcW w:w="2274" w:type="dxa"/>
            <w:shd w:val="clear" w:color="auto" w:fill="auto"/>
          </w:tcPr>
          <w:p w14:paraId="07BF3C48" w14:textId="77777777" w:rsidR="00E77C05" w:rsidRPr="00FA6C18" w:rsidRDefault="00E77C05" w:rsidP="00FA6C18">
            <w:pPr>
              <w:spacing w:before="40" w:after="40" w:line="220" w:lineRule="exact"/>
              <w:rPr>
                <w:bCs/>
                <w:iCs/>
                <w:sz w:val="18"/>
                <w:szCs w:val="18"/>
              </w:rPr>
            </w:pPr>
            <w:r w:rsidRPr="00FA6C18">
              <w:rPr>
                <w:b/>
                <w:iCs/>
                <w:sz w:val="18"/>
                <w:szCs w:val="18"/>
              </w:rPr>
              <w:t>Autorizaciones hasta la fecha (presupuesto hasta la fecha)</w:t>
            </w:r>
          </w:p>
        </w:tc>
      </w:tr>
      <w:tr w:rsidR="00E77C05" w:rsidRPr="00DC28B0" w14:paraId="21EAC765" w14:textId="77777777" w:rsidTr="00922E5D">
        <w:tc>
          <w:tcPr>
            <w:tcW w:w="1733" w:type="dxa"/>
            <w:tcBorders>
              <w:bottom w:val="single" w:sz="12" w:space="0" w:color="auto"/>
            </w:tcBorders>
            <w:shd w:val="clear" w:color="auto" w:fill="auto"/>
          </w:tcPr>
          <w:p w14:paraId="78EF8F09" w14:textId="77777777" w:rsidR="00E77C05" w:rsidRPr="00FA6C18" w:rsidRDefault="00E77C05" w:rsidP="00FA6C18">
            <w:pPr>
              <w:spacing w:before="40" w:after="40" w:line="220" w:lineRule="exact"/>
              <w:jc w:val="right"/>
              <w:rPr>
                <w:bCs/>
                <w:iCs/>
                <w:sz w:val="18"/>
                <w:szCs w:val="18"/>
              </w:rPr>
            </w:pPr>
            <w:r w:rsidRPr="00FA6C18">
              <w:rPr>
                <w:bCs/>
                <w:iCs/>
                <w:sz w:val="18"/>
                <w:szCs w:val="18"/>
              </w:rPr>
              <w:t>15 360 026</w:t>
            </w:r>
          </w:p>
        </w:tc>
        <w:tc>
          <w:tcPr>
            <w:tcW w:w="1733" w:type="dxa"/>
            <w:tcBorders>
              <w:bottom w:val="single" w:sz="12" w:space="0" w:color="auto"/>
            </w:tcBorders>
            <w:shd w:val="clear" w:color="auto" w:fill="auto"/>
          </w:tcPr>
          <w:p w14:paraId="194F4AD3" w14:textId="77777777" w:rsidR="00E77C05" w:rsidRPr="00FA6C18" w:rsidRDefault="00E77C05" w:rsidP="00FA6C18">
            <w:pPr>
              <w:spacing w:before="40" w:after="40" w:line="220" w:lineRule="exact"/>
              <w:jc w:val="right"/>
              <w:rPr>
                <w:bCs/>
                <w:iCs/>
                <w:sz w:val="18"/>
                <w:szCs w:val="18"/>
              </w:rPr>
            </w:pPr>
            <w:r w:rsidRPr="00FA6C18">
              <w:rPr>
                <w:bCs/>
                <w:iCs/>
                <w:sz w:val="18"/>
                <w:szCs w:val="18"/>
              </w:rPr>
              <w:t>69 251 922</w:t>
            </w:r>
          </w:p>
        </w:tc>
        <w:tc>
          <w:tcPr>
            <w:tcW w:w="2771" w:type="dxa"/>
            <w:tcBorders>
              <w:bottom w:val="single" w:sz="12" w:space="0" w:color="auto"/>
            </w:tcBorders>
            <w:shd w:val="clear" w:color="auto" w:fill="auto"/>
          </w:tcPr>
          <w:p w14:paraId="11F6528D" w14:textId="77777777" w:rsidR="00E77C05" w:rsidRPr="00FA6C18" w:rsidRDefault="00E77C05" w:rsidP="00922E5D">
            <w:pPr>
              <w:spacing w:before="40" w:after="40" w:line="220" w:lineRule="exact"/>
              <w:ind w:right="113"/>
              <w:jc w:val="right"/>
              <w:rPr>
                <w:bCs/>
                <w:iCs/>
                <w:sz w:val="18"/>
                <w:szCs w:val="18"/>
              </w:rPr>
            </w:pPr>
            <w:r w:rsidRPr="00FA6C18">
              <w:rPr>
                <w:bCs/>
                <w:iCs/>
                <w:sz w:val="18"/>
                <w:szCs w:val="18"/>
              </w:rPr>
              <w:t>79 028 722</w:t>
            </w:r>
          </w:p>
        </w:tc>
        <w:tc>
          <w:tcPr>
            <w:tcW w:w="2274" w:type="dxa"/>
            <w:tcBorders>
              <w:bottom w:val="single" w:sz="12" w:space="0" w:color="auto"/>
            </w:tcBorders>
            <w:shd w:val="clear" w:color="auto" w:fill="auto"/>
          </w:tcPr>
          <w:p w14:paraId="31C9B328" w14:textId="77777777" w:rsidR="00E77C05" w:rsidRPr="00FA6C18" w:rsidRDefault="00E77C05" w:rsidP="00FA6C18">
            <w:pPr>
              <w:spacing w:before="40" w:after="40" w:line="220" w:lineRule="exact"/>
              <w:jc w:val="right"/>
              <w:rPr>
                <w:bCs/>
                <w:iCs/>
                <w:sz w:val="18"/>
                <w:szCs w:val="18"/>
              </w:rPr>
            </w:pPr>
            <w:r w:rsidRPr="00FA6C18">
              <w:rPr>
                <w:bCs/>
                <w:iCs/>
                <w:sz w:val="18"/>
                <w:szCs w:val="18"/>
              </w:rPr>
              <w:t>126 491 452</w:t>
            </w:r>
          </w:p>
        </w:tc>
      </w:tr>
    </w:tbl>
    <w:p w14:paraId="46F03A91" w14:textId="77777777" w:rsidR="00E77C05" w:rsidRPr="00FA6C18" w:rsidRDefault="00E77C05" w:rsidP="00553E57">
      <w:pPr>
        <w:pStyle w:val="SingleTxtG"/>
        <w:spacing w:before="120" w:after="240"/>
        <w:ind w:right="0" w:firstLine="170"/>
        <w:jc w:val="left"/>
        <w:rPr>
          <w:sz w:val="18"/>
          <w:szCs w:val="18"/>
        </w:rPr>
      </w:pPr>
      <w:bookmarkStart w:id="382" w:name="lt_pId468"/>
      <w:bookmarkEnd w:id="382"/>
      <w:r w:rsidRPr="00FA6C18">
        <w:rPr>
          <w:i/>
          <w:sz w:val="18"/>
          <w:szCs w:val="18"/>
        </w:rPr>
        <w:t xml:space="preserve">Fuente: </w:t>
      </w:r>
      <w:r w:rsidRPr="00FA6C18">
        <w:rPr>
          <w:sz w:val="18"/>
          <w:szCs w:val="18"/>
        </w:rPr>
        <w:t xml:space="preserve">Fallos del Tribunal de Derechos Humanos del Canadá en casos relacionados con servicios de apoyo a la infancia y la familia prestados a los Pueblos Indígenas, en particular los fallos 2017 </w:t>
      </w:r>
      <w:proofErr w:type="spellStart"/>
      <w:r w:rsidRPr="00FA6C18">
        <w:rPr>
          <w:sz w:val="18"/>
          <w:szCs w:val="18"/>
        </w:rPr>
        <w:t>CHRT</w:t>
      </w:r>
      <w:proofErr w:type="spellEnd"/>
      <w:r w:rsidRPr="00FA6C18">
        <w:rPr>
          <w:sz w:val="18"/>
          <w:szCs w:val="18"/>
        </w:rPr>
        <w:t xml:space="preserve"> 14 y 2016 </w:t>
      </w:r>
      <w:proofErr w:type="spellStart"/>
      <w:r w:rsidRPr="00FA6C18">
        <w:rPr>
          <w:sz w:val="18"/>
          <w:szCs w:val="18"/>
        </w:rPr>
        <w:t>CHRT</w:t>
      </w:r>
      <w:proofErr w:type="spellEnd"/>
      <w:r w:rsidRPr="00FA6C18">
        <w:rPr>
          <w:sz w:val="18"/>
          <w:szCs w:val="18"/>
        </w:rPr>
        <w:t xml:space="preserve"> 2.</w:t>
      </w:r>
    </w:p>
    <w:p w14:paraId="0903B475" w14:textId="1D6FA0D6" w:rsidR="00E77C05" w:rsidRPr="00DC28B0" w:rsidRDefault="00E77C05" w:rsidP="00B62663">
      <w:pPr>
        <w:pStyle w:val="SingleTxtG"/>
        <w:rPr>
          <w:bCs/>
          <w:iCs/>
        </w:rPr>
      </w:pPr>
      <w:bookmarkStart w:id="383" w:name="lt_pId469"/>
      <w:r w:rsidRPr="00DC28B0">
        <w:rPr>
          <w:iCs/>
        </w:rPr>
        <w:t>98.</w:t>
      </w:r>
      <w:r w:rsidRPr="00DC28B0">
        <w:rPr>
          <w:iCs/>
        </w:rPr>
        <w:tab/>
      </w:r>
      <w:r w:rsidRPr="00DC28B0">
        <w:rPr>
          <w:bCs/>
          <w:iCs/>
        </w:rPr>
        <w:t xml:space="preserve">El Gobierno del Canadá ha trabajado de forma continuada en diversas campañas de comunicación y marketing para dar a </w:t>
      </w:r>
      <w:r w:rsidRPr="00B62663">
        <w:t>conocer</w:t>
      </w:r>
      <w:r w:rsidRPr="00DC28B0">
        <w:rPr>
          <w:bCs/>
          <w:iCs/>
        </w:rPr>
        <w:t xml:space="preserve"> </w:t>
      </w:r>
      <w:r w:rsidRPr="00DC28B0">
        <w:rPr>
          <w:iCs/>
        </w:rPr>
        <w:t xml:space="preserve">el principio de </w:t>
      </w:r>
      <w:proofErr w:type="spellStart"/>
      <w:r w:rsidRPr="00DC28B0">
        <w:rPr>
          <w:bCs/>
          <w:iCs/>
        </w:rPr>
        <w:t>Jordan</w:t>
      </w:r>
      <w:proofErr w:type="spellEnd"/>
      <w:r w:rsidRPr="00DC28B0">
        <w:rPr>
          <w:bCs/>
          <w:iCs/>
        </w:rPr>
        <w:t xml:space="preserve"> entre las familias de las Primeras Naciones, las comunidades, los profesionales y otros sectores. </w:t>
      </w:r>
      <w:bookmarkStart w:id="384" w:name="lt_pId470"/>
      <w:bookmarkEnd w:id="383"/>
      <w:r w:rsidRPr="00DC28B0">
        <w:rPr>
          <w:bCs/>
          <w:iCs/>
        </w:rPr>
        <w:t xml:space="preserve">Eso incluye la publicación de información en línea en la página web </w:t>
      </w:r>
      <w:hyperlink r:id="rId8" w:history="1">
        <w:proofErr w:type="spellStart"/>
        <w:r w:rsidRPr="00922E5D">
          <w:rPr>
            <w:rStyle w:val="Hipervnculo"/>
            <w:bCs/>
            <w:iCs/>
          </w:rPr>
          <w:t>Canada.ca</w:t>
        </w:r>
        <w:proofErr w:type="spellEnd"/>
      </w:hyperlink>
      <w:r w:rsidRPr="00DC28B0">
        <w:rPr>
          <w:bCs/>
          <w:iCs/>
        </w:rPr>
        <w:t xml:space="preserve">, la publicación de mensajes en las redes sociales a través de canales departamentales, el intercambio de tuits y de publicaciones de otras partes interesadas, la participación de los interesados y las familias a través de múltiples rondas de encuestas de satisfacción, la difusión de información sobre el principio de </w:t>
      </w:r>
      <w:proofErr w:type="spellStart"/>
      <w:r w:rsidRPr="00DC28B0">
        <w:rPr>
          <w:bCs/>
          <w:iCs/>
        </w:rPr>
        <w:t>Jordan</w:t>
      </w:r>
      <w:proofErr w:type="spellEnd"/>
      <w:r w:rsidRPr="00DC28B0">
        <w:rPr>
          <w:bCs/>
          <w:iCs/>
        </w:rPr>
        <w:t xml:space="preserve"> por otros canales federales de divulgación y la puesta en marcha de varias campañas publicitarias entre 2017 y 2021.</w:t>
      </w:r>
      <w:bookmarkEnd w:id="384"/>
    </w:p>
    <w:p w14:paraId="6E2E8F91" w14:textId="77777777" w:rsidR="00E77C05" w:rsidRPr="00DC28B0" w:rsidRDefault="00E77C05" w:rsidP="00B62663">
      <w:pPr>
        <w:pStyle w:val="SingleTxtG"/>
        <w:rPr>
          <w:bCs/>
          <w:iCs/>
        </w:rPr>
      </w:pPr>
      <w:bookmarkStart w:id="385" w:name="lt_pId471"/>
      <w:r w:rsidRPr="00DC28B0">
        <w:rPr>
          <w:iCs/>
        </w:rPr>
        <w:t>99.</w:t>
      </w:r>
      <w:r w:rsidRPr="00DC28B0">
        <w:rPr>
          <w:iCs/>
        </w:rPr>
        <w:tab/>
      </w:r>
      <w:r w:rsidRPr="00DC28B0">
        <w:rPr>
          <w:bCs/>
          <w:iCs/>
        </w:rPr>
        <w:t xml:space="preserve">Esa mayor concienciación, junto con la ampliación del alcance y la elegibilidad del principio de </w:t>
      </w:r>
      <w:proofErr w:type="spellStart"/>
      <w:r w:rsidRPr="00DC28B0">
        <w:rPr>
          <w:bCs/>
          <w:iCs/>
        </w:rPr>
        <w:t>Jordan</w:t>
      </w:r>
      <w:proofErr w:type="spellEnd"/>
      <w:r w:rsidRPr="00DC28B0">
        <w:rPr>
          <w:bCs/>
          <w:iCs/>
        </w:rPr>
        <w:t xml:space="preserve"> mediante los autos </w:t>
      </w:r>
      <w:r w:rsidRPr="00B62663">
        <w:t>del</w:t>
      </w:r>
      <w:r w:rsidRPr="00DC28B0">
        <w:rPr>
          <w:bCs/>
          <w:iCs/>
        </w:rPr>
        <w:t xml:space="preserve"> Tribunal de Derechos Humanos del Canadá, ha dado lugar a un aumento interanual de las </w:t>
      </w:r>
      <w:r w:rsidRPr="00DC28B0">
        <w:rPr>
          <w:iCs/>
        </w:rPr>
        <w:t xml:space="preserve">solicitudes de </w:t>
      </w:r>
      <w:r w:rsidRPr="00DC28B0">
        <w:rPr>
          <w:bCs/>
          <w:iCs/>
        </w:rPr>
        <w:t xml:space="preserve">bienes y servicios y al correspondiente incremento de los gastos. </w:t>
      </w:r>
      <w:bookmarkStart w:id="386" w:name="lt_pId472"/>
      <w:bookmarkEnd w:id="385"/>
      <w:r w:rsidRPr="00DC28B0">
        <w:rPr>
          <w:bCs/>
          <w:iCs/>
        </w:rPr>
        <w:t xml:space="preserve">Entre el 1 de julio de 2016 y el 31 de julio de 2021, se aprobaron más de 1,1 millones de solicitudes de productos y servicios para los niños de las Primeras Naciones en virtud del principio de </w:t>
      </w:r>
      <w:proofErr w:type="spellStart"/>
      <w:r w:rsidRPr="00DC28B0">
        <w:rPr>
          <w:bCs/>
          <w:iCs/>
        </w:rPr>
        <w:t>Jordan</w:t>
      </w:r>
      <w:proofErr w:type="spellEnd"/>
      <w:r w:rsidRPr="00DC28B0">
        <w:rPr>
          <w:bCs/>
          <w:iCs/>
        </w:rPr>
        <w:t>.</w:t>
      </w:r>
      <w:bookmarkEnd w:id="386"/>
    </w:p>
    <w:p w14:paraId="0B46AE2E" w14:textId="7625D185" w:rsidR="00E77C05" w:rsidRPr="00553E57" w:rsidRDefault="00E77C05" w:rsidP="00553E57">
      <w:pPr>
        <w:pStyle w:val="SingleTxtG"/>
        <w:jc w:val="left"/>
        <w:rPr>
          <w:b/>
          <w:bCs/>
        </w:rPr>
      </w:pPr>
      <w:bookmarkStart w:id="387" w:name="lt_pId473"/>
      <w:r w:rsidRPr="00DC28B0">
        <w:t>Cuadro 6</w:t>
      </w:r>
      <w:r w:rsidRPr="00DC28B0">
        <w:br/>
      </w:r>
      <w:r w:rsidRPr="00553E57">
        <w:rPr>
          <w:b/>
          <w:bCs/>
        </w:rPr>
        <w:t xml:space="preserve">Productos y servicios aprobados en virtud del principio de </w:t>
      </w:r>
      <w:proofErr w:type="spellStart"/>
      <w:r w:rsidRPr="00553E57">
        <w:rPr>
          <w:b/>
          <w:bCs/>
        </w:rPr>
        <w:t>Jordan</w:t>
      </w:r>
      <w:proofErr w:type="spellEnd"/>
      <w:r w:rsidRPr="00553E57">
        <w:rPr>
          <w:b/>
          <w:bCs/>
        </w:rPr>
        <w:t xml:space="preserve"> entre los ejercicios</w:t>
      </w:r>
      <w:r w:rsidR="00553E57">
        <w:rPr>
          <w:b/>
          <w:bCs/>
        </w:rPr>
        <w:t> </w:t>
      </w:r>
      <w:r w:rsidRPr="00553E57">
        <w:rPr>
          <w:b/>
          <w:bCs/>
        </w:rPr>
        <w:t>2016</w:t>
      </w:r>
      <w:r w:rsidR="00922E5D">
        <w:rPr>
          <w:b/>
          <w:bCs/>
        </w:rPr>
        <w:t>/</w:t>
      </w:r>
      <w:r w:rsidRPr="00553E57">
        <w:rPr>
          <w:b/>
          <w:bCs/>
        </w:rPr>
        <w:t>17 y 2021</w:t>
      </w:r>
      <w:r w:rsidR="00922E5D">
        <w:rPr>
          <w:b/>
          <w:bCs/>
        </w:rPr>
        <w:t>/</w:t>
      </w:r>
      <w:r w:rsidRPr="00553E57">
        <w:rPr>
          <w:b/>
          <w:bCs/>
        </w:rPr>
        <w:t xml:space="preserve">22 </w:t>
      </w:r>
      <w:bookmarkEnd w:id="387"/>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2156"/>
        <w:gridCol w:w="2237"/>
      </w:tblGrid>
      <w:tr w:rsidR="00E77C05" w:rsidRPr="00553E57" w14:paraId="276D7812" w14:textId="77777777" w:rsidTr="00553E57">
        <w:trPr>
          <w:trHeight w:val="240"/>
          <w:tblHeader/>
        </w:trPr>
        <w:tc>
          <w:tcPr>
            <w:tcW w:w="2977" w:type="dxa"/>
            <w:tcBorders>
              <w:top w:val="single" w:sz="4" w:space="0" w:color="auto"/>
              <w:bottom w:val="single" w:sz="12" w:space="0" w:color="auto"/>
            </w:tcBorders>
            <w:shd w:val="clear" w:color="auto" w:fill="auto"/>
            <w:vAlign w:val="bottom"/>
          </w:tcPr>
          <w:p w14:paraId="3194E1F8" w14:textId="77777777" w:rsidR="00E77C05" w:rsidRPr="00553E57" w:rsidRDefault="00E77C05" w:rsidP="00553E57">
            <w:pPr>
              <w:spacing w:before="80" w:after="80" w:line="200" w:lineRule="exact"/>
              <w:rPr>
                <w:i/>
                <w:iCs/>
                <w:sz w:val="16"/>
              </w:rPr>
            </w:pPr>
            <w:r w:rsidRPr="00553E57">
              <w:rPr>
                <w:i/>
                <w:iCs/>
                <w:sz w:val="16"/>
              </w:rPr>
              <w:t>Ejercicio</w:t>
            </w:r>
          </w:p>
        </w:tc>
        <w:tc>
          <w:tcPr>
            <w:tcW w:w="2156" w:type="dxa"/>
            <w:tcBorders>
              <w:top w:val="single" w:sz="4" w:space="0" w:color="auto"/>
              <w:bottom w:val="single" w:sz="12" w:space="0" w:color="auto"/>
            </w:tcBorders>
            <w:shd w:val="clear" w:color="auto" w:fill="auto"/>
            <w:vAlign w:val="bottom"/>
          </w:tcPr>
          <w:p w14:paraId="37ADB6F8" w14:textId="77777777" w:rsidR="00E77C05" w:rsidRPr="00553E57" w:rsidRDefault="00E77C05" w:rsidP="00553E57">
            <w:pPr>
              <w:spacing w:before="80" w:after="80" w:line="200" w:lineRule="exact"/>
              <w:ind w:left="113"/>
              <w:jc w:val="right"/>
              <w:rPr>
                <w:i/>
                <w:iCs/>
                <w:sz w:val="16"/>
              </w:rPr>
            </w:pPr>
            <w:r w:rsidRPr="00553E57">
              <w:rPr>
                <w:i/>
                <w:iCs/>
                <w:sz w:val="16"/>
              </w:rPr>
              <w:t>Solicitudes aprobadas</w:t>
            </w:r>
          </w:p>
        </w:tc>
        <w:tc>
          <w:tcPr>
            <w:tcW w:w="2237" w:type="dxa"/>
            <w:tcBorders>
              <w:top w:val="single" w:sz="4" w:space="0" w:color="auto"/>
              <w:bottom w:val="single" w:sz="12" w:space="0" w:color="auto"/>
            </w:tcBorders>
            <w:shd w:val="clear" w:color="auto" w:fill="auto"/>
            <w:vAlign w:val="bottom"/>
          </w:tcPr>
          <w:p w14:paraId="1E5113B3" w14:textId="2AB34A2B" w:rsidR="00E77C05" w:rsidRPr="00553E57" w:rsidRDefault="00E77C05" w:rsidP="00553E57">
            <w:pPr>
              <w:spacing w:before="80" w:after="80" w:line="200" w:lineRule="exact"/>
              <w:ind w:left="113"/>
              <w:jc w:val="right"/>
              <w:rPr>
                <w:i/>
                <w:iCs/>
                <w:sz w:val="16"/>
              </w:rPr>
            </w:pPr>
            <w:r w:rsidRPr="00553E57">
              <w:rPr>
                <w:i/>
                <w:iCs/>
                <w:sz w:val="16"/>
              </w:rPr>
              <w:t>Crecimiento (</w:t>
            </w:r>
            <w:r w:rsidR="00553E57">
              <w:rPr>
                <w:i/>
                <w:iCs/>
                <w:sz w:val="16"/>
              </w:rPr>
              <w:t>en porcentaje</w:t>
            </w:r>
            <w:r w:rsidRPr="00553E57">
              <w:rPr>
                <w:i/>
                <w:iCs/>
                <w:sz w:val="16"/>
              </w:rPr>
              <w:t>)</w:t>
            </w:r>
          </w:p>
        </w:tc>
      </w:tr>
      <w:tr w:rsidR="00E77C05" w:rsidRPr="00553E57" w14:paraId="06F03B0C" w14:textId="77777777" w:rsidTr="00553E57">
        <w:trPr>
          <w:trHeight w:val="240"/>
        </w:trPr>
        <w:tc>
          <w:tcPr>
            <w:tcW w:w="2977" w:type="dxa"/>
            <w:tcBorders>
              <w:top w:val="single" w:sz="12" w:space="0" w:color="auto"/>
            </w:tcBorders>
            <w:shd w:val="clear" w:color="auto" w:fill="auto"/>
          </w:tcPr>
          <w:p w14:paraId="2DA40D4D" w14:textId="6C9B3C51" w:rsidR="00E77C05" w:rsidRPr="00553E57" w:rsidRDefault="00E77C05" w:rsidP="00553E57">
            <w:pPr>
              <w:spacing w:before="40" w:after="40" w:line="220" w:lineRule="exact"/>
              <w:rPr>
                <w:bCs/>
                <w:iCs/>
                <w:sz w:val="18"/>
              </w:rPr>
            </w:pPr>
            <w:r w:rsidRPr="00553E57">
              <w:rPr>
                <w:bCs/>
                <w:iCs/>
                <w:sz w:val="18"/>
              </w:rPr>
              <w:t>2016</w:t>
            </w:r>
            <w:r w:rsidR="00922E5D">
              <w:rPr>
                <w:bCs/>
                <w:iCs/>
                <w:sz w:val="18"/>
              </w:rPr>
              <w:t>/</w:t>
            </w:r>
            <w:r w:rsidRPr="00553E57">
              <w:rPr>
                <w:bCs/>
                <w:iCs/>
                <w:sz w:val="18"/>
              </w:rPr>
              <w:t>17</w:t>
            </w:r>
          </w:p>
        </w:tc>
        <w:tc>
          <w:tcPr>
            <w:tcW w:w="2156" w:type="dxa"/>
            <w:tcBorders>
              <w:top w:val="single" w:sz="12" w:space="0" w:color="auto"/>
            </w:tcBorders>
            <w:shd w:val="clear" w:color="auto" w:fill="auto"/>
            <w:vAlign w:val="bottom"/>
          </w:tcPr>
          <w:p w14:paraId="099F16BF" w14:textId="77777777" w:rsidR="00E77C05" w:rsidRPr="00553E57" w:rsidRDefault="00E77C05" w:rsidP="00553E57">
            <w:pPr>
              <w:spacing w:before="40" w:after="40" w:line="220" w:lineRule="exact"/>
              <w:ind w:left="113"/>
              <w:jc w:val="right"/>
              <w:rPr>
                <w:bCs/>
                <w:iCs/>
                <w:sz w:val="18"/>
              </w:rPr>
            </w:pPr>
            <w:r w:rsidRPr="00553E57">
              <w:rPr>
                <w:bCs/>
                <w:iCs/>
                <w:sz w:val="18"/>
              </w:rPr>
              <w:t>4 940</w:t>
            </w:r>
          </w:p>
        </w:tc>
        <w:tc>
          <w:tcPr>
            <w:tcW w:w="2237" w:type="dxa"/>
            <w:tcBorders>
              <w:top w:val="single" w:sz="12" w:space="0" w:color="auto"/>
            </w:tcBorders>
            <w:shd w:val="clear" w:color="auto" w:fill="auto"/>
            <w:vAlign w:val="bottom"/>
          </w:tcPr>
          <w:p w14:paraId="373853B6" w14:textId="77777777" w:rsidR="00E77C05" w:rsidRPr="00553E57" w:rsidRDefault="00E77C05" w:rsidP="00553E57">
            <w:pPr>
              <w:spacing w:before="40" w:after="40" w:line="220" w:lineRule="exact"/>
              <w:ind w:left="113"/>
              <w:jc w:val="right"/>
              <w:rPr>
                <w:bCs/>
                <w:iCs/>
                <w:sz w:val="18"/>
              </w:rPr>
            </w:pPr>
            <w:r w:rsidRPr="00553E57">
              <w:rPr>
                <w:bCs/>
                <w:iCs/>
                <w:sz w:val="18"/>
              </w:rPr>
              <w:t>n/a</w:t>
            </w:r>
          </w:p>
        </w:tc>
      </w:tr>
      <w:tr w:rsidR="00E77C05" w:rsidRPr="00553E57" w14:paraId="2A450C0C" w14:textId="77777777" w:rsidTr="00553E57">
        <w:trPr>
          <w:trHeight w:val="240"/>
        </w:trPr>
        <w:tc>
          <w:tcPr>
            <w:tcW w:w="2977" w:type="dxa"/>
            <w:shd w:val="clear" w:color="auto" w:fill="auto"/>
          </w:tcPr>
          <w:p w14:paraId="4915EB3D" w14:textId="52A6F0D2" w:rsidR="00E77C05" w:rsidRPr="00553E57" w:rsidRDefault="00E77C05" w:rsidP="00553E57">
            <w:pPr>
              <w:spacing w:before="40" w:after="40" w:line="220" w:lineRule="exact"/>
              <w:rPr>
                <w:bCs/>
                <w:iCs/>
                <w:sz w:val="18"/>
              </w:rPr>
            </w:pPr>
            <w:r w:rsidRPr="00553E57">
              <w:rPr>
                <w:bCs/>
                <w:iCs/>
                <w:sz w:val="18"/>
              </w:rPr>
              <w:t>2017</w:t>
            </w:r>
            <w:r w:rsidR="00922E5D">
              <w:rPr>
                <w:bCs/>
                <w:iCs/>
                <w:sz w:val="18"/>
              </w:rPr>
              <w:t>/</w:t>
            </w:r>
            <w:r w:rsidRPr="00553E57">
              <w:rPr>
                <w:bCs/>
                <w:iCs/>
                <w:sz w:val="18"/>
              </w:rPr>
              <w:t>18</w:t>
            </w:r>
          </w:p>
        </w:tc>
        <w:tc>
          <w:tcPr>
            <w:tcW w:w="2156" w:type="dxa"/>
            <w:shd w:val="clear" w:color="auto" w:fill="auto"/>
            <w:vAlign w:val="bottom"/>
          </w:tcPr>
          <w:p w14:paraId="68EE5F9F" w14:textId="77777777" w:rsidR="00E77C05" w:rsidRPr="00553E57" w:rsidRDefault="00E77C05" w:rsidP="00553E57">
            <w:pPr>
              <w:spacing w:before="40" w:after="40" w:line="220" w:lineRule="exact"/>
              <w:ind w:left="113"/>
              <w:jc w:val="right"/>
              <w:rPr>
                <w:bCs/>
                <w:iCs/>
                <w:sz w:val="18"/>
              </w:rPr>
            </w:pPr>
            <w:r w:rsidRPr="00553E57">
              <w:rPr>
                <w:bCs/>
                <w:iCs/>
                <w:sz w:val="18"/>
              </w:rPr>
              <w:t>76 891</w:t>
            </w:r>
          </w:p>
        </w:tc>
        <w:tc>
          <w:tcPr>
            <w:tcW w:w="2237" w:type="dxa"/>
            <w:shd w:val="clear" w:color="auto" w:fill="auto"/>
            <w:vAlign w:val="bottom"/>
          </w:tcPr>
          <w:p w14:paraId="1BD73626" w14:textId="2C1FDBEE" w:rsidR="00E77C05" w:rsidRPr="00553E57" w:rsidRDefault="00E77C05" w:rsidP="00553E57">
            <w:pPr>
              <w:spacing w:before="40" w:after="40" w:line="220" w:lineRule="exact"/>
              <w:ind w:left="113"/>
              <w:jc w:val="right"/>
              <w:rPr>
                <w:bCs/>
                <w:iCs/>
                <w:sz w:val="18"/>
              </w:rPr>
            </w:pPr>
            <w:r w:rsidRPr="00553E57">
              <w:rPr>
                <w:bCs/>
                <w:iCs/>
                <w:sz w:val="18"/>
              </w:rPr>
              <w:t>+ 1 456</w:t>
            </w:r>
          </w:p>
        </w:tc>
      </w:tr>
      <w:tr w:rsidR="00E77C05" w:rsidRPr="00553E57" w14:paraId="3B8062A7" w14:textId="77777777" w:rsidTr="00553E57">
        <w:trPr>
          <w:trHeight w:val="240"/>
        </w:trPr>
        <w:tc>
          <w:tcPr>
            <w:tcW w:w="2977" w:type="dxa"/>
            <w:shd w:val="clear" w:color="auto" w:fill="auto"/>
          </w:tcPr>
          <w:p w14:paraId="35EC03B3" w14:textId="4218A37B" w:rsidR="00E77C05" w:rsidRPr="00553E57" w:rsidRDefault="00E77C05" w:rsidP="00553E57">
            <w:pPr>
              <w:spacing w:before="40" w:after="40" w:line="220" w:lineRule="exact"/>
              <w:rPr>
                <w:bCs/>
                <w:iCs/>
                <w:sz w:val="18"/>
              </w:rPr>
            </w:pPr>
            <w:r w:rsidRPr="00553E57">
              <w:rPr>
                <w:bCs/>
                <w:iCs/>
                <w:sz w:val="18"/>
              </w:rPr>
              <w:t>2018</w:t>
            </w:r>
            <w:r w:rsidR="00922E5D">
              <w:rPr>
                <w:bCs/>
                <w:iCs/>
                <w:sz w:val="18"/>
              </w:rPr>
              <w:t>/</w:t>
            </w:r>
            <w:r w:rsidRPr="00553E57">
              <w:rPr>
                <w:bCs/>
                <w:iCs/>
                <w:sz w:val="18"/>
              </w:rPr>
              <w:t>19</w:t>
            </w:r>
          </w:p>
        </w:tc>
        <w:tc>
          <w:tcPr>
            <w:tcW w:w="2156" w:type="dxa"/>
            <w:shd w:val="clear" w:color="auto" w:fill="auto"/>
            <w:vAlign w:val="bottom"/>
          </w:tcPr>
          <w:p w14:paraId="3A56AD9D" w14:textId="77777777" w:rsidR="00E77C05" w:rsidRPr="00553E57" w:rsidRDefault="00E77C05" w:rsidP="00553E57">
            <w:pPr>
              <w:spacing w:before="40" w:after="40" w:line="220" w:lineRule="exact"/>
              <w:ind w:left="113"/>
              <w:jc w:val="right"/>
              <w:rPr>
                <w:bCs/>
                <w:iCs/>
                <w:sz w:val="18"/>
              </w:rPr>
            </w:pPr>
            <w:r w:rsidRPr="00553E57">
              <w:rPr>
                <w:bCs/>
                <w:iCs/>
                <w:sz w:val="18"/>
              </w:rPr>
              <w:t>140 332</w:t>
            </w:r>
          </w:p>
        </w:tc>
        <w:tc>
          <w:tcPr>
            <w:tcW w:w="2237" w:type="dxa"/>
            <w:shd w:val="clear" w:color="auto" w:fill="auto"/>
            <w:vAlign w:val="bottom"/>
          </w:tcPr>
          <w:p w14:paraId="2A4F33BB" w14:textId="3D9AC74D" w:rsidR="00E77C05" w:rsidRPr="00553E57" w:rsidRDefault="00E77C05" w:rsidP="00553E57">
            <w:pPr>
              <w:spacing w:before="40" w:after="40" w:line="220" w:lineRule="exact"/>
              <w:ind w:left="113"/>
              <w:jc w:val="right"/>
              <w:rPr>
                <w:bCs/>
                <w:iCs/>
                <w:sz w:val="18"/>
              </w:rPr>
            </w:pPr>
            <w:r w:rsidRPr="00553E57">
              <w:rPr>
                <w:bCs/>
                <w:iCs/>
                <w:sz w:val="18"/>
              </w:rPr>
              <w:t>+ 83</w:t>
            </w:r>
          </w:p>
        </w:tc>
      </w:tr>
      <w:tr w:rsidR="00E77C05" w:rsidRPr="00553E57" w14:paraId="3CB39B0D" w14:textId="77777777" w:rsidTr="00553E57">
        <w:trPr>
          <w:trHeight w:val="240"/>
        </w:trPr>
        <w:tc>
          <w:tcPr>
            <w:tcW w:w="2977" w:type="dxa"/>
            <w:shd w:val="clear" w:color="auto" w:fill="auto"/>
          </w:tcPr>
          <w:p w14:paraId="475572B7" w14:textId="4BD7751F" w:rsidR="00E77C05" w:rsidRPr="00553E57" w:rsidRDefault="00E77C05" w:rsidP="00553E57">
            <w:pPr>
              <w:spacing w:before="40" w:after="40" w:line="220" w:lineRule="exact"/>
              <w:rPr>
                <w:bCs/>
                <w:iCs/>
                <w:sz w:val="18"/>
              </w:rPr>
            </w:pPr>
            <w:r w:rsidRPr="00553E57">
              <w:rPr>
                <w:bCs/>
                <w:iCs/>
                <w:sz w:val="18"/>
              </w:rPr>
              <w:t>2019</w:t>
            </w:r>
            <w:r w:rsidR="00922E5D">
              <w:rPr>
                <w:bCs/>
                <w:iCs/>
                <w:sz w:val="18"/>
              </w:rPr>
              <w:t>/</w:t>
            </w:r>
            <w:r w:rsidRPr="00553E57">
              <w:rPr>
                <w:bCs/>
                <w:iCs/>
                <w:sz w:val="18"/>
              </w:rPr>
              <w:t>20</w:t>
            </w:r>
          </w:p>
        </w:tc>
        <w:tc>
          <w:tcPr>
            <w:tcW w:w="2156" w:type="dxa"/>
            <w:shd w:val="clear" w:color="auto" w:fill="auto"/>
            <w:vAlign w:val="bottom"/>
          </w:tcPr>
          <w:p w14:paraId="341EAC59" w14:textId="77777777" w:rsidR="00E77C05" w:rsidRPr="00553E57" w:rsidRDefault="00E77C05" w:rsidP="00553E57">
            <w:pPr>
              <w:spacing w:before="40" w:after="40" w:line="220" w:lineRule="exact"/>
              <w:ind w:left="113"/>
              <w:jc w:val="right"/>
              <w:rPr>
                <w:bCs/>
                <w:iCs/>
                <w:sz w:val="18"/>
              </w:rPr>
            </w:pPr>
            <w:r w:rsidRPr="00553E57">
              <w:rPr>
                <w:bCs/>
                <w:iCs/>
                <w:sz w:val="18"/>
              </w:rPr>
              <w:t>350 078</w:t>
            </w:r>
          </w:p>
        </w:tc>
        <w:tc>
          <w:tcPr>
            <w:tcW w:w="2237" w:type="dxa"/>
            <w:shd w:val="clear" w:color="auto" w:fill="auto"/>
            <w:vAlign w:val="bottom"/>
          </w:tcPr>
          <w:p w14:paraId="17C6B251" w14:textId="2D567CCE" w:rsidR="00E77C05" w:rsidRPr="00553E57" w:rsidRDefault="00E77C05" w:rsidP="00553E57">
            <w:pPr>
              <w:spacing w:before="40" w:after="40" w:line="220" w:lineRule="exact"/>
              <w:ind w:left="113"/>
              <w:jc w:val="right"/>
              <w:rPr>
                <w:bCs/>
                <w:iCs/>
                <w:sz w:val="18"/>
              </w:rPr>
            </w:pPr>
            <w:r w:rsidRPr="00553E57">
              <w:rPr>
                <w:bCs/>
                <w:iCs/>
                <w:sz w:val="18"/>
              </w:rPr>
              <w:t>+ 149</w:t>
            </w:r>
          </w:p>
        </w:tc>
      </w:tr>
      <w:tr w:rsidR="00E77C05" w:rsidRPr="00553E57" w14:paraId="29631812" w14:textId="77777777" w:rsidTr="00553E57">
        <w:trPr>
          <w:trHeight w:val="240"/>
        </w:trPr>
        <w:tc>
          <w:tcPr>
            <w:tcW w:w="2977" w:type="dxa"/>
            <w:shd w:val="clear" w:color="auto" w:fill="auto"/>
          </w:tcPr>
          <w:p w14:paraId="51502274" w14:textId="7075E6C3" w:rsidR="00E77C05" w:rsidRPr="00553E57" w:rsidRDefault="00E77C05" w:rsidP="00553E57">
            <w:pPr>
              <w:spacing w:before="40" w:after="40" w:line="220" w:lineRule="exact"/>
              <w:rPr>
                <w:bCs/>
                <w:iCs/>
                <w:sz w:val="18"/>
              </w:rPr>
            </w:pPr>
            <w:r w:rsidRPr="00553E57">
              <w:rPr>
                <w:bCs/>
                <w:iCs/>
                <w:sz w:val="18"/>
              </w:rPr>
              <w:t>2020</w:t>
            </w:r>
            <w:r w:rsidR="00922E5D">
              <w:rPr>
                <w:bCs/>
                <w:iCs/>
                <w:sz w:val="18"/>
              </w:rPr>
              <w:t>/</w:t>
            </w:r>
            <w:r w:rsidRPr="00553E57">
              <w:rPr>
                <w:bCs/>
                <w:iCs/>
                <w:sz w:val="18"/>
              </w:rPr>
              <w:t>21</w:t>
            </w:r>
          </w:p>
        </w:tc>
        <w:tc>
          <w:tcPr>
            <w:tcW w:w="2156" w:type="dxa"/>
            <w:shd w:val="clear" w:color="auto" w:fill="auto"/>
            <w:vAlign w:val="bottom"/>
          </w:tcPr>
          <w:p w14:paraId="0A46A917" w14:textId="77777777" w:rsidR="00E77C05" w:rsidRPr="00553E57" w:rsidRDefault="00E77C05" w:rsidP="00553E57">
            <w:pPr>
              <w:spacing w:before="40" w:after="40" w:line="220" w:lineRule="exact"/>
              <w:ind w:left="113"/>
              <w:jc w:val="right"/>
              <w:rPr>
                <w:bCs/>
                <w:iCs/>
                <w:sz w:val="18"/>
              </w:rPr>
            </w:pPr>
            <w:r w:rsidRPr="00553E57">
              <w:rPr>
                <w:bCs/>
                <w:iCs/>
                <w:sz w:val="18"/>
              </w:rPr>
              <w:t>339 654</w:t>
            </w:r>
          </w:p>
        </w:tc>
        <w:tc>
          <w:tcPr>
            <w:tcW w:w="2237" w:type="dxa"/>
            <w:shd w:val="clear" w:color="auto" w:fill="auto"/>
            <w:vAlign w:val="bottom"/>
          </w:tcPr>
          <w:p w14:paraId="53D18EE0" w14:textId="6D6FF6A8" w:rsidR="00E77C05" w:rsidRPr="00553E57" w:rsidRDefault="00E77C05" w:rsidP="00553E57">
            <w:pPr>
              <w:spacing w:before="40" w:after="40" w:line="220" w:lineRule="exact"/>
              <w:ind w:left="113"/>
              <w:jc w:val="right"/>
              <w:rPr>
                <w:bCs/>
                <w:iCs/>
                <w:sz w:val="18"/>
              </w:rPr>
            </w:pPr>
            <w:r w:rsidRPr="00553E57">
              <w:rPr>
                <w:bCs/>
                <w:iCs/>
                <w:sz w:val="18"/>
              </w:rPr>
              <w:t>- 3</w:t>
            </w:r>
          </w:p>
        </w:tc>
      </w:tr>
      <w:tr w:rsidR="00E77C05" w:rsidRPr="00553E57" w14:paraId="0FA60526" w14:textId="77777777" w:rsidTr="00553E57">
        <w:trPr>
          <w:trHeight w:val="240"/>
        </w:trPr>
        <w:tc>
          <w:tcPr>
            <w:tcW w:w="2977" w:type="dxa"/>
            <w:tcBorders>
              <w:bottom w:val="single" w:sz="12" w:space="0" w:color="auto"/>
            </w:tcBorders>
            <w:shd w:val="clear" w:color="auto" w:fill="auto"/>
          </w:tcPr>
          <w:p w14:paraId="599F2535" w14:textId="2F26A393" w:rsidR="00E77C05" w:rsidRPr="00553E57" w:rsidRDefault="00E77C05" w:rsidP="00553E57">
            <w:pPr>
              <w:spacing w:before="40" w:after="40" w:line="220" w:lineRule="exact"/>
              <w:rPr>
                <w:bCs/>
                <w:iCs/>
                <w:sz w:val="18"/>
              </w:rPr>
            </w:pPr>
            <w:r w:rsidRPr="00553E57">
              <w:rPr>
                <w:bCs/>
                <w:iCs/>
                <w:sz w:val="18"/>
              </w:rPr>
              <w:t>2021</w:t>
            </w:r>
            <w:r w:rsidR="00922E5D">
              <w:rPr>
                <w:bCs/>
                <w:iCs/>
                <w:sz w:val="18"/>
              </w:rPr>
              <w:t>/</w:t>
            </w:r>
            <w:r w:rsidRPr="00553E57">
              <w:rPr>
                <w:bCs/>
                <w:iCs/>
                <w:sz w:val="18"/>
              </w:rPr>
              <w:t>22 (hasta el 31 de julio de 2021)</w:t>
            </w:r>
          </w:p>
        </w:tc>
        <w:tc>
          <w:tcPr>
            <w:tcW w:w="2156" w:type="dxa"/>
            <w:tcBorders>
              <w:bottom w:val="single" w:sz="12" w:space="0" w:color="auto"/>
            </w:tcBorders>
            <w:shd w:val="clear" w:color="auto" w:fill="auto"/>
            <w:vAlign w:val="bottom"/>
          </w:tcPr>
          <w:p w14:paraId="496344B6" w14:textId="77777777" w:rsidR="00E77C05" w:rsidRPr="00553E57" w:rsidRDefault="00E77C05" w:rsidP="00553E57">
            <w:pPr>
              <w:spacing w:before="40" w:after="40" w:line="220" w:lineRule="exact"/>
              <w:ind w:left="113"/>
              <w:jc w:val="right"/>
              <w:rPr>
                <w:bCs/>
                <w:iCs/>
                <w:sz w:val="18"/>
              </w:rPr>
            </w:pPr>
            <w:r w:rsidRPr="00553E57">
              <w:rPr>
                <w:bCs/>
                <w:iCs/>
                <w:sz w:val="18"/>
              </w:rPr>
              <w:t>212 286</w:t>
            </w:r>
          </w:p>
        </w:tc>
        <w:tc>
          <w:tcPr>
            <w:tcW w:w="2237" w:type="dxa"/>
            <w:tcBorders>
              <w:bottom w:val="single" w:sz="12" w:space="0" w:color="auto"/>
            </w:tcBorders>
            <w:shd w:val="clear" w:color="auto" w:fill="auto"/>
            <w:vAlign w:val="bottom"/>
          </w:tcPr>
          <w:p w14:paraId="004FC786" w14:textId="77777777" w:rsidR="00E77C05" w:rsidRPr="00553E57" w:rsidRDefault="00E77C05" w:rsidP="00553E57">
            <w:pPr>
              <w:spacing w:before="40" w:after="40" w:line="220" w:lineRule="exact"/>
              <w:ind w:left="113"/>
              <w:jc w:val="right"/>
              <w:rPr>
                <w:bCs/>
                <w:iCs/>
                <w:sz w:val="18"/>
              </w:rPr>
            </w:pPr>
            <w:r w:rsidRPr="00553E57">
              <w:rPr>
                <w:bCs/>
                <w:iCs/>
                <w:sz w:val="18"/>
              </w:rPr>
              <w:t>n/a</w:t>
            </w:r>
          </w:p>
        </w:tc>
      </w:tr>
    </w:tbl>
    <w:p w14:paraId="6F202F63" w14:textId="6CE2F79A" w:rsidR="00E77C05" w:rsidRPr="00DC28B0" w:rsidRDefault="00E77C05" w:rsidP="00553E57">
      <w:pPr>
        <w:pStyle w:val="SingleTxtG"/>
        <w:spacing w:before="240"/>
        <w:rPr>
          <w:bCs/>
          <w:iCs/>
        </w:rPr>
      </w:pPr>
      <w:bookmarkStart w:id="388" w:name="lt_pId480"/>
      <w:r w:rsidRPr="00DC28B0">
        <w:rPr>
          <w:iCs/>
        </w:rPr>
        <w:t>100.</w:t>
      </w:r>
      <w:r w:rsidRPr="00DC28B0">
        <w:rPr>
          <w:iCs/>
        </w:rPr>
        <w:tab/>
      </w:r>
      <w:r w:rsidRPr="00DC28B0">
        <w:rPr>
          <w:bCs/>
          <w:iCs/>
        </w:rPr>
        <w:t xml:space="preserve">La </w:t>
      </w:r>
      <w:r w:rsidRPr="00B62663">
        <w:t>aplicación</w:t>
      </w:r>
      <w:r w:rsidRPr="00DC28B0">
        <w:rPr>
          <w:bCs/>
          <w:iCs/>
        </w:rPr>
        <w:t xml:space="preserve"> del fallo </w:t>
      </w:r>
      <w:r w:rsidR="00BC1516">
        <w:rPr>
          <w:bCs/>
          <w:iCs/>
        </w:rPr>
        <w:t xml:space="preserve">2016 </w:t>
      </w:r>
      <w:proofErr w:type="spellStart"/>
      <w:r w:rsidRPr="00DC28B0">
        <w:rPr>
          <w:bCs/>
          <w:iCs/>
        </w:rPr>
        <w:t>CHRT</w:t>
      </w:r>
      <w:proofErr w:type="spellEnd"/>
      <w:r w:rsidRPr="00DC28B0">
        <w:rPr>
          <w:bCs/>
          <w:iCs/>
        </w:rPr>
        <w:t xml:space="preserve"> 2 </w:t>
      </w:r>
      <w:r w:rsidR="00BC1516">
        <w:rPr>
          <w:bCs/>
          <w:iCs/>
        </w:rPr>
        <w:t>del Tribunal de Derechos Humanos del Canadá</w:t>
      </w:r>
      <w:r w:rsidRPr="00DC28B0">
        <w:rPr>
          <w:bCs/>
          <w:iCs/>
        </w:rPr>
        <w:t xml:space="preserve"> incluye la reforma a largo plazo del Programa de Servicios para la Infancia y la Familia de las Primeras Naciones con el fin de reducir el número de niños indígenas acogidos, fortalecer a las familias y mantenerlas unidas. </w:t>
      </w:r>
      <w:bookmarkStart w:id="389" w:name="lt_pId481"/>
      <w:bookmarkEnd w:id="388"/>
      <w:r w:rsidRPr="00DC28B0">
        <w:rPr>
          <w:bCs/>
          <w:iCs/>
        </w:rPr>
        <w:t xml:space="preserve">Eso también </w:t>
      </w:r>
      <w:r w:rsidRPr="00DC28B0">
        <w:rPr>
          <w:iCs/>
        </w:rPr>
        <w:t xml:space="preserve">incluye </w:t>
      </w:r>
      <w:r w:rsidRPr="00DC28B0">
        <w:rPr>
          <w:bCs/>
          <w:iCs/>
        </w:rPr>
        <w:t xml:space="preserve">trabajar con las partes en la denuncia presentada ante el Tribunal de Derechos Humanos del Canadá para solicitar la financiación de estudios que proporcionen opciones y recomendaciones sobre la reforma del Programa, como los realizados por el Instituto de Finanzas Públicas y Democracia y otro estudio en el que se analizaron los efectos de la lejanía geográfica en las necesidades de financiación de los proveedores de servicios. </w:t>
      </w:r>
      <w:bookmarkStart w:id="390" w:name="lt_pId482"/>
      <w:bookmarkEnd w:id="389"/>
      <w:r w:rsidRPr="00DC28B0">
        <w:rPr>
          <w:bCs/>
          <w:iCs/>
        </w:rPr>
        <w:t xml:space="preserve">Esos estudios están contribuyendo al desarrollo de un nuevo </w:t>
      </w:r>
      <w:r w:rsidRPr="00DC28B0">
        <w:rPr>
          <w:bCs/>
          <w:iCs/>
        </w:rPr>
        <w:lastRenderedPageBreak/>
        <w:t>enfoque de la financiación del Programa por parte de los organismos y comunidades de las Primeras Naciones.</w:t>
      </w:r>
      <w:bookmarkStart w:id="391" w:name="lt_pId483"/>
      <w:bookmarkEnd w:id="390"/>
    </w:p>
    <w:p w14:paraId="40C6D418" w14:textId="77777777" w:rsidR="00E77C05" w:rsidRPr="00DC28B0" w:rsidRDefault="00E77C05" w:rsidP="00B62663">
      <w:pPr>
        <w:pStyle w:val="SingleTxtG"/>
        <w:rPr>
          <w:bCs/>
          <w:iCs/>
        </w:rPr>
      </w:pPr>
      <w:r w:rsidRPr="00DC28B0">
        <w:rPr>
          <w:iCs/>
        </w:rPr>
        <w:t>101.</w:t>
      </w:r>
      <w:r w:rsidRPr="00DC28B0">
        <w:rPr>
          <w:iCs/>
        </w:rPr>
        <w:tab/>
      </w:r>
      <w:r w:rsidRPr="00DC28B0">
        <w:rPr>
          <w:bCs/>
          <w:iCs/>
        </w:rPr>
        <w:t xml:space="preserve">Además, y en respuesta a una moción de incumplimiento presentada ante el Tribunal por la Sociedad de Apoyo y </w:t>
      </w:r>
      <w:r w:rsidRPr="00DC28B0">
        <w:rPr>
          <w:iCs/>
        </w:rPr>
        <w:t xml:space="preserve">la Asamblea de </w:t>
      </w:r>
      <w:r w:rsidRPr="00DC28B0">
        <w:rPr>
          <w:bCs/>
          <w:iCs/>
        </w:rPr>
        <w:t xml:space="preserve">Primeras Naciones, el Gobierno del Canadá trabajó con las partes para diseñar un enfoque de </w:t>
      </w:r>
      <w:r w:rsidRPr="00B62663">
        <w:t>financiación</w:t>
      </w:r>
      <w:r w:rsidRPr="00DC28B0">
        <w:rPr>
          <w:bCs/>
          <w:iCs/>
        </w:rPr>
        <w:t xml:space="preserve"> provisional para las Primeras Naciones no atendidas por los organismos designados de los Servicios para la Infancia y la Familia de las Primeras Naciones con objeto de apoyar su ejecución de programas de prevención.</w:t>
      </w:r>
      <w:bookmarkStart w:id="392" w:name="lt_pId484"/>
      <w:bookmarkEnd w:id="391"/>
      <w:r w:rsidRPr="00DC28B0">
        <w:rPr>
          <w:bCs/>
          <w:iCs/>
        </w:rPr>
        <w:t xml:space="preserve"> El 17 de marzo de 2021 (2021 </w:t>
      </w:r>
      <w:proofErr w:type="spellStart"/>
      <w:r w:rsidRPr="00DC28B0">
        <w:rPr>
          <w:bCs/>
          <w:iCs/>
        </w:rPr>
        <w:t>CHRT</w:t>
      </w:r>
      <w:proofErr w:type="spellEnd"/>
      <w:r w:rsidRPr="00DC28B0">
        <w:rPr>
          <w:bCs/>
          <w:iCs/>
        </w:rPr>
        <w:t xml:space="preserve"> 12), el Tribunal dictó un auto para aplicar ese enfoque de la financiación con el consentimiento de todas las partes.</w:t>
      </w:r>
      <w:bookmarkEnd w:id="392"/>
    </w:p>
    <w:p w14:paraId="26C374C3" w14:textId="2CDAA875" w:rsidR="00E77C05" w:rsidRPr="00DC28B0" w:rsidRDefault="00E77C05" w:rsidP="00477779">
      <w:pPr>
        <w:pStyle w:val="H23G"/>
      </w:pPr>
      <w:bookmarkStart w:id="393" w:name="lt_pId485"/>
      <w:r>
        <w:tab/>
      </w:r>
      <w:r w:rsidR="00477779">
        <w:tab/>
      </w:r>
      <w:r w:rsidRPr="00DC28B0">
        <w:t>Niños indígenas y afrodescendientes en familias de acogida</w:t>
      </w:r>
      <w:bookmarkEnd w:id="393"/>
    </w:p>
    <w:p w14:paraId="336320BA" w14:textId="77777777" w:rsidR="00E77C05" w:rsidRPr="00DC28B0" w:rsidRDefault="00E77C05" w:rsidP="00B62663">
      <w:pPr>
        <w:pStyle w:val="SingleTxtG"/>
        <w:rPr>
          <w:iCs/>
        </w:rPr>
      </w:pPr>
      <w:bookmarkStart w:id="394" w:name="lt_pId486"/>
      <w:r w:rsidRPr="00DC28B0">
        <w:rPr>
          <w:iCs/>
        </w:rPr>
        <w:t>102.</w:t>
      </w:r>
      <w:r w:rsidRPr="00DC28B0">
        <w:rPr>
          <w:iCs/>
        </w:rPr>
        <w:tab/>
      </w:r>
      <w:bookmarkEnd w:id="394"/>
      <w:r w:rsidRPr="00DC28B0">
        <w:rPr>
          <w:iCs/>
        </w:rPr>
        <w:t xml:space="preserve">Las provincias y territorios han adoptado varias medidas para hacer frente a la elevada proporción de niños indígenas y afrodescendientes acogidos en los hogares de guarda, entre ellas: </w:t>
      </w:r>
    </w:p>
    <w:p w14:paraId="7CEB48C6" w14:textId="26479287" w:rsidR="00E77C05" w:rsidRPr="00DC28B0" w:rsidRDefault="00E77C05" w:rsidP="00553E57">
      <w:pPr>
        <w:pStyle w:val="Bullet1G"/>
        <w:rPr>
          <w:rFonts w:eastAsiaTheme="minorEastAsia"/>
        </w:rPr>
      </w:pPr>
      <w:bookmarkStart w:id="395" w:name="lt_pId488"/>
      <w:r w:rsidRPr="00DC28B0">
        <w:rPr>
          <w:rFonts w:eastAsiaTheme="minorEastAsia"/>
        </w:rPr>
        <w:t>En julio de 2020, Ontario publicó la Estrategia de Rediseño de los Servicios de Bienestar Infantil, una estrategia plurianual que da prioridad a unos servicios de seguridad y protección de alta calidad y culturalmente apropiados que satisfagan las necesidades de los niños, los jóvenes y las familias. La Estrategia tiene tres objetivos principales: fortalecer a las familias y las comunidades a través de enfoques mejorados de intervención preventiva; seguir mejorando la experiencia de los servicios y los resultados para los niños y jóvenes que necesitan que las comunidades les presten servicios de protección y cuidado fuera del hogar; y abordar las desproporciones y disparidades en los resultados del bienestar infantil.</w:t>
      </w:r>
    </w:p>
    <w:p w14:paraId="6953BF86" w14:textId="77181243" w:rsidR="00E77C05" w:rsidRPr="00DC28B0" w:rsidRDefault="00E77C05" w:rsidP="00553E57">
      <w:pPr>
        <w:pStyle w:val="Bullet1G"/>
        <w:rPr>
          <w:rFonts w:eastAsiaTheme="minorEastAsia"/>
        </w:rPr>
      </w:pPr>
      <w:bookmarkStart w:id="396" w:name="lt_pId493"/>
      <w:bookmarkEnd w:id="395"/>
      <w:r w:rsidRPr="00DC28B0">
        <w:rPr>
          <w:rFonts w:eastAsiaTheme="minorEastAsia"/>
        </w:rPr>
        <w:t xml:space="preserve">En Terranova y Labrador, las familias inmediatas y ampliadas de los niños y jóvenes acogidos en el sistema de bienestar infantil son elementos muy importantes en el proceso de los servicios de colaboración, al igual que los gobiernos y las organizaciones indígenas. El </w:t>
      </w:r>
      <w:r w:rsidR="008928A5">
        <w:rPr>
          <w:rFonts w:eastAsiaTheme="minorEastAsia"/>
        </w:rPr>
        <w:t>g</w:t>
      </w:r>
      <w:r w:rsidRPr="00DC28B0">
        <w:rPr>
          <w:rFonts w:eastAsiaTheme="minorEastAsia"/>
        </w:rPr>
        <w:t>obierno apoya enfoques culturalmente apropiados y sensibles de la prestación de servicios autóctonos de bienestar infantil a través de la legislación y el desarrollo de políticas. En 2019, entró en vigor la Ley de Niños, Jóvenes y Familias. Esa Ley está centrada en los niños y los jóvenes, se enfoca en la familia y es sensible a la cultura y contempla actualizaciones significativas para fortalecer la prestación de servicios a los niños y los jóvenes indígenas y sus familias, reconociendo la importancia de preservar la identidad cultural de los niños y jóvenes indígenas, previendo la participación de los gobiernos y de las organizaciones indígenas en las decisiones que han de mantener a los niños seguros y, en la medida de lo posible, integrados en sus familias y culturas.</w:t>
      </w:r>
      <w:bookmarkEnd w:id="396"/>
    </w:p>
    <w:p w14:paraId="4CE77196" w14:textId="6FCC6081" w:rsidR="00E77C05" w:rsidRPr="00DC28B0" w:rsidRDefault="00E77C05" w:rsidP="00553E57">
      <w:pPr>
        <w:pStyle w:val="H1G"/>
      </w:pPr>
      <w:bookmarkStart w:id="397" w:name="lt_pId494"/>
      <w:r>
        <w:tab/>
      </w:r>
      <w:r w:rsidR="00553E57">
        <w:tab/>
      </w:r>
      <w:r w:rsidRPr="00DC28B0">
        <w:t>Respuesta al párrafo 20 de la lista de cuestiones</w:t>
      </w:r>
      <w:bookmarkEnd w:id="397"/>
    </w:p>
    <w:p w14:paraId="65FD75A3" w14:textId="0E9F21F6" w:rsidR="00E77C05" w:rsidRPr="00DC28B0" w:rsidRDefault="00E77C05" w:rsidP="00553E57">
      <w:pPr>
        <w:pStyle w:val="H23G"/>
      </w:pPr>
      <w:bookmarkStart w:id="398" w:name="lt_pId495"/>
      <w:r>
        <w:tab/>
      </w:r>
      <w:r w:rsidR="00553E57">
        <w:tab/>
      </w:r>
      <w:r w:rsidRPr="00DC28B0">
        <w:t>Medidas de lucha contra la pobreza</w:t>
      </w:r>
      <w:bookmarkEnd w:id="398"/>
    </w:p>
    <w:p w14:paraId="4796C881" w14:textId="77777777" w:rsidR="00E77C05" w:rsidRPr="00DC28B0" w:rsidRDefault="00E77C05" w:rsidP="00B62663">
      <w:pPr>
        <w:pStyle w:val="SingleTxtG"/>
        <w:rPr>
          <w:iCs/>
        </w:rPr>
      </w:pPr>
      <w:bookmarkStart w:id="399" w:name="lt_pId496"/>
      <w:r w:rsidRPr="00DC28B0">
        <w:rPr>
          <w:iCs/>
        </w:rPr>
        <w:t>103.</w:t>
      </w:r>
      <w:r w:rsidRPr="00DC28B0">
        <w:rPr>
          <w:iCs/>
        </w:rPr>
        <w:tab/>
        <w:t xml:space="preserve">El </w:t>
      </w:r>
      <w:r w:rsidRPr="00DC28B0">
        <w:t>Gobierno Federal y los</w:t>
      </w:r>
      <w:r w:rsidRPr="00DC28B0">
        <w:rPr>
          <w:iCs/>
        </w:rPr>
        <w:t xml:space="preserve"> gobiernos provinciales y territoriales toman medidas específicas para combatir la pobreza entre los niños de familias monoparentales, de inmigrantes, de refugiados, de los Pueblos Indígenas y de personas que viven con la con discapacidad, y para apoyar a los trabajadores pobres:</w:t>
      </w:r>
      <w:bookmarkEnd w:id="399"/>
    </w:p>
    <w:p w14:paraId="7E96D1FA" w14:textId="7A7C6F12" w:rsidR="00E77C05" w:rsidRPr="00DC28B0" w:rsidRDefault="00E77C05" w:rsidP="00553E57">
      <w:pPr>
        <w:pStyle w:val="Bullet1G"/>
        <w:rPr>
          <w:rFonts w:eastAsiaTheme="minorEastAsia"/>
        </w:rPr>
      </w:pPr>
      <w:bookmarkStart w:id="400" w:name="lt_pId498"/>
      <w:r w:rsidRPr="00DC28B0">
        <w:rPr>
          <w:rFonts w:eastAsiaTheme="minorEastAsia"/>
        </w:rPr>
        <w:t xml:space="preserve">La prestación por hijo que ofrece el Gobierno, introducida en 2016, es una ayuda a los ingresos de las familias que tienen hijos a su cargo, incluidas las monoparentales. </w:t>
      </w:r>
      <w:bookmarkStart w:id="401" w:name="lt_pId499"/>
      <w:bookmarkEnd w:id="400"/>
      <w:r w:rsidRPr="00DC28B0">
        <w:rPr>
          <w:rFonts w:eastAsiaTheme="minorEastAsia"/>
        </w:rPr>
        <w:t xml:space="preserve">Esa ayuda anual exenta de impuestos beneficia a unos 3,5 millones de familias. </w:t>
      </w:r>
      <w:bookmarkStart w:id="402" w:name="lt_pId500"/>
      <w:bookmarkEnd w:id="401"/>
      <w:r w:rsidRPr="00DC28B0">
        <w:rPr>
          <w:rFonts w:eastAsiaTheme="minorEastAsia"/>
        </w:rPr>
        <w:t>La mayoría de las familias que reciben el importe máximo ofrecido por la prestación son monoparentales, y más del 90</w:t>
      </w:r>
      <w:r w:rsidR="00AD5640">
        <w:rPr>
          <w:rFonts w:eastAsiaTheme="minorEastAsia"/>
        </w:rPr>
        <w:t xml:space="preserve"> </w:t>
      </w:r>
      <w:r w:rsidRPr="00DC28B0">
        <w:rPr>
          <w:rFonts w:eastAsiaTheme="minorEastAsia"/>
        </w:rPr>
        <w:t>% están encabezadas por madres solas.</w:t>
      </w:r>
      <w:bookmarkEnd w:id="402"/>
    </w:p>
    <w:p w14:paraId="7B027135" w14:textId="1D612FC0" w:rsidR="00E77C05" w:rsidRPr="00DC28B0" w:rsidRDefault="00E77C05" w:rsidP="00553E57">
      <w:pPr>
        <w:pStyle w:val="Bullet1G"/>
        <w:rPr>
          <w:rFonts w:eastAsiaTheme="minorEastAsia"/>
        </w:rPr>
      </w:pPr>
      <w:bookmarkStart w:id="403" w:name="lt_pId501"/>
      <w:r w:rsidRPr="00DC28B0">
        <w:rPr>
          <w:rFonts w:eastAsiaTheme="minorEastAsia"/>
        </w:rPr>
        <w:t>En 2021, el Gobierno del Canadá introdujo cambios en el régimen de pensiones, un crédito fiscal reembolsable que complementa la renta de los trabajadores con ingresos bajos y medianos que cumplen los requisitos. Como resultado de esos cambios, el régimen de pensiones alcanzará a aproximadamente un millón de canadienses más y ayudará a sacar de la pobreza a casi 100.000 personas más.</w:t>
      </w:r>
    </w:p>
    <w:p w14:paraId="27BDF52B" w14:textId="05BE007C" w:rsidR="00E77C05" w:rsidRPr="00DC28B0" w:rsidRDefault="00E77C05" w:rsidP="00553E57">
      <w:pPr>
        <w:pStyle w:val="Bullet1G"/>
        <w:rPr>
          <w:rFonts w:eastAsiaTheme="minorEastAsia"/>
        </w:rPr>
      </w:pPr>
      <w:bookmarkStart w:id="404" w:name="lt_pId507"/>
      <w:r w:rsidRPr="00DC28B0">
        <w:rPr>
          <w:rFonts w:eastAsiaTheme="minorEastAsia"/>
        </w:rPr>
        <w:lastRenderedPageBreak/>
        <w:t xml:space="preserve">El Programa Federal de Asistencia para el Reasentamiento tiene por objeto proporcionar asistencia y servicios a los refugiados que reciben ayuda del Gobierno y a otros beneficiarios que reúnen los requisitos para reasentarse en el Canadá desde el extranjero. </w:t>
      </w:r>
      <w:bookmarkStart w:id="405" w:name="lt_pId508"/>
      <w:bookmarkEnd w:id="404"/>
      <w:r w:rsidRPr="00DC28B0">
        <w:rPr>
          <w:rFonts w:eastAsiaTheme="minorEastAsia"/>
        </w:rPr>
        <w:t xml:space="preserve">Un elemento clave del Programa es el complemento de los ingresos durante los primeros 12 meses o hasta que el beneficiario sea autosuficiente, lo que ocurra primero. </w:t>
      </w:r>
      <w:bookmarkStart w:id="406" w:name="lt_pId509"/>
      <w:bookmarkEnd w:id="405"/>
      <w:r w:rsidRPr="00DC28B0">
        <w:rPr>
          <w:rFonts w:eastAsiaTheme="minorEastAsia"/>
        </w:rPr>
        <w:t>La cuantía de la ayuda a los ingresos del Programa se rige por las normas de la asistencia social de la provincia de residencia del beneficiario.</w:t>
      </w:r>
      <w:bookmarkEnd w:id="406"/>
    </w:p>
    <w:p w14:paraId="3D73304A" w14:textId="6181982E" w:rsidR="00E77C05" w:rsidRPr="00DC28B0" w:rsidRDefault="00E77C05" w:rsidP="00553E57">
      <w:pPr>
        <w:pStyle w:val="Bullet1G"/>
        <w:rPr>
          <w:rFonts w:eastAsiaTheme="minorEastAsia"/>
        </w:rPr>
      </w:pPr>
      <w:bookmarkStart w:id="407" w:name="lt_pId510"/>
      <w:r w:rsidRPr="00DC28B0">
        <w:rPr>
          <w:rFonts w:eastAsiaTheme="minorEastAsia"/>
        </w:rPr>
        <w:t>El Gobierno financia el Programa de Nutrición del Norte del Canadá y promueve la seguridad alimentaria en las comunidades aisladas del Norte mejorando el acceso y la asequibilidad de los alimentos del mercado, del campo y de proximidad, así como de los productos de primera necesidad.</w:t>
      </w:r>
    </w:p>
    <w:p w14:paraId="07104D2B" w14:textId="045A86D0" w:rsidR="00E77C05" w:rsidRPr="00DC28B0" w:rsidRDefault="00E77C05" w:rsidP="00553E57">
      <w:pPr>
        <w:pStyle w:val="Bullet1G"/>
        <w:rPr>
          <w:rFonts w:eastAsiaTheme="minorEastAsia"/>
        </w:rPr>
      </w:pPr>
      <w:r w:rsidRPr="00DC28B0">
        <w:rPr>
          <w:rFonts w:eastAsiaTheme="minorEastAsia"/>
        </w:rPr>
        <w:t xml:space="preserve">El objetivo del Programa de Nutrición del Norte del Canadá es prestar asistencia a los Pueblos Indígenas que se enfrentan a dificultades socioeconómicas y a la pobreza. </w:t>
      </w:r>
      <w:bookmarkStart w:id="408" w:name="lt_pId511"/>
      <w:bookmarkEnd w:id="407"/>
      <w:r w:rsidRPr="00DC28B0">
        <w:rPr>
          <w:rFonts w:eastAsiaTheme="minorEastAsia"/>
        </w:rPr>
        <w:t>Los parámetros del Programa se han redefinido para centrarse en el coste de la vida y no en el precio de los alimentos, lo que facilita la detección de las disparidades dentro de esas comunidades.</w:t>
      </w:r>
      <w:bookmarkEnd w:id="408"/>
    </w:p>
    <w:p w14:paraId="176D2CA3" w14:textId="34DAA42C" w:rsidR="00E77C05" w:rsidRPr="00DC28B0" w:rsidRDefault="00E77C05" w:rsidP="00553E57">
      <w:pPr>
        <w:pStyle w:val="Bullet1G"/>
        <w:rPr>
          <w:rFonts w:eastAsiaTheme="minorEastAsia"/>
        </w:rPr>
      </w:pPr>
      <w:r w:rsidRPr="00DC28B0">
        <w:rPr>
          <w:rFonts w:eastAsiaTheme="minorEastAsia"/>
        </w:rPr>
        <w:t xml:space="preserve">Nueva Escocia ha mejorado su prestación por hijo para que puedan acceder a ella más familias. </w:t>
      </w:r>
      <w:bookmarkStart w:id="409" w:name="lt_pId502"/>
      <w:bookmarkEnd w:id="403"/>
      <w:r w:rsidRPr="00DC28B0">
        <w:rPr>
          <w:rFonts w:eastAsiaTheme="minorEastAsia"/>
        </w:rPr>
        <w:t xml:space="preserve">Se han aumentado tanto el umbral de ingresos anuales que da derecho a la prestación como la cuantía de la prestación. </w:t>
      </w:r>
      <w:bookmarkStart w:id="410" w:name="lt_pId503"/>
      <w:bookmarkEnd w:id="409"/>
      <w:r w:rsidRPr="00DC28B0">
        <w:rPr>
          <w:rFonts w:eastAsiaTheme="minorEastAsia"/>
        </w:rPr>
        <w:t>Como resultado de ese ajuste, han podido acceder a ella 6.100 nuevas familias y 10.000 nuevos niños.</w:t>
      </w:r>
      <w:bookmarkEnd w:id="410"/>
    </w:p>
    <w:p w14:paraId="52561DAA" w14:textId="17B9243F" w:rsidR="00E77C05" w:rsidRPr="00DC28B0" w:rsidRDefault="00E77C05" w:rsidP="00553E57">
      <w:pPr>
        <w:pStyle w:val="Bullet1G"/>
        <w:rPr>
          <w:rFonts w:eastAsiaTheme="minorEastAsia"/>
        </w:rPr>
      </w:pPr>
      <w:bookmarkStart w:id="411" w:name="lt_pId516"/>
      <w:r w:rsidRPr="00DC28B0">
        <w:rPr>
          <w:rFonts w:eastAsiaTheme="minorEastAsia"/>
        </w:rPr>
        <w:t>El Yukón está tomando medidas para resolver el problema de los trabajadores pobres y la incidencia desproporcionada de la pobreza entre las personas con discapacidad ofreciendo una prestación denominada “subsidio complementario”. El subsidio supone el pago de 250 dólares adicionales al mes e incluso otras cantidades discrecionales, además de la asistencia social del beneficiario. Para poder optar al subsidio, la persona debe haber estado incapacitada para trabajar a tiempo completo durante 12 meses o más. El solicitante del subsidio no puede ser una persona con discapacidad permanente. Aproximadamente el 42 % de los habitantes de la provincia que reciben asistencia social perciben también el subsidio complementario.</w:t>
      </w:r>
      <w:bookmarkEnd w:id="411"/>
    </w:p>
    <w:p w14:paraId="4CBCE24A" w14:textId="34B03810" w:rsidR="00E77C05" w:rsidRPr="00DC28B0" w:rsidRDefault="00E77C05" w:rsidP="008928A5">
      <w:pPr>
        <w:pStyle w:val="H23G"/>
      </w:pPr>
      <w:bookmarkStart w:id="412" w:name="lt_pId517"/>
      <w:r>
        <w:tab/>
      </w:r>
      <w:r w:rsidR="00553E57">
        <w:tab/>
      </w:r>
      <w:r w:rsidRPr="00DC28B0">
        <w:t>Asistencia social</w:t>
      </w:r>
      <w:bookmarkEnd w:id="412"/>
    </w:p>
    <w:p w14:paraId="0542216E" w14:textId="77777777" w:rsidR="00E77C05" w:rsidRPr="00DC28B0" w:rsidRDefault="00E77C05" w:rsidP="00B62663">
      <w:pPr>
        <w:pStyle w:val="SingleTxtG"/>
        <w:rPr>
          <w:bCs/>
          <w:iCs/>
        </w:rPr>
      </w:pPr>
      <w:bookmarkStart w:id="413" w:name="lt_pId518"/>
      <w:r w:rsidRPr="00DC28B0">
        <w:rPr>
          <w:iCs/>
        </w:rPr>
        <w:t>104.</w:t>
      </w:r>
      <w:r w:rsidRPr="00DC28B0">
        <w:rPr>
          <w:iCs/>
        </w:rPr>
        <w:tab/>
      </w:r>
      <w:r w:rsidRPr="00B62663">
        <w:t>En</w:t>
      </w:r>
      <w:r w:rsidRPr="00DC28B0">
        <w:rPr>
          <w:bCs/>
          <w:iCs/>
        </w:rPr>
        <w:t xml:space="preserve"> el Canadá existen </w:t>
      </w:r>
      <w:r w:rsidRPr="00DC28B0">
        <w:rPr>
          <w:iCs/>
        </w:rPr>
        <w:t xml:space="preserve">diversos </w:t>
      </w:r>
      <w:r w:rsidRPr="00DC28B0">
        <w:rPr>
          <w:bCs/>
          <w:iCs/>
        </w:rPr>
        <w:t>programas de asistencia social:</w:t>
      </w:r>
      <w:bookmarkEnd w:id="413"/>
    </w:p>
    <w:p w14:paraId="550925B1" w14:textId="5E1D665F" w:rsidR="00E77C05" w:rsidRPr="00DC28B0" w:rsidRDefault="00E77C05" w:rsidP="00553E57">
      <w:pPr>
        <w:pStyle w:val="Bullet1G"/>
        <w:rPr>
          <w:rFonts w:eastAsiaTheme="minorEastAsia"/>
        </w:rPr>
      </w:pPr>
      <w:bookmarkStart w:id="414" w:name="lt_pId519"/>
      <w:r w:rsidRPr="00DC28B0">
        <w:rPr>
          <w:rFonts w:eastAsiaTheme="minorEastAsia"/>
        </w:rPr>
        <w:t xml:space="preserve">En Manitoba, el Programa de Apoyo al Empleo y los Ingresos proporciona ayuda económica a los ciudadanos que no disponen de otros medios para mantenerse a sí mismos o a sus familias. </w:t>
      </w:r>
      <w:bookmarkStart w:id="415" w:name="lt_pId520"/>
      <w:bookmarkEnd w:id="414"/>
      <w:r w:rsidRPr="00DC28B0">
        <w:rPr>
          <w:rFonts w:eastAsiaTheme="minorEastAsia"/>
        </w:rPr>
        <w:t xml:space="preserve">Las prestaciones incluyen un componente para atender las necesidades básicas, un componente de vivienda y la cobertura de prestaciones sanitarias no aseguradas. </w:t>
      </w:r>
      <w:bookmarkStart w:id="416" w:name="lt_pId521"/>
      <w:bookmarkEnd w:id="415"/>
      <w:r w:rsidRPr="00DC28B0">
        <w:rPr>
          <w:rFonts w:eastAsiaTheme="minorEastAsia"/>
        </w:rPr>
        <w:t xml:space="preserve">Se pueden cubrir otras necesidades especiales según el caso. </w:t>
      </w:r>
      <w:bookmarkStart w:id="417" w:name="lt_pId522"/>
      <w:bookmarkEnd w:id="416"/>
      <w:r w:rsidRPr="00DC28B0">
        <w:rPr>
          <w:rFonts w:eastAsiaTheme="minorEastAsia"/>
        </w:rPr>
        <w:t>La elegibilidad y los niveles de las prestaciones dependen del tamaño y la composición del hogar, los recursos financieros de que disponga, incluidos los ingresos y</w:t>
      </w:r>
      <w:r w:rsidRPr="00DC28B0">
        <w:t xml:space="preserve"> </w:t>
      </w:r>
      <w:r w:rsidRPr="00DC28B0">
        <w:rPr>
          <w:rFonts w:eastAsiaTheme="minorEastAsia"/>
        </w:rPr>
        <w:t xml:space="preserve">los activos, y la situación en cuanto a la discapacidad. </w:t>
      </w:r>
      <w:bookmarkStart w:id="418" w:name="lt_pId523"/>
      <w:bookmarkEnd w:id="417"/>
      <w:r w:rsidRPr="00DC28B0">
        <w:rPr>
          <w:rFonts w:eastAsiaTheme="minorEastAsia"/>
        </w:rPr>
        <w:t>En junio de 2021, alrededor de 37.000 hogares y casi 63.000 personas se habían beneficiado del Programa.</w:t>
      </w:r>
      <w:bookmarkEnd w:id="418"/>
    </w:p>
    <w:p w14:paraId="5AF7E1FF" w14:textId="47AA9DFE" w:rsidR="00E77C05" w:rsidRPr="00DC28B0" w:rsidRDefault="00E77C05" w:rsidP="00553E57">
      <w:pPr>
        <w:pStyle w:val="Bullet1G"/>
        <w:rPr>
          <w:rFonts w:eastAsiaTheme="minorEastAsia"/>
        </w:rPr>
      </w:pPr>
      <w:bookmarkStart w:id="419" w:name="lt_pId524"/>
      <w:r w:rsidRPr="00DC28B0">
        <w:rPr>
          <w:rFonts w:eastAsiaTheme="minorEastAsia"/>
        </w:rPr>
        <w:t>En el ejercicio 2020</w:t>
      </w:r>
      <w:r w:rsidR="008928A5">
        <w:rPr>
          <w:rFonts w:eastAsiaTheme="minorEastAsia"/>
        </w:rPr>
        <w:t>/</w:t>
      </w:r>
      <w:r w:rsidRPr="00DC28B0">
        <w:rPr>
          <w:rFonts w:eastAsiaTheme="minorEastAsia"/>
        </w:rPr>
        <w:t xml:space="preserve">21, una media mensual de unas 30.000 personas de Terranova y Labrador recibieron ayudas de complemento a la renta, lo que representa el 5,8 % de la población de la provincia. </w:t>
      </w:r>
      <w:bookmarkStart w:id="420" w:name="lt_pId525"/>
      <w:bookmarkEnd w:id="419"/>
      <w:r w:rsidRPr="00DC28B0">
        <w:rPr>
          <w:rFonts w:eastAsiaTheme="minorEastAsia"/>
        </w:rPr>
        <w:t xml:space="preserve">La elegibilidad se determina a través de una evaluación de las necesidades económicas, comparando los recursos financieros reales con las tasas específicas de asistencia disponibles. </w:t>
      </w:r>
      <w:bookmarkStart w:id="421" w:name="lt_pId526"/>
      <w:bookmarkEnd w:id="420"/>
      <w:r w:rsidRPr="00DC28B0">
        <w:rPr>
          <w:rFonts w:eastAsiaTheme="minorEastAsia"/>
        </w:rPr>
        <w:t>La ayuda básica incluye sumas destinadas a la vivienda y un subsidio de subsistencia, y pueden concederse prestaciones adicionales, como la subvención del pago del importe íntegro del impuesto municipal.</w:t>
      </w:r>
      <w:bookmarkEnd w:id="421"/>
    </w:p>
    <w:p w14:paraId="72A5E6A6" w14:textId="66932EB4" w:rsidR="00E77C05" w:rsidRPr="00DC28B0" w:rsidRDefault="00E77C05" w:rsidP="00553E57">
      <w:pPr>
        <w:pStyle w:val="H23G"/>
      </w:pPr>
      <w:r>
        <w:tab/>
      </w:r>
      <w:r w:rsidR="00553E57">
        <w:tab/>
      </w:r>
      <w:r w:rsidRPr="00DC28B0">
        <w:t>Determinación del coste de la cesta de la compra</w:t>
      </w:r>
    </w:p>
    <w:p w14:paraId="618E6789" w14:textId="77777777" w:rsidR="00E77C05" w:rsidRPr="00DC28B0" w:rsidRDefault="00E77C05" w:rsidP="00B62663">
      <w:pPr>
        <w:pStyle w:val="SingleTxtG"/>
        <w:rPr>
          <w:bCs/>
          <w:iCs/>
        </w:rPr>
      </w:pPr>
      <w:bookmarkStart w:id="422" w:name="lt_pId528"/>
      <w:r w:rsidRPr="00DC28B0">
        <w:rPr>
          <w:iCs/>
        </w:rPr>
        <w:t>105.</w:t>
      </w:r>
      <w:r w:rsidRPr="00DC28B0">
        <w:rPr>
          <w:iCs/>
        </w:rPr>
        <w:tab/>
      </w:r>
      <w:r w:rsidRPr="00DC28B0">
        <w:rPr>
          <w:bCs/>
          <w:iCs/>
        </w:rPr>
        <w:t>El Gobierno del Canadá lleva a cabo periódicamente una revisión exhaustiva de la determinación del coste de la cesta de la compra para asegurarse de que refleja los precios, las pautas de consumo y las prácticas estadísticas actuales y, en particular, de que:</w:t>
      </w:r>
      <w:bookmarkEnd w:id="422"/>
    </w:p>
    <w:p w14:paraId="2F26EF14" w14:textId="4B5111B9" w:rsidR="00E77C05" w:rsidRPr="00DC28B0" w:rsidRDefault="00E77C05" w:rsidP="00553E57">
      <w:pPr>
        <w:pStyle w:val="Bullet1G"/>
        <w:rPr>
          <w:rFonts w:eastAsiaTheme="minorEastAsia"/>
        </w:rPr>
      </w:pPr>
      <w:bookmarkStart w:id="423" w:name="lt_pId530"/>
      <w:r w:rsidRPr="00DC28B0">
        <w:rPr>
          <w:rFonts w:eastAsiaTheme="minorEastAsia"/>
        </w:rPr>
        <w:lastRenderedPageBreak/>
        <w:t>Los productos de la cesta siguen reflejando un nivel de vida modesto y básico en el contexto canadiense actual</w:t>
      </w:r>
      <w:bookmarkEnd w:id="423"/>
      <w:r w:rsidR="00553E57">
        <w:rPr>
          <w:rFonts w:eastAsiaTheme="minorEastAsia"/>
        </w:rPr>
        <w:t>.</w:t>
      </w:r>
    </w:p>
    <w:p w14:paraId="03AE92DC" w14:textId="48B56564" w:rsidR="00E77C05" w:rsidRPr="00DC28B0" w:rsidRDefault="00E77C05" w:rsidP="00553E57">
      <w:pPr>
        <w:pStyle w:val="Bullet1G"/>
        <w:rPr>
          <w:rFonts w:eastAsiaTheme="minorEastAsia"/>
        </w:rPr>
      </w:pPr>
      <w:r w:rsidRPr="00DC28B0">
        <w:rPr>
          <w:rFonts w:eastAsiaTheme="minorEastAsia"/>
        </w:rPr>
        <w:t>El coste de adquisición de la cesta en zonas geográficas específicas se estima con la mayor precisión posible</w:t>
      </w:r>
      <w:r w:rsidR="00553E57">
        <w:rPr>
          <w:rFonts w:eastAsiaTheme="minorEastAsia"/>
        </w:rPr>
        <w:t>.</w:t>
      </w:r>
    </w:p>
    <w:p w14:paraId="5B44A510" w14:textId="74220095" w:rsidR="00E77C05" w:rsidRPr="00DC28B0" w:rsidRDefault="00E77C05" w:rsidP="00553E57">
      <w:pPr>
        <w:pStyle w:val="Bullet1G"/>
        <w:rPr>
          <w:rFonts w:eastAsiaTheme="minorEastAsia"/>
        </w:rPr>
      </w:pPr>
      <w:bookmarkStart w:id="424" w:name="lt_pId534"/>
      <w:r w:rsidRPr="00DC28B0">
        <w:rPr>
          <w:rFonts w:eastAsiaTheme="minorEastAsia"/>
        </w:rPr>
        <w:t>El coste de la cesta de la compra cuantifica con precisión los recursos de que disponen las familias para poder adquirir el contenido de esa cesta.</w:t>
      </w:r>
      <w:bookmarkEnd w:id="424"/>
    </w:p>
    <w:p w14:paraId="737D37EB" w14:textId="77777777" w:rsidR="00E77C05" w:rsidRPr="00DC28B0" w:rsidRDefault="00E77C05" w:rsidP="00B62663">
      <w:pPr>
        <w:pStyle w:val="SingleTxtG"/>
        <w:rPr>
          <w:bCs/>
          <w:iCs/>
        </w:rPr>
      </w:pPr>
      <w:bookmarkStart w:id="425" w:name="lt_pId535"/>
      <w:r w:rsidRPr="00DC28B0">
        <w:rPr>
          <w:iCs/>
        </w:rPr>
        <w:t>106.</w:t>
      </w:r>
      <w:r w:rsidRPr="00DC28B0">
        <w:rPr>
          <w:iCs/>
        </w:rPr>
        <w:tab/>
      </w:r>
      <w:r w:rsidRPr="00DC28B0">
        <w:rPr>
          <w:bCs/>
          <w:iCs/>
        </w:rPr>
        <w:t xml:space="preserve">La segunda revisión en profundidad del coste de la cesta de la compra finalizó en septiembre de 2020. </w:t>
      </w:r>
      <w:bookmarkStart w:id="426" w:name="lt_pId536"/>
      <w:bookmarkEnd w:id="425"/>
      <w:r w:rsidRPr="00DC28B0">
        <w:rPr>
          <w:bCs/>
          <w:iCs/>
        </w:rPr>
        <w:t xml:space="preserve">Las estadísticas de pobreza, calculadas con la nueva base de 2018, sustituyeron oficialmente a las tasas oficiales del umbral de pobreza calculadas con la anterior base de 2008. </w:t>
      </w:r>
      <w:bookmarkStart w:id="427" w:name="lt_pId537"/>
      <w:bookmarkEnd w:id="426"/>
      <w:r w:rsidRPr="00DC28B0">
        <w:rPr>
          <w:bCs/>
          <w:iCs/>
        </w:rPr>
        <w:t xml:space="preserve">Los cambios realizados en la cesta de la compra como parte de la segunda revisión en profundidad fueron resultado de amplias consultas y análisis que reunieron a funcionarios federales de diferentes departamentos, funcionarios de las provincias y territorios, académicos, organizaciones de interesados y el público en general para compartir sus puntos de vista sobre cómo actualizar la valoración. </w:t>
      </w:r>
      <w:bookmarkStart w:id="428" w:name="lt_pId538"/>
      <w:bookmarkEnd w:id="427"/>
      <w:r w:rsidRPr="00DC28B0">
        <w:rPr>
          <w:bCs/>
          <w:iCs/>
        </w:rPr>
        <w:t>Está previsto realizar revisiones en profundidad del coste de la cesta de la compra cada cinco años.</w:t>
      </w:r>
      <w:bookmarkStart w:id="429" w:name="lt_pId539"/>
      <w:bookmarkEnd w:id="428"/>
    </w:p>
    <w:p w14:paraId="25D71BCC" w14:textId="77777777" w:rsidR="00E77C05" w:rsidRPr="00DC28B0" w:rsidRDefault="00E77C05" w:rsidP="00B62663">
      <w:pPr>
        <w:pStyle w:val="SingleTxtG"/>
        <w:rPr>
          <w:bCs/>
          <w:iCs/>
        </w:rPr>
      </w:pPr>
      <w:r w:rsidRPr="00DC28B0">
        <w:rPr>
          <w:iCs/>
        </w:rPr>
        <w:t>107.</w:t>
      </w:r>
      <w:r w:rsidRPr="00DC28B0">
        <w:rPr>
          <w:iCs/>
        </w:rPr>
        <w:tab/>
      </w:r>
      <w:r w:rsidRPr="00DC28B0">
        <w:rPr>
          <w:bCs/>
          <w:iCs/>
        </w:rPr>
        <w:t xml:space="preserve">El 1 de abril de 2021, el Canadá publicó las estimaciones de ingresos en los territorios para 2018 como parte de la Encuesta de Ingresos del Canadá, la principal fuente de datos de las estimaciones anuales de la tasa de pobreza. </w:t>
      </w:r>
      <w:bookmarkStart w:id="430" w:name="lt_pId540"/>
      <w:bookmarkEnd w:id="429"/>
      <w:r w:rsidRPr="00DC28B0">
        <w:rPr>
          <w:bCs/>
          <w:iCs/>
        </w:rPr>
        <w:t xml:space="preserve">Es la primera vez que se publican estadísticas de ingresos para los territorios como parte de la Encuesta. </w:t>
      </w:r>
      <w:bookmarkStart w:id="431" w:name="lt_pId541"/>
      <w:bookmarkEnd w:id="430"/>
      <w:r w:rsidRPr="00DC28B0">
        <w:rPr>
          <w:bCs/>
          <w:iCs/>
        </w:rPr>
        <w:t xml:space="preserve">El objetivo principal de la </w:t>
      </w:r>
      <w:r w:rsidRPr="00B62663">
        <w:t>Encuesta</w:t>
      </w:r>
      <w:r w:rsidRPr="00DC28B0">
        <w:rPr>
          <w:bCs/>
          <w:iCs/>
        </w:rPr>
        <w:t xml:space="preserve"> es proporcionar información sobre la cuantía y las fuentes de los ingresos de los canadienses, así como sobre las características de las personas y los hogares. </w:t>
      </w:r>
      <w:bookmarkStart w:id="432" w:name="lt_pId542"/>
      <w:bookmarkEnd w:id="431"/>
      <w:r w:rsidRPr="00DC28B0">
        <w:rPr>
          <w:bCs/>
          <w:iCs/>
        </w:rPr>
        <w:t>En la Encuesta se recoge información sobre la actividad laboral, la asistencia a la escuela, la discapacidad, las necesidades de atención sanitaria no cubiertas, los pagos de manutención, los gastos de cuidado infantil, las transferencias entre hogares, los ingresos personales, la seguridad alimentaria y las características y el coste de la vivienda.</w:t>
      </w:r>
      <w:bookmarkEnd w:id="432"/>
    </w:p>
    <w:p w14:paraId="48522A77" w14:textId="577D450B" w:rsidR="00E77C05" w:rsidRPr="00DC28B0" w:rsidRDefault="00E77C05" w:rsidP="00553E57">
      <w:pPr>
        <w:pStyle w:val="H23G"/>
      </w:pPr>
      <w:bookmarkStart w:id="433" w:name="lt_pId543"/>
      <w:r>
        <w:tab/>
      </w:r>
      <w:r w:rsidR="00553E57">
        <w:tab/>
      </w:r>
      <w:r w:rsidRPr="00DC28B0">
        <w:t>Disposiciones relativas a las deducciones aplicadas por las administraciones provinciales y territoriales</w:t>
      </w:r>
      <w:bookmarkEnd w:id="433"/>
    </w:p>
    <w:p w14:paraId="1333EA67" w14:textId="77777777" w:rsidR="00E77C05" w:rsidRPr="00DC28B0" w:rsidRDefault="00E77C05" w:rsidP="00B62663">
      <w:pPr>
        <w:pStyle w:val="SingleTxtG"/>
        <w:rPr>
          <w:bCs/>
          <w:iCs/>
        </w:rPr>
      </w:pPr>
      <w:bookmarkStart w:id="434" w:name="lt_pId544"/>
      <w:r w:rsidRPr="00DC28B0">
        <w:rPr>
          <w:iCs/>
        </w:rPr>
        <w:t>108.</w:t>
      </w:r>
      <w:r w:rsidRPr="00DC28B0">
        <w:rPr>
          <w:iCs/>
        </w:rPr>
        <w:tab/>
        <w:t xml:space="preserve">La mayoría de </w:t>
      </w:r>
      <w:r w:rsidRPr="00DC28B0">
        <w:rPr>
          <w:bCs/>
          <w:iCs/>
        </w:rPr>
        <w:t xml:space="preserve">las provincias y territorios deducen cantidades de las prestaciones de asistencia social en el caso de </w:t>
      </w:r>
      <w:r w:rsidRPr="00B62663">
        <w:t>quienes</w:t>
      </w:r>
      <w:r w:rsidRPr="00DC28B0">
        <w:rPr>
          <w:bCs/>
          <w:iCs/>
        </w:rPr>
        <w:t xml:space="preserve"> reciben determinadas prestaciones federales, como el seguro de desempleo y otras ayudas federales a la renta relacionadas con emergencias, como la COVID-19. </w:t>
      </w:r>
      <w:bookmarkStart w:id="435" w:name="lt_pId545"/>
      <w:bookmarkEnd w:id="434"/>
      <w:r w:rsidRPr="00DC28B0">
        <w:rPr>
          <w:bCs/>
          <w:iCs/>
        </w:rPr>
        <w:t xml:space="preserve">La colaboración entre los diferentes niveles de gobierno ha sido clave en el enfoque del Canadá ante la pandemia de COVID-19. </w:t>
      </w:r>
      <w:bookmarkStart w:id="436" w:name="lt_pId546"/>
      <w:bookmarkEnd w:id="435"/>
      <w:r w:rsidRPr="00DC28B0">
        <w:rPr>
          <w:bCs/>
          <w:iCs/>
        </w:rPr>
        <w:t>Es importante reconocer que las provincias y territorios tienen plena jurisdicción sobre cómo se gestionan las prestaciones federales dentro de sus propios programas, incluida la asistencia social.</w:t>
      </w:r>
      <w:bookmarkEnd w:id="436"/>
    </w:p>
    <w:p w14:paraId="49B43CB8" w14:textId="7BCEAD01" w:rsidR="00E77C05" w:rsidRPr="00DC28B0" w:rsidRDefault="00E77C05" w:rsidP="00553E57">
      <w:pPr>
        <w:pStyle w:val="H1G"/>
      </w:pPr>
      <w:bookmarkStart w:id="437" w:name="lt_pId547"/>
      <w:r>
        <w:tab/>
      </w:r>
      <w:r w:rsidR="00553E57">
        <w:tab/>
      </w:r>
      <w:r w:rsidRPr="00DC28B0">
        <w:t>Respuesta al párrafo 21 de la lista de cuestiones</w:t>
      </w:r>
      <w:bookmarkEnd w:id="437"/>
    </w:p>
    <w:p w14:paraId="228A4DBD" w14:textId="42D002CA" w:rsidR="00E77C05" w:rsidRPr="00DC28B0" w:rsidRDefault="00E77C05" w:rsidP="00553E57">
      <w:pPr>
        <w:pStyle w:val="H23G"/>
      </w:pPr>
      <w:bookmarkStart w:id="438" w:name="lt_pId548"/>
      <w:r>
        <w:tab/>
      </w:r>
      <w:r w:rsidR="00553E57">
        <w:tab/>
      </w:r>
      <w:r w:rsidRPr="00DC28B0">
        <w:t>Ley de la Estrategia Nacional de Vivienda</w:t>
      </w:r>
      <w:bookmarkEnd w:id="438"/>
    </w:p>
    <w:p w14:paraId="2ED51EE8" w14:textId="77777777" w:rsidR="00E77C05" w:rsidRPr="00DC28B0" w:rsidRDefault="00E77C05" w:rsidP="00B62663">
      <w:pPr>
        <w:pStyle w:val="SingleTxtG"/>
        <w:rPr>
          <w:bCs/>
          <w:iCs/>
        </w:rPr>
      </w:pPr>
      <w:bookmarkStart w:id="439" w:name="lt_pId549"/>
      <w:r w:rsidRPr="00DC28B0">
        <w:rPr>
          <w:iCs/>
        </w:rPr>
        <w:t>109.</w:t>
      </w:r>
      <w:r w:rsidRPr="00DC28B0">
        <w:rPr>
          <w:iCs/>
        </w:rPr>
        <w:tab/>
        <w:t>En la Ley de la Estrategia Nacional de Vivienda se establecen</w:t>
      </w:r>
      <w:r w:rsidRPr="00DC28B0">
        <w:rPr>
          <w:bCs/>
          <w:iCs/>
        </w:rPr>
        <w:t xml:space="preserve"> sólidos mecanismos de rendición de cuentas mediante la creación de una Defensoría Federal de la Vivienda y un Consejo Nacional de la Vivienda. El mandato de la Defensoría consiste en supervisar la aplicación de la política del Gobierno en materia de vivienda y evaluar su impacto en las </w:t>
      </w:r>
      <w:r w:rsidRPr="00B62663">
        <w:t>personas</w:t>
      </w:r>
      <w:r w:rsidRPr="00DC28B0">
        <w:rPr>
          <w:bCs/>
          <w:iCs/>
        </w:rPr>
        <w:t xml:space="preserve"> pertenecientes a grupos vulnerables. </w:t>
      </w:r>
      <w:bookmarkStart w:id="440" w:name="lt_pId550"/>
      <w:bookmarkEnd w:id="439"/>
      <w:r w:rsidRPr="00DC28B0">
        <w:rPr>
          <w:bCs/>
          <w:iCs/>
        </w:rPr>
        <w:t xml:space="preserve">La Defensoría podrá examinar las principales cuestiones sistémicas en materia de vivienda y solicitar al Consejo, órgano designado por el Ministro Federal para promover la participación y la inclusión en la política de vivienda y asesorar al Ministro sobre las formas de mejorar la eficacia de la Estrategia Nacional de Vivienda, que establezca un comité de examen encargado de celebrar una audiencia para analizar cualquier cuestión sistémica en materia de vivienda que sea competencia del Parlamento. </w:t>
      </w:r>
      <w:bookmarkStart w:id="441" w:name="lt_pId551"/>
      <w:bookmarkEnd w:id="440"/>
      <w:bookmarkEnd w:id="441"/>
      <w:r w:rsidRPr="00DC28B0">
        <w:rPr>
          <w:bCs/>
          <w:iCs/>
        </w:rPr>
        <w:t xml:space="preserve">La Defensoría deberá realizar actividades de seguimiento y presentar un informe anual sobre sus conclusiones relativas a las cuestiones sistémicas de vivienda y las recomendaciones asociadas. </w:t>
      </w:r>
    </w:p>
    <w:p w14:paraId="410F7C8E" w14:textId="4107C9F0" w:rsidR="00E77C05" w:rsidRPr="00DC28B0" w:rsidRDefault="00E77C05" w:rsidP="00553E57">
      <w:pPr>
        <w:pStyle w:val="H23G"/>
      </w:pPr>
      <w:bookmarkStart w:id="442" w:name="lt_pId553"/>
      <w:r>
        <w:lastRenderedPageBreak/>
        <w:tab/>
      </w:r>
      <w:r w:rsidR="00553E57">
        <w:tab/>
      </w:r>
      <w:r w:rsidRPr="00DC28B0">
        <w:t>Estrategia Nacional de Vivienda: iniciativas clave</w:t>
      </w:r>
      <w:bookmarkEnd w:id="442"/>
    </w:p>
    <w:p w14:paraId="0A2A1800" w14:textId="77777777" w:rsidR="00E77C05" w:rsidRPr="00DC28B0" w:rsidRDefault="00E77C05" w:rsidP="00B62663">
      <w:pPr>
        <w:pStyle w:val="SingleTxtG"/>
        <w:rPr>
          <w:bCs/>
          <w:iCs/>
        </w:rPr>
      </w:pPr>
      <w:bookmarkStart w:id="443" w:name="lt_pId554"/>
      <w:r w:rsidRPr="00DC28B0">
        <w:rPr>
          <w:iCs/>
        </w:rPr>
        <w:t>110.</w:t>
      </w:r>
      <w:r w:rsidRPr="00DC28B0">
        <w:rPr>
          <w:iCs/>
        </w:rPr>
        <w:tab/>
        <w:t xml:space="preserve">En </w:t>
      </w:r>
      <w:r w:rsidRPr="00DC28B0">
        <w:rPr>
          <w:bCs/>
          <w:iCs/>
        </w:rPr>
        <w:t xml:space="preserve">el cuadro 16 del anexo 1 pueden consultarse las principales iniciativas de la Estrategia Nacional de Vivienda </w:t>
      </w:r>
      <w:r w:rsidRPr="00B62663">
        <w:t>destinadas</w:t>
      </w:r>
      <w:r w:rsidRPr="00DC28B0">
        <w:rPr>
          <w:bCs/>
          <w:iCs/>
        </w:rPr>
        <w:t xml:space="preserve"> a facilitar el acceso a una vivienda adecuada y asequible para las familias con bajos ingresos.</w:t>
      </w:r>
      <w:bookmarkEnd w:id="443"/>
    </w:p>
    <w:p w14:paraId="0BE76543" w14:textId="62DACBC2" w:rsidR="00E77C05" w:rsidRPr="00DC28B0" w:rsidRDefault="00E77C05" w:rsidP="00553E57">
      <w:pPr>
        <w:pStyle w:val="H23G"/>
      </w:pPr>
      <w:bookmarkStart w:id="444" w:name="lt_pId555"/>
      <w:r>
        <w:tab/>
      </w:r>
      <w:r w:rsidR="00553E57">
        <w:tab/>
      </w:r>
      <w:r w:rsidRPr="00DC28B0">
        <w:t>Viviendas sociales para familias con bajos ingresos</w:t>
      </w:r>
      <w:bookmarkEnd w:id="444"/>
    </w:p>
    <w:p w14:paraId="472463BA" w14:textId="77777777" w:rsidR="00E77C05" w:rsidRPr="00DC28B0" w:rsidRDefault="00E77C05" w:rsidP="00B62663">
      <w:pPr>
        <w:pStyle w:val="SingleTxtG"/>
        <w:rPr>
          <w:iCs/>
        </w:rPr>
      </w:pPr>
      <w:bookmarkStart w:id="445" w:name="lt_pId556"/>
      <w:r w:rsidRPr="00DC28B0">
        <w:rPr>
          <w:iCs/>
        </w:rPr>
        <w:t>111.</w:t>
      </w:r>
      <w:r w:rsidRPr="00DC28B0">
        <w:rPr>
          <w:iCs/>
        </w:rPr>
        <w:tab/>
        <w:t xml:space="preserve">El sector de la vivienda comunitaria en el Canadá abarca las viviendas comunitarias proporcionadas por los </w:t>
      </w:r>
      <w:r w:rsidRPr="00B62663">
        <w:t>gobiernos</w:t>
      </w:r>
      <w:r w:rsidRPr="00DC28B0">
        <w:rPr>
          <w:iCs/>
        </w:rPr>
        <w:t xml:space="preserve"> de las provincias, los territorios y los ayuntamientos y las viviendas administradas por cooperativas y organizaciones sin ánimo de lucro. </w:t>
      </w:r>
      <w:bookmarkStart w:id="446" w:name="lt_pId557"/>
      <w:bookmarkEnd w:id="445"/>
      <w:r w:rsidRPr="00DC28B0">
        <w:rPr>
          <w:iCs/>
        </w:rPr>
        <w:t>A 30 de junio de 2021, en el marco de la Estrategia Nacional de Vivienda se había proporcionado asistencia a más de 479.000 hogares necesitados a través de viviendas asequibles y de base comunitaria, por ejemplo:</w:t>
      </w:r>
      <w:bookmarkEnd w:id="446"/>
    </w:p>
    <w:p w14:paraId="5A12ACBD" w14:textId="61ED6BD5" w:rsidR="00E77C05" w:rsidRPr="00DC28B0" w:rsidRDefault="00E77C05" w:rsidP="00661829">
      <w:pPr>
        <w:pStyle w:val="Bullet1G"/>
        <w:rPr>
          <w:rFonts w:eastAsiaTheme="minorEastAsia"/>
        </w:rPr>
      </w:pPr>
      <w:r w:rsidRPr="00DC28B0">
        <w:rPr>
          <w:rFonts w:eastAsiaTheme="minorEastAsia"/>
        </w:rPr>
        <w:t>Mediante el compromiso de crear más de 62.600 nuevas viviendas asequibles y comunitarias</w:t>
      </w:r>
      <w:r w:rsidR="00661829">
        <w:rPr>
          <w:rFonts w:eastAsiaTheme="minorEastAsia"/>
        </w:rPr>
        <w:t>.</w:t>
      </w:r>
    </w:p>
    <w:p w14:paraId="1979A428" w14:textId="24CD12AB" w:rsidR="00E77C05" w:rsidRPr="00DC28B0" w:rsidRDefault="00E77C05" w:rsidP="00661829">
      <w:pPr>
        <w:pStyle w:val="Bullet1G"/>
        <w:rPr>
          <w:rFonts w:eastAsiaTheme="minorEastAsia"/>
        </w:rPr>
      </w:pPr>
      <w:r w:rsidRPr="00DC28B0">
        <w:rPr>
          <w:rFonts w:eastAsiaTheme="minorEastAsia"/>
        </w:rPr>
        <w:t>Con el apoyo al mantenimiento de más de 399.000 viviendas comunitarias y sociales a través de la Iniciativa Federal de Vivienda Comunitaria, la Iniciativa de Vivienda Comunitaria del Canadá y otros programas</w:t>
      </w:r>
      <w:r w:rsidR="00661829">
        <w:rPr>
          <w:rFonts w:eastAsiaTheme="minorEastAsia"/>
        </w:rPr>
        <w:t>.</w:t>
      </w:r>
    </w:p>
    <w:p w14:paraId="6A9B4FAC" w14:textId="61C60738" w:rsidR="00E77C05" w:rsidRPr="00DC28B0" w:rsidRDefault="00E77C05" w:rsidP="00661829">
      <w:pPr>
        <w:pStyle w:val="Bullet1G"/>
        <w:rPr>
          <w:rFonts w:eastAsiaTheme="minorEastAsia"/>
        </w:rPr>
      </w:pPr>
      <w:bookmarkStart w:id="447" w:name="lt_pId560"/>
      <w:r w:rsidRPr="00DC28B0">
        <w:rPr>
          <w:rFonts w:eastAsiaTheme="minorEastAsia"/>
        </w:rPr>
        <w:t>Prestando asistencia a más de 28.000 hogares con ayudas directas para el acceso a la vivienda a través del subsidio para la vivienda del Canadá, con un coste homogéneo que sufragan las provincias y territorios.</w:t>
      </w:r>
      <w:bookmarkEnd w:id="447"/>
    </w:p>
    <w:p w14:paraId="634C5BB7" w14:textId="050FCE22" w:rsidR="00E77C05" w:rsidRPr="00DC28B0" w:rsidRDefault="00E77C05" w:rsidP="00661829">
      <w:pPr>
        <w:pStyle w:val="H23G"/>
      </w:pPr>
      <w:bookmarkStart w:id="448" w:name="lt_pId561"/>
      <w:r>
        <w:tab/>
      </w:r>
      <w:r w:rsidR="00661829">
        <w:tab/>
      </w:r>
      <w:r w:rsidRPr="00DC28B0">
        <w:t>Viviendas comunitarias en las reservas</w:t>
      </w:r>
      <w:bookmarkEnd w:id="448"/>
    </w:p>
    <w:p w14:paraId="03675A58" w14:textId="47DF813F" w:rsidR="00E77C05" w:rsidRPr="00DC28B0" w:rsidRDefault="00E77C05" w:rsidP="00B62663">
      <w:pPr>
        <w:pStyle w:val="SingleTxtG"/>
        <w:rPr>
          <w:bCs/>
          <w:iCs/>
        </w:rPr>
      </w:pPr>
      <w:bookmarkStart w:id="449" w:name="lt_pId562"/>
      <w:r w:rsidRPr="00DC28B0">
        <w:rPr>
          <w:iCs/>
        </w:rPr>
        <w:t>112.</w:t>
      </w:r>
      <w:r w:rsidRPr="00DC28B0">
        <w:rPr>
          <w:iCs/>
        </w:rPr>
        <w:tab/>
      </w:r>
      <w:r w:rsidRPr="00DC28B0">
        <w:rPr>
          <w:bCs/>
          <w:iCs/>
        </w:rPr>
        <w:t xml:space="preserve">El Gobierno del Canadá apoya el concepto de vivienda comunitaria en las reservas. </w:t>
      </w:r>
      <w:bookmarkStart w:id="450" w:name="lt_pId563"/>
      <w:bookmarkEnd w:id="449"/>
      <w:r w:rsidRPr="00DC28B0">
        <w:rPr>
          <w:bCs/>
          <w:iCs/>
        </w:rPr>
        <w:t xml:space="preserve">Desde 2016 hasta el 30 de </w:t>
      </w:r>
      <w:r w:rsidRPr="00B62663">
        <w:t>septiembre</w:t>
      </w:r>
      <w:r w:rsidRPr="00DC28B0">
        <w:rPr>
          <w:bCs/>
          <w:iCs/>
        </w:rPr>
        <w:t xml:space="preserve"> de 2021, las inversiones en infraestructuras específicas sirvieron para promover la construcción de 10.652 unidades de vivienda en 517 comunidades de las Primeras Naciones, incluidas 3.527 unidades de nueva construcción (2.133</w:t>
      </w:r>
      <w:r w:rsidR="00582F13">
        <w:rPr>
          <w:bCs/>
          <w:iCs/>
        </w:rPr>
        <w:t> </w:t>
      </w:r>
      <w:r w:rsidRPr="00DC28B0">
        <w:rPr>
          <w:bCs/>
          <w:iCs/>
        </w:rPr>
        <w:t>completadas) y la renovación y modernización de otras 7.125 unidades (4.470</w:t>
      </w:r>
      <w:r w:rsidR="00582F13">
        <w:rPr>
          <w:bCs/>
          <w:iCs/>
        </w:rPr>
        <w:t> </w:t>
      </w:r>
      <w:r w:rsidRPr="00DC28B0">
        <w:rPr>
          <w:bCs/>
          <w:iCs/>
        </w:rPr>
        <w:t>completadas). Las inversiones en infraestructuras también han contribuido a financiar la construcción de 64 nuevas escuelas (40 terminadas) y la renovación o mejora de 94</w:t>
      </w:r>
      <w:r w:rsidR="00582F13">
        <w:rPr>
          <w:bCs/>
          <w:iCs/>
        </w:rPr>
        <w:t> </w:t>
      </w:r>
      <w:r w:rsidRPr="00DC28B0">
        <w:rPr>
          <w:bCs/>
          <w:iCs/>
        </w:rPr>
        <w:t>escuelas existentes (76 terminadas), así como 217 proyectos (201 terminados) para diseñar, sustituir, ampliar, reparar o renovar instalaciones sanitarias de las Primeras Naciones, viviendas para profesionales de la salud, centros de tratamiento de adicciones y otras instalaciones.</w:t>
      </w:r>
    </w:p>
    <w:p w14:paraId="2F0193CC" w14:textId="752753F7" w:rsidR="00E77C05" w:rsidRPr="00661829" w:rsidRDefault="00E77C05" w:rsidP="00661829">
      <w:pPr>
        <w:pStyle w:val="SingleTxtG"/>
        <w:jc w:val="left"/>
        <w:rPr>
          <w:sz w:val="16"/>
          <w:szCs w:val="16"/>
        </w:rPr>
      </w:pPr>
      <w:bookmarkStart w:id="451" w:name="lt_pId567"/>
      <w:bookmarkEnd w:id="450"/>
      <w:bookmarkEnd w:id="451"/>
      <w:r w:rsidRPr="00DC28B0">
        <w:t xml:space="preserve">Cuadro 7 </w:t>
      </w:r>
      <w:r w:rsidRPr="00DC28B0">
        <w:br/>
      </w:r>
      <w:r w:rsidRPr="00661829">
        <w:rPr>
          <w:b/>
          <w:bCs/>
        </w:rPr>
        <w:t xml:space="preserve">Financiación asignada a la vivienda de las Primeras Naciones, </w:t>
      </w:r>
      <w:r w:rsidRPr="00661829">
        <w:rPr>
          <w:b/>
          <w:bCs/>
        </w:rPr>
        <w:br/>
        <w:t>ejercicios 2016</w:t>
      </w:r>
      <w:r w:rsidR="00582F13">
        <w:rPr>
          <w:b/>
          <w:bCs/>
        </w:rPr>
        <w:t>/</w:t>
      </w:r>
      <w:r w:rsidRPr="00661829">
        <w:rPr>
          <w:b/>
          <w:bCs/>
        </w:rPr>
        <w:t>17 a 2020</w:t>
      </w:r>
      <w:r w:rsidR="00582F13">
        <w:rPr>
          <w:b/>
          <w:bCs/>
        </w:rPr>
        <w:t>/</w:t>
      </w:r>
      <w:r w:rsidRPr="00661829">
        <w:rPr>
          <w:b/>
          <w:bCs/>
        </w:rPr>
        <w:t>21</w:t>
      </w:r>
      <w:r w:rsidRPr="00DC28B0">
        <w:t xml:space="preserve"> </w:t>
      </w:r>
      <w:r w:rsidR="00661829">
        <w:br/>
      </w:r>
      <w:r w:rsidR="00661829" w:rsidRPr="00661829">
        <w:rPr>
          <w:sz w:val="16"/>
          <w:szCs w:val="16"/>
        </w:rPr>
        <w:t>(En dólares)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92"/>
        <w:gridCol w:w="3778"/>
      </w:tblGrid>
      <w:tr w:rsidR="00582F13" w:rsidRPr="00661829" w14:paraId="4956EF3F" w14:textId="77777777" w:rsidTr="00582F13">
        <w:trPr>
          <w:trHeight w:val="240"/>
        </w:trPr>
        <w:tc>
          <w:tcPr>
            <w:tcW w:w="2437" w:type="pct"/>
            <w:tcBorders>
              <w:top w:val="single" w:sz="4" w:space="0" w:color="auto"/>
              <w:bottom w:val="nil"/>
            </w:tcBorders>
            <w:shd w:val="clear" w:color="auto" w:fill="auto"/>
          </w:tcPr>
          <w:p w14:paraId="192DAF81" w14:textId="0F1870ED" w:rsidR="00582F13" w:rsidRPr="00661829" w:rsidRDefault="00582F13" w:rsidP="00582F13">
            <w:pPr>
              <w:spacing w:before="40" w:after="40" w:line="220" w:lineRule="exact"/>
              <w:rPr>
                <w:sz w:val="18"/>
              </w:rPr>
            </w:pPr>
            <w:r w:rsidRPr="00582F13">
              <w:rPr>
                <w:sz w:val="18"/>
              </w:rPr>
              <w:t>2016/17</w:t>
            </w:r>
          </w:p>
        </w:tc>
        <w:tc>
          <w:tcPr>
            <w:tcW w:w="2563" w:type="pct"/>
            <w:tcBorders>
              <w:top w:val="single" w:sz="4" w:space="0" w:color="auto"/>
              <w:bottom w:val="nil"/>
            </w:tcBorders>
            <w:shd w:val="clear" w:color="auto" w:fill="auto"/>
          </w:tcPr>
          <w:p w14:paraId="08B2AB01" w14:textId="37B0DEE2" w:rsidR="00582F13" w:rsidRPr="00661829" w:rsidRDefault="00582F13" w:rsidP="00582F13">
            <w:pPr>
              <w:spacing w:before="40" w:after="40" w:line="220" w:lineRule="exact"/>
              <w:ind w:left="113"/>
              <w:jc w:val="right"/>
              <w:rPr>
                <w:sz w:val="18"/>
              </w:rPr>
            </w:pPr>
            <w:r w:rsidRPr="00582F13">
              <w:rPr>
                <w:sz w:val="18"/>
              </w:rPr>
              <w:t>403 693 456,48</w:t>
            </w:r>
          </w:p>
        </w:tc>
      </w:tr>
      <w:tr w:rsidR="00E77C05" w:rsidRPr="00661829" w14:paraId="74D8BCFA" w14:textId="77777777" w:rsidTr="00582F13">
        <w:trPr>
          <w:trHeight w:val="240"/>
        </w:trPr>
        <w:tc>
          <w:tcPr>
            <w:tcW w:w="2437" w:type="pct"/>
            <w:tcBorders>
              <w:top w:val="nil"/>
              <w:bottom w:val="nil"/>
            </w:tcBorders>
            <w:shd w:val="clear" w:color="auto" w:fill="auto"/>
          </w:tcPr>
          <w:p w14:paraId="292DACA7" w14:textId="4B93AD83" w:rsidR="00E77C05" w:rsidRPr="00661829" w:rsidRDefault="00E77C05" w:rsidP="00661829">
            <w:pPr>
              <w:spacing w:before="40" w:after="40" w:line="220" w:lineRule="exact"/>
              <w:rPr>
                <w:sz w:val="18"/>
              </w:rPr>
            </w:pPr>
            <w:r w:rsidRPr="00661829">
              <w:rPr>
                <w:sz w:val="18"/>
              </w:rPr>
              <w:t>2017</w:t>
            </w:r>
            <w:r w:rsidR="00582F13">
              <w:rPr>
                <w:sz w:val="18"/>
              </w:rPr>
              <w:t>/</w:t>
            </w:r>
            <w:r w:rsidRPr="00661829">
              <w:rPr>
                <w:sz w:val="18"/>
              </w:rPr>
              <w:t>18</w:t>
            </w:r>
          </w:p>
        </w:tc>
        <w:tc>
          <w:tcPr>
            <w:tcW w:w="2563" w:type="pct"/>
            <w:tcBorders>
              <w:top w:val="nil"/>
              <w:bottom w:val="nil"/>
            </w:tcBorders>
            <w:shd w:val="clear" w:color="auto" w:fill="auto"/>
            <w:vAlign w:val="bottom"/>
          </w:tcPr>
          <w:p w14:paraId="5845479A" w14:textId="0A8D7E31" w:rsidR="00E77C05" w:rsidRPr="00661829" w:rsidRDefault="00E77C05" w:rsidP="00661829">
            <w:pPr>
              <w:spacing w:before="40" w:after="40" w:line="220" w:lineRule="exact"/>
              <w:ind w:left="113"/>
              <w:jc w:val="right"/>
              <w:rPr>
                <w:sz w:val="18"/>
              </w:rPr>
            </w:pPr>
            <w:r w:rsidRPr="00661829">
              <w:rPr>
                <w:sz w:val="18"/>
              </w:rPr>
              <w:t>327 768 195,66</w:t>
            </w:r>
          </w:p>
        </w:tc>
      </w:tr>
      <w:tr w:rsidR="00E77C05" w:rsidRPr="00661829" w14:paraId="61282A9F" w14:textId="77777777" w:rsidTr="00582F13">
        <w:trPr>
          <w:trHeight w:val="240"/>
        </w:trPr>
        <w:tc>
          <w:tcPr>
            <w:tcW w:w="2437" w:type="pct"/>
            <w:tcBorders>
              <w:top w:val="nil"/>
            </w:tcBorders>
            <w:shd w:val="clear" w:color="auto" w:fill="auto"/>
          </w:tcPr>
          <w:p w14:paraId="39D6C173" w14:textId="3AEE7994" w:rsidR="00E77C05" w:rsidRPr="00661829" w:rsidRDefault="00E77C05" w:rsidP="00661829">
            <w:pPr>
              <w:spacing w:before="40" w:after="40" w:line="220" w:lineRule="exact"/>
              <w:rPr>
                <w:sz w:val="18"/>
              </w:rPr>
            </w:pPr>
            <w:r w:rsidRPr="00661829">
              <w:rPr>
                <w:sz w:val="18"/>
              </w:rPr>
              <w:t>2018</w:t>
            </w:r>
            <w:r w:rsidR="00582F13">
              <w:rPr>
                <w:sz w:val="18"/>
              </w:rPr>
              <w:t>/</w:t>
            </w:r>
            <w:r w:rsidRPr="00661829">
              <w:rPr>
                <w:sz w:val="18"/>
              </w:rPr>
              <w:t>19</w:t>
            </w:r>
          </w:p>
        </w:tc>
        <w:tc>
          <w:tcPr>
            <w:tcW w:w="2563" w:type="pct"/>
            <w:tcBorders>
              <w:top w:val="nil"/>
            </w:tcBorders>
            <w:shd w:val="clear" w:color="auto" w:fill="auto"/>
            <w:vAlign w:val="bottom"/>
          </w:tcPr>
          <w:p w14:paraId="7EC831B7" w14:textId="08BADFB5" w:rsidR="00E77C05" w:rsidRPr="00661829" w:rsidRDefault="00E77C05" w:rsidP="00661829">
            <w:pPr>
              <w:spacing w:before="40" w:after="40" w:line="220" w:lineRule="exact"/>
              <w:ind w:left="113"/>
              <w:jc w:val="right"/>
              <w:rPr>
                <w:sz w:val="18"/>
              </w:rPr>
            </w:pPr>
            <w:r w:rsidRPr="00661829">
              <w:rPr>
                <w:sz w:val="18"/>
              </w:rPr>
              <w:t>354 383 507,10</w:t>
            </w:r>
          </w:p>
        </w:tc>
      </w:tr>
      <w:tr w:rsidR="00E77C05" w:rsidRPr="00661829" w14:paraId="2DE5EF0B" w14:textId="77777777" w:rsidTr="00661829">
        <w:trPr>
          <w:trHeight w:val="240"/>
        </w:trPr>
        <w:tc>
          <w:tcPr>
            <w:tcW w:w="2437" w:type="pct"/>
            <w:shd w:val="clear" w:color="auto" w:fill="auto"/>
          </w:tcPr>
          <w:p w14:paraId="5CF7FA64" w14:textId="45851777" w:rsidR="00E77C05" w:rsidRPr="00661829" w:rsidRDefault="00E77C05" w:rsidP="00661829">
            <w:pPr>
              <w:spacing w:before="40" w:after="40" w:line="220" w:lineRule="exact"/>
              <w:rPr>
                <w:sz w:val="18"/>
              </w:rPr>
            </w:pPr>
            <w:r w:rsidRPr="00661829">
              <w:rPr>
                <w:sz w:val="18"/>
              </w:rPr>
              <w:t>2019</w:t>
            </w:r>
            <w:r w:rsidR="00582F13">
              <w:rPr>
                <w:sz w:val="18"/>
              </w:rPr>
              <w:t>/</w:t>
            </w:r>
            <w:r w:rsidRPr="00661829">
              <w:rPr>
                <w:sz w:val="18"/>
              </w:rPr>
              <w:t>20</w:t>
            </w:r>
          </w:p>
        </w:tc>
        <w:tc>
          <w:tcPr>
            <w:tcW w:w="2563" w:type="pct"/>
            <w:shd w:val="clear" w:color="auto" w:fill="auto"/>
            <w:vAlign w:val="bottom"/>
          </w:tcPr>
          <w:p w14:paraId="304DA5FF" w14:textId="77E094C7" w:rsidR="00E77C05" w:rsidRPr="00661829" w:rsidRDefault="00E77C05" w:rsidP="00661829">
            <w:pPr>
              <w:spacing w:before="40" w:after="40" w:line="220" w:lineRule="exact"/>
              <w:ind w:left="113"/>
              <w:jc w:val="right"/>
              <w:rPr>
                <w:sz w:val="18"/>
              </w:rPr>
            </w:pPr>
            <w:r w:rsidRPr="00661829">
              <w:rPr>
                <w:sz w:val="18"/>
              </w:rPr>
              <w:t>364 850 299,43</w:t>
            </w:r>
          </w:p>
        </w:tc>
      </w:tr>
      <w:tr w:rsidR="00E77C05" w:rsidRPr="00661829" w14:paraId="310B811B" w14:textId="77777777" w:rsidTr="00661829">
        <w:trPr>
          <w:trHeight w:val="240"/>
        </w:trPr>
        <w:tc>
          <w:tcPr>
            <w:tcW w:w="2437" w:type="pct"/>
            <w:tcBorders>
              <w:bottom w:val="single" w:sz="4" w:space="0" w:color="auto"/>
            </w:tcBorders>
            <w:shd w:val="clear" w:color="auto" w:fill="auto"/>
          </w:tcPr>
          <w:p w14:paraId="691056CE" w14:textId="011F8371" w:rsidR="00E77C05" w:rsidRPr="00661829" w:rsidRDefault="00E77C05" w:rsidP="00661829">
            <w:pPr>
              <w:spacing w:before="40" w:after="40" w:line="220" w:lineRule="exact"/>
              <w:rPr>
                <w:sz w:val="18"/>
              </w:rPr>
            </w:pPr>
            <w:r w:rsidRPr="00661829">
              <w:rPr>
                <w:sz w:val="18"/>
              </w:rPr>
              <w:t>2020</w:t>
            </w:r>
            <w:r w:rsidR="00582F13">
              <w:rPr>
                <w:sz w:val="18"/>
              </w:rPr>
              <w:t>/</w:t>
            </w:r>
            <w:r w:rsidRPr="00661829">
              <w:rPr>
                <w:sz w:val="18"/>
              </w:rPr>
              <w:t>21</w:t>
            </w:r>
          </w:p>
        </w:tc>
        <w:tc>
          <w:tcPr>
            <w:tcW w:w="2563" w:type="pct"/>
            <w:tcBorders>
              <w:bottom w:val="single" w:sz="4" w:space="0" w:color="auto"/>
            </w:tcBorders>
            <w:shd w:val="clear" w:color="auto" w:fill="auto"/>
            <w:vAlign w:val="bottom"/>
          </w:tcPr>
          <w:p w14:paraId="32DF0690" w14:textId="7D6ED92A" w:rsidR="00E77C05" w:rsidRPr="00661829" w:rsidRDefault="00E77C05" w:rsidP="00661829">
            <w:pPr>
              <w:spacing w:before="40" w:after="40" w:line="220" w:lineRule="exact"/>
              <w:ind w:left="113"/>
              <w:jc w:val="right"/>
              <w:rPr>
                <w:sz w:val="18"/>
              </w:rPr>
            </w:pPr>
            <w:r w:rsidRPr="00661829">
              <w:rPr>
                <w:sz w:val="18"/>
              </w:rPr>
              <w:t>363 240 252,53</w:t>
            </w:r>
          </w:p>
        </w:tc>
      </w:tr>
      <w:tr w:rsidR="00E77C05" w:rsidRPr="00661829" w14:paraId="3EEDA72A" w14:textId="77777777" w:rsidTr="00661829">
        <w:trPr>
          <w:trHeight w:val="240"/>
        </w:trPr>
        <w:tc>
          <w:tcPr>
            <w:tcW w:w="2437" w:type="pct"/>
            <w:tcBorders>
              <w:top w:val="single" w:sz="4" w:space="0" w:color="auto"/>
              <w:bottom w:val="single" w:sz="12" w:space="0" w:color="auto"/>
            </w:tcBorders>
            <w:shd w:val="clear" w:color="auto" w:fill="auto"/>
          </w:tcPr>
          <w:p w14:paraId="2164A487" w14:textId="77777777" w:rsidR="00E77C05" w:rsidRPr="00661829" w:rsidRDefault="00E77C05" w:rsidP="00661829">
            <w:pPr>
              <w:spacing w:before="80" w:after="80" w:line="220" w:lineRule="exact"/>
              <w:ind w:left="283"/>
              <w:rPr>
                <w:b/>
                <w:sz w:val="18"/>
              </w:rPr>
            </w:pPr>
            <w:r w:rsidRPr="00661829">
              <w:rPr>
                <w:b/>
                <w:sz w:val="18"/>
              </w:rPr>
              <w:t>Total</w:t>
            </w:r>
          </w:p>
        </w:tc>
        <w:tc>
          <w:tcPr>
            <w:tcW w:w="2563" w:type="pct"/>
            <w:tcBorders>
              <w:top w:val="single" w:sz="4" w:space="0" w:color="auto"/>
              <w:bottom w:val="single" w:sz="12" w:space="0" w:color="auto"/>
            </w:tcBorders>
            <w:shd w:val="clear" w:color="auto" w:fill="auto"/>
            <w:vAlign w:val="bottom"/>
          </w:tcPr>
          <w:p w14:paraId="2D089FF8" w14:textId="7B16ACE8" w:rsidR="00E77C05" w:rsidRPr="00661829" w:rsidRDefault="00E77C05" w:rsidP="00661829">
            <w:pPr>
              <w:spacing w:before="80" w:after="80" w:line="220" w:lineRule="exact"/>
              <w:jc w:val="right"/>
              <w:rPr>
                <w:b/>
                <w:sz w:val="18"/>
              </w:rPr>
            </w:pPr>
            <w:r w:rsidRPr="00661829">
              <w:rPr>
                <w:b/>
                <w:sz w:val="18"/>
              </w:rPr>
              <w:t>1 813 935 711,00</w:t>
            </w:r>
          </w:p>
        </w:tc>
      </w:tr>
    </w:tbl>
    <w:p w14:paraId="3E32C755" w14:textId="77777777" w:rsidR="00E77C05" w:rsidRPr="00DC28B0" w:rsidRDefault="00E77C05" w:rsidP="00661829">
      <w:pPr>
        <w:pStyle w:val="SingleTxtG"/>
        <w:spacing w:before="240"/>
      </w:pPr>
      <w:bookmarkStart w:id="452" w:name="lt_pId578"/>
      <w:r w:rsidRPr="00DC28B0">
        <w:t>113.</w:t>
      </w:r>
      <w:r w:rsidRPr="00DC28B0">
        <w:tab/>
        <w:t>El Gobierno sigue promoviendo la elaboración conjunta de la primera Estrategia Nacional de Vivienda e Infraestructuras Conexas para garantizar el éxito de su aplicación y avanzar en la transferencia de la responsabilidad de los programas y servicios de vivienda e infraestructuras a las instituciones indígenas.</w:t>
      </w:r>
      <w:bookmarkEnd w:id="452"/>
    </w:p>
    <w:p w14:paraId="3D15CFE3" w14:textId="40508BDD" w:rsidR="00E77C05" w:rsidRPr="00DC28B0" w:rsidRDefault="00E77C05" w:rsidP="00661829">
      <w:pPr>
        <w:pStyle w:val="H1G"/>
      </w:pPr>
      <w:bookmarkStart w:id="453" w:name="lt_pId579"/>
      <w:r>
        <w:lastRenderedPageBreak/>
        <w:tab/>
      </w:r>
      <w:r w:rsidR="00661829">
        <w:tab/>
      </w:r>
      <w:r w:rsidRPr="00DC28B0">
        <w:t>Respuesta al párrafo 22 de la lista de cuestiones</w:t>
      </w:r>
      <w:bookmarkEnd w:id="453"/>
    </w:p>
    <w:p w14:paraId="08D5004D" w14:textId="6D1267C3" w:rsidR="00E77C05" w:rsidRPr="00DC28B0" w:rsidRDefault="00E77C05" w:rsidP="00661829">
      <w:pPr>
        <w:pStyle w:val="H23G"/>
      </w:pPr>
      <w:bookmarkStart w:id="454" w:name="lt_pId580"/>
      <w:r>
        <w:tab/>
      </w:r>
      <w:r w:rsidR="00661829">
        <w:tab/>
      </w:r>
      <w:r w:rsidRPr="00DC28B0">
        <w:t>Programa de Nutrición del Norte del Canadá</w:t>
      </w:r>
      <w:bookmarkEnd w:id="454"/>
    </w:p>
    <w:p w14:paraId="6E792C5D" w14:textId="3583B986" w:rsidR="00E77C05" w:rsidRPr="00DC28B0" w:rsidRDefault="00E77C05" w:rsidP="00B62663">
      <w:pPr>
        <w:pStyle w:val="SingleTxtG"/>
      </w:pPr>
      <w:bookmarkStart w:id="455" w:name="lt_pId581"/>
      <w:r w:rsidRPr="00DC28B0">
        <w:t>114.</w:t>
      </w:r>
      <w:r w:rsidRPr="00DC28B0">
        <w:tab/>
        <w:t>En el marco del Programa de Nutrición del Norte del Canadá se ofrece una subvención para facilitar la compra de alimentos nutritivos y otros artículos de primera necesidad en 12</w:t>
      </w:r>
      <w:r w:rsidR="003E04CA">
        <w:t>5 </w:t>
      </w:r>
      <w:r w:rsidRPr="00DC28B0">
        <w:t>comunidades aisladas de la región del Norte del Canadá.</w:t>
      </w:r>
      <w:bookmarkEnd w:id="455"/>
      <w:r w:rsidR="00F756E9">
        <w:t xml:space="preserve"> </w:t>
      </w:r>
    </w:p>
    <w:p w14:paraId="39A7D3F0" w14:textId="77777777" w:rsidR="00E77C05" w:rsidRPr="00DC28B0" w:rsidRDefault="00E77C05" w:rsidP="00B62663">
      <w:pPr>
        <w:pStyle w:val="SingleTxtG"/>
      </w:pPr>
      <w:r w:rsidRPr="00DC28B0">
        <w:t>115.</w:t>
      </w:r>
      <w:r w:rsidRPr="00DC28B0">
        <w:tab/>
        <w:t>De esas 124 comunidades, 112 también pueden optar a la subvención para el mantenimiento de los cazadores-recolectores, que proporciona ayuda financiera para las actividades de caza, recolección y reparto de alimentos en las comunidades elegibles, en reconocimiento de la importancia que los alimentos tradicionales revisten para una dieta sana y culturalmente apropiada en las regiones del Norte. La subvención se diseña en colaboración con asociados indígenas y residentes en el Norte y está previsto que su administración quede en manos de los indígenas, profundizando así en el control y la toma de decisiones a nivel local, así como en una financiación flexible.</w:t>
      </w:r>
    </w:p>
    <w:p w14:paraId="767A643E" w14:textId="77777777" w:rsidR="00E77C05" w:rsidRPr="00DC28B0" w:rsidRDefault="00E77C05" w:rsidP="00B62663">
      <w:pPr>
        <w:pStyle w:val="SingleTxtG"/>
      </w:pPr>
      <w:r w:rsidRPr="00DC28B0">
        <w:t>116.</w:t>
      </w:r>
      <w:r w:rsidRPr="00DC28B0">
        <w:tab/>
        <w:t>La subvención para el mantenimiento de los cazadores-recolectores marca un cambio fundamental al dotar a las comunidades de medios para que puedan determinar sus propias prioridades en materia de seguridad alimentaria y actuar en consecuencia. Esa iniciativa está ayudando a reducir la dependencia de los alimentos adquiridos en las tiendas, fomentando la restauración de la cultura y las tradiciones de recolección y apoyando la producción local de alimentos.</w:t>
      </w:r>
    </w:p>
    <w:p w14:paraId="5064985B" w14:textId="77777777" w:rsidR="00E77C05" w:rsidRPr="00DC28B0" w:rsidRDefault="00E77C05" w:rsidP="00B62663">
      <w:pPr>
        <w:pStyle w:val="SingleTxtG"/>
      </w:pPr>
      <w:bookmarkStart w:id="456" w:name="lt_pId591"/>
      <w:r w:rsidRPr="00DC28B0">
        <w:t>117.</w:t>
      </w:r>
      <w:r w:rsidRPr="00DC28B0">
        <w:tab/>
        <w:t>A pesar de los recientes éxitos del Programa de Nutrición del Norte del Canadá, el Gobierno reconoce que una estrategia a largo plazo para la seguridad alimentaria requerirá un enfoque conjunto de todos los niveles de gobierno que reconozca y aborde los factores clave de los ingresos y el empleo. Aunque el Programa por sí solo no resolverá el problema de la seguridad alimentaria, ayudará a las comunidades del Norte y remotas a proponer soluciones concebidas en la región.</w:t>
      </w:r>
    </w:p>
    <w:p w14:paraId="3E35C263" w14:textId="77777777" w:rsidR="00E77C05" w:rsidRPr="00DC28B0" w:rsidRDefault="00E77C05" w:rsidP="00B62663">
      <w:pPr>
        <w:pStyle w:val="SingleTxtG"/>
      </w:pPr>
      <w:bookmarkStart w:id="457" w:name="lt_pId594"/>
      <w:bookmarkEnd w:id="456"/>
      <w:r w:rsidRPr="00DC28B0">
        <w:t>118.</w:t>
      </w:r>
      <w:r w:rsidRPr="00DC28B0">
        <w:tab/>
        <w:t xml:space="preserve">El Programa de Nutrición del Norte del Canadá sigue trabajando con sus asociados indígenas y federales en el desarrollo y la aplicación de estrategias que contribuyan a reducir aún más el coste de los alimentos y presten un mayor apoyo a las poblaciones del norte, en particular a los más vulnerables. </w:t>
      </w:r>
      <w:bookmarkStart w:id="458" w:name="lt_pId595"/>
      <w:bookmarkEnd w:id="457"/>
      <w:r w:rsidRPr="00DC28B0">
        <w:t>El Programa también sirve para demostrar que las soluciones desarrolladas conjuntamente con los asociados indígenas y comunitarios están dando resultados significativos.</w:t>
      </w:r>
      <w:bookmarkEnd w:id="458"/>
    </w:p>
    <w:p w14:paraId="2F6F15F3" w14:textId="762392CE" w:rsidR="00E77C05" w:rsidRPr="00DC28B0" w:rsidRDefault="00661829" w:rsidP="00661829">
      <w:pPr>
        <w:pStyle w:val="H1G"/>
      </w:pPr>
      <w:bookmarkStart w:id="459" w:name="lt_pId596"/>
      <w:r>
        <w:tab/>
      </w:r>
      <w:r w:rsidR="00E77C05">
        <w:tab/>
      </w:r>
      <w:r w:rsidR="00E77C05" w:rsidRPr="00DC28B0">
        <w:t>Respuesta al párrafo 23 de la lista de cuestiones</w:t>
      </w:r>
      <w:bookmarkEnd w:id="459"/>
    </w:p>
    <w:p w14:paraId="53A9D7C7" w14:textId="4DC3E97D" w:rsidR="00E77C05" w:rsidRPr="00DC28B0" w:rsidRDefault="00661829" w:rsidP="00661829">
      <w:pPr>
        <w:pStyle w:val="H23G"/>
      </w:pPr>
      <w:bookmarkStart w:id="460" w:name="lt_pId597"/>
      <w:r>
        <w:tab/>
      </w:r>
      <w:r w:rsidR="00E77C05">
        <w:tab/>
      </w:r>
      <w:r w:rsidR="00E77C05" w:rsidRPr="00DC28B0">
        <w:t>Servicios sanitarios</w:t>
      </w:r>
      <w:bookmarkEnd w:id="460"/>
    </w:p>
    <w:p w14:paraId="35C7D897" w14:textId="3A41AECA" w:rsidR="00E77C05" w:rsidRPr="00B62663" w:rsidRDefault="00E77C05" w:rsidP="00B62663">
      <w:pPr>
        <w:pStyle w:val="SingleTxtG"/>
      </w:pPr>
      <w:bookmarkStart w:id="461" w:name="lt_pId598"/>
      <w:r w:rsidRPr="00DC28B0">
        <w:t>119.</w:t>
      </w:r>
      <w:r w:rsidRPr="00DC28B0">
        <w:tab/>
      </w:r>
      <w:r w:rsidRPr="00DC28B0">
        <w:rPr>
          <w:bCs/>
        </w:rPr>
        <w:t xml:space="preserve">Los gobiernos de las provincias y territorios son responsables de la prestación de asistencia sanitaria a sus residentes, </w:t>
      </w:r>
      <w:r w:rsidRPr="00DC28B0">
        <w:t xml:space="preserve">incluida la elección </w:t>
      </w:r>
      <w:r w:rsidRPr="00DC28B0">
        <w:rPr>
          <w:bCs/>
        </w:rPr>
        <w:t xml:space="preserve">de los medicamentos cuyo coste es reembolsable y las condiciones de reembolso para sus poblaciones elegibles. Los ministros de sanidad de los gobiernos federal, provincial y territorial han hecho de la </w:t>
      </w:r>
      <w:r w:rsidRPr="00B62663">
        <w:t xml:space="preserve">asequibilidad, la accesibilidad y el uso adecuado de los medicamentos con receta una prioridad compartida. Entre los recientes esfuerzos para facilitar el acceso a los medicamentos, el Gobierno </w:t>
      </w:r>
      <w:r w:rsidR="003E04CA">
        <w:t>Federal</w:t>
      </w:r>
      <w:r w:rsidRPr="00B62663">
        <w:t xml:space="preserve"> está trabajando con los gobiernos de las provincias y territorios y con las partes interesadas para mejorar los elementos fundamentales del plan nacional universal de medicamentos, que ya está en marcha, para que los canadienses puedan tener la cobertura de medicamentos que necesitan. Esos pasos fundamentales incluyen los trabajos en curso para establecer una Agencia del Medicamento del Canadá, un formulario nacional y una estrategia nacional de medicamentos para enfermedades raras.</w:t>
      </w:r>
    </w:p>
    <w:p w14:paraId="4ECCF6E4" w14:textId="77777777" w:rsidR="00E77C05" w:rsidRPr="00DC28B0" w:rsidRDefault="00E77C05" w:rsidP="00B62663">
      <w:pPr>
        <w:pStyle w:val="SingleTxtG"/>
      </w:pPr>
      <w:r w:rsidRPr="00DC28B0">
        <w:t>120.</w:t>
      </w:r>
      <w:r w:rsidRPr="00DC28B0">
        <w:tab/>
        <w:t xml:space="preserve">La transferencia de fondos a las provincias y territorios en virtud de la Transferencia en materia de Salud del Canadá no es automática, sino que está condicionada a que los planes de seguro de enfermedad de las provincias y territorios cumplan los requisitos establecidos en la Ley de Salud, incluidos los de administración pública, exhaustividad, universalidad, portabilidad y accesibilidad. El criterio de universalidad exige que todos los residentes de una provincia o territorio asegurados tengan derecho a los servicios de asistencia sanitaria prestados por el plan de seguro de enfermedad de la provincia o territorio en condiciones </w:t>
      </w:r>
      <w:r w:rsidRPr="00DC28B0">
        <w:lastRenderedPageBreak/>
        <w:t>uniformes. El criterio de accesibilidad garantiza que los asegurados de una provincia o territorio tengan un acceso razonable a los servicios hospitalarios, médicos y de cirugía dental asegurados que requieran un entorno hospitalario en condiciones uniformes, sin exclusión ni impedimentos, directos o indirectos, derivados del coste para los pacientes o de otro tipo (por ejemplo, discriminación por edad, estado de salud o situación financiera.</w:t>
      </w:r>
    </w:p>
    <w:p w14:paraId="28286118" w14:textId="77777777" w:rsidR="00E77C05" w:rsidRPr="00DC28B0" w:rsidRDefault="00E77C05" w:rsidP="00B62663">
      <w:pPr>
        <w:pStyle w:val="SingleTxtG"/>
      </w:pPr>
      <w:r w:rsidRPr="00DC28B0">
        <w:t>121.</w:t>
      </w:r>
      <w:r w:rsidRPr="00DC28B0">
        <w:tab/>
        <w:t>Las provincias y territorios ofrecen una amplia gama de programas y servicios complementarios a los servicios sanitarios asegurados, como la cobertura extrahospitalaria de medicamentos con receta, la atención continuada, los servicios de ambulancia y los servicios de optometría. Los servicios complementarios suelen dirigirse a grupos de población específicos (por ejemplo, niños, ancianos o beneficiarios de asistencia social), y los niveles de financiación y el alcance de la cobertura varían de un territorio o provincia a otro.</w:t>
      </w:r>
      <w:bookmarkEnd w:id="461"/>
    </w:p>
    <w:p w14:paraId="3021AE83" w14:textId="77777777" w:rsidR="00E77C05" w:rsidRPr="00DC28B0" w:rsidRDefault="00E77C05" w:rsidP="00B62663">
      <w:pPr>
        <w:pStyle w:val="SingleTxtG"/>
        <w:rPr>
          <w:bCs/>
        </w:rPr>
      </w:pPr>
      <w:bookmarkStart w:id="462" w:name="lt_pId604"/>
      <w:r w:rsidRPr="00DC28B0">
        <w:t>122.</w:t>
      </w:r>
      <w:r w:rsidRPr="00DC28B0">
        <w:tab/>
      </w:r>
      <w:bookmarkStart w:id="463" w:name="lt_pId605"/>
      <w:bookmarkEnd w:id="462"/>
      <w:r w:rsidRPr="00DC28B0">
        <w:t xml:space="preserve">Los gobiernos </w:t>
      </w:r>
      <w:r w:rsidRPr="00DC28B0">
        <w:rPr>
          <w:bCs/>
        </w:rPr>
        <w:t>de las provincias y territorios también han ampliado el alcance y la cobertura de los servicios sanitarios:</w:t>
      </w:r>
      <w:bookmarkEnd w:id="463"/>
    </w:p>
    <w:p w14:paraId="1730946F" w14:textId="46583DB9" w:rsidR="00E77C05" w:rsidRPr="00DC28B0" w:rsidRDefault="00E77C05" w:rsidP="00AB5211">
      <w:pPr>
        <w:pStyle w:val="Bullet1G"/>
        <w:rPr>
          <w:rFonts w:eastAsiaTheme="minorEastAsia"/>
        </w:rPr>
      </w:pPr>
      <w:bookmarkStart w:id="464" w:name="lt_pId606"/>
      <w:r w:rsidRPr="00DC28B0">
        <w:rPr>
          <w:rFonts w:eastAsiaTheme="minorEastAsia"/>
        </w:rPr>
        <w:t>En varias provincias, los farmacéuticos han visto ampliadas recientemente sus funciones en el ámbito de la evaluación y prescripción para facilitar el acceso a la atención primaria y el tratamiento de dolencias comunes (dermatitis, impétigo, prevención de la enfermedad de Lyme, herpes labial, reflujo gastroesofágico, infecciones urinarias, etc.).</w:t>
      </w:r>
    </w:p>
    <w:p w14:paraId="3DBB2CAF" w14:textId="61BB2C5B" w:rsidR="00E77C05" w:rsidRPr="00DC28B0" w:rsidRDefault="00E77C05" w:rsidP="00AB5211">
      <w:pPr>
        <w:pStyle w:val="Bullet1G"/>
        <w:rPr>
          <w:rFonts w:eastAsiaTheme="minorEastAsia"/>
        </w:rPr>
      </w:pPr>
      <w:r w:rsidRPr="00DC28B0">
        <w:rPr>
          <w:rFonts w:eastAsiaTheme="minorEastAsia"/>
        </w:rPr>
        <w:t xml:space="preserve">En Ontario, en virtud de la Ley de Atención Sanitaria a la Población de 2019 se introdujeron los Equipos de Salud como un nuevo modelo para organizar, financiar y prestar atención sanitaria. </w:t>
      </w:r>
      <w:bookmarkStart w:id="465" w:name="lt_pId607"/>
      <w:bookmarkEnd w:id="464"/>
      <w:r w:rsidRPr="00DC28B0">
        <w:rPr>
          <w:rFonts w:eastAsiaTheme="minorEastAsia"/>
        </w:rPr>
        <w:t xml:space="preserve">Con ese modelo, se pretende alentar a los proveedores a mejorar la salud de toda una comunidad mediante la reducción de las disparidades entre los diferentes grupos de población. </w:t>
      </w:r>
      <w:bookmarkStart w:id="466" w:name="lt_pId608"/>
      <w:bookmarkEnd w:id="465"/>
      <w:r w:rsidRPr="00DC28B0">
        <w:rPr>
          <w:rFonts w:eastAsiaTheme="minorEastAsia"/>
        </w:rPr>
        <w:t>A través de ese modelo, los grupos de proveedores de atención médica trabajan en equipo para brindar una atención continua integral y coordinada a los pacientes, incluso si no forman parte de la misma organización o no se encuentran en la misma ubicación física.</w:t>
      </w:r>
      <w:bookmarkEnd w:id="466"/>
    </w:p>
    <w:p w14:paraId="50ADFE8E" w14:textId="26F4A430" w:rsidR="00E77C05" w:rsidRPr="00DC28B0" w:rsidRDefault="00E77C05" w:rsidP="00AB5211">
      <w:pPr>
        <w:pStyle w:val="Bullet1G"/>
        <w:rPr>
          <w:rFonts w:eastAsiaTheme="minorEastAsia"/>
        </w:rPr>
      </w:pPr>
      <w:bookmarkStart w:id="467" w:name="lt_pId609"/>
      <w:r w:rsidRPr="00DC28B0">
        <w:rPr>
          <w:rFonts w:eastAsiaTheme="minorEastAsia"/>
        </w:rPr>
        <w:t>Manitoba ha mejorado el acceso a la atención primaria mediante la implantación de la iniciativa “</w:t>
      </w:r>
      <w:proofErr w:type="spellStart"/>
      <w:r w:rsidRPr="00DC28B0">
        <w:rPr>
          <w:rFonts w:eastAsiaTheme="minorEastAsia"/>
        </w:rPr>
        <w:t>MyHealthTeams</w:t>
      </w:r>
      <w:proofErr w:type="spellEnd"/>
      <w:r w:rsidRPr="00DC28B0">
        <w:rPr>
          <w:rFonts w:eastAsiaTheme="minorEastAsia"/>
        </w:rPr>
        <w:t>”, redes de colaboración que planifican o mejoran el acceso a recursos de atención primaria nuevos o ya existentes, lo que ha permitido a los proveedores aumentar su capacidad en 43.756 pacientes.</w:t>
      </w:r>
      <w:bookmarkEnd w:id="467"/>
    </w:p>
    <w:p w14:paraId="3E0B6447" w14:textId="760E27CC" w:rsidR="00E77C05" w:rsidRPr="00DC28B0" w:rsidRDefault="00E77C05" w:rsidP="00AB5211">
      <w:pPr>
        <w:pStyle w:val="Bullet1G"/>
        <w:rPr>
          <w:rFonts w:eastAsiaTheme="minorEastAsia"/>
          <w:b/>
        </w:rPr>
      </w:pPr>
      <w:bookmarkStart w:id="468" w:name="lt_pId610"/>
      <w:r w:rsidRPr="00DC28B0">
        <w:rPr>
          <w:rFonts w:eastAsiaTheme="minorEastAsia"/>
        </w:rPr>
        <w:t>En 2021 se aumentó</w:t>
      </w:r>
      <w:r w:rsidRPr="00DC28B0">
        <w:t xml:space="preserve"> </w:t>
      </w:r>
      <w:r w:rsidRPr="00DC28B0">
        <w:rPr>
          <w:rFonts w:eastAsiaTheme="minorEastAsia"/>
        </w:rPr>
        <w:t>en Nueva Escocia el umbral de ingresos para la cobertura de los pacientes oncológicos con ingresos bajos en lo relativo a medicamentos recetados y gastos de viaje, que quedó establecido en 35.000 dólares al año.</w:t>
      </w:r>
      <w:bookmarkStart w:id="469" w:name="lt_pId611"/>
      <w:bookmarkEnd w:id="468"/>
    </w:p>
    <w:p w14:paraId="5612D7B3" w14:textId="0BAB4FDF" w:rsidR="00E77C05" w:rsidRPr="00DC28B0" w:rsidRDefault="00E77C05" w:rsidP="00AB5211">
      <w:pPr>
        <w:pStyle w:val="H1G"/>
      </w:pPr>
      <w:r>
        <w:tab/>
      </w:r>
      <w:r w:rsidR="00AB5211">
        <w:tab/>
      </w:r>
      <w:r w:rsidRPr="00DC28B0">
        <w:t>Respuesta al párrafo 24 de la lista de cuestiones</w:t>
      </w:r>
      <w:bookmarkEnd w:id="469"/>
    </w:p>
    <w:p w14:paraId="2BE9DB0D" w14:textId="4623DDDA" w:rsidR="00E77C05" w:rsidRPr="00DC28B0" w:rsidRDefault="00E77C05" w:rsidP="00AB5211">
      <w:pPr>
        <w:pStyle w:val="H23G"/>
      </w:pPr>
      <w:bookmarkStart w:id="470" w:name="lt_pId612"/>
      <w:r>
        <w:tab/>
      </w:r>
      <w:r w:rsidR="00AB5211">
        <w:tab/>
      </w:r>
      <w:r w:rsidRPr="00DC28B0">
        <w:t>Estrategia de Salud Mental del Canadá</w:t>
      </w:r>
      <w:bookmarkEnd w:id="470"/>
    </w:p>
    <w:p w14:paraId="45854036" w14:textId="77777777" w:rsidR="00E77C05" w:rsidRPr="00B62663" w:rsidRDefault="00E77C05" w:rsidP="00B62663">
      <w:pPr>
        <w:pStyle w:val="SingleTxtG"/>
      </w:pPr>
      <w:bookmarkStart w:id="471" w:name="lt_pId613"/>
      <w:r w:rsidRPr="00DC28B0">
        <w:t>123.</w:t>
      </w:r>
      <w:r w:rsidRPr="00DC28B0">
        <w:tab/>
      </w:r>
      <w:r w:rsidRPr="00DC28B0">
        <w:rPr>
          <w:bCs/>
        </w:rPr>
        <w:t xml:space="preserve">En 2015, la Comisión de Salud Mental del Canadá organizó una consulta con el fin de sentar las bases para acelerar </w:t>
      </w:r>
      <w:r w:rsidRPr="00B62663">
        <w:t xml:space="preserve">la aplicación de la Estrategia de Salud Mental del Canadá (2012) en los siguientes cinco años; la consulta culminó con la presentación en 2016 del documento titulado “Avance de la Estrategia de Salud Mental para el Canadá: Marco de Acción (2017-2022)”. </w:t>
      </w:r>
      <w:bookmarkStart w:id="472" w:name="lt_pId614"/>
      <w:bookmarkEnd w:id="471"/>
      <w:r w:rsidRPr="00B62663">
        <w:t xml:space="preserve">El objetivo principal del Marco era encontrar formas en las que la Comisión pudiera acelerar la aplicación de la Estrategia mediante la identificación de las esferas de actuación con un posible mayor impacto en un período de cinco años. </w:t>
      </w:r>
      <w:bookmarkStart w:id="473" w:name="lt_pId615"/>
      <w:bookmarkEnd w:id="472"/>
      <w:r w:rsidRPr="00B62663">
        <w:t xml:space="preserve">El Marco se basa en el principio de que las familias y los círculos de apoyo deben estar en el centro del cambio para las personas que viven con problemas y enfermedades de salud mental. </w:t>
      </w:r>
      <w:bookmarkStart w:id="474" w:name="lt_pId616"/>
      <w:bookmarkEnd w:id="473"/>
      <w:r w:rsidRPr="00B62663">
        <w:t>Su éxito depende del compromiso de quienes financian los servicios y establecen las políticas, así como de quienes regulan, acreditan, supervisan y prestan los servicios.</w:t>
      </w:r>
      <w:bookmarkEnd w:id="474"/>
    </w:p>
    <w:p w14:paraId="23FD4431" w14:textId="77777777" w:rsidR="00E77C05" w:rsidRPr="00DC28B0" w:rsidRDefault="00E77C05" w:rsidP="00B62663">
      <w:pPr>
        <w:pStyle w:val="SingleTxtG"/>
        <w:rPr>
          <w:bCs/>
        </w:rPr>
      </w:pPr>
      <w:bookmarkStart w:id="475" w:name="lt_pId617"/>
      <w:r w:rsidRPr="00DC28B0">
        <w:t>124.</w:t>
      </w:r>
      <w:r w:rsidRPr="00DC28B0">
        <w:tab/>
      </w:r>
      <w:r w:rsidRPr="00B62663">
        <w:t>Antes de la puesta en marcha de la Estrategia en 2009, tres provincias tenían estrategias o planes de acción integrales de</w:t>
      </w:r>
      <w:r w:rsidRPr="00DC28B0">
        <w:rPr>
          <w:bCs/>
        </w:rPr>
        <w:t xml:space="preserve"> salud mental: Columbia Británica, Terranova y Labrador, y Quebec. </w:t>
      </w:r>
      <w:bookmarkStart w:id="476" w:name="lt_pId618"/>
      <w:bookmarkEnd w:id="475"/>
      <w:r w:rsidRPr="00DC28B0">
        <w:rPr>
          <w:bCs/>
        </w:rPr>
        <w:t>En 2019, todas las provincias y territorios contaban con estrategias o planes de acción en materia de salud mental, todos ellos basados en gran medida en la Estrategia de Salud Mental del Canadá.</w:t>
      </w:r>
      <w:bookmarkEnd w:id="476"/>
    </w:p>
    <w:p w14:paraId="462DC6D8" w14:textId="6902C4BE" w:rsidR="00E77C05" w:rsidRPr="00DC28B0" w:rsidRDefault="00E77C05" w:rsidP="00AB5211">
      <w:pPr>
        <w:pStyle w:val="H23G"/>
      </w:pPr>
      <w:bookmarkStart w:id="477" w:name="lt_pId623"/>
      <w:r>
        <w:lastRenderedPageBreak/>
        <w:tab/>
      </w:r>
      <w:r w:rsidR="00AB5211">
        <w:tab/>
      </w:r>
      <w:r w:rsidRPr="00DC28B0">
        <w:t>Disponibilidad, accesibilidad y calidad de los servicios de salud mental</w:t>
      </w:r>
      <w:bookmarkEnd w:id="477"/>
    </w:p>
    <w:p w14:paraId="65322B67" w14:textId="77777777" w:rsidR="00E77C05" w:rsidRPr="00DC28B0" w:rsidRDefault="00E77C05" w:rsidP="00B62663">
      <w:pPr>
        <w:pStyle w:val="SingleTxtG"/>
      </w:pPr>
      <w:bookmarkStart w:id="478" w:name="lt_pId624"/>
      <w:r w:rsidRPr="00DC28B0">
        <w:t>125.</w:t>
      </w:r>
      <w:r w:rsidRPr="00DC28B0">
        <w:tab/>
      </w:r>
      <w:bookmarkStart w:id="479" w:name="lt_pId625"/>
      <w:bookmarkEnd w:id="478"/>
      <w:r w:rsidRPr="00DC28B0">
        <w:t>El Gobierno Federal y los gobiernos provinciales y territoriales han tomado medidas para garantizar que la salud mental se integre en la atención primaria de la salud y para abordar las disparidades entre la atención de la salud física y mental en términos de disponibilidad, accesibilidad y calidad de los servicios:</w:t>
      </w:r>
      <w:bookmarkEnd w:id="479"/>
    </w:p>
    <w:p w14:paraId="50B7ED94" w14:textId="202416FD" w:rsidR="00E77C05" w:rsidRPr="00DC28B0" w:rsidRDefault="00E77C05" w:rsidP="00AB5211">
      <w:pPr>
        <w:pStyle w:val="Bullet1G"/>
        <w:rPr>
          <w:rFonts w:eastAsiaTheme="minorEastAsia"/>
        </w:rPr>
      </w:pPr>
      <w:bookmarkStart w:id="480" w:name="lt_pId628"/>
      <w:r w:rsidRPr="00DC28B0">
        <w:rPr>
          <w:rFonts w:eastAsiaTheme="minorEastAsia"/>
        </w:rPr>
        <w:t>A través de acuerdos bilaterales con las provincias y territorios concertados a partir de 2017, el Gobierno del Canadá les proporcionará 5.000 millones de dólares a lo largo de diez años para abordar las prioridades sanitarias compartidas relacionadas con la salud mental y los problemas de salud generados por el consumo de sustancias. La integración de la salud mental y el consumo de sustancias tóxicas en la atención primaria es una de las tres esferas principales en las que se centra esta financiación.</w:t>
      </w:r>
    </w:p>
    <w:p w14:paraId="3B221478" w14:textId="42CFC47F" w:rsidR="00E77C05" w:rsidRPr="00DC28B0" w:rsidRDefault="00E77C05" w:rsidP="00AB5211">
      <w:pPr>
        <w:pStyle w:val="Bullet1G"/>
        <w:rPr>
          <w:rFonts w:eastAsiaTheme="minorEastAsia"/>
        </w:rPr>
      </w:pPr>
      <w:r w:rsidRPr="00DC28B0">
        <w:rPr>
          <w:rFonts w:eastAsiaTheme="minorEastAsia"/>
        </w:rPr>
        <w:t xml:space="preserve">Desde 2018, Columbia Británica ha tomado medidas para integrar la salud mental en la atención primaria de la salud a través de una estrategia transformadora de atención primaria basada en equipos. </w:t>
      </w:r>
      <w:bookmarkStart w:id="481" w:name="lt_pId629"/>
      <w:bookmarkEnd w:id="480"/>
      <w:r w:rsidRPr="00DC28B0">
        <w:rPr>
          <w:rFonts w:eastAsiaTheme="minorEastAsia"/>
        </w:rPr>
        <w:t xml:space="preserve">Para hacer frente a las disparidades en cuanto a la disponibilidad, la accesibilidad y la calidad de los servicios de salud física y mental, la atención primaria basada en equipos se está prestando a través de una serie de modelos diferentes. </w:t>
      </w:r>
      <w:bookmarkStart w:id="482" w:name="lt_pId630"/>
      <w:bookmarkEnd w:id="481"/>
      <w:r w:rsidRPr="00DC28B0">
        <w:rPr>
          <w:rFonts w:eastAsiaTheme="minorEastAsia"/>
        </w:rPr>
        <w:t>Todos los proveedores de atención primaria de una zona geográfica determinada se reúnen en redes locales para coordinar y aprovechar la labor de los encargados de prestar servicios nuevos y existentes con el fin de satisfacer mejor las necesidades de los ciudadanos.</w:t>
      </w:r>
      <w:bookmarkEnd w:id="482"/>
    </w:p>
    <w:p w14:paraId="257800EF" w14:textId="049005AC" w:rsidR="00E77C05" w:rsidRPr="00DC28B0" w:rsidRDefault="00E77C05" w:rsidP="00AB5211">
      <w:pPr>
        <w:pStyle w:val="H23G"/>
      </w:pPr>
      <w:bookmarkStart w:id="483" w:name="lt_pId631"/>
      <w:r>
        <w:tab/>
      </w:r>
      <w:r w:rsidR="00AB5211">
        <w:tab/>
      </w:r>
      <w:r w:rsidRPr="00DC28B0">
        <w:t>Alta proporción de mujeres con enfermedades mentales en las prisiones de</w:t>
      </w:r>
      <w:r w:rsidR="00AB5211">
        <w:t> </w:t>
      </w:r>
      <w:r w:rsidRPr="00DC28B0">
        <w:t>máxima</w:t>
      </w:r>
      <w:r w:rsidR="00AB5211">
        <w:t> </w:t>
      </w:r>
      <w:r w:rsidRPr="00DC28B0">
        <w:t xml:space="preserve">seguridad </w:t>
      </w:r>
      <w:bookmarkEnd w:id="483"/>
    </w:p>
    <w:p w14:paraId="07C8934A" w14:textId="36A65A7F" w:rsidR="00E77C05" w:rsidRPr="00DC28B0" w:rsidRDefault="00E77C05" w:rsidP="00B62663">
      <w:pPr>
        <w:pStyle w:val="SingleTxtG"/>
      </w:pPr>
      <w:bookmarkStart w:id="484" w:name="lt_pId632"/>
      <w:r w:rsidRPr="00DC28B0">
        <w:t>126.</w:t>
      </w:r>
      <w:r w:rsidRPr="00DC28B0">
        <w:tab/>
        <w:t xml:space="preserve">El Gobierno del Canadá ha tomado medidas para abordar el problema de la elevada proporción de mujeres con trastornos mentales entre las internas de las prisiones de máxima seguridad. </w:t>
      </w:r>
      <w:bookmarkStart w:id="485" w:name="lt_pId633"/>
      <w:bookmarkEnd w:id="484"/>
      <w:r w:rsidRPr="00DC28B0">
        <w:t xml:space="preserve">De hecho, la Estrategia de Intervención Intensiva en las Instituciones de Mujeres fue modificada en 2019 en respuesta a una recomendación de la Oficina de Servicios Penitenciarios relativa a la categorización de los niveles de traslado desde la Unidad de </w:t>
      </w:r>
      <w:r w:rsidRPr="00DC28B0">
        <w:rPr>
          <w:bCs/>
        </w:rPr>
        <w:t>Seguridad de Régimen Cerrado</w:t>
      </w:r>
      <w:r w:rsidRPr="00DC28B0">
        <w:t xml:space="preserve">. </w:t>
      </w:r>
      <w:bookmarkStart w:id="486" w:name="lt_pId634"/>
      <w:bookmarkEnd w:id="485"/>
      <w:r w:rsidRPr="00DC28B0">
        <w:t xml:space="preserve">Denominado ahora “Plan de Traslados para la Reinserción en la Población General”, la revisión y seguimiento de los niveles de traslado de las mujeres alojadas en unidades de seguridad se ha hecho más frecuente. </w:t>
      </w:r>
      <w:bookmarkStart w:id="487" w:name="lt_pId635"/>
      <w:bookmarkEnd w:id="486"/>
      <w:r w:rsidRPr="00DC28B0">
        <w:t xml:space="preserve">Otro requisito es la evaluación continua de las reclusas de máxima seguridad. </w:t>
      </w:r>
      <w:bookmarkStart w:id="488" w:name="lt_pId636"/>
      <w:bookmarkEnd w:id="487"/>
      <w:r w:rsidRPr="00DC28B0">
        <w:t xml:space="preserve">Un equipo interdisciplinar formado por representantes de los servicios de seguridad, intervención y salud mental se reúne cada </w:t>
      </w:r>
      <w:r w:rsidR="00E2432F">
        <w:t>15 </w:t>
      </w:r>
      <w:r w:rsidRPr="00DC28B0">
        <w:t xml:space="preserve">días para analizar cada caso, con el fin de garantizar que los riesgos que presenta cada reclusa se comprenden y gestionan en todo momento. </w:t>
      </w:r>
      <w:bookmarkStart w:id="489" w:name="lt_pId637"/>
      <w:bookmarkEnd w:id="488"/>
      <w:r w:rsidRPr="00DC28B0">
        <w:t xml:space="preserve">El equipo interdisciplinar revisa y determina los movimientos de entrada y salida de las unidades de seguridad, las intervenciones y programas, las actividades de ocio y las escoltas. </w:t>
      </w:r>
      <w:bookmarkStart w:id="490" w:name="lt_pId638"/>
      <w:bookmarkEnd w:id="489"/>
      <w:r w:rsidRPr="00DC28B0">
        <w:t>Esa evaluación se registra en el Plan de Traslados para la Reinserción en la Población General.</w:t>
      </w:r>
      <w:bookmarkEnd w:id="490"/>
    </w:p>
    <w:p w14:paraId="34C735C8" w14:textId="24364EDC" w:rsidR="00E77C05" w:rsidRPr="00DC28B0" w:rsidRDefault="00E77C05" w:rsidP="00AB5211">
      <w:pPr>
        <w:pStyle w:val="H23G"/>
      </w:pPr>
      <w:bookmarkStart w:id="491" w:name="lt_pId639"/>
      <w:r>
        <w:tab/>
      </w:r>
      <w:r w:rsidR="00AB5211">
        <w:tab/>
      </w:r>
      <w:r w:rsidRPr="00DC28B0">
        <w:t>Incidencia del suicidio en el Estado parte</w:t>
      </w:r>
      <w:bookmarkEnd w:id="491"/>
    </w:p>
    <w:p w14:paraId="59670076" w14:textId="77777777" w:rsidR="00E77C05" w:rsidRPr="00DC28B0" w:rsidRDefault="00E77C05" w:rsidP="00B62663">
      <w:pPr>
        <w:pStyle w:val="SingleTxtG"/>
      </w:pPr>
      <w:bookmarkStart w:id="492" w:name="lt_pId640"/>
      <w:r w:rsidRPr="00DC28B0">
        <w:t>127.</w:t>
      </w:r>
      <w:r w:rsidRPr="00DC28B0">
        <w:tab/>
        <w:t xml:space="preserve">Entre 2017 y 2019, aproximadamente 4.500 personas murieron por suicidio cada año en el Canadá. Eso </w:t>
      </w:r>
      <w:r w:rsidRPr="00DC28B0">
        <w:rPr>
          <w:bCs/>
        </w:rPr>
        <w:t xml:space="preserve">equivale a un </w:t>
      </w:r>
      <w:r w:rsidRPr="00B62663">
        <w:t xml:space="preserve">promedio de </w:t>
      </w:r>
      <w:r w:rsidRPr="00DC28B0">
        <w:t>12 muertes por suicidio cada día. En 2019, el suicidio fue la novena causa de muerte entre los canadienses, y la segunda causa de muerte entre las personas de 15 a 34 años, solo por detrás de las lesiones no intencionadas. Las tasas de suicidio son aproximadamente tres veces más altas entre los hombres que entre las mujeres.</w:t>
      </w:r>
    </w:p>
    <w:p w14:paraId="5F89A1A8" w14:textId="77777777" w:rsidR="00E77C05" w:rsidRPr="00DC28B0" w:rsidRDefault="00E77C05" w:rsidP="00B62663">
      <w:pPr>
        <w:pStyle w:val="SingleTxtG"/>
      </w:pPr>
      <w:r w:rsidRPr="00DC28B0">
        <w:t>128.</w:t>
      </w:r>
      <w:r w:rsidRPr="00DC28B0">
        <w:tab/>
        <w:t xml:space="preserve">Las tasas de suicidio suelen ser superiores a la media nacional en las provincias y territorios con mayor </w:t>
      </w:r>
      <w:r w:rsidRPr="00B62663">
        <w:t>población indígena</w:t>
      </w:r>
      <w:r w:rsidRPr="00DC28B0">
        <w:t>. En 2019, por ejemplo, la tasa de suicidio fue de 82,8 por cada 100.000 personas en Nunavut y de 16,8 por 100.000 en los Territorios del Noroeste, en comparación con una media nacional de 12,1 por 100.000 en el conjunto del país.</w:t>
      </w:r>
      <w:bookmarkEnd w:id="492"/>
    </w:p>
    <w:p w14:paraId="3E0B8E5C" w14:textId="104FCE97" w:rsidR="00E77C05" w:rsidRPr="00DC28B0" w:rsidRDefault="00E77C05" w:rsidP="00B62663">
      <w:pPr>
        <w:pStyle w:val="SingleTxtG"/>
      </w:pPr>
      <w:bookmarkStart w:id="493" w:name="lt_pId645"/>
      <w:r w:rsidRPr="00DC28B0">
        <w:t>129.</w:t>
      </w:r>
      <w:r w:rsidRPr="00DC28B0">
        <w:tab/>
        <w:t xml:space="preserve">Un informe federal de 2019 sobre las tasas de suicidio de las Primeras Naciones, los </w:t>
      </w:r>
      <w:proofErr w:type="spellStart"/>
      <w:r w:rsidRPr="00DC28B0">
        <w:t>métis</w:t>
      </w:r>
      <w:proofErr w:type="spellEnd"/>
      <w:r w:rsidRPr="00DC28B0">
        <w:t xml:space="preserve"> y los inuit (2011 a 2016) reveló que la tasa de suicidio de las Primeras Naciones (24,3</w:t>
      </w:r>
      <w:r w:rsidR="00E2432F">
        <w:t> </w:t>
      </w:r>
      <w:r w:rsidRPr="00DC28B0">
        <w:t xml:space="preserve">muertes por cada 100.000 personas al año) era tres veces superior a la tasa de suicidio de los no indígenas (8,0 muertes por cada 100.000 personas al año). </w:t>
      </w:r>
      <w:bookmarkStart w:id="494" w:name="lt_pId646"/>
      <w:bookmarkEnd w:id="493"/>
      <w:r w:rsidRPr="00DC28B0">
        <w:t xml:space="preserve">Entre las personas de las Primeras Naciones que vivían en las reservas, la tasa era aproximadamente el doble que entre </w:t>
      </w:r>
      <w:r w:rsidRPr="00DC28B0">
        <w:lastRenderedPageBreak/>
        <w:t xml:space="preserve">las que vivían fuera de ellas. </w:t>
      </w:r>
      <w:bookmarkStart w:id="495" w:name="lt_pId647"/>
      <w:bookmarkEnd w:id="494"/>
      <w:r w:rsidRPr="00DC28B0">
        <w:t xml:space="preserve">Las tasas de suicidio varían entre las comunidades de las Primeras Naciones, donde algo más del 60 % de las comunidades tenían una tasa de suicidio cero. </w:t>
      </w:r>
      <w:bookmarkStart w:id="496" w:name="lt_pId648"/>
      <w:bookmarkEnd w:id="495"/>
      <w:r w:rsidRPr="00DC28B0">
        <w:t xml:space="preserve">La tasa entre los </w:t>
      </w:r>
      <w:proofErr w:type="spellStart"/>
      <w:r w:rsidRPr="00DC28B0">
        <w:t>métis</w:t>
      </w:r>
      <w:proofErr w:type="spellEnd"/>
      <w:r w:rsidRPr="00DC28B0">
        <w:t xml:space="preserve"> (14,7 muertes por cada 100.000 personas al año) era aproximadamente el doble que la de los no indígenas. </w:t>
      </w:r>
      <w:bookmarkStart w:id="497" w:name="lt_pId649"/>
      <w:bookmarkEnd w:id="496"/>
      <w:r w:rsidRPr="00DC28B0">
        <w:t xml:space="preserve">Entre los inuit, la tasa era unas nueve veces mayor que entre los no indígenas (72,3 muertes por cada 100.000 personas al año). </w:t>
      </w:r>
      <w:bookmarkStart w:id="498" w:name="lt_pId650"/>
      <w:bookmarkEnd w:id="497"/>
      <w:r w:rsidRPr="00DC28B0">
        <w:t>Las tasas de suicidio y las disparidades eran mayores entre los niños, jóvenes y adultos jóvenes (de 15 a 24 años) entre los hombres de las Primeras Naciones y los hombres y mujeres inuit.</w:t>
      </w:r>
      <w:bookmarkEnd w:id="498"/>
    </w:p>
    <w:p w14:paraId="5C614194" w14:textId="527C0A50" w:rsidR="00E77C05" w:rsidRPr="00DC28B0" w:rsidRDefault="00E77C05" w:rsidP="00AB5211">
      <w:pPr>
        <w:pStyle w:val="H23G"/>
      </w:pPr>
      <w:bookmarkStart w:id="499" w:name="lt_pId651"/>
      <w:r>
        <w:tab/>
      </w:r>
      <w:r w:rsidR="00AB5211">
        <w:tab/>
      </w:r>
      <w:r w:rsidRPr="00DC28B0">
        <w:t>El suicidio entre los jóvenes indígenas</w:t>
      </w:r>
      <w:bookmarkEnd w:id="499"/>
    </w:p>
    <w:p w14:paraId="1A1DA2A9" w14:textId="77777777" w:rsidR="00E77C05" w:rsidRPr="00DC28B0" w:rsidRDefault="00E77C05" w:rsidP="00B62663">
      <w:pPr>
        <w:pStyle w:val="SingleTxtG"/>
      </w:pPr>
      <w:bookmarkStart w:id="500" w:name="lt_pId652"/>
      <w:r w:rsidRPr="00DC28B0">
        <w:t>130.</w:t>
      </w:r>
      <w:r w:rsidRPr="00DC28B0">
        <w:tab/>
      </w:r>
      <w:bookmarkStart w:id="501" w:name="lt_pId653"/>
      <w:bookmarkEnd w:id="500"/>
      <w:r w:rsidRPr="00DC28B0">
        <w:rPr>
          <w:bCs/>
        </w:rPr>
        <w:t xml:space="preserve">El </w:t>
      </w:r>
      <w:r w:rsidRPr="00DC28B0">
        <w:t>Gobierno Federal y los</w:t>
      </w:r>
      <w:r w:rsidRPr="00DC28B0">
        <w:rPr>
          <w:bCs/>
        </w:rPr>
        <w:t xml:space="preserve"> gobiernos provinciales y territoriales</w:t>
      </w:r>
      <w:r w:rsidRPr="00DC28B0">
        <w:t xml:space="preserve"> </w:t>
      </w:r>
      <w:r w:rsidRPr="00DC28B0">
        <w:rPr>
          <w:bCs/>
        </w:rPr>
        <w:t xml:space="preserve">están </w:t>
      </w:r>
      <w:r w:rsidRPr="00DC28B0">
        <w:t>tomando medidas para hacer frente a la alta incidencia de suicidios entre los jóvenes indígenas:</w:t>
      </w:r>
      <w:bookmarkEnd w:id="501"/>
    </w:p>
    <w:p w14:paraId="7DF5E357" w14:textId="3FE69F8E" w:rsidR="00E77C05" w:rsidRPr="00DC28B0" w:rsidRDefault="00E77C05" w:rsidP="00AB5211">
      <w:pPr>
        <w:pStyle w:val="Bullet1G"/>
        <w:rPr>
          <w:rFonts w:eastAsiaTheme="minorEastAsia"/>
        </w:rPr>
      </w:pPr>
      <w:bookmarkStart w:id="502" w:name="lt_pId654"/>
      <w:r w:rsidRPr="00DC28B0">
        <w:rPr>
          <w:rFonts w:eastAsiaTheme="minorEastAsia"/>
        </w:rPr>
        <w:t xml:space="preserve">El Gobierno del Canadá ha realizado inversiones para mejorar el bienestar mental en las comunidades indígenas, incluidas inversiones en pro de la prevención del suicidio y la promoción de la vida. </w:t>
      </w:r>
      <w:bookmarkStart w:id="503" w:name="lt_pId655"/>
      <w:bookmarkEnd w:id="502"/>
      <w:r w:rsidRPr="00DC28B0">
        <w:rPr>
          <w:rFonts w:eastAsiaTheme="minorEastAsia"/>
        </w:rPr>
        <w:t xml:space="preserve">El Gobierno apoya la aplicación del Marco Continuo de Bienestar Mental de las Primeras Naciones, “Aprovechar nuestra fortaleza”, y la Estrategia Nacional Inuit de Prevención del Suicidio, así como iniciativas como la Línea de la Esperanza para el Bienestar, que proporciona a las Primeras Naciones, los </w:t>
      </w:r>
      <w:proofErr w:type="spellStart"/>
      <w:r w:rsidRPr="00DC28B0">
        <w:rPr>
          <w:rFonts w:eastAsiaTheme="minorEastAsia"/>
        </w:rPr>
        <w:t>métis</w:t>
      </w:r>
      <w:proofErr w:type="spellEnd"/>
      <w:r w:rsidRPr="00DC28B0">
        <w:rPr>
          <w:rFonts w:eastAsiaTheme="minorEastAsia"/>
        </w:rPr>
        <w:t xml:space="preserve"> y los inuit apoyo telefónico inmediato y culturalmente seguro en momentos de crisis, 24 horas al día, siete días a la semana, en inglés y francés y, previa solicitud, en lenguas cree, </w:t>
      </w:r>
      <w:proofErr w:type="spellStart"/>
      <w:r w:rsidRPr="00DC28B0">
        <w:rPr>
          <w:rFonts w:eastAsiaTheme="minorEastAsia"/>
        </w:rPr>
        <w:t>ojibway</w:t>
      </w:r>
      <w:proofErr w:type="spellEnd"/>
      <w:r w:rsidRPr="00DC28B0">
        <w:rPr>
          <w:rFonts w:eastAsiaTheme="minorEastAsia"/>
        </w:rPr>
        <w:t xml:space="preserve"> e inuktitut.</w:t>
      </w:r>
      <w:bookmarkEnd w:id="503"/>
    </w:p>
    <w:p w14:paraId="5D1F786A" w14:textId="1846769E" w:rsidR="00E77C05" w:rsidRPr="00DC28B0" w:rsidRDefault="00E77C05" w:rsidP="00E2432F">
      <w:pPr>
        <w:pStyle w:val="Bullet1G"/>
        <w:rPr>
          <w:rFonts w:eastAsiaTheme="minorEastAsia"/>
        </w:rPr>
      </w:pPr>
      <w:bookmarkStart w:id="504" w:name="lt_pId656"/>
      <w:r w:rsidRPr="00DC28B0">
        <w:rPr>
          <w:rFonts w:eastAsiaTheme="minorEastAsia"/>
        </w:rPr>
        <w:t xml:space="preserve">En el marco del programa de Alberta denominado “Honrar la vida: programa de prevención del suicidio de jóvenes indígenas” se proporciona financiación comunitaria a todas las comunidades de Primeras Naciones y </w:t>
      </w:r>
      <w:proofErr w:type="spellStart"/>
      <w:r w:rsidRPr="00DC28B0">
        <w:rPr>
          <w:rFonts w:eastAsiaTheme="minorEastAsia"/>
        </w:rPr>
        <w:t>métis</w:t>
      </w:r>
      <w:proofErr w:type="spellEnd"/>
      <w:r w:rsidRPr="00DC28B0">
        <w:rPr>
          <w:rFonts w:eastAsiaTheme="minorEastAsia"/>
        </w:rPr>
        <w:t xml:space="preserve"> para fomentar la resiliencia, la capacitación y los enfoques globales del bienestar que sean culturalmente apropiados para abordar los factores de riesgo y de protección, y para desarrollar la capacidad de la comunidad para ayudar a los jóvenes indígenas a abordar cuestiones como el suicidio, las ideas suicidas, el bienestar mental, las aptitudes para la vida y el abuso de sustancias.</w:t>
      </w:r>
      <w:bookmarkEnd w:id="504"/>
    </w:p>
    <w:p w14:paraId="1B5B656F" w14:textId="062358D9" w:rsidR="00E77C05" w:rsidRPr="00DC28B0" w:rsidRDefault="00AB5211" w:rsidP="00AB5211">
      <w:pPr>
        <w:pStyle w:val="H23G"/>
      </w:pPr>
      <w:bookmarkStart w:id="505" w:name="lt_pId657"/>
      <w:r>
        <w:tab/>
      </w:r>
      <w:r w:rsidR="00E77C05">
        <w:tab/>
      </w:r>
      <w:r w:rsidR="00E77C05" w:rsidRPr="00DC28B0">
        <w:t xml:space="preserve">Legislación nacional sobre las drogas y Estrategia </w:t>
      </w:r>
      <w:bookmarkEnd w:id="505"/>
      <w:r w:rsidR="003E04CA" w:rsidRPr="00DC28B0">
        <w:t>Nacional de Lucha Contra las</w:t>
      </w:r>
      <w:r w:rsidR="003E04CA">
        <w:t> </w:t>
      </w:r>
      <w:r w:rsidR="003E04CA" w:rsidRPr="00DC28B0">
        <w:t>Drogas</w:t>
      </w:r>
    </w:p>
    <w:p w14:paraId="1C4F0E85" w14:textId="77777777" w:rsidR="00E77C05" w:rsidRPr="00DC28B0" w:rsidRDefault="00E77C05" w:rsidP="00B62663">
      <w:pPr>
        <w:pStyle w:val="SingleTxtG"/>
      </w:pPr>
      <w:bookmarkStart w:id="506" w:name="lt_pId658"/>
      <w:r w:rsidRPr="00DC28B0">
        <w:t>131.</w:t>
      </w:r>
      <w:r w:rsidRPr="00DC28B0">
        <w:tab/>
      </w:r>
      <w:r w:rsidRPr="00DC28B0">
        <w:rPr>
          <w:bCs/>
        </w:rPr>
        <w:t xml:space="preserve">Desde 2016, </w:t>
      </w:r>
      <w:r w:rsidRPr="00DC28B0">
        <w:t xml:space="preserve">la Estrategia sobre Drogas y Sustancias del Canadá ha guiado al Gobierno en la lucha contra los daños asociados al consumo de sustancias. </w:t>
      </w:r>
      <w:bookmarkStart w:id="507" w:name="lt_pId659"/>
      <w:bookmarkEnd w:id="506"/>
      <w:r w:rsidRPr="00DC28B0">
        <w:t xml:space="preserve">En el marco de esa Estrategia, que sustituye a la Estrategia Nacional de Lucha Contra las Drogas, se adopta un enfoque de salud pública y se establece un marco de actuación empírico para proteger la salud y la seguridad de los ciudadanos. Reconociendo la necesidad de adoptar un enfoque global para salvar vidas, en el marco de la Estrategia se presta apoyo a todas las medidas empíricas encaminadas a reducir los daños asociados al consumo de sustancias en el país. </w:t>
      </w:r>
      <w:bookmarkStart w:id="508" w:name="lt_pId660"/>
      <w:bookmarkEnd w:id="507"/>
      <w:r w:rsidRPr="00DC28B0">
        <w:t>La Estrategia se basa en cuatro pilares fundamentales: prevención, tratamiento, reducción de daños y aplicación de la ley.</w:t>
      </w:r>
      <w:bookmarkEnd w:id="508"/>
    </w:p>
    <w:p w14:paraId="1FECCAD4" w14:textId="7CC82106" w:rsidR="00E77C05" w:rsidRPr="00DC28B0" w:rsidRDefault="00E77C05" w:rsidP="00AB5211">
      <w:pPr>
        <w:pStyle w:val="H23G"/>
      </w:pPr>
      <w:r>
        <w:tab/>
      </w:r>
      <w:r w:rsidR="00AB5211">
        <w:tab/>
      </w:r>
      <w:r w:rsidRPr="00DC28B0">
        <w:t xml:space="preserve">Lucha contra las muertes relacionadas con los opiáceos </w:t>
      </w:r>
    </w:p>
    <w:p w14:paraId="5A2DD791" w14:textId="77777777" w:rsidR="00E77C05" w:rsidRPr="00DC28B0" w:rsidRDefault="00E77C05" w:rsidP="00B62663">
      <w:pPr>
        <w:pStyle w:val="SingleTxtG"/>
      </w:pPr>
      <w:bookmarkStart w:id="509" w:name="lt_pId662"/>
      <w:r w:rsidRPr="00DC28B0">
        <w:t>132.</w:t>
      </w:r>
      <w:r w:rsidRPr="00DC28B0">
        <w:tab/>
        <w:t xml:space="preserve">El Gobierno del Canadá reconoce que el consumo de sustancias es un problema de salud pública y trabaja con todos los niveles de gobierno, la comunidad médica, los funcionarios de salud pública, las fuerzas del </w:t>
      </w:r>
      <w:r w:rsidRPr="00DC28B0">
        <w:rPr>
          <w:bCs/>
        </w:rPr>
        <w:t>orden</w:t>
      </w:r>
      <w:r w:rsidRPr="00DC28B0">
        <w:t>, los Pueblos Indígenas y otros grupos interesados, incluidas las personas con experiencia vital en la materia, para fortalecer el enfoque del consumo de sustancias del Canadá basado en la salud pública.</w:t>
      </w:r>
    </w:p>
    <w:p w14:paraId="2BB3CA7E" w14:textId="77777777" w:rsidR="00E77C05" w:rsidRPr="00DC28B0" w:rsidRDefault="00E77C05" w:rsidP="00B62663">
      <w:pPr>
        <w:pStyle w:val="SingleTxtG"/>
      </w:pPr>
      <w:r w:rsidRPr="00DC28B0">
        <w:t>133.</w:t>
      </w:r>
      <w:r w:rsidRPr="00DC28B0">
        <w:tab/>
        <w:t xml:space="preserve">En el Canadá, la financiación prestación de los servicios de tratamiento suele ser competencia de las autoridades provinciales y territoriales. El Gobierno federal se ha centrado en facilitar el acceso a las opciones de tratamiento de base científica mediante la financiación con transferencias bilaterales a las provincias y territorios, como el Fondo de Tratamiento de Emergencia, a través del cual se proporcionó la suma de 150 millones de dólares como apoyo directo a la mejora del acceso al tratamiento del consumo de sustancias con opciones de base científica. El Gobierno también apoya iniciativas de tratamiento innovadoras a nivel comunitario a través </w:t>
      </w:r>
      <w:r w:rsidRPr="00DC28B0">
        <w:rPr>
          <w:bCs/>
        </w:rPr>
        <w:t xml:space="preserve">del Programa de </w:t>
      </w:r>
      <w:r w:rsidRPr="00DC28B0">
        <w:t xml:space="preserve">Consumo y Dependencia de Sustancias de los Servicios de Salud del Canadá, y ha eliminado las barreras normativas para </w:t>
      </w:r>
      <w:r w:rsidRPr="00DC28B0">
        <w:lastRenderedPageBreak/>
        <w:t>acceder a los medicamentos para el tratamiento de los trastornos derivados del consumo de opiáceos.</w:t>
      </w:r>
    </w:p>
    <w:p w14:paraId="2B6BFE12" w14:textId="77777777" w:rsidR="00E77C05" w:rsidRPr="00DC28B0" w:rsidRDefault="00E77C05" w:rsidP="00B62663">
      <w:pPr>
        <w:pStyle w:val="SingleTxtG"/>
      </w:pPr>
      <w:r w:rsidRPr="00DC28B0">
        <w:t>134.</w:t>
      </w:r>
      <w:r w:rsidRPr="00DC28B0">
        <w:tab/>
        <w:t xml:space="preserve">El Gobierno también trabaja para que los canadienses puedan </w:t>
      </w:r>
      <w:r w:rsidRPr="00DC28B0">
        <w:rPr>
          <w:bCs/>
        </w:rPr>
        <w:t>disponer</w:t>
      </w:r>
      <w:r w:rsidRPr="00DC28B0">
        <w:t xml:space="preserve"> de una serie de servicios de reducción de daños a través del Programa de Consumo y Dependencia de Sustancias, facilitando el acceso a un fármaco vital, la naloxona, y concediendo exenciones de las disposiciones la Ley de Drogas y Sustancias Controladas para facilitar el establecimiento de lugares de consumo supervisado.</w:t>
      </w:r>
    </w:p>
    <w:p w14:paraId="68FEB827" w14:textId="77777777" w:rsidR="00E77C05" w:rsidRPr="00DC28B0" w:rsidRDefault="00E77C05" w:rsidP="00B62663">
      <w:pPr>
        <w:pStyle w:val="SingleTxtG"/>
      </w:pPr>
      <w:r w:rsidRPr="00DC28B0">
        <w:t>135.</w:t>
      </w:r>
      <w:r w:rsidRPr="00DC28B0">
        <w:tab/>
        <w:t>El Gobierno del Canadá también está trabajando con las partes interesadas para reducir la estigmatización de las personas que consumen drogas (por ejemplo, mediante campañas de sensibilización pública), que dificulta el acceso a los servicios sanitarios y sociales esenciales y a menudo conduce al aislamiento social y agrava el riesgo de sufrir daños. Además, el Gobierno sigue combatiendo la producción y el tráfico ilegales, centrándose en la delincuencia organizada, y lleva a cabo actividades adicionales de vigilancia e investigación que servirán para reforzar la base empírica que ha de contribuir a la búsqueda de soluciones innovadoras a esa crisis de salud pública.</w:t>
      </w:r>
    </w:p>
    <w:bookmarkEnd w:id="509"/>
    <w:p w14:paraId="0EEB922D" w14:textId="24A7EFF9" w:rsidR="00E77C05" w:rsidRPr="00DC28B0" w:rsidRDefault="00E77C05" w:rsidP="00AB5211">
      <w:pPr>
        <w:pStyle w:val="H23G"/>
      </w:pPr>
      <w:r>
        <w:tab/>
      </w:r>
      <w:r w:rsidR="00AB5211">
        <w:tab/>
      </w:r>
      <w:r w:rsidRPr="00DC28B0">
        <w:t xml:space="preserve">Legislación sobre el cannabis </w:t>
      </w:r>
    </w:p>
    <w:p w14:paraId="7E53924C" w14:textId="77777777" w:rsidR="00E77C05" w:rsidRPr="00DC28B0" w:rsidRDefault="00E77C05" w:rsidP="00B62663">
      <w:pPr>
        <w:pStyle w:val="SingleTxtG"/>
      </w:pPr>
      <w:bookmarkStart w:id="510" w:name="lt_pId669"/>
      <w:r w:rsidRPr="00DC28B0">
        <w:t>136.</w:t>
      </w:r>
      <w:r w:rsidRPr="00DC28B0">
        <w:tab/>
        <w:t xml:space="preserve">El objetivo del Gobierno del Canadá al legalizar, reglamentar estrictamente y restringir el acceso al cannabis es mantenerlo fuera del alcance de los jóvenes canadienses e impedir que la delincuencia organizada siga lucrándose con el mercado ilegal. </w:t>
      </w:r>
      <w:bookmarkStart w:id="511" w:name="lt_pId670"/>
      <w:bookmarkEnd w:id="510"/>
      <w:r w:rsidRPr="00DC28B0">
        <w:t>Con la Ley sobre el Cannabis se ha creado un marco de control para proteger la salud y la seguridad públicas estableciendo una serie de controles exhaustivos que rigen la producción, distribución, venta y posesión de cannabis.</w:t>
      </w:r>
      <w:bookmarkEnd w:id="511"/>
    </w:p>
    <w:p w14:paraId="67207886" w14:textId="77777777" w:rsidR="00E77C05" w:rsidRPr="00DC28B0" w:rsidRDefault="00E77C05" w:rsidP="00B62663">
      <w:pPr>
        <w:pStyle w:val="SingleTxtG"/>
      </w:pPr>
      <w:bookmarkStart w:id="512" w:name="lt_pId671"/>
      <w:r w:rsidRPr="00DC28B0">
        <w:t>137.</w:t>
      </w:r>
      <w:r w:rsidRPr="00DC28B0">
        <w:tab/>
        <w:t>Las observaciones preliminares tras la promulgación del marco de control del cannabis en el Canadá sugieren que se ha avanzado en la consecución de los objetivos de salud pública y seguridad establecidos por el Gobierno. Los datos procedentes de múltiples fuentes indican que</w:t>
      </w:r>
      <w:r w:rsidRPr="00DC28B0">
        <w:rPr>
          <w:bCs/>
        </w:rPr>
        <w:t xml:space="preserve">, desde la </w:t>
      </w:r>
      <w:r w:rsidRPr="00DC28B0">
        <w:t>legalización, el consumo de cannabis en el último año ha aumentado entre la población en general, manteniendo la tendencia anterior a la legalización, mientras que la proporción de personas que lo consumen a diario o casi a diario, así como el consumo entre los jóvenes, se ha mantenido estable. Además, la percepción del riesgo y el conocimiento de los peligros asociados al consumo de cannabis han aumentado desde la legalización. Los datos también muestran un creciente alejamiento del mercado ilegal y una mayoría significativa de adultos que acceden al cannabis a través del mercado legal.</w:t>
      </w:r>
    </w:p>
    <w:p w14:paraId="63BCA3E4" w14:textId="77777777" w:rsidR="00E77C05" w:rsidRPr="00DC28B0" w:rsidRDefault="00E77C05" w:rsidP="00AB5211">
      <w:pPr>
        <w:pStyle w:val="SingleTxtG"/>
      </w:pPr>
      <w:r w:rsidRPr="00DC28B0">
        <w:t>138.</w:t>
      </w:r>
      <w:r w:rsidRPr="00DC28B0">
        <w:tab/>
        <w:t>En el marco de la Ley sobre el Cannabis se solicita al Ministro de Sanidad que lleve a cabo una revisión tres años después de su entrada en vigor (2018). Tras la revisión, el Ministro presentará un informe a ambas cámaras del Parlamento en un plazo de 18 meses. La revisión, que llevará a cabo un grupo de expertos independientes, servirá para evaluar la Ley en relación con sus objetivos de salud pública y seguridad y ayudará a identificar las esferas prioritarias para mejorar el funcionamiento de la legislación.</w:t>
      </w:r>
    </w:p>
    <w:p w14:paraId="56E83B4B" w14:textId="59ADE29F" w:rsidR="00E77C05" w:rsidRPr="00DC28B0" w:rsidRDefault="00E77C05" w:rsidP="00AB5211">
      <w:pPr>
        <w:pStyle w:val="H1G"/>
      </w:pPr>
      <w:bookmarkStart w:id="513" w:name="lt_pId679"/>
      <w:bookmarkEnd w:id="512"/>
      <w:r>
        <w:tab/>
      </w:r>
      <w:r w:rsidR="00AB5211">
        <w:tab/>
      </w:r>
      <w:r w:rsidRPr="00DC28B0">
        <w:t>Respuesta al párrafo 25 de la lista de cuestiones</w:t>
      </w:r>
      <w:bookmarkEnd w:id="513"/>
    </w:p>
    <w:p w14:paraId="26378171" w14:textId="7EDBCC51" w:rsidR="00E77C05" w:rsidRPr="00DC28B0" w:rsidRDefault="00E77C05" w:rsidP="00AB5211">
      <w:pPr>
        <w:pStyle w:val="H23G"/>
      </w:pPr>
      <w:r>
        <w:tab/>
      </w:r>
      <w:r w:rsidR="00AB5211">
        <w:tab/>
      </w:r>
      <w:r w:rsidRPr="00DC28B0">
        <w:t>El estado de salud de los Pueblos Indígenas</w:t>
      </w:r>
    </w:p>
    <w:p w14:paraId="3A6D93AF" w14:textId="77777777" w:rsidR="00E77C05" w:rsidRPr="00DC28B0" w:rsidRDefault="00E77C05" w:rsidP="00B62663">
      <w:pPr>
        <w:pStyle w:val="SingleTxtG"/>
      </w:pPr>
      <w:bookmarkStart w:id="514" w:name="lt_pId681"/>
      <w:r w:rsidRPr="00DC28B0">
        <w:t>139.</w:t>
      </w:r>
      <w:r w:rsidRPr="00DC28B0">
        <w:tab/>
      </w:r>
      <w:bookmarkStart w:id="515" w:name="lt_pId682"/>
      <w:bookmarkEnd w:id="514"/>
      <w:r w:rsidRPr="00B62663">
        <w:t>El</w:t>
      </w:r>
      <w:r w:rsidRPr="00DC28B0">
        <w:rPr>
          <w:bCs/>
        </w:rPr>
        <w:t xml:space="preserve"> </w:t>
      </w:r>
      <w:r w:rsidRPr="00DC28B0">
        <w:t>Gobierno Federal y los</w:t>
      </w:r>
      <w:r w:rsidRPr="00DC28B0">
        <w:rPr>
          <w:bCs/>
        </w:rPr>
        <w:t xml:space="preserve"> gobiernos provinciales y territoriales</w:t>
      </w:r>
      <w:r w:rsidRPr="00DC28B0">
        <w:t xml:space="preserve"> están tomando diversas medidas para abordar los problemas de salud de la población indígena a través de programas dirigidos específicamente a atender sus necesidades:</w:t>
      </w:r>
      <w:bookmarkEnd w:id="515"/>
    </w:p>
    <w:p w14:paraId="18C76CEE" w14:textId="2742187E" w:rsidR="00E77C05" w:rsidRPr="00DC28B0" w:rsidRDefault="00E77C05" w:rsidP="00AB5211">
      <w:pPr>
        <w:pStyle w:val="Bullet1G"/>
        <w:rPr>
          <w:rFonts w:eastAsiaTheme="minorEastAsia"/>
        </w:rPr>
      </w:pPr>
      <w:bookmarkStart w:id="516" w:name="lt_pId683"/>
      <w:r w:rsidRPr="00DC28B0">
        <w:rPr>
          <w:rFonts w:eastAsiaTheme="minorEastAsia"/>
        </w:rPr>
        <w:t xml:space="preserve">Alberta ha creado un consejo consultivo en materia de salud de las Primeras Naciones (denominado oficialmente Consejo Asesor de Salud de las Primeras Naciones) y un consejo consultivo en materia de salud de los </w:t>
      </w:r>
      <w:proofErr w:type="spellStart"/>
      <w:r w:rsidRPr="00DC28B0">
        <w:rPr>
          <w:rFonts w:eastAsiaTheme="minorEastAsia"/>
        </w:rPr>
        <w:t>métis</w:t>
      </w:r>
      <w:proofErr w:type="spellEnd"/>
      <w:r w:rsidRPr="00DC28B0">
        <w:rPr>
          <w:rFonts w:eastAsiaTheme="minorEastAsia"/>
        </w:rPr>
        <w:t xml:space="preserve"> (denominado oficialmente Consejo Asesor de Salud de los </w:t>
      </w:r>
      <w:proofErr w:type="spellStart"/>
      <w:r w:rsidRPr="00DC28B0">
        <w:rPr>
          <w:rFonts w:eastAsiaTheme="minorEastAsia"/>
        </w:rPr>
        <w:t>Métis</w:t>
      </w:r>
      <w:proofErr w:type="spellEnd"/>
      <w:r w:rsidRPr="00DC28B0">
        <w:rPr>
          <w:rFonts w:eastAsiaTheme="minorEastAsia"/>
        </w:rPr>
        <w:t xml:space="preserve">) para ayudar a identificar las carencias sanitarias y mejorar el acceso de las Primeras Naciones y los </w:t>
      </w:r>
      <w:proofErr w:type="spellStart"/>
      <w:r w:rsidRPr="00DC28B0">
        <w:rPr>
          <w:rFonts w:eastAsiaTheme="minorEastAsia"/>
        </w:rPr>
        <w:t>métis</w:t>
      </w:r>
      <w:proofErr w:type="spellEnd"/>
      <w:r w:rsidRPr="00DC28B0">
        <w:rPr>
          <w:rFonts w:eastAsiaTheme="minorEastAsia"/>
        </w:rPr>
        <w:t xml:space="preserve"> a los servicios sanitarios y proporcionar financiación a las Primeras Naciones, los asentamientos </w:t>
      </w:r>
      <w:proofErr w:type="spellStart"/>
      <w:r w:rsidRPr="00DC28B0">
        <w:rPr>
          <w:rFonts w:eastAsiaTheme="minorEastAsia"/>
        </w:rPr>
        <w:t>métis</w:t>
      </w:r>
      <w:proofErr w:type="spellEnd"/>
      <w:r w:rsidRPr="00DC28B0">
        <w:rPr>
          <w:rFonts w:eastAsiaTheme="minorEastAsia"/>
        </w:rPr>
        <w:t xml:space="preserve">, la nación </w:t>
      </w:r>
      <w:proofErr w:type="spellStart"/>
      <w:r w:rsidRPr="00DC28B0">
        <w:rPr>
          <w:rFonts w:eastAsiaTheme="minorEastAsia"/>
        </w:rPr>
        <w:t>métis</w:t>
      </w:r>
      <w:proofErr w:type="spellEnd"/>
      <w:r w:rsidRPr="00DC28B0">
        <w:rPr>
          <w:rFonts w:eastAsiaTheme="minorEastAsia"/>
        </w:rPr>
        <w:t xml:space="preserve"> de Alberta y otras organizaciones de servicios indígenas para promover el desarrollo y la prestación de servicios dentro y fuera de las reservas y en los asentamientos </w:t>
      </w:r>
      <w:proofErr w:type="spellStart"/>
      <w:r w:rsidRPr="00DC28B0">
        <w:rPr>
          <w:rFonts w:eastAsiaTheme="minorEastAsia"/>
        </w:rPr>
        <w:t>métis</w:t>
      </w:r>
      <w:proofErr w:type="spellEnd"/>
      <w:r w:rsidRPr="00DC28B0">
        <w:rPr>
          <w:rFonts w:eastAsiaTheme="minorEastAsia"/>
        </w:rPr>
        <w:t>.</w:t>
      </w:r>
      <w:bookmarkEnd w:id="516"/>
    </w:p>
    <w:p w14:paraId="35AA9D76" w14:textId="309FF001" w:rsidR="00E77C05" w:rsidRPr="00DC28B0" w:rsidRDefault="00E77C05" w:rsidP="00AB5211">
      <w:pPr>
        <w:pStyle w:val="Bullet1G"/>
        <w:rPr>
          <w:rFonts w:eastAsiaTheme="minorEastAsia"/>
        </w:rPr>
      </w:pPr>
      <w:bookmarkStart w:id="517" w:name="lt_pId684"/>
      <w:r w:rsidRPr="00DC28B0">
        <w:rPr>
          <w:rFonts w:eastAsiaTheme="minorEastAsia"/>
        </w:rPr>
        <w:lastRenderedPageBreak/>
        <w:t xml:space="preserve">Manitoba ha invertido en una serie de iniciativas y organizaciones, entre ellas un nuevo acuerdo de intercambio de información que da acceso a 63 de las Primeras Naciones de la provincia al sistema de gestión de información sobre la salud pública. </w:t>
      </w:r>
      <w:bookmarkStart w:id="518" w:name="lt_pId685"/>
      <w:bookmarkEnd w:id="517"/>
      <w:r w:rsidRPr="00DC28B0">
        <w:rPr>
          <w:rFonts w:eastAsiaTheme="minorEastAsia"/>
        </w:rPr>
        <w:t>Eso permite a los profesionales de la salud recopilar, compartir y analizar información sanitaria esencial para garantizar la prestación de una atención de calidad.</w:t>
      </w:r>
      <w:bookmarkEnd w:id="518"/>
    </w:p>
    <w:p w14:paraId="6D6777C7" w14:textId="2BD3AC1F" w:rsidR="00E77C05" w:rsidRPr="00DC28B0" w:rsidRDefault="00E77C05" w:rsidP="00AB5211">
      <w:pPr>
        <w:pStyle w:val="Bullet1G"/>
        <w:rPr>
          <w:rFonts w:eastAsiaTheme="minorEastAsia"/>
        </w:rPr>
      </w:pPr>
      <w:bookmarkStart w:id="519" w:name="lt_pId688"/>
      <w:r w:rsidRPr="00DC28B0">
        <w:rPr>
          <w:rFonts w:eastAsiaTheme="minorEastAsia"/>
        </w:rPr>
        <w:t xml:space="preserve">En septiembre de 2019, Saskatchewan y el Consejo Tribal de </w:t>
      </w:r>
      <w:proofErr w:type="spellStart"/>
      <w:r w:rsidRPr="00DC28B0">
        <w:rPr>
          <w:rFonts w:eastAsiaTheme="minorEastAsia"/>
        </w:rPr>
        <w:t>Meadow</w:t>
      </w:r>
      <w:proofErr w:type="spellEnd"/>
      <w:r w:rsidRPr="00DC28B0">
        <w:rPr>
          <w:rFonts w:eastAsiaTheme="minorEastAsia"/>
        </w:rPr>
        <w:t xml:space="preserve"> Lake firmaron un memorando de entendimiento para colaborar y lograr así mejores resultados en materia de salud para los residentes del noroeste de Saskatchewan. </w:t>
      </w:r>
      <w:bookmarkStart w:id="520" w:name="lt_pId689"/>
      <w:bookmarkEnd w:id="519"/>
      <w:r w:rsidRPr="00DC28B0">
        <w:rPr>
          <w:rFonts w:eastAsiaTheme="minorEastAsia"/>
        </w:rPr>
        <w:t xml:space="preserve">En el acuerdo se establece formalmente un marco de colaboración para maximizar los esfuerzos destinados a mejorar la salud de la población de las Primeras Naciones a través de una serie de iniciativas específicas. </w:t>
      </w:r>
      <w:bookmarkStart w:id="521" w:name="lt_pId690"/>
      <w:bookmarkEnd w:id="520"/>
      <w:r w:rsidRPr="00DC28B0">
        <w:rPr>
          <w:rFonts w:eastAsiaTheme="minorEastAsia"/>
        </w:rPr>
        <w:t>Eso incluye la promoción de la salud, el seguimiento de los factores determinantes de la salud y el apoyo a los esfuerzos por garantizar la financiación de nuevos programas, servicios e investigación.</w:t>
      </w:r>
      <w:bookmarkEnd w:id="521"/>
    </w:p>
    <w:p w14:paraId="356B0B2C" w14:textId="727EDC61" w:rsidR="00E77C05" w:rsidRPr="00DC28B0" w:rsidRDefault="00E77C05" w:rsidP="00AB5211">
      <w:pPr>
        <w:pStyle w:val="H23G"/>
      </w:pPr>
      <w:bookmarkStart w:id="522" w:name="lt_pId691"/>
      <w:r>
        <w:tab/>
      </w:r>
      <w:r w:rsidR="00AB5211">
        <w:tab/>
      </w:r>
      <w:r w:rsidRPr="00DC28B0">
        <w:t xml:space="preserve">Primera Nación de </w:t>
      </w:r>
      <w:proofErr w:type="spellStart"/>
      <w:r w:rsidRPr="00DC28B0">
        <w:t>Grassy</w:t>
      </w:r>
      <w:proofErr w:type="spellEnd"/>
      <w:r w:rsidRPr="00DC28B0">
        <w:t xml:space="preserve"> </w:t>
      </w:r>
      <w:proofErr w:type="spellStart"/>
      <w:r w:rsidRPr="00DC28B0">
        <w:t>Narrows</w:t>
      </w:r>
      <w:bookmarkEnd w:id="522"/>
      <w:proofErr w:type="spellEnd"/>
    </w:p>
    <w:p w14:paraId="669876D1" w14:textId="77777777" w:rsidR="00E77C05" w:rsidRPr="00DC28B0" w:rsidRDefault="00E77C05" w:rsidP="00B62663">
      <w:pPr>
        <w:pStyle w:val="SingleTxtG"/>
      </w:pPr>
      <w:bookmarkStart w:id="523" w:name="lt_pId692"/>
      <w:r w:rsidRPr="00DC28B0">
        <w:t>140.</w:t>
      </w:r>
      <w:r w:rsidRPr="00DC28B0">
        <w:tab/>
        <w:t xml:space="preserve">El Gobierno del Canadá se ha comprometido a garantizar que los residentes de </w:t>
      </w:r>
      <w:proofErr w:type="spellStart"/>
      <w:r w:rsidRPr="00DC28B0">
        <w:t>Asubpeeschoseewagong</w:t>
      </w:r>
      <w:proofErr w:type="spellEnd"/>
      <w:r w:rsidRPr="00DC28B0">
        <w:t xml:space="preserve"> </w:t>
      </w:r>
      <w:proofErr w:type="spellStart"/>
      <w:r w:rsidRPr="00DC28B0">
        <w:t>Netum</w:t>
      </w:r>
      <w:proofErr w:type="spellEnd"/>
      <w:r w:rsidRPr="00DC28B0">
        <w:t xml:space="preserve"> </w:t>
      </w:r>
      <w:proofErr w:type="spellStart"/>
      <w:r w:rsidRPr="00DC28B0">
        <w:t>Anishinabek</w:t>
      </w:r>
      <w:proofErr w:type="spellEnd"/>
      <w:r w:rsidRPr="00DC28B0">
        <w:t xml:space="preserve"> (ANA), también conocida como Primera Nación de </w:t>
      </w:r>
      <w:proofErr w:type="spellStart"/>
      <w:r w:rsidRPr="00DC28B0">
        <w:t>Grassy</w:t>
      </w:r>
      <w:proofErr w:type="spellEnd"/>
      <w:r w:rsidRPr="00DC28B0">
        <w:t xml:space="preserve"> </w:t>
      </w:r>
      <w:proofErr w:type="spellStart"/>
      <w:r w:rsidRPr="00DC28B0">
        <w:t>Narrows</w:t>
      </w:r>
      <w:proofErr w:type="spellEnd"/>
      <w:r w:rsidRPr="00DC28B0">
        <w:t xml:space="preserve">, y las Naciones Independientes </w:t>
      </w:r>
      <w:proofErr w:type="spellStart"/>
      <w:r w:rsidRPr="00DC28B0">
        <w:rPr>
          <w:bCs/>
        </w:rPr>
        <w:t>Wabaseemoong</w:t>
      </w:r>
      <w:proofErr w:type="spellEnd"/>
      <w:r w:rsidRPr="00DC28B0">
        <w:rPr>
          <w:bCs/>
        </w:rPr>
        <w:t xml:space="preserve"> </w:t>
      </w:r>
      <w:r w:rsidRPr="00DC28B0">
        <w:t>(</w:t>
      </w:r>
      <w:proofErr w:type="spellStart"/>
      <w:r w:rsidRPr="00DC28B0">
        <w:t>NIW</w:t>
      </w:r>
      <w:proofErr w:type="spellEnd"/>
      <w:r w:rsidRPr="00DC28B0">
        <w:t xml:space="preserve">) tengan acceso a los datos sobre la presencia de mercurio en sus comunidades y sigue ofreciendo análisis gratuitos de muestras de pelo y sangre a todos los residentes de </w:t>
      </w:r>
      <w:proofErr w:type="spellStart"/>
      <w:r w:rsidRPr="00DC28B0">
        <w:t>Asubpeeschoseewagong</w:t>
      </w:r>
      <w:proofErr w:type="spellEnd"/>
      <w:r w:rsidRPr="00DC28B0">
        <w:t xml:space="preserve"> y </w:t>
      </w:r>
      <w:proofErr w:type="spellStart"/>
      <w:r w:rsidRPr="00DC28B0">
        <w:t>Wabaseemoong</w:t>
      </w:r>
      <w:proofErr w:type="spellEnd"/>
      <w:r w:rsidRPr="00DC28B0">
        <w:t xml:space="preserve"> que lo soliciten.</w:t>
      </w:r>
      <w:bookmarkEnd w:id="523"/>
    </w:p>
    <w:p w14:paraId="021315FB" w14:textId="77777777" w:rsidR="00E77C05" w:rsidRPr="00DC28B0" w:rsidRDefault="00E77C05" w:rsidP="00B62663">
      <w:pPr>
        <w:pStyle w:val="SingleTxtG"/>
      </w:pPr>
      <w:bookmarkStart w:id="524" w:name="lt_pId693"/>
      <w:r w:rsidRPr="00DC28B0">
        <w:t>141.</w:t>
      </w:r>
      <w:r w:rsidRPr="00DC28B0">
        <w:tab/>
        <w:t xml:space="preserve">En abril de 2020, el Gobierno del Canadá y la ANA firmaron el Acuerdo Marco sobre el Centro de Atención por Exposición al Mercurio, a través del cual se proporciona financiación para el diseño detallado y la construcción de un Centro de Atención por Exposición al Mercurio. </w:t>
      </w:r>
      <w:bookmarkStart w:id="525" w:name="lt_pId694"/>
      <w:bookmarkEnd w:id="524"/>
      <w:r w:rsidRPr="00DC28B0">
        <w:t>En el acuerdo marco revisado se prevé un compromiso de financiación adicional para prestar apoyo al funcionamiento, el mantenimiento y la prestación de servicios especializados por el Centro en la comunidad, así como una revisión periódica de la financiación para garantizar que se cumplan sus objetivos.</w:t>
      </w:r>
      <w:bookmarkEnd w:id="525"/>
    </w:p>
    <w:p w14:paraId="313F00CC" w14:textId="77777777" w:rsidR="00E77C05" w:rsidRPr="00DC28B0" w:rsidRDefault="00E77C05" w:rsidP="00B62663">
      <w:pPr>
        <w:pStyle w:val="SingleTxtG"/>
      </w:pPr>
      <w:bookmarkStart w:id="526" w:name="lt_pId695"/>
      <w:r w:rsidRPr="00DC28B0">
        <w:t>142.</w:t>
      </w:r>
      <w:r w:rsidRPr="00DC28B0">
        <w:tab/>
        <w:t xml:space="preserve">El objetivo del Centro de Atención por Exposición al Mercurio es ofrecer apoyo, </w:t>
      </w:r>
      <w:r w:rsidRPr="00DC28B0">
        <w:rPr>
          <w:bCs/>
        </w:rPr>
        <w:t>programas</w:t>
      </w:r>
      <w:r w:rsidRPr="00DC28B0">
        <w:t xml:space="preserve">, asistencia para la vida cotidiana y otros servicios que permitan a los residentes de la ANA acceder a la atención que necesitan permaneciendo en sus comunidades el mayor tiempo posible. </w:t>
      </w:r>
      <w:bookmarkStart w:id="527" w:name="lt_pId696"/>
      <w:bookmarkEnd w:id="526"/>
      <w:r w:rsidRPr="00DC28B0">
        <w:t xml:space="preserve">Ontario colabora con el Canadá en la difusión de documentos y recursos que ayudarán a la ANA y a las </w:t>
      </w:r>
      <w:proofErr w:type="spellStart"/>
      <w:r w:rsidRPr="00DC28B0">
        <w:t>NIW</w:t>
      </w:r>
      <w:proofErr w:type="spellEnd"/>
      <w:r w:rsidRPr="00DC28B0">
        <w:t xml:space="preserve"> a perfeccionar ese modelo de atención.</w:t>
      </w:r>
      <w:bookmarkEnd w:id="527"/>
    </w:p>
    <w:p w14:paraId="590E57F2" w14:textId="07D97226" w:rsidR="00E77C05" w:rsidRPr="00DC28B0" w:rsidRDefault="00AB5211" w:rsidP="00AB5211">
      <w:pPr>
        <w:pStyle w:val="H1G"/>
      </w:pPr>
      <w:bookmarkStart w:id="528" w:name="lt_pId697"/>
      <w:r>
        <w:tab/>
      </w:r>
      <w:r w:rsidR="00E77C05">
        <w:tab/>
      </w:r>
      <w:r w:rsidR="00E77C05" w:rsidRPr="00DC28B0">
        <w:t>Respuesta al párrafo 26 de la lista de cuestiones</w:t>
      </w:r>
      <w:bookmarkEnd w:id="528"/>
    </w:p>
    <w:p w14:paraId="1650B47C" w14:textId="3BFCC77D" w:rsidR="00E77C05" w:rsidRPr="00DC28B0" w:rsidRDefault="00AB5211" w:rsidP="00AB5211">
      <w:pPr>
        <w:pStyle w:val="H23G"/>
      </w:pPr>
      <w:bookmarkStart w:id="529" w:name="lt_pId698"/>
      <w:r>
        <w:tab/>
      </w:r>
      <w:r w:rsidR="00E77C05">
        <w:tab/>
      </w:r>
      <w:r w:rsidR="00E77C05" w:rsidRPr="00DC28B0">
        <w:t>Estudiantes indígenas y afrodescendientes</w:t>
      </w:r>
      <w:bookmarkEnd w:id="529"/>
    </w:p>
    <w:p w14:paraId="3128BD28" w14:textId="77777777" w:rsidR="00E77C05" w:rsidRPr="00DC28B0" w:rsidRDefault="00E77C05" w:rsidP="00B62663">
      <w:pPr>
        <w:pStyle w:val="SingleTxtG"/>
      </w:pPr>
      <w:bookmarkStart w:id="530" w:name="lt_pId699"/>
      <w:r w:rsidRPr="00DC28B0">
        <w:t>143.</w:t>
      </w:r>
      <w:r w:rsidRPr="00DC28B0">
        <w:tab/>
      </w:r>
      <w:bookmarkStart w:id="531" w:name="lt_pId700"/>
      <w:bookmarkEnd w:id="530"/>
      <w:r w:rsidRPr="00DC28B0">
        <w:t xml:space="preserve">Los gobiernos de las provincias y territorios están tomando medidas para asegurarse de que los estudiantes indígenas y </w:t>
      </w:r>
      <w:r w:rsidRPr="00DC28B0">
        <w:rPr>
          <w:bCs/>
        </w:rPr>
        <w:t xml:space="preserve">afrodescendientes puedan </w:t>
      </w:r>
      <w:r w:rsidRPr="00DC28B0">
        <w:t>completar su educación primaria y secundaria:</w:t>
      </w:r>
      <w:bookmarkEnd w:id="531"/>
    </w:p>
    <w:p w14:paraId="02ED85A5" w14:textId="1F2C5D3D" w:rsidR="00E77C05" w:rsidRPr="00DC28B0" w:rsidRDefault="00E77C05" w:rsidP="00AB5211">
      <w:pPr>
        <w:pStyle w:val="Bullet1G"/>
        <w:rPr>
          <w:rFonts w:eastAsiaTheme="minorEastAsia"/>
        </w:rPr>
      </w:pPr>
      <w:bookmarkStart w:id="532" w:name="lt_pId701"/>
      <w:r w:rsidRPr="00DC28B0">
        <w:rPr>
          <w:rFonts w:eastAsiaTheme="minorEastAsia"/>
        </w:rPr>
        <w:t xml:space="preserve">Alberta apoya el desempeño de los estudiantes de las Primeras Naciones, </w:t>
      </w:r>
      <w:proofErr w:type="spellStart"/>
      <w:r w:rsidRPr="00DC28B0">
        <w:rPr>
          <w:rFonts w:eastAsiaTheme="minorEastAsia"/>
        </w:rPr>
        <w:t>métis</w:t>
      </w:r>
      <w:proofErr w:type="spellEnd"/>
      <w:r w:rsidRPr="00DC28B0">
        <w:rPr>
          <w:rFonts w:eastAsiaTheme="minorEastAsia"/>
        </w:rPr>
        <w:t xml:space="preserve"> e inuit a través de una serie de estrategias clave, incluido el desarrollo de asociaciones de colaboración con las comunidades de las Primeras Naciones y </w:t>
      </w:r>
      <w:proofErr w:type="spellStart"/>
      <w:r w:rsidRPr="00DC28B0">
        <w:rPr>
          <w:rFonts w:eastAsiaTheme="minorEastAsia"/>
        </w:rPr>
        <w:t>métis</w:t>
      </w:r>
      <w:proofErr w:type="spellEnd"/>
      <w:r w:rsidRPr="00DC28B0">
        <w:rPr>
          <w:rFonts w:eastAsiaTheme="minorEastAsia"/>
        </w:rPr>
        <w:t xml:space="preserve">; la asistencia a las autoridades escolares para establecer relaciones e involucrar a los padres y familias de las Primeras Naciones, </w:t>
      </w:r>
      <w:proofErr w:type="spellStart"/>
      <w:r w:rsidRPr="00DC28B0">
        <w:rPr>
          <w:rFonts w:eastAsiaTheme="minorEastAsia"/>
        </w:rPr>
        <w:t>métis</w:t>
      </w:r>
      <w:proofErr w:type="spellEnd"/>
      <w:r w:rsidRPr="00DC28B0">
        <w:rPr>
          <w:rFonts w:eastAsiaTheme="minorEastAsia"/>
        </w:rPr>
        <w:t xml:space="preserve"> e inuit; la elaboración de recursos de aprendizaje y programas de apoyo culturalmente apropiados; y el aumento del número de profesionales de las Primeras Naciones, </w:t>
      </w:r>
      <w:proofErr w:type="spellStart"/>
      <w:r w:rsidRPr="00DC28B0">
        <w:rPr>
          <w:rFonts w:eastAsiaTheme="minorEastAsia"/>
        </w:rPr>
        <w:t>métis</w:t>
      </w:r>
      <w:proofErr w:type="spellEnd"/>
      <w:r w:rsidRPr="00DC28B0">
        <w:rPr>
          <w:rFonts w:eastAsiaTheme="minorEastAsia"/>
        </w:rPr>
        <w:t xml:space="preserve"> e inuit presentes en la fuerza laboral docente.</w:t>
      </w:r>
      <w:bookmarkEnd w:id="532"/>
    </w:p>
    <w:p w14:paraId="6D2CC3CF" w14:textId="52A3C386" w:rsidR="00E77C05" w:rsidRPr="00DC28B0" w:rsidRDefault="00E77C05" w:rsidP="00AB5211">
      <w:pPr>
        <w:pStyle w:val="Bullet1G"/>
        <w:rPr>
          <w:rFonts w:eastAsiaTheme="minorEastAsia"/>
        </w:rPr>
      </w:pPr>
      <w:bookmarkStart w:id="533" w:name="lt_pId702"/>
      <w:r w:rsidRPr="00DC28B0">
        <w:rPr>
          <w:rFonts w:eastAsiaTheme="minorEastAsia"/>
        </w:rPr>
        <w:t xml:space="preserve">En Ontario, el Programa de Asistentes para la Graduación de Estudiantes Negros se puso en marcha por primera vez en septiembre de 2019 en nueve distritos escolares. </w:t>
      </w:r>
      <w:bookmarkStart w:id="534" w:name="lt_pId703"/>
      <w:bookmarkEnd w:id="533"/>
      <w:r w:rsidRPr="00DC28B0">
        <w:rPr>
          <w:rFonts w:eastAsiaTheme="minorEastAsia"/>
        </w:rPr>
        <w:t xml:space="preserve">En el marco de ese programa, en colaboración con la comunidad negra y los asociados educativos, se crean espacios inclusivos que ayudarán a desmantelar las barreras sistémicas, eliminar las disparidades y cerrar la brecha de desempeño para los estudiantes negros. </w:t>
      </w:r>
      <w:bookmarkStart w:id="535" w:name="lt_pId704"/>
      <w:bookmarkEnd w:id="534"/>
      <w:r w:rsidRPr="00DC28B0">
        <w:rPr>
          <w:rFonts w:eastAsiaTheme="minorEastAsia"/>
        </w:rPr>
        <w:t xml:space="preserve">Los asistentes brindan apoyo directo y tutoría a los estudiantes negros, así como asesoramiento a los líderes escolares, para ayudar a lograr un cambio </w:t>
      </w:r>
      <w:r w:rsidRPr="00DC28B0">
        <w:rPr>
          <w:rFonts w:eastAsiaTheme="minorEastAsia"/>
        </w:rPr>
        <w:lastRenderedPageBreak/>
        <w:t>en el sistema a nivel de escuela y de distrito para que los estudiantes negros se sientan bienvenidos, desarrollen un sentido de pertenencia y tengan una mejor experiencia escolar.</w:t>
      </w:r>
      <w:bookmarkEnd w:id="535"/>
    </w:p>
    <w:p w14:paraId="6960D73B" w14:textId="6F90DFAB" w:rsidR="00E77C05" w:rsidRPr="00DC28B0" w:rsidRDefault="00E77C05" w:rsidP="00AB5211">
      <w:pPr>
        <w:pStyle w:val="H23G"/>
      </w:pPr>
      <w:bookmarkStart w:id="536" w:name="lt_pId705"/>
      <w:r>
        <w:tab/>
      </w:r>
      <w:r w:rsidR="00AB5211">
        <w:tab/>
      </w:r>
      <w:r w:rsidRPr="00DC28B0">
        <w:t>Calidad de la enseñanza y resultados académicos en las escuelas de las reservas</w:t>
      </w:r>
      <w:bookmarkEnd w:id="536"/>
    </w:p>
    <w:p w14:paraId="432DED17" w14:textId="1514242C" w:rsidR="00E77C05" w:rsidRPr="00DC28B0" w:rsidRDefault="00E77C05" w:rsidP="00B62663">
      <w:pPr>
        <w:pStyle w:val="SingleTxtG"/>
      </w:pPr>
      <w:bookmarkStart w:id="537" w:name="lt_pId706"/>
      <w:r w:rsidRPr="00DC28B0">
        <w:t>144.</w:t>
      </w:r>
      <w:r w:rsidRPr="00DC28B0">
        <w:tab/>
        <w:t xml:space="preserve">Entre 2016 y 2018, el Gobierno del Canadá trabajó estrechamente con las Primeras Naciones para transformar profundamente la financiación de las escuelas primarias y postsecundarias en las reservas. </w:t>
      </w:r>
      <w:bookmarkStart w:id="538" w:name="lt_pId707"/>
      <w:bookmarkEnd w:id="537"/>
      <w:r w:rsidRPr="00DC28B0">
        <w:t xml:space="preserve">En 2019, se puso en marcha el nuevo enfoque de financiación para ofrecer a los estudiantes que residen habitualmente en las reservas una financiación comparable a la de los sistemas </w:t>
      </w:r>
      <w:r w:rsidRPr="00DC28B0">
        <w:rPr>
          <w:bCs/>
        </w:rPr>
        <w:t xml:space="preserve">educativos </w:t>
      </w:r>
      <w:r w:rsidRPr="00DC28B0">
        <w:t xml:space="preserve">provinciales. </w:t>
      </w:r>
      <w:bookmarkStart w:id="539" w:name="lt_pId708"/>
      <w:bookmarkEnd w:id="538"/>
      <w:r w:rsidRPr="00DC28B0">
        <w:t xml:space="preserve">La nueva financiación incluye apoyo adicional para programas lingüísticos y culturales, así como para guarderías de día completo para niños de </w:t>
      </w:r>
      <w:r w:rsidR="00EE2669">
        <w:t>4</w:t>
      </w:r>
      <w:r w:rsidRPr="00DC28B0">
        <w:t xml:space="preserve"> y </w:t>
      </w:r>
      <w:r w:rsidR="00EE2669">
        <w:t>5</w:t>
      </w:r>
      <w:r w:rsidR="003E04CA">
        <w:t xml:space="preserve"> </w:t>
      </w:r>
      <w:r w:rsidRPr="00DC28B0">
        <w:t xml:space="preserve">años en las escuelas de las Primeras Naciones, y la programación de actividades antes y después de la escuela. </w:t>
      </w:r>
      <w:bookmarkStart w:id="540" w:name="lt_pId709"/>
      <w:bookmarkEnd w:id="539"/>
      <w:r w:rsidRPr="00DC28B0">
        <w:t>Como resultado, los niños de las reservas de las Primeras Naciones reciben más apoyo, con un aumento del 52,1 % de la financiación nacional durante el período que abarca el presente informe (del ejercicio 2015</w:t>
      </w:r>
      <w:r w:rsidR="00EE2669">
        <w:t>/</w:t>
      </w:r>
      <w:r w:rsidRPr="00DC28B0">
        <w:t>16 al 2020</w:t>
      </w:r>
      <w:r w:rsidR="00EE2669">
        <w:t>/</w:t>
      </w:r>
      <w:r w:rsidRPr="00DC28B0">
        <w:t>21).</w:t>
      </w:r>
      <w:bookmarkEnd w:id="540"/>
    </w:p>
    <w:p w14:paraId="53ED7275" w14:textId="23E183DB" w:rsidR="00E77C05" w:rsidRPr="00DC28B0" w:rsidRDefault="00E77C05" w:rsidP="00AB5211">
      <w:pPr>
        <w:pStyle w:val="H23G"/>
      </w:pPr>
      <w:bookmarkStart w:id="541" w:name="lt_pId710"/>
      <w:r>
        <w:tab/>
      </w:r>
      <w:r w:rsidR="00AB5211">
        <w:tab/>
      </w:r>
      <w:r w:rsidRPr="00DC28B0">
        <w:t>Disponibilidad, accesibilidad y calidad de la educación preescolar</w:t>
      </w:r>
      <w:bookmarkEnd w:id="541"/>
    </w:p>
    <w:p w14:paraId="574CC9F2" w14:textId="614BD2E7" w:rsidR="00E77C05" w:rsidRPr="00DC28B0" w:rsidRDefault="00E77C05" w:rsidP="00B62663">
      <w:pPr>
        <w:pStyle w:val="SingleTxtG"/>
      </w:pPr>
      <w:bookmarkStart w:id="542" w:name="lt_pId711"/>
      <w:r w:rsidRPr="00DC28B0">
        <w:t>145.</w:t>
      </w:r>
      <w:r w:rsidRPr="00DC28B0">
        <w:tab/>
        <w:t xml:space="preserve">Mediante las nuevas inversiones anunciadas en 2021, el Gobierno del Canadá pretende garantizar que las familias dejen de soportar la carga de los elevados costes de guardería, con el objetivo de reducir las tarifas de las guarderías reguladas hasta una media de </w:t>
      </w:r>
      <w:r w:rsidR="00F147E2">
        <w:t>10</w:t>
      </w:r>
      <w:r w:rsidRPr="00DC28B0">
        <w:t xml:space="preserve"> dólares al día en los próximos cinco años. </w:t>
      </w:r>
      <w:bookmarkStart w:id="543" w:name="lt_pId712"/>
      <w:bookmarkEnd w:id="542"/>
      <w:r w:rsidRPr="00DC28B0">
        <w:t xml:space="preserve">Para fines de 2022, el Gobierno se propone reducir en un 50 % </w:t>
      </w:r>
      <w:r w:rsidRPr="00DC28B0">
        <w:rPr>
          <w:bCs/>
        </w:rPr>
        <w:t xml:space="preserve">las </w:t>
      </w:r>
      <w:r w:rsidRPr="00DC28B0">
        <w:t xml:space="preserve">tarifas medias de los servicios regulados de aprendizaje y cuidado en la primera infancia, a fin de hacerlos más asequibles para las familias. </w:t>
      </w:r>
      <w:bookmarkStart w:id="544" w:name="lt_pId713"/>
      <w:bookmarkEnd w:id="543"/>
      <w:r w:rsidRPr="00DC28B0">
        <w:t>Esos objetivos se aplicarían en todas partes excepto en Quebec, donde los precios ya son asequibles gracias a su propio sistema bien establecido desde 1997.</w:t>
      </w:r>
      <w:bookmarkEnd w:id="544"/>
    </w:p>
    <w:p w14:paraId="37EC21C8" w14:textId="0C5B813D" w:rsidR="00E77C05" w:rsidRPr="00DC28B0" w:rsidRDefault="00E77C05" w:rsidP="00B62663">
      <w:pPr>
        <w:pStyle w:val="SingleTxtG"/>
      </w:pPr>
      <w:bookmarkStart w:id="545" w:name="lt_pId714"/>
      <w:r w:rsidRPr="00DC28B0">
        <w:t>146.</w:t>
      </w:r>
      <w:r w:rsidRPr="00DC28B0">
        <w:tab/>
        <w:t xml:space="preserve">El Gobierno del Canadá también está trabajando en colaboración con las Primeras Naciones, los inuit y las naciones </w:t>
      </w:r>
      <w:proofErr w:type="spellStart"/>
      <w:r w:rsidRPr="00DC28B0">
        <w:t>métis</w:t>
      </w:r>
      <w:proofErr w:type="spellEnd"/>
      <w:r w:rsidRPr="00DC28B0">
        <w:t xml:space="preserve"> para avanzar en el logro de los objetivos del Marco de Aprendizaje y Cuidado en la Primera Infancia de los Indígenas</w:t>
      </w:r>
      <w:r w:rsidR="003E04CA">
        <w:t xml:space="preserve"> </w:t>
      </w:r>
      <w:r w:rsidR="003E04CA" w:rsidRPr="00DC28B0">
        <w:t>(2018)</w:t>
      </w:r>
      <w:r w:rsidRPr="00DC28B0">
        <w:t xml:space="preserve"> desarrollado conjuntamente, incluida la facilitación del acceso a programas y servicios de alta calidad, asequibles y culturalmente apropiados. </w:t>
      </w:r>
      <w:bookmarkStart w:id="546" w:name="lt_pId715"/>
      <w:bookmarkEnd w:id="545"/>
      <w:r w:rsidRPr="00DC28B0">
        <w:t>Las nuevas inversiones anunciadas en el ejercicio</w:t>
      </w:r>
      <w:r w:rsidR="003E04CA">
        <w:t> </w:t>
      </w:r>
      <w:r w:rsidRPr="00DC28B0">
        <w:t>2020</w:t>
      </w:r>
      <w:r w:rsidR="00F147E2">
        <w:t>/</w:t>
      </w:r>
      <w:r w:rsidRPr="00DC28B0">
        <w:t>21 incluyen financiación para: fortalecer la gobernanza y la capacidad indígenas en el sector contemplado en el Marco y permitir la participación de los indígenas en el desarrollo de un sistema apropiado en todo el país; mejorar los programas y servicios indígenas en ese ámbito; reparar, renovar o construir sitios indígenas contemplados en el Marco; y proporcionar atención antes y después de la escuela para los niños de las Primeras Naciones que viven en reservas.</w:t>
      </w:r>
    </w:p>
    <w:p w14:paraId="78D8B977" w14:textId="1D8C2F38" w:rsidR="00E77C05" w:rsidRPr="00DC28B0" w:rsidRDefault="00E77C05" w:rsidP="00AB5211">
      <w:pPr>
        <w:pStyle w:val="H1G"/>
      </w:pPr>
      <w:bookmarkStart w:id="547" w:name="lt_pId716"/>
      <w:bookmarkEnd w:id="546"/>
      <w:r>
        <w:tab/>
      </w:r>
      <w:r w:rsidR="00AB5211">
        <w:tab/>
      </w:r>
      <w:r w:rsidRPr="00DC28B0">
        <w:t>Respuesta al párrafo 27 de la lista de cuestiones</w:t>
      </w:r>
      <w:bookmarkEnd w:id="547"/>
    </w:p>
    <w:p w14:paraId="2D4FF2D5" w14:textId="25FC35D6" w:rsidR="00E77C05" w:rsidRPr="00DC28B0" w:rsidRDefault="00E77C05" w:rsidP="00AB5211">
      <w:pPr>
        <w:pStyle w:val="H23G"/>
      </w:pPr>
      <w:bookmarkStart w:id="548" w:name="lt_pId717"/>
      <w:r>
        <w:tab/>
      </w:r>
      <w:r w:rsidR="00AB5211">
        <w:tab/>
      </w:r>
      <w:r w:rsidRPr="00DC28B0">
        <w:t>Lenguas y culturas indígenas</w:t>
      </w:r>
      <w:bookmarkEnd w:id="548"/>
    </w:p>
    <w:p w14:paraId="6F239EBB" w14:textId="22F14C75" w:rsidR="00E77C05" w:rsidRPr="00DC28B0" w:rsidRDefault="00E77C05" w:rsidP="00B62663">
      <w:pPr>
        <w:pStyle w:val="SingleTxtG"/>
      </w:pPr>
      <w:bookmarkStart w:id="549" w:name="lt_pId718"/>
      <w:r w:rsidRPr="00DC28B0">
        <w:t>147.</w:t>
      </w:r>
      <w:r w:rsidRPr="00DC28B0">
        <w:tab/>
      </w:r>
      <w:bookmarkEnd w:id="549"/>
      <w:r w:rsidRPr="00DC28B0">
        <w:t xml:space="preserve">El Gobierno Federal y los gobiernos provinciales y territoriales han tomado medidas para promover la preservación y el uso de </w:t>
      </w:r>
      <w:r w:rsidRPr="00DC28B0">
        <w:rPr>
          <w:bCs/>
        </w:rPr>
        <w:t xml:space="preserve">las lenguas </w:t>
      </w:r>
      <w:r w:rsidRPr="00DC28B0">
        <w:t>y culturas indígenas, incluida la garantía de que las lenguas indígenas se enseñen y utilicen en las escuelas</w:t>
      </w:r>
      <w:r w:rsidR="00F147E2">
        <w:t>:</w:t>
      </w:r>
      <w:r w:rsidRPr="00DC28B0">
        <w:t xml:space="preserve"> </w:t>
      </w:r>
    </w:p>
    <w:p w14:paraId="448D6578" w14:textId="71BCF78B" w:rsidR="00E77C05" w:rsidRPr="00DC28B0" w:rsidRDefault="00E77C05" w:rsidP="00AB5211">
      <w:pPr>
        <w:pStyle w:val="Bullet1G"/>
        <w:rPr>
          <w:rFonts w:eastAsiaTheme="minorEastAsia"/>
        </w:rPr>
      </w:pPr>
      <w:bookmarkStart w:id="550" w:name="lt_pId720"/>
      <w:r w:rsidRPr="00DC28B0">
        <w:rPr>
          <w:rFonts w:eastAsiaTheme="minorEastAsia"/>
        </w:rPr>
        <w:t xml:space="preserve">La Ley de Lenguas Indígenas del Gobierno del Canadá entró en vigor en 2019 para apoyar los esfuerzos de los Pueblos Indígenas por reclamar, revitalizar, mantener y fortalecer sus lenguas. </w:t>
      </w:r>
      <w:bookmarkStart w:id="551" w:name="lt_pId721"/>
      <w:bookmarkEnd w:id="550"/>
      <w:r w:rsidRPr="00DC28B0">
        <w:rPr>
          <w:rFonts w:eastAsiaTheme="minorEastAsia"/>
        </w:rPr>
        <w:t>El Gobierno financia proyectos centrados en actividades dirigidas por la comunidad, incluida la enseñanza y el desarrollo de recursos lingüísticos.</w:t>
      </w:r>
      <w:bookmarkEnd w:id="551"/>
      <w:r w:rsidRPr="00DC28B0">
        <w:rPr>
          <w:rFonts w:eastAsiaTheme="minorEastAsia"/>
        </w:rPr>
        <w:t xml:space="preserve"> Entre los ejercicios 2015</w:t>
      </w:r>
      <w:r w:rsidR="00F147E2">
        <w:rPr>
          <w:rFonts w:eastAsiaTheme="minorEastAsia"/>
        </w:rPr>
        <w:t>/</w:t>
      </w:r>
      <w:r w:rsidRPr="00DC28B0">
        <w:rPr>
          <w:rFonts w:eastAsiaTheme="minorEastAsia"/>
        </w:rPr>
        <w:t>16 y 2020</w:t>
      </w:r>
      <w:r w:rsidR="00F147E2">
        <w:rPr>
          <w:rFonts w:eastAsiaTheme="minorEastAsia"/>
        </w:rPr>
        <w:t>/</w:t>
      </w:r>
      <w:r w:rsidRPr="00DC28B0">
        <w:rPr>
          <w:rFonts w:eastAsiaTheme="minorEastAsia"/>
        </w:rPr>
        <w:t>21, la financiación en apoyo de las lenguas indígenas ha aumentado un 275 %.</w:t>
      </w:r>
    </w:p>
    <w:p w14:paraId="7F7A780B" w14:textId="24B59387" w:rsidR="00E77C05" w:rsidRPr="00DC28B0" w:rsidRDefault="00E77C05" w:rsidP="00AB5211">
      <w:pPr>
        <w:pStyle w:val="Bullet1G"/>
        <w:rPr>
          <w:rFonts w:eastAsiaTheme="minorEastAsia"/>
        </w:rPr>
      </w:pPr>
      <w:bookmarkStart w:id="552" w:name="lt_pId723"/>
      <w:r w:rsidRPr="00DC28B0">
        <w:rPr>
          <w:rFonts w:eastAsiaTheme="minorEastAsia"/>
        </w:rPr>
        <w:t xml:space="preserve">La Ley de Educación de los Territorios del Noroeste permite impartir enseñanza en lengua nativa como primera lengua, lengua de inmersión y segunda lengua, y ofrecer programas escolares basados en la cultura como parte del programa educativo del distrito escolar. </w:t>
      </w:r>
      <w:bookmarkStart w:id="553" w:name="lt_pId724"/>
      <w:bookmarkEnd w:id="552"/>
      <w:r w:rsidRPr="00DC28B0">
        <w:rPr>
          <w:rFonts w:eastAsiaTheme="minorEastAsia"/>
        </w:rPr>
        <w:t>Durante el curso 2021</w:t>
      </w:r>
      <w:r w:rsidR="00F147E2">
        <w:rPr>
          <w:rFonts w:eastAsiaTheme="minorEastAsia"/>
        </w:rPr>
        <w:t>/</w:t>
      </w:r>
      <w:r w:rsidRPr="00DC28B0">
        <w:rPr>
          <w:rFonts w:eastAsiaTheme="minorEastAsia"/>
        </w:rPr>
        <w:t>22, 42 de las 49 escuelas ofrecieron programas de lengua nativa como segunda lengua y otras 4 ofrecieron programas de inmersión en lengua nativa en los cursos de primaria.</w:t>
      </w:r>
      <w:bookmarkEnd w:id="553"/>
    </w:p>
    <w:p w14:paraId="185C3AD4" w14:textId="2052708E" w:rsidR="00E77C05" w:rsidRPr="00DC28B0" w:rsidRDefault="00E77C05" w:rsidP="00AB5211">
      <w:pPr>
        <w:pStyle w:val="Bullet1G"/>
        <w:rPr>
          <w:rFonts w:eastAsiaTheme="minorEastAsia"/>
        </w:rPr>
      </w:pPr>
      <w:bookmarkStart w:id="554" w:name="lt_pId725"/>
      <w:r w:rsidRPr="00DC28B0">
        <w:rPr>
          <w:rFonts w:eastAsiaTheme="minorEastAsia"/>
        </w:rPr>
        <w:lastRenderedPageBreak/>
        <w:t xml:space="preserve">Saskatchewan apoya la preservación y el florecimiento de las lenguas de las Primeras Naciones y de los </w:t>
      </w:r>
      <w:proofErr w:type="spellStart"/>
      <w:r w:rsidRPr="00DC28B0">
        <w:rPr>
          <w:rFonts w:eastAsiaTheme="minorEastAsia"/>
        </w:rPr>
        <w:t>métis</w:t>
      </w:r>
      <w:proofErr w:type="spellEnd"/>
      <w:r w:rsidRPr="00DC28B0">
        <w:rPr>
          <w:rFonts w:eastAsiaTheme="minorEastAsia"/>
        </w:rPr>
        <w:t xml:space="preserve"> en las escuelas de la provincia a través del programa “Inspirando el éxito: un marco de políticas para la educación de las Primeras Naciones y los </w:t>
      </w:r>
      <w:proofErr w:type="spellStart"/>
      <w:r w:rsidRPr="00DC28B0">
        <w:rPr>
          <w:rFonts w:eastAsiaTheme="minorEastAsia"/>
        </w:rPr>
        <w:t>métis</w:t>
      </w:r>
      <w:proofErr w:type="spellEnd"/>
      <w:r w:rsidRPr="00DC28B0">
        <w:rPr>
          <w:rFonts w:eastAsiaTheme="minorEastAsia"/>
        </w:rPr>
        <w:t xml:space="preserve">, desde la guardería hasta el grado 12”, cuyo primer objetivo estratégico es lograr que las lenguas y culturas de las Primeras Naciones y de los </w:t>
      </w:r>
      <w:proofErr w:type="spellStart"/>
      <w:r w:rsidRPr="00DC28B0">
        <w:rPr>
          <w:rFonts w:eastAsiaTheme="minorEastAsia"/>
        </w:rPr>
        <w:t>métis</w:t>
      </w:r>
      <w:proofErr w:type="spellEnd"/>
      <w:r w:rsidRPr="00DC28B0">
        <w:rPr>
          <w:rFonts w:eastAsiaTheme="minorEastAsia"/>
        </w:rPr>
        <w:t xml:space="preserve"> sean valoradas y reciban apoyo. </w:t>
      </w:r>
      <w:bookmarkStart w:id="555" w:name="lt_pId726"/>
      <w:bookmarkEnd w:id="554"/>
      <w:r w:rsidRPr="00DC28B0">
        <w:rPr>
          <w:rFonts w:eastAsiaTheme="minorEastAsia"/>
        </w:rPr>
        <w:t xml:space="preserve">En la enseñanza secundaria de la provincia ya se imparten cursos de lenguas indígenas en: </w:t>
      </w:r>
      <w:proofErr w:type="spellStart"/>
      <w:r w:rsidRPr="00DC28B0">
        <w:rPr>
          <w:rFonts w:eastAsiaTheme="minorEastAsia"/>
        </w:rPr>
        <w:t>nēhiyawēwin</w:t>
      </w:r>
      <w:proofErr w:type="spellEnd"/>
      <w:r w:rsidRPr="00DC28B0">
        <w:rPr>
          <w:rFonts w:eastAsiaTheme="minorEastAsia"/>
        </w:rPr>
        <w:t xml:space="preserve"> (cree), </w:t>
      </w:r>
      <w:proofErr w:type="spellStart"/>
      <w:r w:rsidRPr="00DC28B0">
        <w:rPr>
          <w:rFonts w:eastAsiaTheme="minorEastAsia"/>
        </w:rPr>
        <w:t>nakawe</w:t>
      </w:r>
      <w:proofErr w:type="spellEnd"/>
      <w:r w:rsidRPr="00DC28B0">
        <w:rPr>
          <w:rFonts w:eastAsiaTheme="minorEastAsia"/>
        </w:rPr>
        <w:t xml:space="preserve">, </w:t>
      </w:r>
      <w:proofErr w:type="spellStart"/>
      <w:r w:rsidRPr="00DC28B0">
        <w:rPr>
          <w:rFonts w:eastAsiaTheme="minorEastAsia"/>
        </w:rPr>
        <w:t>dene</w:t>
      </w:r>
      <w:proofErr w:type="spellEnd"/>
      <w:r w:rsidRPr="00DC28B0">
        <w:rPr>
          <w:rFonts w:eastAsiaTheme="minorEastAsia"/>
        </w:rPr>
        <w:t xml:space="preserve">, </w:t>
      </w:r>
      <w:proofErr w:type="spellStart"/>
      <w:r w:rsidRPr="00DC28B0">
        <w:rPr>
          <w:rFonts w:eastAsiaTheme="minorEastAsia"/>
        </w:rPr>
        <w:t>nakoda</w:t>
      </w:r>
      <w:proofErr w:type="spellEnd"/>
      <w:r w:rsidRPr="00DC28B0">
        <w:rPr>
          <w:rFonts w:eastAsiaTheme="minorEastAsia"/>
        </w:rPr>
        <w:t xml:space="preserve"> y </w:t>
      </w:r>
      <w:proofErr w:type="spellStart"/>
      <w:r w:rsidRPr="00DC28B0">
        <w:rPr>
          <w:rFonts w:eastAsiaTheme="minorEastAsia"/>
        </w:rPr>
        <w:t>michif</w:t>
      </w:r>
      <w:proofErr w:type="spellEnd"/>
      <w:r w:rsidRPr="00DC28B0">
        <w:rPr>
          <w:rFonts w:eastAsiaTheme="minorEastAsia"/>
        </w:rPr>
        <w:t>.</w:t>
      </w:r>
      <w:bookmarkEnd w:id="555"/>
    </w:p>
    <w:p w14:paraId="2549A22C" w14:textId="5060C77B" w:rsidR="00E77C05" w:rsidRPr="00DC28B0" w:rsidRDefault="00E77C05" w:rsidP="00AB5211">
      <w:pPr>
        <w:pStyle w:val="Bullet1G"/>
        <w:rPr>
          <w:rFonts w:eastAsiaTheme="minorEastAsia"/>
        </w:rPr>
      </w:pPr>
      <w:bookmarkStart w:id="556" w:name="lt_pId727"/>
      <w:r w:rsidRPr="00DC28B0">
        <w:rPr>
          <w:rFonts w:eastAsiaTheme="minorEastAsia"/>
        </w:rPr>
        <w:t xml:space="preserve">En 2017, Nueva Brunswick firmó un memorando de entendimiento relativo a la educación sobre los tratados con siete comunidades de las Primeras Naciones para desarrollar recursos genuinos e inclusivos desde el punto de vista cultural. </w:t>
      </w:r>
      <w:bookmarkStart w:id="557" w:name="lt_pId728"/>
      <w:bookmarkEnd w:id="556"/>
      <w:r w:rsidRPr="00DC28B0">
        <w:rPr>
          <w:rFonts w:eastAsiaTheme="minorEastAsia"/>
        </w:rPr>
        <w:t>Desde entonces se han producido cambios fundamentales en el desarrollo curricular.</w:t>
      </w:r>
      <w:bookmarkEnd w:id="557"/>
    </w:p>
    <w:p w14:paraId="14DF2C95" w14:textId="251D6A6F" w:rsidR="00E77C05" w:rsidRPr="00DC28B0" w:rsidRDefault="00E77C05" w:rsidP="00AB5211">
      <w:pPr>
        <w:pStyle w:val="Bullet1G"/>
        <w:rPr>
          <w:rFonts w:eastAsiaTheme="minorEastAsia"/>
        </w:rPr>
      </w:pPr>
      <w:bookmarkStart w:id="558" w:name="lt_pId729"/>
      <w:r w:rsidRPr="00DC28B0">
        <w:rPr>
          <w:rFonts w:eastAsiaTheme="minorEastAsia"/>
        </w:rPr>
        <w:t xml:space="preserve">En 2017, el Consejo de las Artes del Canadá, una corporación de ámbito federal, estableció el programa “Crear, saber y compartir: arte y cultura de las Primeras Naciones, los inuit y los </w:t>
      </w:r>
      <w:proofErr w:type="spellStart"/>
      <w:r w:rsidRPr="00DC28B0">
        <w:rPr>
          <w:rFonts w:eastAsiaTheme="minorEastAsia"/>
        </w:rPr>
        <w:t>métis</w:t>
      </w:r>
      <w:proofErr w:type="spellEnd"/>
      <w:r w:rsidRPr="00DC28B0">
        <w:rPr>
          <w:rFonts w:eastAsiaTheme="minorEastAsia"/>
        </w:rPr>
        <w:t xml:space="preserve">” para apoyar actividades artísticas que respeten y promuevan la afirmación cultural de las Primeras Naciones, los inuit y los </w:t>
      </w:r>
      <w:proofErr w:type="spellStart"/>
      <w:r w:rsidRPr="00DC28B0">
        <w:rPr>
          <w:rFonts w:eastAsiaTheme="minorEastAsia"/>
        </w:rPr>
        <w:t>métis</w:t>
      </w:r>
      <w:proofErr w:type="spellEnd"/>
      <w:r w:rsidRPr="00DC28B0">
        <w:rPr>
          <w:rFonts w:eastAsiaTheme="minorEastAsia"/>
        </w:rPr>
        <w:t xml:space="preserve"> y la vitalidad de las prácticas y comunidades artísticas indígenas. </w:t>
      </w:r>
      <w:bookmarkStart w:id="559" w:name="lt_pId730"/>
      <w:bookmarkEnd w:id="558"/>
      <w:r w:rsidRPr="00DC28B0">
        <w:rPr>
          <w:rFonts w:eastAsiaTheme="minorEastAsia"/>
        </w:rPr>
        <w:t xml:space="preserve">Por ejemplo, el programa ayudó a la productora cinematográfica </w:t>
      </w:r>
      <w:proofErr w:type="spellStart"/>
      <w:r w:rsidRPr="00DC28B0">
        <w:rPr>
          <w:rFonts w:eastAsiaTheme="minorEastAsia"/>
        </w:rPr>
        <w:t>NahHO</w:t>
      </w:r>
      <w:proofErr w:type="spellEnd"/>
      <w:r w:rsidRPr="00DC28B0">
        <w:rPr>
          <w:rFonts w:eastAsiaTheme="minorEastAsia"/>
        </w:rPr>
        <w:t xml:space="preserve"> </w:t>
      </w:r>
      <w:proofErr w:type="spellStart"/>
      <w:r w:rsidRPr="00DC28B0">
        <w:rPr>
          <w:rFonts w:eastAsiaTheme="minorEastAsia"/>
        </w:rPr>
        <w:t>Productions</w:t>
      </w:r>
      <w:proofErr w:type="spellEnd"/>
      <w:r w:rsidRPr="00DC28B0">
        <w:rPr>
          <w:rFonts w:eastAsiaTheme="minorEastAsia"/>
        </w:rPr>
        <w:t>, con sede en el Yukón, a digitalizar su extensa colección de grabaciones en lenguas indígenas a fin de preservarlas para las generaciones futuras.</w:t>
      </w:r>
      <w:bookmarkEnd w:id="559"/>
    </w:p>
    <w:p w14:paraId="50BE0541" w14:textId="7488FD90" w:rsidR="00E77C05" w:rsidRPr="00DC28B0" w:rsidRDefault="00E77C05" w:rsidP="00AB5211">
      <w:pPr>
        <w:pStyle w:val="H23G"/>
      </w:pPr>
      <w:bookmarkStart w:id="560" w:name="lt_pId731"/>
      <w:r>
        <w:tab/>
      </w:r>
      <w:r w:rsidR="00AB5211">
        <w:tab/>
      </w:r>
      <w:r w:rsidRPr="00DC28B0">
        <w:t xml:space="preserve">Arte y cultura de los </w:t>
      </w:r>
      <w:proofErr w:type="spellStart"/>
      <w:r w:rsidRPr="00DC28B0">
        <w:t>afrocanadienses</w:t>
      </w:r>
      <w:bookmarkEnd w:id="560"/>
      <w:proofErr w:type="spellEnd"/>
    </w:p>
    <w:p w14:paraId="24DC6023" w14:textId="77777777" w:rsidR="00E77C05" w:rsidRPr="00DC28B0" w:rsidRDefault="00E77C05" w:rsidP="00B62663">
      <w:pPr>
        <w:pStyle w:val="SingleTxtG"/>
      </w:pPr>
      <w:bookmarkStart w:id="561" w:name="lt_pId732"/>
      <w:r w:rsidRPr="00DC28B0">
        <w:t>148.</w:t>
      </w:r>
      <w:r w:rsidRPr="00DC28B0">
        <w:tab/>
      </w:r>
      <w:bookmarkStart w:id="562" w:name="lt_pId733"/>
      <w:bookmarkEnd w:id="561"/>
      <w:r w:rsidRPr="00DC28B0">
        <w:t>El Gobierno Federal y los gobiernos provinciales y territoriales han tomado medidas para promover el arte y la cultura de los afrodescendientes, especialmente en el marco del Decenio Internacional de los Afrodescendientes:</w:t>
      </w:r>
      <w:bookmarkEnd w:id="562"/>
    </w:p>
    <w:p w14:paraId="3560EA2B" w14:textId="12BBF0E3" w:rsidR="00E77C05" w:rsidRPr="00DC28B0" w:rsidRDefault="00E77C05" w:rsidP="00AB5211">
      <w:pPr>
        <w:pStyle w:val="Bullet1G"/>
        <w:rPr>
          <w:rFonts w:eastAsiaTheme="minorEastAsia"/>
        </w:rPr>
      </w:pPr>
      <w:bookmarkStart w:id="563" w:name="lt_pId734"/>
      <w:r w:rsidRPr="00DC28B0">
        <w:rPr>
          <w:rFonts w:eastAsiaTheme="minorEastAsia"/>
        </w:rPr>
        <w:t xml:space="preserve">El Grupo de Trabajo del Gobierno del Canadá sobre el Decenio Internacional de los Afrodescendientes coordina los esfuerzos de todos los niveles de gobierno para promover los objetivos del Decenio (2015-2024). </w:t>
      </w:r>
      <w:bookmarkStart w:id="564" w:name="lt_pId735"/>
      <w:bookmarkEnd w:id="563"/>
      <w:r w:rsidRPr="00DC28B0">
        <w:rPr>
          <w:rFonts w:eastAsiaTheme="minorEastAsia"/>
        </w:rPr>
        <w:t>El Grupo de Trabajo reúne a representantes de más de 18 departamentos e instituciones federales para conseguir que las medidas que se adopten respondan eficazmente a las necesidades de los afrodescendientes en el Canadá y explora otras medidas gubernamentales que pueden adoptarse más allá de 2024, el último año del Decenio.</w:t>
      </w:r>
      <w:bookmarkEnd w:id="564"/>
    </w:p>
    <w:p w14:paraId="62044A16" w14:textId="735A3475" w:rsidR="00E77C05" w:rsidRPr="00DC28B0" w:rsidRDefault="00E77C05" w:rsidP="00AB5211">
      <w:pPr>
        <w:pStyle w:val="Bullet1G"/>
        <w:rPr>
          <w:rFonts w:eastAsiaTheme="minorEastAsia"/>
        </w:rPr>
      </w:pPr>
      <w:bookmarkStart w:id="565" w:name="lt_pId736"/>
      <w:r w:rsidRPr="00DC28B0">
        <w:rPr>
          <w:rFonts w:eastAsiaTheme="minorEastAsia"/>
        </w:rPr>
        <w:t xml:space="preserve">Para dar reconocimiento al Decenio y tomar medidas contra el racismo sistémico que afecta a los afrodescendientes, el Gobierno proporcionó financiación para establecer la iniciativa denominada “Apoyo a las Comunidades Negras del Canadá”. </w:t>
      </w:r>
      <w:bookmarkStart w:id="566" w:name="lt_pId737"/>
      <w:bookmarkStart w:id="567" w:name="lt_pId738"/>
      <w:bookmarkEnd w:id="565"/>
      <w:bookmarkEnd w:id="566"/>
      <w:r w:rsidRPr="00DC28B0">
        <w:rPr>
          <w:rFonts w:eastAsiaTheme="minorEastAsia"/>
        </w:rPr>
        <w:t xml:space="preserve">En 2021, el Gobierno proporcionó financiación adicional para que la iniciativa pudiera seguir avanzando en sus objetivos de crear capacidad e infraestructuras fundamentales en las comunidades negras canadienses. </w:t>
      </w:r>
      <w:bookmarkStart w:id="568" w:name="lt_pId739"/>
      <w:bookmarkEnd w:id="567"/>
      <w:r w:rsidRPr="00DC28B0">
        <w:rPr>
          <w:rFonts w:eastAsiaTheme="minorEastAsia"/>
        </w:rPr>
        <w:t>Teniendo en cuenta que en el Canadá</w:t>
      </w:r>
      <w:r w:rsidRPr="00DC28B0">
        <w:t xml:space="preserve"> hay </w:t>
      </w:r>
      <w:r w:rsidRPr="00DC28B0">
        <w:rPr>
          <w:rFonts w:eastAsiaTheme="minorEastAsia"/>
        </w:rPr>
        <w:t xml:space="preserve">más de 200 etnias negras distintas, el apoyo a la iniciativa puede ayudar a crear organizaciones comunitarias dedicadas a sostener, conmemorar y celebrar las artes y la cultura </w:t>
      </w:r>
      <w:proofErr w:type="spellStart"/>
      <w:r w:rsidRPr="00DC28B0">
        <w:rPr>
          <w:rFonts w:eastAsiaTheme="minorEastAsia"/>
        </w:rPr>
        <w:t>afrocanadienses</w:t>
      </w:r>
      <w:proofErr w:type="spellEnd"/>
      <w:r w:rsidRPr="00DC28B0">
        <w:rPr>
          <w:rFonts w:eastAsiaTheme="minorEastAsia"/>
        </w:rPr>
        <w:t xml:space="preserve"> en todas sus formas.</w:t>
      </w:r>
      <w:bookmarkEnd w:id="568"/>
    </w:p>
    <w:p w14:paraId="599B1F5C" w14:textId="71788696" w:rsidR="00E77C05" w:rsidRPr="00DC28B0" w:rsidRDefault="00E77C05" w:rsidP="00AB5211">
      <w:pPr>
        <w:pStyle w:val="Bullet1G"/>
        <w:rPr>
          <w:rFonts w:eastAsiaTheme="minorEastAsia"/>
        </w:rPr>
      </w:pPr>
      <w:bookmarkStart w:id="569" w:name="lt_pId740"/>
      <w:r w:rsidRPr="00DC28B0">
        <w:rPr>
          <w:rFonts w:eastAsiaTheme="minorEastAsia"/>
        </w:rPr>
        <w:t>En febrero de 2020, Manitoba proclamó oficialmente el mes de febrero como Mes de la Historia Negra, reconociendo así la importante contribución de los afrodescendientes al desarrollo y la prosperidad de la provincia en ámbitos como la educación, la medicina, el arte, la cultura, el servicio público, el desarrollo económico, la política y los derechos humanos.</w:t>
      </w:r>
      <w:bookmarkEnd w:id="569"/>
    </w:p>
    <w:p w14:paraId="2F0EDF72" w14:textId="0D72EC1B" w:rsidR="00E77C05" w:rsidRPr="00DC28B0" w:rsidRDefault="00E77C05" w:rsidP="00AB5211">
      <w:pPr>
        <w:pStyle w:val="Bullet1G"/>
        <w:rPr>
          <w:rFonts w:eastAsiaTheme="minorEastAsia"/>
        </w:rPr>
      </w:pPr>
      <w:bookmarkStart w:id="570" w:name="lt_pId741"/>
      <w:r w:rsidRPr="00DC28B0">
        <w:rPr>
          <w:rFonts w:eastAsiaTheme="minorEastAsia"/>
        </w:rPr>
        <w:t>En el ejercicio 2019</w:t>
      </w:r>
      <w:r w:rsidR="00381B0F">
        <w:rPr>
          <w:rFonts w:eastAsiaTheme="minorEastAsia"/>
        </w:rPr>
        <w:t>/</w:t>
      </w:r>
      <w:r w:rsidRPr="00DC28B0">
        <w:rPr>
          <w:rFonts w:eastAsiaTheme="minorEastAsia"/>
        </w:rPr>
        <w:t xml:space="preserve">20, Ontario proporcionó financiación a la organización Black </w:t>
      </w:r>
      <w:proofErr w:type="spellStart"/>
      <w:r w:rsidRPr="00DC28B0">
        <w:rPr>
          <w:rFonts w:eastAsiaTheme="minorEastAsia"/>
        </w:rPr>
        <w:t>History</w:t>
      </w:r>
      <w:proofErr w:type="spellEnd"/>
      <w:r w:rsidRPr="00DC28B0">
        <w:rPr>
          <w:rFonts w:eastAsiaTheme="minorEastAsia"/>
        </w:rPr>
        <w:t xml:space="preserve"> Ottawa para la celebración de actos artísticos y culturales sobre el tema del Decenio durante el Mes de la Historia Negra.</w:t>
      </w:r>
      <w:bookmarkEnd w:id="570"/>
    </w:p>
    <w:p w14:paraId="689ED5C7" w14:textId="547DFC16" w:rsidR="00E77C05" w:rsidRPr="00DC28B0" w:rsidRDefault="00E77C05" w:rsidP="00AB5211">
      <w:pPr>
        <w:pStyle w:val="H1G"/>
      </w:pPr>
      <w:bookmarkStart w:id="571" w:name="lt_pId742"/>
      <w:r>
        <w:tab/>
      </w:r>
      <w:r w:rsidR="00AB5211">
        <w:tab/>
      </w:r>
      <w:r w:rsidRPr="00DC28B0">
        <w:t>Respuesta al párrafo 28 de la lista de cuestiones</w:t>
      </w:r>
      <w:bookmarkEnd w:id="571"/>
    </w:p>
    <w:p w14:paraId="307C2A6E" w14:textId="003CA818" w:rsidR="00E77C05" w:rsidRPr="00DC28B0" w:rsidRDefault="00E77C05" w:rsidP="00AB5211">
      <w:pPr>
        <w:pStyle w:val="H23G"/>
      </w:pPr>
      <w:bookmarkStart w:id="572" w:name="lt_pId743"/>
      <w:r>
        <w:tab/>
      </w:r>
      <w:r w:rsidR="00AB5211">
        <w:tab/>
      </w:r>
      <w:r w:rsidRPr="00DC28B0">
        <w:t>Los beneficios del progreso científico para todos</w:t>
      </w:r>
      <w:bookmarkEnd w:id="572"/>
    </w:p>
    <w:p w14:paraId="26749075" w14:textId="77777777" w:rsidR="00E77C05" w:rsidRPr="00DC28B0" w:rsidRDefault="00E77C05" w:rsidP="00B62663">
      <w:pPr>
        <w:pStyle w:val="SingleTxtG"/>
        <w:rPr>
          <w:bCs/>
        </w:rPr>
      </w:pPr>
      <w:r w:rsidRPr="00DC28B0">
        <w:t>149.</w:t>
      </w:r>
      <w:r w:rsidRPr="00DC28B0">
        <w:tab/>
      </w:r>
      <w:r w:rsidRPr="00DC28B0">
        <w:rPr>
          <w:bCs/>
        </w:rPr>
        <w:t xml:space="preserve">El </w:t>
      </w:r>
      <w:r w:rsidRPr="00B62663">
        <w:t>Gobierno</w:t>
      </w:r>
      <w:r w:rsidRPr="00DC28B0">
        <w:rPr>
          <w:bCs/>
        </w:rPr>
        <w:t xml:space="preserve"> del Canadá reconoce la importancia de garantizar que la información, los datos y los resultados científicos sean más accesibles y se aprovechen de manera más fiable </w:t>
      </w:r>
      <w:r w:rsidRPr="00DC28B0">
        <w:rPr>
          <w:bCs/>
        </w:rPr>
        <w:lastRenderedPageBreak/>
        <w:t>mediante la participación activa de todos los interesados. También alienta las iniciativas tendientes a fomentar la participación de los canadienses, incluidas las mujeres y otros grupos infrarrepresentados, en los ámbitos de la ciencia, la tecnología, la ingeniería y las matemáticas.</w:t>
      </w:r>
    </w:p>
    <w:p w14:paraId="60D6B1D1" w14:textId="7E250522" w:rsidR="00E77C05" w:rsidRPr="00DC28B0" w:rsidRDefault="00E77C05" w:rsidP="00AB5211">
      <w:pPr>
        <w:pStyle w:val="Bullet1G"/>
        <w:rPr>
          <w:rFonts w:eastAsiaTheme="minorEastAsia"/>
        </w:rPr>
      </w:pPr>
      <w:r w:rsidRPr="00DC28B0">
        <w:rPr>
          <w:rFonts w:eastAsiaTheme="minorEastAsia"/>
        </w:rPr>
        <w:t>Modernización del portal de ciencia ciudadana del Gobierno del Canadá, en el que se proporciona información y acceso a proyectos y experimentos científicos que tienen lugar en diversas comunidades y en los que cualquier canadiense</w:t>
      </w:r>
      <w:r w:rsidRPr="00DC28B0">
        <w:t xml:space="preserve"> </w:t>
      </w:r>
      <w:r w:rsidRPr="00DC28B0">
        <w:rPr>
          <w:rFonts w:eastAsiaTheme="minorEastAsia"/>
        </w:rPr>
        <w:t xml:space="preserve">puede participar. </w:t>
      </w:r>
    </w:p>
    <w:p w14:paraId="27708C8C" w14:textId="6D42F697" w:rsidR="00E77C05" w:rsidRPr="00DC28B0" w:rsidRDefault="00E77C05" w:rsidP="00AB5211">
      <w:pPr>
        <w:pStyle w:val="H23G"/>
      </w:pPr>
      <w:bookmarkStart w:id="573" w:name="lt_pId747"/>
      <w:r>
        <w:tab/>
      </w:r>
      <w:r w:rsidR="00AB5211">
        <w:tab/>
      </w:r>
      <w:r w:rsidRPr="00DC28B0">
        <w:t>Promover la cultura</w:t>
      </w:r>
    </w:p>
    <w:p w14:paraId="23CCA6BC" w14:textId="77777777" w:rsidR="00E77C05" w:rsidRPr="00DC28B0" w:rsidRDefault="00E77C05" w:rsidP="00B62663">
      <w:pPr>
        <w:pStyle w:val="SingleTxtG"/>
        <w:rPr>
          <w:bCs/>
        </w:rPr>
      </w:pPr>
      <w:r w:rsidRPr="00DC28B0">
        <w:t>150.</w:t>
      </w:r>
      <w:r w:rsidRPr="00DC28B0">
        <w:tab/>
      </w:r>
      <w:r w:rsidRPr="00DC28B0">
        <w:rPr>
          <w:bCs/>
        </w:rPr>
        <w:t xml:space="preserve">El Gobierno ha puesto en marcha políticas y programas que fomentan un entorno en el que los ciudadanos pueden descubrir expresiones culturales vibrantes, celebrar su historia y su patrimonio y construir comunidades fuertes. </w:t>
      </w:r>
      <w:r w:rsidRPr="00B62663">
        <w:t>Algunos</w:t>
      </w:r>
      <w:r w:rsidRPr="00DC28B0">
        <w:rPr>
          <w:bCs/>
        </w:rPr>
        <w:t xml:space="preserve"> ejemplos son el Programa de Celebración y Conmemoración, que financió actos del Día Nacional de los Pueblos Indígenas en todo el país, y el Programa de Construcción de Comunidades a través de las Artes y el Patrimonio, en cuyo marco se prestó apoyo para fomentar la participación ciudadana y la inclusión social en comunidades de todo el país.</w:t>
      </w:r>
    </w:p>
    <w:p w14:paraId="7D2545E5" w14:textId="7B9239ED" w:rsidR="00E77C05" w:rsidRPr="00DC28B0" w:rsidRDefault="00AB5211" w:rsidP="00AB5211">
      <w:pPr>
        <w:pStyle w:val="H23G"/>
      </w:pPr>
      <w:r>
        <w:tab/>
      </w:r>
      <w:r w:rsidR="00E77C05">
        <w:tab/>
      </w:r>
      <w:r w:rsidR="00E77C05" w:rsidRPr="00DC28B0">
        <w:t>Acceso a Internet</w:t>
      </w:r>
      <w:bookmarkEnd w:id="573"/>
    </w:p>
    <w:p w14:paraId="19F76CF6" w14:textId="77777777" w:rsidR="00E77C05" w:rsidRPr="00DC28B0" w:rsidRDefault="00E77C05" w:rsidP="00B62663">
      <w:pPr>
        <w:pStyle w:val="SingleTxtG"/>
      </w:pPr>
      <w:bookmarkStart w:id="574" w:name="lt_pId748"/>
      <w:r w:rsidRPr="00DC28B0">
        <w:t>151.</w:t>
      </w:r>
      <w:r w:rsidRPr="00DC28B0">
        <w:tab/>
      </w:r>
      <w:bookmarkStart w:id="575" w:name="lt_pId749"/>
      <w:bookmarkEnd w:id="574"/>
      <w:r w:rsidRPr="00DC28B0">
        <w:t>El Gobierno del Canadá, reconociendo la importancia de la igualdad en la esfera digital, ha puesto en marcha varias iniciativas encaminadas a promover el acceso a Internet de alta velocidad para todos los canadienses, incluidos los que viven en comunidades rurales y remotas y los desfavorecidos y marginados o pertenecientes a grupos desfavorecidos y marginados:</w:t>
      </w:r>
      <w:bookmarkEnd w:id="575"/>
    </w:p>
    <w:p w14:paraId="441BDC21" w14:textId="2D85734A" w:rsidR="00E77C05" w:rsidRPr="00DC28B0" w:rsidRDefault="00E77C05" w:rsidP="00AB5211">
      <w:pPr>
        <w:pStyle w:val="Bullet1G"/>
        <w:rPr>
          <w:rFonts w:eastAsiaTheme="minorEastAsia"/>
        </w:rPr>
      </w:pPr>
      <w:bookmarkStart w:id="576" w:name="lt_pId750"/>
      <w:r w:rsidRPr="00DC28B0">
        <w:rPr>
          <w:rFonts w:eastAsiaTheme="minorEastAsia"/>
        </w:rPr>
        <w:t xml:space="preserve">Por medio del programa “Conectar para innovar” se está mejorando la conectividad en 975 comunidades rurales y remotas de todo el Canadá, incluidas 190 comunidades indígenas. El programa se centra principalmente en la construcción de nuevas infraestructuras troncales que conectarán instituciones como escuelas y hospitales. Las redes troncales son autopistas digitales que aportan una conexión de alta velocidad a una comunidad. Parte de la financiación del programa se destina también a proporcionar infraestructura de “último kilómetro” que sirve para conectar directamente hogares y empresas que tenían velocidades de servicio inferiores a </w:t>
      </w:r>
      <w:r w:rsidR="00381B0F">
        <w:rPr>
          <w:rFonts w:eastAsiaTheme="minorEastAsia"/>
        </w:rPr>
        <w:t>5 </w:t>
      </w:r>
      <w:r w:rsidRPr="00DC28B0">
        <w:rPr>
          <w:rFonts w:eastAsiaTheme="minorEastAsia"/>
        </w:rPr>
        <w:t>megabits por segundo (Mbps).</w:t>
      </w:r>
    </w:p>
    <w:p w14:paraId="7BD8B1C1" w14:textId="33C3DB71" w:rsidR="00E77C05" w:rsidRPr="00DC28B0" w:rsidRDefault="00E77C05" w:rsidP="00AB5211">
      <w:pPr>
        <w:pStyle w:val="Bullet1G"/>
        <w:rPr>
          <w:rFonts w:eastAsiaTheme="minorEastAsia"/>
        </w:rPr>
      </w:pPr>
      <w:bookmarkStart w:id="577" w:name="lt_pId752"/>
      <w:bookmarkEnd w:id="576"/>
      <w:r w:rsidRPr="00DC28B0">
        <w:rPr>
          <w:rFonts w:eastAsiaTheme="minorEastAsia"/>
        </w:rPr>
        <w:t xml:space="preserve">En julio de 2019 se aprobó la Ley de Accesibilidad. </w:t>
      </w:r>
      <w:bookmarkStart w:id="578" w:name="lt_pId753"/>
      <w:bookmarkEnd w:id="577"/>
      <w:bookmarkEnd w:id="578"/>
      <w:r w:rsidRPr="00DC28B0">
        <w:rPr>
          <w:rFonts w:eastAsiaTheme="minorEastAsia"/>
        </w:rPr>
        <w:t>En ella se establecen nuevas obligaciones para los proveedores de servicios de telecomunicaciones, como la publicación de planes de accesibilidad e informes de progreso y la aplicación de un proceso de retroalimentación en consulta con las personas con discapacidad.</w:t>
      </w:r>
    </w:p>
    <w:p w14:paraId="43283C2A" w14:textId="5253BC07" w:rsidR="00E77C05" w:rsidRPr="00DC28B0" w:rsidRDefault="00E77C05" w:rsidP="00AB5211">
      <w:pPr>
        <w:pStyle w:val="Bullet1G"/>
        <w:rPr>
          <w:rFonts w:eastAsiaTheme="minorEastAsia"/>
        </w:rPr>
      </w:pPr>
      <w:r w:rsidRPr="00DC28B0">
        <w:rPr>
          <w:rFonts w:eastAsiaTheme="minorEastAsia"/>
        </w:rPr>
        <w:t>Con la Estrategia Canadiense de Conectividad,</w:t>
      </w:r>
      <w:r w:rsidRPr="00DC28B0">
        <w:t xml:space="preserve"> p</w:t>
      </w:r>
      <w:r w:rsidRPr="00DC28B0">
        <w:rPr>
          <w:rFonts w:eastAsiaTheme="minorEastAsia"/>
        </w:rPr>
        <w:t>ublicada en 2019, se establecieron objetivos nacionales de conectividad para proporcionar acceso a Internet de alta velocidad (50/10 Mbps) al 95 % de los hogares canadienses en 2026 y al 100 % en</w:t>
      </w:r>
      <w:r w:rsidR="00C44150">
        <w:rPr>
          <w:rFonts w:eastAsiaTheme="minorEastAsia"/>
        </w:rPr>
        <w:t> </w:t>
      </w:r>
      <w:r w:rsidRPr="00DC28B0">
        <w:rPr>
          <w:rFonts w:eastAsiaTheme="minorEastAsia"/>
        </w:rPr>
        <w:t>2030, y para mejorar el acceso móvil celular en todo el país. El objetivo de 2026 se ha acelerado al 98 % gracias a inversiones adicionales en el Fondo Universal de Banda Ancha.</w:t>
      </w:r>
    </w:p>
    <w:p w14:paraId="7998E541" w14:textId="1346E643" w:rsidR="00E77C05" w:rsidRPr="00DC28B0" w:rsidRDefault="00E77C05" w:rsidP="00AB5211">
      <w:pPr>
        <w:pStyle w:val="Bullet1G"/>
        <w:rPr>
          <w:rFonts w:eastAsiaTheme="minorEastAsia"/>
        </w:rPr>
      </w:pPr>
      <w:r w:rsidRPr="00DC28B0">
        <w:rPr>
          <w:rFonts w:eastAsiaTheme="minorEastAsia"/>
        </w:rPr>
        <w:t>Creado en noviembre de 2020, el Fondo Universal de Banda Ancha apoya el desarrollo de proyectos de infraestructuras de banda ancha que lleven internet de alta velocidad a hogares rurales y remotos. Además, se han asignado fondos del Fondo a proyectos de internet móvil que benefician principalmente a los Pueblos Indígenas. El Fondo se basa en otras iniciativas federales que proporcionan a los canadienses acceso a Internet de alta velocidad y servicios móviles mejorados, como el Fondo de Banda Ancha del Consejo Canadiense de Radiodifusión y Telecomunicaciones y el componente de Infraestructuras para Comunidades Rurales y del Norte del programa Invertir en Infraestructuras del Canadá.</w:t>
      </w:r>
    </w:p>
    <w:p w14:paraId="799FF22F" w14:textId="0FEDBFF6" w:rsidR="00E77C05" w:rsidRPr="00DC28B0" w:rsidRDefault="00E77C05" w:rsidP="00AB5211">
      <w:pPr>
        <w:pStyle w:val="HChG"/>
      </w:pPr>
      <w:bookmarkStart w:id="579" w:name="lt_pId758"/>
      <w:r w:rsidRPr="00DC28B0">
        <w:lastRenderedPageBreak/>
        <w:tab/>
        <w:t>IV.</w:t>
      </w:r>
      <w:r w:rsidRPr="00DC28B0">
        <w:tab/>
        <w:t>Buenas prácticas</w:t>
      </w:r>
      <w:bookmarkEnd w:id="579"/>
    </w:p>
    <w:p w14:paraId="081AF3C8" w14:textId="6A707A81" w:rsidR="00E77C05" w:rsidRPr="00DC28B0" w:rsidRDefault="00E77C05" w:rsidP="00AB5211">
      <w:pPr>
        <w:pStyle w:val="H1G"/>
      </w:pPr>
      <w:bookmarkStart w:id="580" w:name="lt_pId759"/>
      <w:r>
        <w:tab/>
      </w:r>
      <w:r w:rsidR="00AB5211">
        <w:tab/>
      </w:r>
      <w:r w:rsidRPr="00DC28B0">
        <w:t>Respuesta al párrafo 29 de la lista de cuestiones</w:t>
      </w:r>
      <w:bookmarkEnd w:id="580"/>
    </w:p>
    <w:p w14:paraId="0D06F921" w14:textId="78189B13" w:rsidR="00E77C05" w:rsidRPr="00DC28B0" w:rsidRDefault="00E77C05" w:rsidP="00AB5211">
      <w:pPr>
        <w:pStyle w:val="H23G"/>
      </w:pPr>
      <w:bookmarkStart w:id="581" w:name="lt_pId760"/>
      <w:r>
        <w:tab/>
      </w:r>
      <w:r w:rsidR="00AB5211">
        <w:tab/>
      </w:r>
      <w:r w:rsidRPr="00DC28B0">
        <w:t>Buenas prácticas en la formulación y aplicación de políticas</w:t>
      </w:r>
      <w:bookmarkEnd w:id="581"/>
    </w:p>
    <w:p w14:paraId="5F9026AD" w14:textId="77777777" w:rsidR="00E77C05" w:rsidRPr="00DC28B0" w:rsidRDefault="00E77C05" w:rsidP="00B62663">
      <w:pPr>
        <w:pStyle w:val="SingleTxtG"/>
        <w:rPr>
          <w:bCs/>
        </w:rPr>
      </w:pPr>
      <w:bookmarkStart w:id="582" w:name="lt_pId761"/>
      <w:r w:rsidRPr="00DC28B0">
        <w:t>152.</w:t>
      </w:r>
      <w:r w:rsidRPr="00DC28B0">
        <w:tab/>
      </w:r>
      <w:r w:rsidRPr="00B62663">
        <w:t>Desde</w:t>
      </w:r>
      <w:r w:rsidRPr="00DC28B0">
        <w:rPr>
          <w:bCs/>
        </w:rPr>
        <w:t xml:space="preserve"> 2016, el </w:t>
      </w:r>
      <w:r w:rsidRPr="00DC28B0">
        <w:t xml:space="preserve">Gobierno Federal y </w:t>
      </w:r>
      <w:r w:rsidRPr="00DC28B0">
        <w:rPr>
          <w:bCs/>
        </w:rPr>
        <w:t>los gobiernos provinciales y territoriales han puesto en marcha buenas prácticas para la formulación y aplicación de políticas que han contribuido a hacer realidad los derechos económicos, sociales y culturales, en particular para las personas y grupos marginados y desfavorecidos:</w:t>
      </w:r>
      <w:bookmarkEnd w:id="582"/>
    </w:p>
    <w:p w14:paraId="3828A3D3" w14:textId="34363E83" w:rsidR="00E77C05" w:rsidRPr="00DC28B0" w:rsidRDefault="00E77C05" w:rsidP="00AB5211">
      <w:pPr>
        <w:pStyle w:val="Bullet1G"/>
      </w:pPr>
      <w:bookmarkStart w:id="583" w:name="lt_pId763"/>
      <w:r w:rsidRPr="00DC28B0">
        <w:t>El Gobierno del Canadá aplica un enfoque de todos los niveles de gobierno a través del Análisis Comparativo entre los Sexos Plus (ACS Plus), una herramienta analítica utilizada para apoyar el desarrollo de políticas, programas y otras iniciativas receptivas e inclusivas. ACS Plus es un proceso que ayuda a comprender a quién afecta el problema o beneficia la oportunidad que aborda una iniciativa; a identificar cómo podría adaptarse la iniciativa para satisfacer las diversas necesidades de los más afectados; y a anticipar y mitigar cualquier barrera que dificulte el acceso a la iniciativa o beneficiarse de ella. Se trata de un análisis interseccional que va más allá de las diferencias biológicas (sexo) y socioculturales (género) para tener en cuenta otros factores, como la edad, la discapacidad, la educación, la etnia, la situación económica, la ubicación geográfica (incluida la característica rural), el idioma, la raza, la religión y la orientación sexual. ACS Plus tiene una larga historia en el Gobierno Federal y se exige desde hace casi 30 años como parte del proceso de elaboración de políticas, programas y otras iniciativas, así como en la toma de decisiones dentro de los departamentos federales.</w:t>
      </w:r>
    </w:p>
    <w:bookmarkEnd w:id="583"/>
    <w:p w14:paraId="0A219B7D" w14:textId="6075F48D" w:rsidR="00E77C05" w:rsidRPr="00DC28B0" w:rsidRDefault="00E77C05" w:rsidP="00AB5211">
      <w:pPr>
        <w:pStyle w:val="Bullet1G"/>
        <w:rPr>
          <w:rFonts w:eastAsiaTheme="minorEastAsia"/>
        </w:rPr>
      </w:pPr>
      <w:r w:rsidRPr="00DC28B0">
        <w:rPr>
          <w:rFonts w:eastAsiaTheme="minorEastAsia"/>
        </w:rPr>
        <w:t>En 2018, el Gobierno creó una Dependencia de Objetivos de Desarrollo Sostenible (ODS) para coordinar esfuerzos, concienciar, supervisar e informar sobre la implementación de la Agenda 2030 por parte del Canadá. Ese mismo año, el Gobierno también estableció el Programa de Financiación de los ODS, con un presupuesto de 59,8 millones de dólares a lo largo de 13 años, para financiar proyectos que ayuden a aumentar la concienciación sobre los ODS, conseguir mejores resultados sociales, económicos y ambientales para los canadienses y avanzar en la implementación de la Agenda 2030. A través del Programa de Financiación de los ODS (2018-2021) se han financiado 127 proyectos por un importe aproximado de 20 millones de dólares. En</w:t>
      </w:r>
      <w:r w:rsidR="002F3464">
        <w:rPr>
          <w:rFonts w:eastAsiaTheme="minorEastAsia"/>
        </w:rPr>
        <w:t> </w:t>
      </w:r>
      <w:r w:rsidRPr="00DC28B0">
        <w:rPr>
          <w:rFonts w:eastAsiaTheme="minorEastAsia"/>
        </w:rPr>
        <w:t>2018, el Canadá también presentó su primer Examen Nacional Voluntario al Foro Político de Alto Nivel de las Naciones Unidas, en el que se destacaban sus avances en la Agenda 2023 y los ODS.</w:t>
      </w:r>
    </w:p>
    <w:p w14:paraId="4656C8FA" w14:textId="4D960826" w:rsidR="00E77C05" w:rsidRPr="00DC28B0" w:rsidRDefault="00E77C05" w:rsidP="00AB5211">
      <w:pPr>
        <w:pStyle w:val="Bullet1G"/>
        <w:rPr>
          <w:rFonts w:eastAsiaTheme="minorEastAsia"/>
        </w:rPr>
      </w:pPr>
      <w:r w:rsidRPr="00DC28B0">
        <w:rPr>
          <w:rFonts w:eastAsiaTheme="minorEastAsia"/>
        </w:rPr>
        <w:t>En 2021, el Gobierno del Canadá puso en marcha la Estrategia Nacional para la Agenda 2030: Avanzar Juntos, que se centra en la creación de asociaciones amplias y colaborativas para ofrecer un apoyo general a la hora de abordar los retos a los que se enfrentan los grupos marginados y quienes viven en situaciones de vulnerabilidad. En julio de 2021 se publicó también el Plan Federal de Implementación de la Agenda</w:t>
      </w:r>
      <w:r w:rsidR="003E04CA">
        <w:rPr>
          <w:rFonts w:eastAsiaTheme="minorEastAsia"/>
        </w:rPr>
        <w:t> </w:t>
      </w:r>
      <w:r w:rsidRPr="00DC28B0">
        <w:rPr>
          <w:rFonts w:eastAsiaTheme="minorEastAsia"/>
        </w:rPr>
        <w:t>2030, en el que se establece cómo el Gobierno ayudará a poner en práctica la Estrategia Nacional. En el Plan también se establecen funciones y responsabilidades claras para los departamentos gubernamentales en la aplicación de la Agenda 2030.</w:t>
      </w:r>
    </w:p>
    <w:p w14:paraId="0A68EC00" w14:textId="7A7BA69B" w:rsidR="00E77C05" w:rsidRPr="00DC28B0" w:rsidRDefault="00E77C05" w:rsidP="00AB5211">
      <w:pPr>
        <w:pStyle w:val="Bullet1G"/>
        <w:rPr>
          <w:rFonts w:eastAsiaTheme="minorEastAsia"/>
        </w:rPr>
      </w:pPr>
      <w:bookmarkStart w:id="584" w:name="lt_pId772"/>
      <w:r w:rsidRPr="00DC28B0">
        <w:rPr>
          <w:rFonts w:eastAsiaTheme="minorEastAsia"/>
        </w:rPr>
        <w:t xml:space="preserve">En 2020, la Secretaría Federal de Lucha contra el Racismo comenzó a desarrollar un marco de lucha contra esa lacra en respuesta al creciente reconocimiento de la existencia de </w:t>
      </w:r>
      <w:r w:rsidRPr="00DC28B0">
        <w:t xml:space="preserve">racismo </w:t>
      </w:r>
      <w:r w:rsidRPr="00DC28B0">
        <w:rPr>
          <w:rFonts w:eastAsiaTheme="minorEastAsia"/>
        </w:rPr>
        <w:t>sistémico en el Canadá y a las expectativas públicas de una acción correctiva a nivel federal. Como recurso analítico, conceptual y correctivo para todos los niveles de gobierno, el marco está diseñado para ayudar a eliminar las barreras sistémicas en las políticas, los programas, los servicios y la legislación. En última instancia, con el marco se pretende cambiar los sistemas para mejorar la calidad de vida de las diversas poblaciones que han experimentado el racismo, salvando la brecha racial y ayudando a garantizar sus derechos humanos.</w:t>
      </w:r>
    </w:p>
    <w:p w14:paraId="191F19B6" w14:textId="07B550D8" w:rsidR="00B62663" w:rsidRDefault="00E77C05" w:rsidP="00AB5211">
      <w:pPr>
        <w:pStyle w:val="SingleTxtG"/>
        <w:rPr>
          <w:bCs/>
        </w:rPr>
      </w:pPr>
      <w:r w:rsidRPr="00DC28B0">
        <w:t>153.</w:t>
      </w:r>
      <w:r w:rsidRPr="00DC28B0">
        <w:tab/>
        <w:t xml:space="preserve">En </w:t>
      </w:r>
      <w:r w:rsidRPr="00DC28B0">
        <w:rPr>
          <w:bCs/>
        </w:rPr>
        <w:t xml:space="preserve">2020, Telefilm </w:t>
      </w:r>
      <w:proofErr w:type="spellStart"/>
      <w:r w:rsidRPr="00DC28B0">
        <w:rPr>
          <w:bCs/>
        </w:rPr>
        <w:t>Canada</w:t>
      </w:r>
      <w:proofErr w:type="spellEnd"/>
      <w:r w:rsidRPr="00DC28B0">
        <w:rPr>
          <w:bCs/>
        </w:rPr>
        <w:t xml:space="preserve">, una corporación federal, puso en marcha su Plan de Acción de Igualdad y Representación, que incluye la adopción de siete medidas y las estrategias </w:t>
      </w:r>
      <w:r w:rsidRPr="00DC28B0">
        <w:rPr>
          <w:bCs/>
        </w:rPr>
        <w:lastRenderedPageBreak/>
        <w:t xml:space="preserve">correspondientes para su aplicación. </w:t>
      </w:r>
      <w:bookmarkStart w:id="585" w:name="lt_pId773"/>
      <w:bookmarkEnd w:id="584"/>
      <w:r w:rsidRPr="00DC28B0">
        <w:rPr>
          <w:bCs/>
        </w:rPr>
        <w:t xml:space="preserve">Con el Plan se pretende transformar la industria audiovisual canadiense de manera que refleje una cultura de respeto mutuo, dignidad e inclusión. </w:t>
      </w:r>
      <w:bookmarkStart w:id="586" w:name="lt_pId774"/>
      <w:bookmarkEnd w:id="585"/>
      <w:r w:rsidRPr="00DC28B0">
        <w:rPr>
          <w:bCs/>
        </w:rPr>
        <w:t>También se favorece el objetivo de formular un marco de apoyo a la igualdad y las mismas oportunidades para los miembros de las comunidades indígenas, negras, racializadas y con diversidad de género.</w:t>
      </w:r>
      <w:bookmarkEnd w:id="586"/>
      <w:r w:rsidRPr="00DC28B0">
        <w:rPr>
          <w:bCs/>
        </w:rPr>
        <w:t xml:space="preserve"> Entre las medidas adoptadas figuran la diversificación de la mano de obra, la priorización de la recopilación de datos, la revisión de los procesos y programas de toma de decisiones con el fin de garantizar el apoyo a los creadores con una identidad infrarrepresentada y el diálogo permanente con las comunidades infrarrepresentadas.</w:t>
      </w:r>
    </w:p>
    <w:p w14:paraId="475C31BD" w14:textId="36ECEE1C" w:rsidR="00AB5211" w:rsidRPr="00AB5211" w:rsidRDefault="00AB5211" w:rsidP="00AB5211">
      <w:pPr>
        <w:pStyle w:val="SingleTxtG"/>
        <w:suppressAutoHyphens/>
        <w:spacing w:before="240" w:after="0"/>
        <w:jc w:val="center"/>
        <w:rPr>
          <w:u w:val="single"/>
        </w:rPr>
      </w:pPr>
      <w:r>
        <w:rPr>
          <w:u w:val="single"/>
        </w:rPr>
        <w:tab/>
      </w:r>
      <w:r>
        <w:rPr>
          <w:u w:val="single"/>
        </w:rPr>
        <w:tab/>
      </w:r>
      <w:r>
        <w:rPr>
          <w:u w:val="single"/>
        </w:rPr>
        <w:tab/>
      </w:r>
    </w:p>
    <w:sectPr w:rsidR="00AB5211" w:rsidRPr="00AB5211" w:rsidSect="00E77C0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2C1FB" w14:textId="77777777" w:rsidR="00BD6C40" w:rsidRPr="00093664" w:rsidRDefault="00BD6C40" w:rsidP="00093664">
      <w:pPr>
        <w:pStyle w:val="Piedepgina"/>
      </w:pPr>
    </w:p>
  </w:endnote>
  <w:endnote w:type="continuationSeparator" w:id="0">
    <w:p w14:paraId="7074BF66" w14:textId="77777777" w:rsidR="00BD6C40" w:rsidRPr="00093664" w:rsidRDefault="00BD6C4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885A6" w14:textId="28466C9F" w:rsidR="00E77C05" w:rsidRPr="00E77C05" w:rsidRDefault="00E77C05" w:rsidP="00E77C05">
    <w:pPr>
      <w:pStyle w:val="Piedepgina"/>
      <w:tabs>
        <w:tab w:val="right" w:pos="9638"/>
      </w:tabs>
    </w:pPr>
    <w:r w:rsidRPr="00E77C05">
      <w:rPr>
        <w:b/>
        <w:sz w:val="18"/>
      </w:rPr>
      <w:fldChar w:fldCharType="begin"/>
    </w:r>
    <w:r w:rsidRPr="00E77C05">
      <w:rPr>
        <w:b/>
        <w:sz w:val="18"/>
      </w:rPr>
      <w:instrText xml:space="preserve"> PAGE  \* MERGEFORMAT </w:instrText>
    </w:r>
    <w:r w:rsidRPr="00E77C05">
      <w:rPr>
        <w:b/>
        <w:sz w:val="18"/>
      </w:rPr>
      <w:fldChar w:fldCharType="separate"/>
    </w:r>
    <w:r w:rsidRPr="00E77C05">
      <w:rPr>
        <w:b/>
        <w:noProof/>
        <w:sz w:val="18"/>
      </w:rPr>
      <w:t>2</w:t>
    </w:r>
    <w:r w:rsidRPr="00E77C05">
      <w:rPr>
        <w:b/>
        <w:sz w:val="18"/>
      </w:rPr>
      <w:fldChar w:fldCharType="end"/>
    </w:r>
    <w:r>
      <w:rPr>
        <w:b/>
        <w:sz w:val="18"/>
      </w:rPr>
      <w:tab/>
    </w:r>
    <w:proofErr w:type="spellStart"/>
    <w:r>
      <w:t>GE.24</w:t>
    </w:r>
    <w:proofErr w:type="spellEnd"/>
    <w:r>
      <w:t>-22932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8522" w14:textId="4F1221F4" w:rsidR="00E77C05" w:rsidRPr="00E77C05" w:rsidRDefault="00E77C05" w:rsidP="00E77C05">
    <w:pPr>
      <w:pStyle w:val="Piedepgina"/>
      <w:tabs>
        <w:tab w:val="right" w:pos="9638"/>
      </w:tabs>
      <w:rPr>
        <w:b/>
        <w:sz w:val="18"/>
      </w:rPr>
    </w:pPr>
    <w:proofErr w:type="spellStart"/>
    <w:r>
      <w:t>GE.24</w:t>
    </w:r>
    <w:proofErr w:type="spellEnd"/>
    <w:r>
      <w:t>-22932</w:t>
    </w:r>
    <w:r>
      <w:tab/>
    </w:r>
    <w:r w:rsidRPr="00E77C05">
      <w:rPr>
        <w:b/>
        <w:sz w:val="18"/>
      </w:rPr>
      <w:fldChar w:fldCharType="begin"/>
    </w:r>
    <w:r w:rsidRPr="00E77C05">
      <w:rPr>
        <w:b/>
        <w:sz w:val="18"/>
      </w:rPr>
      <w:instrText xml:space="preserve"> PAGE  \* MERGEFORMAT </w:instrText>
    </w:r>
    <w:r w:rsidRPr="00E77C05">
      <w:rPr>
        <w:b/>
        <w:sz w:val="18"/>
      </w:rPr>
      <w:fldChar w:fldCharType="separate"/>
    </w:r>
    <w:r w:rsidRPr="00E77C05">
      <w:rPr>
        <w:b/>
        <w:noProof/>
        <w:sz w:val="18"/>
      </w:rPr>
      <w:t>3</w:t>
    </w:r>
    <w:r w:rsidRPr="00E77C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7D8A8" w14:textId="383E7B19" w:rsidR="005016AF" w:rsidRPr="00E77C05" w:rsidRDefault="00E77C05" w:rsidP="00E77C05">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6ECA8880" wp14:editId="2CAF4BB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-22932  (S)</w:t>
    </w:r>
    <w:r>
      <w:rPr>
        <w:noProof/>
        <w:sz w:val="20"/>
      </w:rPr>
      <w:drawing>
        <wp:anchor distT="0" distB="0" distL="114300" distR="114300" simplePos="0" relativeHeight="251658752" behindDoc="0" locked="0" layoutInCell="1" allowOverlap="1" wp14:anchorId="3E7B5EE6" wp14:editId="660298A7">
          <wp:simplePos x="0" y="0"/>
          <wp:positionH relativeFrom="margin">
            <wp:posOffset>5489575</wp:posOffset>
          </wp:positionH>
          <wp:positionV relativeFrom="margin">
            <wp:posOffset>8891905</wp:posOffset>
          </wp:positionV>
          <wp:extent cx="628650" cy="628650"/>
          <wp:effectExtent l="0" t="0" r="0" b="0"/>
          <wp:wrapNone/>
          <wp:docPr id="1523342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230125    </w:t>
    </w:r>
    <w:r w:rsidR="00B46F42">
      <w:rPr>
        <w:sz w:val="20"/>
      </w:rPr>
      <w:t>17</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F9084" w14:textId="77777777" w:rsidR="00BD6C40" w:rsidRPr="001075E9" w:rsidRDefault="00BD6C40" w:rsidP="001075E9">
      <w:pPr>
        <w:tabs>
          <w:tab w:val="right" w:pos="2155"/>
        </w:tabs>
        <w:spacing w:after="80" w:line="240" w:lineRule="auto"/>
        <w:ind w:left="680"/>
        <w:rPr>
          <w:u w:val="single"/>
        </w:rPr>
      </w:pPr>
      <w:r>
        <w:rPr>
          <w:u w:val="single"/>
        </w:rPr>
        <w:tab/>
      </w:r>
    </w:p>
  </w:footnote>
  <w:footnote w:type="continuationSeparator" w:id="0">
    <w:p w14:paraId="63882593" w14:textId="77777777" w:rsidR="00BD6C40" w:rsidRDefault="00BD6C40" w:rsidP="00093664">
      <w:pPr>
        <w:tabs>
          <w:tab w:val="right" w:pos="2155"/>
        </w:tabs>
        <w:spacing w:after="80" w:line="240" w:lineRule="auto"/>
        <w:ind w:left="680"/>
        <w:rPr>
          <w:u w:val="single"/>
        </w:rPr>
      </w:pPr>
      <w:r>
        <w:rPr>
          <w:u w:val="single"/>
        </w:rPr>
        <w:tab/>
      </w:r>
    </w:p>
  </w:footnote>
  <w:footnote w:id="1">
    <w:p w14:paraId="3D852250" w14:textId="77777777" w:rsidR="00E77C05" w:rsidRPr="00DC28B0" w:rsidRDefault="00E77C05" w:rsidP="00E77C05">
      <w:pPr>
        <w:pStyle w:val="Textonotapie"/>
      </w:pPr>
      <w:r w:rsidRPr="00DC28B0">
        <w:tab/>
      </w:r>
      <w:r w:rsidRPr="00B62663">
        <w:rPr>
          <w:sz w:val="20"/>
          <w:szCs w:val="22"/>
        </w:rPr>
        <w:t>*</w:t>
      </w:r>
      <w:r w:rsidRPr="00B62663">
        <w:rPr>
          <w:sz w:val="20"/>
          <w:szCs w:val="22"/>
        </w:rPr>
        <w:tab/>
      </w:r>
      <w:r w:rsidRPr="00DC28B0">
        <w:t>La versión original del presente documento no fue objeto de revisión editorial oficial.</w:t>
      </w:r>
    </w:p>
    <w:p w14:paraId="37821A46" w14:textId="77777777" w:rsidR="00E77C05" w:rsidRPr="00DC28B0" w:rsidRDefault="00E77C05" w:rsidP="00E77C05">
      <w:pPr>
        <w:pStyle w:val="Textonotapie"/>
      </w:pPr>
      <w:r w:rsidRPr="00DC28B0">
        <w:tab/>
      </w:r>
      <w:r w:rsidRPr="00B62663">
        <w:rPr>
          <w:sz w:val="20"/>
          <w:szCs w:val="22"/>
        </w:rPr>
        <w:t>**</w:t>
      </w:r>
      <w:r w:rsidRPr="00B62663">
        <w:rPr>
          <w:sz w:val="20"/>
          <w:szCs w:val="22"/>
        </w:rPr>
        <w:tab/>
      </w:r>
      <w:r w:rsidRPr="00DC28B0">
        <w:t>Este documento se presentó de conformidad con el procedimiento simplificado de presentación de informes. Contiene las respuestas del Estado parte a la lista de cuestiones previa a la presentación del informe preparada por el Comité (E/C.12/CAN/</w:t>
      </w:r>
      <w:proofErr w:type="spellStart"/>
      <w:r w:rsidRPr="00DC28B0">
        <w:t>QPR</w:t>
      </w:r>
      <w:proofErr w:type="spellEnd"/>
      <w:r w:rsidRPr="00DC28B0">
        <w:t>/7).</w:t>
      </w:r>
    </w:p>
  </w:footnote>
  <w:footnote w:id="2">
    <w:p w14:paraId="1536C6A6" w14:textId="77777777" w:rsidR="00E77C05" w:rsidRPr="00DC28B0" w:rsidRDefault="00E77C05" w:rsidP="00E77C05">
      <w:pPr>
        <w:pStyle w:val="Textonotapie"/>
      </w:pPr>
      <w:r w:rsidRPr="00DC28B0">
        <w:tab/>
      </w:r>
      <w:r w:rsidRPr="00B62663">
        <w:rPr>
          <w:sz w:val="20"/>
          <w:szCs w:val="22"/>
        </w:rPr>
        <w:t>***</w:t>
      </w:r>
      <w:r w:rsidRPr="00B62663">
        <w:rPr>
          <w:sz w:val="20"/>
          <w:szCs w:val="22"/>
        </w:rPr>
        <w:tab/>
      </w:r>
      <w:r w:rsidRPr="00DC28B0">
        <w:t>El anexo del presente este documento puede consultarse en la página web del Comité.</w:t>
      </w:r>
    </w:p>
  </w:footnote>
  <w:footnote w:id="3">
    <w:p w14:paraId="716F9243" w14:textId="77777777" w:rsidR="00E77C05" w:rsidRPr="00DC28B0" w:rsidRDefault="00E77C05" w:rsidP="00E77C05">
      <w:pPr>
        <w:pStyle w:val="Textonotapie"/>
      </w:pPr>
      <w:r w:rsidRPr="00DC28B0">
        <w:tab/>
      </w:r>
      <w:r w:rsidRPr="00DC28B0">
        <w:rPr>
          <w:rStyle w:val="Refdenotaalpie"/>
        </w:rPr>
        <w:footnoteRef/>
      </w:r>
      <w:r w:rsidRPr="00DC28B0">
        <w:t xml:space="preserve"> </w:t>
      </w:r>
      <w:r w:rsidRPr="00DC28B0">
        <w:tab/>
      </w:r>
      <w:bookmarkStart w:id="3" w:name="lt_pId780"/>
      <w:bookmarkEnd w:id="3"/>
      <w:r w:rsidRPr="00DC28B0">
        <w:rPr>
          <w:szCs w:val="18"/>
        </w:rPr>
        <w:t>E/C.12/CAN/</w:t>
      </w:r>
      <w:proofErr w:type="spellStart"/>
      <w:r w:rsidRPr="00DC28B0">
        <w:rPr>
          <w:szCs w:val="18"/>
        </w:rPr>
        <w:t>QPR</w:t>
      </w:r>
      <w:proofErr w:type="spellEnd"/>
      <w:r w:rsidRPr="00DC28B0">
        <w:rPr>
          <w:szCs w:val="18"/>
        </w:rPr>
        <w:t>/7 (7 de abril de 2020).</w:t>
      </w:r>
    </w:p>
  </w:footnote>
  <w:footnote w:id="4">
    <w:p w14:paraId="604B0AE0" w14:textId="77777777" w:rsidR="00E77C05" w:rsidRPr="00DC28B0" w:rsidRDefault="00E77C05" w:rsidP="00E77C05">
      <w:pPr>
        <w:pStyle w:val="Textonotapie"/>
      </w:pPr>
      <w:r w:rsidRPr="00DC28B0">
        <w:tab/>
      </w:r>
      <w:r w:rsidRPr="00DC28B0">
        <w:rPr>
          <w:rStyle w:val="Refdenotaalpie"/>
        </w:rPr>
        <w:footnoteRef/>
      </w:r>
      <w:bookmarkStart w:id="185" w:name="lt_pId781"/>
      <w:r w:rsidRPr="00DC28B0">
        <w:tab/>
      </w:r>
      <w:r w:rsidRPr="00DC28B0">
        <w:rPr>
          <w:szCs w:val="18"/>
        </w:rPr>
        <w:t>Las estimaciones presentadas para la proporción de la población canadiense que vive por debajo del umbral de pobreza se basan en el coste de la cesta la compra de 2018.</w:t>
      </w:r>
      <w:bookmarkEnd w:id="185"/>
    </w:p>
  </w:footnote>
  <w:footnote w:id="5">
    <w:p w14:paraId="5FB3F6BB" w14:textId="77777777" w:rsidR="00FA6C18" w:rsidRPr="00DC28B0" w:rsidRDefault="00FA6C18" w:rsidP="00FA6C18">
      <w:pPr>
        <w:pStyle w:val="Textonotapie"/>
      </w:pPr>
      <w:r w:rsidRPr="00DC28B0">
        <w:tab/>
      </w:r>
      <w:r w:rsidRPr="00DC28B0">
        <w:rPr>
          <w:rStyle w:val="Refdenotaalpie"/>
        </w:rPr>
        <w:footnoteRef/>
      </w:r>
      <w:bookmarkStart w:id="195" w:name="lt_pId784"/>
      <w:r w:rsidRPr="00DC28B0">
        <w:tab/>
      </w:r>
      <w:r w:rsidRPr="00DC28B0">
        <w:rPr>
          <w:szCs w:val="18"/>
        </w:rPr>
        <w:t>El gasóleo de calefacción está exento del impuesto, en tanto que el gas natural o el propano no están sujetos al impuesto federal</w:t>
      </w:r>
      <w:r w:rsidRPr="00DC28B0">
        <w:t xml:space="preserve"> </w:t>
      </w:r>
      <w:r w:rsidRPr="00DC28B0">
        <w:rPr>
          <w:szCs w:val="18"/>
        </w:rPr>
        <w:t>especial.</w:t>
      </w:r>
      <w:bookmarkEnd w:id="195"/>
    </w:p>
  </w:footnote>
  <w:footnote w:id="6">
    <w:p w14:paraId="5831B0DB" w14:textId="77777777" w:rsidR="00E77C05" w:rsidRPr="00DC28B0" w:rsidRDefault="00E77C05" w:rsidP="00E77C05">
      <w:pPr>
        <w:pStyle w:val="Textonotapie"/>
      </w:pPr>
      <w:r w:rsidRPr="00DC28B0">
        <w:tab/>
      </w:r>
      <w:r w:rsidRPr="00DC28B0">
        <w:rPr>
          <w:rStyle w:val="Refdenotaalpie"/>
        </w:rPr>
        <w:footnoteRef/>
      </w:r>
      <w:r w:rsidRPr="00DC28B0">
        <w:tab/>
      </w:r>
      <w:r w:rsidRPr="00FA6C18">
        <w:rPr>
          <w:i/>
          <w:iCs/>
        </w:rPr>
        <w:t>Fuente:</w:t>
      </w:r>
      <w:r w:rsidRPr="00DC28B0">
        <w:t xml:space="preserve"> Encuesta sobre la renta del Canadá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101DC" w14:textId="68361FA8" w:rsidR="00E77C05" w:rsidRPr="00E77C05" w:rsidRDefault="00024A91">
    <w:pPr>
      <w:pStyle w:val="Encabezado"/>
    </w:pPr>
    <w:r>
      <w:fldChar w:fldCharType="begin"/>
    </w:r>
    <w:r>
      <w:instrText xml:space="preserve"> TITLE  \* MERGEFORMAT </w:instrText>
    </w:r>
    <w:r>
      <w:fldChar w:fldCharType="separate"/>
    </w:r>
    <w:r w:rsidR="00922E5D">
      <w:t>E/C.12/CAN/7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D841C" w14:textId="0AC72230" w:rsidR="00E77C05" w:rsidRPr="00E77C05" w:rsidRDefault="00024A91" w:rsidP="00E77C05">
    <w:pPr>
      <w:pStyle w:val="Encabezado"/>
      <w:jc w:val="right"/>
    </w:pPr>
    <w:r>
      <w:fldChar w:fldCharType="begin"/>
    </w:r>
    <w:r>
      <w:instrText xml:space="preserve"> TITLE  \* MERGEFORMAT </w:instrText>
    </w:r>
    <w:r>
      <w:fldChar w:fldCharType="separate"/>
    </w:r>
    <w:r w:rsidR="00922E5D">
      <w:t>E/C.12/CAN/7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2AA0532"/>
    <w:multiLevelType w:val="hybridMultilevel"/>
    <w:tmpl w:val="10FA93D2"/>
    <w:lvl w:ilvl="0" w:tplc="81505692">
      <w:start w:val="1"/>
      <w:numFmt w:val="decimal"/>
      <w:lvlText w:val="%1."/>
      <w:lvlJc w:val="left"/>
      <w:pPr>
        <w:ind w:left="360" w:hanging="360"/>
      </w:pPr>
      <w:rPr>
        <w:rFonts w:hint="default"/>
        <w:b w:val="0"/>
        <w:bCs w:val="0"/>
        <w:sz w:val="20"/>
      </w:rPr>
    </w:lvl>
    <w:lvl w:ilvl="1" w:tplc="81B228C0">
      <w:numFmt w:val="bullet"/>
      <w:lvlText w:val="•"/>
      <w:lvlJc w:val="left"/>
      <w:pPr>
        <w:ind w:left="1440" w:hanging="720"/>
      </w:pPr>
      <w:rPr>
        <w:rFonts w:ascii="Times New Roman" w:eastAsia="Times New Roman" w:hAnsi="Times New Roman" w:cs="Times New Roman" w:hint="default"/>
      </w:rPr>
    </w:lvl>
    <w:lvl w:ilvl="2" w:tplc="D53013F4">
      <w:numFmt w:val="bullet"/>
      <w:lvlText w:val="-"/>
      <w:lvlJc w:val="left"/>
      <w:pPr>
        <w:ind w:left="2140" w:hanging="520"/>
      </w:pPr>
      <w:rPr>
        <w:rFonts w:ascii="Times New Roman" w:eastAsia="Times New Roman" w:hAnsi="Times New Roman" w:cs="Times New Roman" w:hint="default"/>
      </w:rPr>
    </w:lvl>
    <w:lvl w:ilvl="3" w:tplc="ED58CDA4" w:tentative="1">
      <w:start w:val="1"/>
      <w:numFmt w:val="decimal"/>
      <w:lvlText w:val="%4."/>
      <w:lvlJc w:val="left"/>
      <w:pPr>
        <w:ind w:left="2520" w:hanging="360"/>
      </w:pPr>
    </w:lvl>
    <w:lvl w:ilvl="4" w:tplc="B7165FAA" w:tentative="1">
      <w:start w:val="1"/>
      <w:numFmt w:val="lowerLetter"/>
      <w:lvlText w:val="%5."/>
      <w:lvlJc w:val="left"/>
      <w:pPr>
        <w:ind w:left="3240" w:hanging="360"/>
      </w:pPr>
    </w:lvl>
    <w:lvl w:ilvl="5" w:tplc="5E3803EC" w:tentative="1">
      <w:start w:val="1"/>
      <w:numFmt w:val="lowerRoman"/>
      <w:lvlText w:val="%6."/>
      <w:lvlJc w:val="right"/>
      <w:pPr>
        <w:ind w:left="3960" w:hanging="180"/>
      </w:pPr>
    </w:lvl>
    <w:lvl w:ilvl="6" w:tplc="B046EBF0" w:tentative="1">
      <w:start w:val="1"/>
      <w:numFmt w:val="decimal"/>
      <w:lvlText w:val="%7."/>
      <w:lvlJc w:val="left"/>
      <w:pPr>
        <w:ind w:left="4680" w:hanging="360"/>
      </w:pPr>
    </w:lvl>
    <w:lvl w:ilvl="7" w:tplc="0E08C2DC" w:tentative="1">
      <w:start w:val="1"/>
      <w:numFmt w:val="lowerLetter"/>
      <w:lvlText w:val="%8."/>
      <w:lvlJc w:val="left"/>
      <w:pPr>
        <w:ind w:left="5400" w:hanging="360"/>
      </w:pPr>
    </w:lvl>
    <w:lvl w:ilvl="8" w:tplc="E9C83C6A" w:tentative="1">
      <w:start w:val="1"/>
      <w:numFmt w:val="lowerRoman"/>
      <w:lvlText w:val="%9."/>
      <w:lvlJc w:val="right"/>
      <w:pPr>
        <w:ind w:left="6120" w:hanging="18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AD07B2"/>
    <w:multiLevelType w:val="hybridMultilevel"/>
    <w:tmpl w:val="36D6316E"/>
    <w:lvl w:ilvl="0" w:tplc="EAE61418">
      <w:start w:val="1"/>
      <w:numFmt w:val="bullet"/>
      <w:lvlText w:val="•"/>
      <w:lvlJc w:val="left"/>
      <w:pPr>
        <w:tabs>
          <w:tab w:val="num" w:pos="1701"/>
        </w:tabs>
        <w:ind w:left="1701" w:hanging="170"/>
      </w:pPr>
      <w:rPr>
        <w:rFonts w:ascii="Times New Roman" w:hAnsi="Times New Roman" w:cs="Times New Roman" w:hint="default"/>
      </w:rPr>
    </w:lvl>
    <w:lvl w:ilvl="1" w:tplc="1B18C692" w:tentative="1">
      <w:start w:val="1"/>
      <w:numFmt w:val="bullet"/>
      <w:lvlText w:val="o"/>
      <w:lvlJc w:val="left"/>
      <w:pPr>
        <w:tabs>
          <w:tab w:val="num" w:pos="3141"/>
        </w:tabs>
        <w:ind w:left="3141" w:hanging="360"/>
      </w:pPr>
      <w:rPr>
        <w:rFonts w:ascii="Courier New" w:hAnsi="Courier New" w:hint="default"/>
      </w:rPr>
    </w:lvl>
    <w:lvl w:ilvl="2" w:tplc="47A87702" w:tentative="1">
      <w:start w:val="1"/>
      <w:numFmt w:val="bullet"/>
      <w:lvlText w:val=""/>
      <w:lvlJc w:val="left"/>
      <w:pPr>
        <w:tabs>
          <w:tab w:val="num" w:pos="3861"/>
        </w:tabs>
        <w:ind w:left="3861" w:hanging="360"/>
      </w:pPr>
      <w:rPr>
        <w:rFonts w:ascii="Wingdings" w:hAnsi="Wingdings" w:hint="default"/>
      </w:rPr>
    </w:lvl>
    <w:lvl w:ilvl="3" w:tplc="EBCCB69E" w:tentative="1">
      <w:start w:val="1"/>
      <w:numFmt w:val="bullet"/>
      <w:lvlText w:val=""/>
      <w:lvlJc w:val="left"/>
      <w:pPr>
        <w:tabs>
          <w:tab w:val="num" w:pos="4581"/>
        </w:tabs>
        <w:ind w:left="4581" w:hanging="360"/>
      </w:pPr>
      <w:rPr>
        <w:rFonts w:ascii="Symbol" w:hAnsi="Symbol" w:hint="default"/>
      </w:rPr>
    </w:lvl>
    <w:lvl w:ilvl="4" w:tplc="5838B27A" w:tentative="1">
      <w:start w:val="1"/>
      <w:numFmt w:val="bullet"/>
      <w:lvlText w:val="o"/>
      <w:lvlJc w:val="left"/>
      <w:pPr>
        <w:tabs>
          <w:tab w:val="num" w:pos="5301"/>
        </w:tabs>
        <w:ind w:left="5301" w:hanging="360"/>
      </w:pPr>
      <w:rPr>
        <w:rFonts w:ascii="Courier New" w:hAnsi="Courier New" w:hint="default"/>
      </w:rPr>
    </w:lvl>
    <w:lvl w:ilvl="5" w:tplc="8F8A3DD4" w:tentative="1">
      <w:start w:val="1"/>
      <w:numFmt w:val="bullet"/>
      <w:lvlText w:val=""/>
      <w:lvlJc w:val="left"/>
      <w:pPr>
        <w:tabs>
          <w:tab w:val="num" w:pos="6021"/>
        </w:tabs>
        <w:ind w:left="6021" w:hanging="360"/>
      </w:pPr>
      <w:rPr>
        <w:rFonts w:ascii="Wingdings" w:hAnsi="Wingdings" w:hint="default"/>
      </w:rPr>
    </w:lvl>
    <w:lvl w:ilvl="6" w:tplc="556C9B58" w:tentative="1">
      <w:start w:val="1"/>
      <w:numFmt w:val="bullet"/>
      <w:lvlText w:val=""/>
      <w:lvlJc w:val="left"/>
      <w:pPr>
        <w:tabs>
          <w:tab w:val="num" w:pos="6741"/>
        </w:tabs>
        <w:ind w:left="6741" w:hanging="360"/>
      </w:pPr>
      <w:rPr>
        <w:rFonts w:ascii="Symbol" w:hAnsi="Symbol" w:hint="default"/>
      </w:rPr>
    </w:lvl>
    <w:lvl w:ilvl="7" w:tplc="23DACD48" w:tentative="1">
      <w:start w:val="1"/>
      <w:numFmt w:val="bullet"/>
      <w:lvlText w:val="o"/>
      <w:lvlJc w:val="left"/>
      <w:pPr>
        <w:tabs>
          <w:tab w:val="num" w:pos="7461"/>
        </w:tabs>
        <w:ind w:left="7461" w:hanging="360"/>
      </w:pPr>
      <w:rPr>
        <w:rFonts w:ascii="Courier New" w:hAnsi="Courier New" w:hint="default"/>
      </w:rPr>
    </w:lvl>
    <w:lvl w:ilvl="8" w:tplc="CA5EF81E"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18592280">
    <w:abstractNumId w:val="22"/>
  </w:num>
  <w:num w:numId="2" w16cid:durableId="1861819246">
    <w:abstractNumId w:val="13"/>
  </w:num>
  <w:num w:numId="3" w16cid:durableId="1842349859">
    <w:abstractNumId w:val="24"/>
  </w:num>
  <w:num w:numId="4" w16cid:durableId="1626307622">
    <w:abstractNumId w:val="23"/>
  </w:num>
  <w:num w:numId="5" w16cid:durableId="1798257949">
    <w:abstractNumId w:val="18"/>
  </w:num>
  <w:num w:numId="6" w16cid:durableId="255603684">
    <w:abstractNumId w:val="8"/>
  </w:num>
  <w:num w:numId="7" w16cid:durableId="1373772052">
    <w:abstractNumId w:val="3"/>
  </w:num>
  <w:num w:numId="8" w16cid:durableId="1412392094">
    <w:abstractNumId w:val="2"/>
  </w:num>
  <w:num w:numId="9" w16cid:durableId="1935507184">
    <w:abstractNumId w:val="1"/>
  </w:num>
  <w:num w:numId="10" w16cid:durableId="1915048481">
    <w:abstractNumId w:val="0"/>
  </w:num>
  <w:num w:numId="11" w16cid:durableId="1470513406">
    <w:abstractNumId w:val="9"/>
  </w:num>
  <w:num w:numId="12" w16cid:durableId="329259361">
    <w:abstractNumId w:val="7"/>
  </w:num>
  <w:num w:numId="13" w16cid:durableId="969633949">
    <w:abstractNumId w:val="6"/>
  </w:num>
  <w:num w:numId="14" w16cid:durableId="180778943">
    <w:abstractNumId w:val="5"/>
  </w:num>
  <w:num w:numId="15" w16cid:durableId="268045897">
    <w:abstractNumId w:val="4"/>
  </w:num>
  <w:num w:numId="16" w16cid:durableId="123739313">
    <w:abstractNumId w:val="11"/>
  </w:num>
  <w:num w:numId="17" w16cid:durableId="755977497">
    <w:abstractNumId w:val="22"/>
  </w:num>
  <w:num w:numId="18" w16cid:durableId="237060196">
    <w:abstractNumId w:val="13"/>
  </w:num>
  <w:num w:numId="19" w16cid:durableId="792868849">
    <w:abstractNumId w:val="11"/>
  </w:num>
  <w:num w:numId="20" w16cid:durableId="2136823663">
    <w:abstractNumId w:val="24"/>
  </w:num>
  <w:num w:numId="21" w16cid:durableId="1555197451">
    <w:abstractNumId w:val="23"/>
  </w:num>
  <w:num w:numId="22" w16cid:durableId="1514563642">
    <w:abstractNumId w:val="14"/>
  </w:num>
  <w:num w:numId="23" w16cid:durableId="755790108">
    <w:abstractNumId w:val="14"/>
  </w:num>
  <w:num w:numId="24" w16cid:durableId="1756048805">
    <w:abstractNumId w:val="18"/>
  </w:num>
  <w:num w:numId="25" w16cid:durableId="1293370269">
    <w:abstractNumId w:val="9"/>
  </w:num>
  <w:num w:numId="26" w16cid:durableId="1920015438">
    <w:abstractNumId w:val="7"/>
  </w:num>
  <w:num w:numId="27" w16cid:durableId="2125420928">
    <w:abstractNumId w:val="6"/>
  </w:num>
  <w:num w:numId="28" w16cid:durableId="834228477">
    <w:abstractNumId w:val="5"/>
  </w:num>
  <w:num w:numId="29" w16cid:durableId="846797133">
    <w:abstractNumId w:val="4"/>
  </w:num>
  <w:num w:numId="30" w16cid:durableId="1565489262">
    <w:abstractNumId w:val="8"/>
  </w:num>
  <w:num w:numId="31" w16cid:durableId="148252217">
    <w:abstractNumId w:val="3"/>
  </w:num>
  <w:num w:numId="32" w16cid:durableId="1424718938">
    <w:abstractNumId w:val="2"/>
  </w:num>
  <w:num w:numId="33" w16cid:durableId="1882595716">
    <w:abstractNumId w:val="1"/>
  </w:num>
  <w:num w:numId="34" w16cid:durableId="1025400484">
    <w:abstractNumId w:val="0"/>
  </w:num>
  <w:num w:numId="35" w16cid:durableId="54548076">
    <w:abstractNumId w:val="21"/>
  </w:num>
  <w:num w:numId="36" w16cid:durableId="958756092">
    <w:abstractNumId w:val="16"/>
  </w:num>
  <w:num w:numId="37" w16cid:durableId="1779132136">
    <w:abstractNumId w:val="17"/>
  </w:num>
  <w:num w:numId="38" w16cid:durableId="1540707514">
    <w:abstractNumId w:val="15"/>
  </w:num>
  <w:num w:numId="39" w16cid:durableId="2128354830">
    <w:abstractNumId w:val="19"/>
  </w:num>
  <w:num w:numId="40" w16cid:durableId="711805135">
    <w:abstractNumId w:val="12"/>
  </w:num>
  <w:num w:numId="41" w16cid:durableId="210927600">
    <w:abstractNumId w:val="20"/>
  </w:num>
  <w:num w:numId="42" w16cid:durableId="122067606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C40"/>
    <w:rsid w:val="00010F3B"/>
    <w:rsid w:val="0001191C"/>
    <w:rsid w:val="000137D4"/>
    <w:rsid w:val="00032D03"/>
    <w:rsid w:val="00060246"/>
    <w:rsid w:val="000804A1"/>
    <w:rsid w:val="0008650D"/>
    <w:rsid w:val="00093664"/>
    <w:rsid w:val="000B57E7"/>
    <w:rsid w:val="000D359E"/>
    <w:rsid w:val="000F09DF"/>
    <w:rsid w:val="000F61B2"/>
    <w:rsid w:val="00102B61"/>
    <w:rsid w:val="001075E9"/>
    <w:rsid w:val="00143FE5"/>
    <w:rsid w:val="00180183"/>
    <w:rsid w:val="00196389"/>
    <w:rsid w:val="001C7A89"/>
    <w:rsid w:val="001F334E"/>
    <w:rsid w:val="001F3EC3"/>
    <w:rsid w:val="00205748"/>
    <w:rsid w:val="002748A0"/>
    <w:rsid w:val="002967E3"/>
    <w:rsid w:val="002A2EFC"/>
    <w:rsid w:val="002D16F0"/>
    <w:rsid w:val="002D5AAC"/>
    <w:rsid w:val="002F3464"/>
    <w:rsid w:val="00301299"/>
    <w:rsid w:val="00313431"/>
    <w:rsid w:val="00322004"/>
    <w:rsid w:val="00337592"/>
    <w:rsid w:val="003402C2"/>
    <w:rsid w:val="003538EB"/>
    <w:rsid w:val="003770A4"/>
    <w:rsid w:val="00381B0F"/>
    <w:rsid w:val="00381C24"/>
    <w:rsid w:val="003836F4"/>
    <w:rsid w:val="00392043"/>
    <w:rsid w:val="003958D0"/>
    <w:rsid w:val="003C0339"/>
    <w:rsid w:val="003D064D"/>
    <w:rsid w:val="003E04CA"/>
    <w:rsid w:val="0041031F"/>
    <w:rsid w:val="00454E07"/>
    <w:rsid w:val="00477779"/>
    <w:rsid w:val="004B19F2"/>
    <w:rsid w:val="004B7D05"/>
    <w:rsid w:val="0050108D"/>
    <w:rsid w:val="005016AF"/>
    <w:rsid w:val="005076AF"/>
    <w:rsid w:val="0052159C"/>
    <w:rsid w:val="00553E57"/>
    <w:rsid w:val="00572E19"/>
    <w:rsid w:val="00581F67"/>
    <w:rsid w:val="00582F13"/>
    <w:rsid w:val="005A1754"/>
    <w:rsid w:val="005F0B42"/>
    <w:rsid w:val="00632A31"/>
    <w:rsid w:val="00643DFD"/>
    <w:rsid w:val="0064421C"/>
    <w:rsid w:val="00661829"/>
    <w:rsid w:val="00696E37"/>
    <w:rsid w:val="006A3E10"/>
    <w:rsid w:val="006E27AD"/>
    <w:rsid w:val="006F35EE"/>
    <w:rsid w:val="00710CF8"/>
    <w:rsid w:val="00716C6F"/>
    <w:rsid w:val="007464CC"/>
    <w:rsid w:val="00773DF6"/>
    <w:rsid w:val="007D6339"/>
    <w:rsid w:val="007E6435"/>
    <w:rsid w:val="00802199"/>
    <w:rsid w:val="00830923"/>
    <w:rsid w:val="008314B8"/>
    <w:rsid w:val="00834B71"/>
    <w:rsid w:val="0086445C"/>
    <w:rsid w:val="008928A5"/>
    <w:rsid w:val="008A08D7"/>
    <w:rsid w:val="008A2407"/>
    <w:rsid w:val="008B5F17"/>
    <w:rsid w:val="008E39A7"/>
    <w:rsid w:val="00906890"/>
    <w:rsid w:val="009179A3"/>
    <w:rsid w:val="00922E5D"/>
    <w:rsid w:val="00951972"/>
    <w:rsid w:val="0096087F"/>
    <w:rsid w:val="00976E2D"/>
    <w:rsid w:val="00987051"/>
    <w:rsid w:val="00992A44"/>
    <w:rsid w:val="009E78C4"/>
    <w:rsid w:val="00A00CB2"/>
    <w:rsid w:val="00A11969"/>
    <w:rsid w:val="00A21552"/>
    <w:rsid w:val="00A500CE"/>
    <w:rsid w:val="00A51A0C"/>
    <w:rsid w:val="00A645FF"/>
    <w:rsid w:val="00A917B3"/>
    <w:rsid w:val="00AB4B51"/>
    <w:rsid w:val="00AB4EB2"/>
    <w:rsid w:val="00AB5211"/>
    <w:rsid w:val="00AC58DC"/>
    <w:rsid w:val="00AD5640"/>
    <w:rsid w:val="00AF0918"/>
    <w:rsid w:val="00B05775"/>
    <w:rsid w:val="00B10CC7"/>
    <w:rsid w:val="00B46F42"/>
    <w:rsid w:val="00B62458"/>
    <w:rsid w:val="00B62663"/>
    <w:rsid w:val="00B6350A"/>
    <w:rsid w:val="00B771DD"/>
    <w:rsid w:val="00B82270"/>
    <w:rsid w:val="00BB3F27"/>
    <w:rsid w:val="00BC1516"/>
    <w:rsid w:val="00BC161C"/>
    <w:rsid w:val="00BD33EE"/>
    <w:rsid w:val="00BD6C40"/>
    <w:rsid w:val="00C26433"/>
    <w:rsid w:val="00C377E3"/>
    <w:rsid w:val="00C44150"/>
    <w:rsid w:val="00C5767A"/>
    <w:rsid w:val="00C60F0C"/>
    <w:rsid w:val="00C7790A"/>
    <w:rsid w:val="00C805C9"/>
    <w:rsid w:val="00C85ACE"/>
    <w:rsid w:val="00CA1679"/>
    <w:rsid w:val="00CA1813"/>
    <w:rsid w:val="00CB6268"/>
    <w:rsid w:val="00CC2A75"/>
    <w:rsid w:val="00CE348A"/>
    <w:rsid w:val="00CE34F5"/>
    <w:rsid w:val="00D47326"/>
    <w:rsid w:val="00D738F9"/>
    <w:rsid w:val="00D759B3"/>
    <w:rsid w:val="00D821FE"/>
    <w:rsid w:val="00D90138"/>
    <w:rsid w:val="00D9468F"/>
    <w:rsid w:val="00D97076"/>
    <w:rsid w:val="00DC6544"/>
    <w:rsid w:val="00DD3CF0"/>
    <w:rsid w:val="00DE2772"/>
    <w:rsid w:val="00E2432F"/>
    <w:rsid w:val="00E3587C"/>
    <w:rsid w:val="00E67C93"/>
    <w:rsid w:val="00E73F76"/>
    <w:rsid w:val="00E74EE7"/>
    <w:rsid w:val="00E77C05"/>
    <w:rsid w:val="00EE2669"/>
    <w:rsid w:val="00EF1360"/>
    <w:rsid w:val="00EF3220"/>
    <w:rsid w:val="00F00905"/>
    <w:rsid w:val="00F147E2"/>
    <w:rsid w:val="00F33585"/>
    <w:rsid w:val="00F756E9"/>
    <w:rsid w:val="00F95318"/>
    <w:rsid w:val="00FA6C18"/>
    <w:rsid w:val="00FB6CD8"/>
    <w:rsid w:val="00FD2EF7"/>
    <w:rsid w:val="00FF2CD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747BD"/>
  <w15:docId w15:val="{D3DA132C-F880-438B-BBDF-7C4702E8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Footnote Text Char Char1,Footnote Text Char Char1 Char Char,Footnote Text Char1,Footnote Text Char1 Char Char1,Footnote Text Char1 Char Char1 Char Char,Geneva 9 Char Char Char Char Char,fn,ft Char Char Char Char Char"/>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Footnote Text Char Char1 Car,Footnote Text Char Char1 Char Char Car,Footnote Text Char1 Car,Footnote Text Char1 Char Char1 Car,Footnote Text Char1 Char Char1 Char Char Car,Geneva 9 Char Char Char Char Char Car,fn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BD6C40"/>
    <w:rPr>
      <w:lang w:val="es-ES" w:eastAsia="es-ES"/>
    </w:rPr>
  </w:style>
  <w:style w:type="paragraph" w:styleId="Cita">
    <w:name w:val="Quote"/>
    <w:basedOn w:val="Normal"/>
    <w:next w:val="Normal"/>
    <w:link w:val="CitaCar"/>
    <w:uiPriority w:val="29"/>
    <w:qFormat/>
    <w:rsid w:val="00E77C0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E77C05"/>
    <w:rPr>
      <w:i/>
      <w:iCs/>
      <w:color w:val="404040" w:themeColor="text1" w:themeTint="BF"/>
      <w:lang w:val="es-ES" w:eastAsia="es-ES"/>
    </w:rPr>
  </w:style>
  <w:style w:type="paragraph" w:styleId="Prrafodelista">
    <w:name w:val="List Paragraph"/>
    <w:aliases w:val="BN 1,Bullet List 1,Bullet list,Dot pt,Heading 4 test,Indented Paragraph,L,Lettre d'introduction,List Paragraph - bullets,List Paragraph1,List Paragraph11,No Spacing1,Recommendation,Resume Title,Subheading 1,Unordered List Level 1"/>
    <w:basedOn w:val="Normal"/>
    <w:link w:val="PrrafodelistaCar"/>
    <w:uiPriority w:val="34"/>
    <w:qFormat/>
    <w:rsid w:val="00E77C05"/>
    <w:pPr>
      <w:ind w:left="720"/>
      <w:contextualSpacing/>
    </w:pPr>
  </w:style>
  <w:style w:type="character" w:styleId="Referenciaintensa">
    <w:name w:val="Intense Reference"/>
    <w:basedOn w:val="Fuentedeprrafopredeter"/>
    <w:uiPriority w:val="32"/>
    <w:qFormat/>
    <w:rsid w:val="00E77C05"/>
    <w:rPr>
      <w:b/>
      <w:bCs/>
      <w:smallCaps/>
      <w:color w:val="365F91" w:themeColor="accent1" w:themeShade="BF"/>
      <w:spacing w:val="5"/>
    </w:rPr>
  </w:style>
  <w:style w:type="character" w:customStyle="1" w:styleId="Ttulo2Car">
    <w:name w:val="Título 2 Car"/>
    <w:basedOn w:val="Fuentedeprrafopredeter"/>
    <w:link w:val="Ttulo2"/>
    <w:semiHidden/>
    <w:rsid w:val="00E77C05"/>
    <w:rPr>
      <w:rFonts w:cs="Arial"/>
      <w:bCs/>
      <w:iCs/>
      <w:szCs w:val="28"/>
      <w:lang w:val="es-ES" w:eastAsia="es-ES"/>
    </w:rPr>
  </w:style>
  <w:style w:type="character" w:customStyle="1" w:styleId="Ttulo3Car">
    <w:name w:val="Título 3 Car"/>
    <w:basedOn w:val="Fuentedeprrafopredeter"/>
    <w:link w:val="Ttulo3"/>
    <w:semiHidden/>
    <w:rsid w:val="00E77C05"/>
    <w:rPr>
      <w:rFonts w:ascii="Arial" w:hAnsi="Arial" w:cs="Arial"/>
      <w:b/>
      <w:bCs/>
      <w:sz w:val="26"/>
      <w:szCs w:val="26"/>
      <w:lang w:val="es-ES" w:eastAsia="es-ES"/>
    </w:rPr>
  </w:style>
  <w:style w:type="character" w:customStyle="1" w:styleId="Ttulo4Car">
    <w:name w:val="Título 4 Car"/>
    <w:basedOn w:val="Fuentedeprrafopredeter"/>
    <w:link w:val="Ttulo4"/>
    <w:semiHidden/>
    <w:rsid w:val="00E77C05"/>
    <w:rPr>
      <w:b/>
      <w:bCs/>
      <w:sz w:val="28"/>
      <w:szCs w:val="28"/>
      <w:lang w:val="es-ES" w:eastAsia="es-ES"/>
    </w:rPr>
  </w:style>
  <w:style w:type="character" w:customStyle="1" w:styleId="Ttulo5Car">
    <w:name w:val="Título 5 Car"/>
    <w:basedOn w:val="Fuentedeprrafopredeter"/>
    <w:link w:val="Ttulo5"/>
    <w:semiHidden/>
    <w:rsid w:val="00E77C05"/>
    <w:rPr>
      <w:b/>
      <w:bCs/>
      <w:i/>
      <w:iCs/>
      <w:sz w:val="26"/>
      <w:szCs w:val="26"/>
      <w:lang w:val="es-ES" w:eastAsia="es-ES"/>
    </w:rPr>
  </w:style>
  <w:style w:type="character" w:customStyle="1" w:styleId="Ttulo6Car">
    <w:name w:val="Título 6 Car"/>
    <w:basedOn w:val="Fuentedeprrafopredeter"/>
    <w:link w:val="Ttulo6"/>
    <w:semiHidden/>
    <w:rsid w:val="00E77C05"/>
    <w:rPr>
      <w:b/>
      <w:bCs/>
      <w:sz w:val="22"/>
      <w:szCs w:val="22"/>
      <w:lang w:val="es-ES" w:eastAsia="es-ES"/>
    </w:rPr>
  </w:style>
  <w:style w:type="character" w:customStyle="1" w:styleId="Ttulo7Car">
    <w:name w:val="Título 7 Car"/>
    <w:basedOn w:val="Fuentedeprrafopredeter"/>
    <w:link w:val="Ttulo7"/>
    <w:semiHidden/>
    <w:rsid w:val="00E77C05"/>
    <w:rPr>
      <w:sz w:val="24"/>
      <w:szCs w:val="24"/>
      <w:lang w:val="es-ES" w:eastAsia="es-ES"/>
    </w:rPr>
  </w:style>
  <w:style w:type="character" w:customStyle="1" w:styleId="Ttulo8Car">
    <w:name w:val="Título 8 Car"/>
    <w:basedOn w:val="Fuentedeprrafopredeter"/>
    <w:link w:val="Ttulo8"/>
    <w:semiHidden/>
    <w:rsid w:val="00E77C05"/>
    <w:rPr>
      <w:i/>
      <w:iCs/>
      <w:sz w:val="24"/>
      <w:szCs w:val="24"/>
      <w:lang w:val="es-ES" w:eastAsia="es-ES"/>
    </w:rPr>
  </w:style>
  <w:style w:type="character" w:customStyle="1" w:styleId="Ttulo9Car">
    <w:name w:val="Título 9 Car"/>
    <w:basedOn w:val="Fuentedeprrafopredeter"/>
    <w:link w:val="Ttulo9"/>
    <w:semiHidden/>
    <w:rsid w:val="00E77C05"/>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E77C05"/>
    <w:rPr>
      <w:sz w:val="16"/>
      <w:szCs w:val="16"/>
    </w:rPr>
  </w:style>
  <w:style w:type="paragraph" w:styleId="Textocomentario">
    <w:name w:val="annotation text"/>
    <w:basedOn w:val="Normal"/>
    <w:link w:val="TextocomentarioCar"/>
    <w:uiPriority w:val="99"/>
    <w:unhideWhenUsed/>
    <w:rsid w:val="00E77C05"/>
    <w:pPr>
      <w:spacing w:after="160" w:line="240" w:lineRule="auto"/>
    </w:pPr>
    <w:rPr>
      <w:rFonts w:asciiTheme="minorHAnsi" w:hAnsiTheme="minorHAnsi" w:cstheme="minorBidi"/>
      <w:lang w:val="en-CA" w:eastAsia="en-CA"/>
    </w:rPr>
  </w:style>
  <w:style w:type="character" w:customStyle="1" w:styleId="TextocomentarioCar">
    <w:name w:val="Texto comentario Car"/>
    <w:basedOn w:val="Fuentedeprrafopredeter"/>
    <w:link w:val="Textocomentario"/>
    <w:uiPriority w:val="99"/>
    <w:rsid w:val="00E77C05"/>
    <w:rPr>
      <w:rFonts w:asciiTheme="minorHAnsi" w:hAnsiTheme="minorHAnsi" w:cstheme="minorBidi"/>
      <w:lang w:val="en-CA" w:eastAsia="en-CA"/>
    </w:rPr>
  </w:style>
  <w:style w:type="character" w:customStyle="1" w:styleId="PrrafodelistaCar">
    <w:name w:val="Párrafo de lista Car"/>
    <w:aliases w:val="BN 1 Car,Bullet List 1 Car,Bullet list Car,Dot pt Car,Heading 4 test Car,Indented Paragraph Car,L Car,Lettre d'introduction Car,List Paragraph - bullets Car,List Paragraph1 Car,List Paragraph11 Car,No Spacing1 Car,Recommendation Car"/>
    <w:basedOn w:val="Fuentedeprrafopredeter"/>
    <w:link w:val="Prrafodelista"/>
    <w:uiPriority w:val="34"/>
    <w:qFormat/>
    <w:rsid w:val="00E77C05"/>
    <w:rPr>
      <w:lang w:val="es-ES" w:eastAsia="es-ES"/>
    </w:rPr>
  </w:style>
  <w:style w:type="paragraph" w:styleId="Asuntodelcomentario">
    <w:name w:val="annotation subject"/>
    <w:basedOn w:val="Textocomentario"/>
    <w:next w:val="Textocomentario"/>
    <w:link w:val="AsuntodelcomentarioCar"/>
    <w:uiPriority w:val="99"/>
    <w:semiHidden/>
    <w:unhideWhenUsed/>
    <w:rsid w:val="00E77C05"/>
    <w:pPr>
      <w:spacing w:before="240" w:after="0"/>
    </w:pPr>
    <w:rPr>
      <w:rFonts w:ascii="Times New Roman" w:hAnsi="Times New Roman" w:cs="Times New Roman"/>
      <w:b/>
      <w:bCs/>
    </w:rPr>
  </w:style>
  <w:style w:type="character" w:customStyle="1" w:styleId="AsuntodelcomentarioCar">
    <w:name w:val="Asunto del comentario Car"/>
    <w:basedOn w:val="TextocomentarioCar"/>
    <w:link w:val="Asuntodelcomentario"/>
    <w:uiPriority w:val="99"/>
    <w:semiHidden/>
    <w:rsid w:val="00E77C05"/>
    <w:rPr>
      <w:rFonts w:asciiTheme="minorHAnsi" w:hAnsiTheme="minorHAnsi" w:cstheme="minorBidi"/>
      <w:b/>
      <w:bCs/>
      <w:lang w:val="en-CA" w:eastAsia="en-CA"/>
    </w:rPr>
  </w:style>
  <w:style w:type="character" w:styleId="Mencinsinresolver">
    <w:name w:val="Unresolved Mention"/>
    <w:basedOn w:val="Fuentedeprrafopredeter"/>
    <w:uiPriority w:val="99"/>
    <w:semiHidden/>
    <w:unhideWhenUsed/>
    <w:rsid w:val="00E77C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anada.c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39</Pages>
  <Words>22433</Words>
  <Characters>119099</Characters>
  <Application>Microsoft Office Word</Application>
  <DocSecurity>0</DocSecurity>
  <Lines>1922</Lines>
  <Paragraphs>488</Paragraphs>
  <ScaleCrop>false</ScaleCrop>
  <HeadingPairs>
    <vt:vector size="2" baseType="variant">
      <vt:variant>
        <vt:lpstr>Título</vt:lpstr>
      </vt:variant>
      <vt:variant>
        <vt:i4>1</vt:i4>
      </vt:variant>
    </vt:vector>
  </HeadingPairs>
  <TitlesOfParts>
    <vt:vector size="1" baseType="lpstr">
      <vt:lpstr>E/C.12/CAN/7</vt:lpstr>
    </vt:vector>
  </TitlesOfParts>
  <Company/>
  <LinksUpToDate>false</LinksUpToDate>
  <CharactersWithSpaces>141422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E/C.12/CAN/7</dc:title>
  <dc:subject/>
  <dc:creator>Carlos Ariel BRAGUNDE LOPEZ</dc:creator>
  <cp:keywords/>
  <cp:lastModifiedBy>Carlos Bragunde Lopez</cp:lastModifiedBy>
  <cp:revision>2</cp:revision>
  <cp:lastPrinted>2025-04-11T11:08:00Z</cp:lastPrinted>
  <dcterms:created xsi:type="dcterms:W3CDTF">2025-04-17T07:53:00Z</dcterms:created>
  <dcterms:modified xsi:type="dcterms:W3CDTF">2025-04-17T07:53:00Z</dcterms:modified>
</cp:coreProperties>
</file>