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15E2342E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91C24BA" w14:textId="77777777" w:rsidR="002D5AAC" w:rsidRDefault="002D5AAC" w:rsidP="0093611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7B9B00A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9A33983" w14:textId="035FBB2C" w:rsidR="002D5AAC" w:rsidRDefault="0093611D" w:rsidP="0093611D">
            <w:pPr>
              <w:jc w:val="right"/>
            </w:pPr>
            <w:r w:rsidRPr="0093611D">
              <w:rPr>
                <w:sz w:val="40"/>
              </w:rPr>
              <w:t>E</w:t>
            </w:r>
            <w:r>
              <w:t>/C.12/CYP/CO/7</w:t>
            </w:r>
          </w:p>
        </w:tc>
      </w:tr>
      <w:tr w:rsidR="002D5AAC" w14:paraId="5FA42AF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F8772B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76AAB5" wp14:editId="707FDE9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40077C6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74BCBE4" w14:textId="77777777" w:rsidR="002D5AAC" w:rsidRDefault="0093611D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5123315" w14:textId="77777777" w:rsidR="0093611D" w:rsidRDefault="0093611D" w:rsidP="009361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October 2024</w:t>
            </w:r>
          </w:p>
          <w:p w14:paraId="152B29E7" w14:textId="77777777" w:rsidR="0093611D" w:rsidRDefault="0093611D" w:rsidP="009361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0FFC7E3" w14:textId="163AFE31" w:rsidR="0093611D" w:rsidRPr="00D62A45" w:rsidRDefault="0093611D" w:rsidP="009361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1790125" w14:textId="5E02EC55" w:rsidR="0093611D" w:rsidRPr="0059561F" w:rsidRDefault="0093611D" w:rsidP="0093611D">
      <w:pPr>
        <w:spacing w:before="120"/>
        <w:rPr>
          <w:b/>
          <w:sz w:val="24"/>
          <w:szCs w:val="24"/>
        </w:rPr>
      </w:pPr>
      <w:r w:rsidRPr="00571EFA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  <w:lang w:val="en-US"/>
        </w:rPr>
        <w:br/>
      </w:r>
      <w:r w:rsidRPr="00571EFA">
        <w:rPr>
          <w:b/>
          <w:bCs/>
          <w:sz w:val="24"/>
          <w:szCs w:val="24"/>
        </w:rPr>
        <w:t>и культурным правам</w:t>
      </w:r>
    </w:p>
    <w:p w14:paraId="1A2DA549" w14:textId="5FD3DE45" w:rsidR="0093611D" w:rsidRPr="0059561F" w:rsidRDefault="0093611D" w:rsidP="0093611D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Кипра</w:t>
      </w:r>
      <w:r w:rsidRPr="0093611D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642AA7E0" w14:textId="306D3114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1.</w:t>
      </w:r>
      <w:r>
        <w:tab/>
        <w:t>Комитет рассмотрел седьмой периодический доклад Кипра</w:t>
      </w:r>
      <w:r w:rsidRPr="00176B61">
        <w:rPr>
          <w:rStyle w:val="a8"/>
          <w:bCs/>
        </w:rPr>
        <w:footnoteReference w:id="2"/>
      </w:r>
      <w:r>
        <w:t xml:space="preserve"> на своих 43-м и 44</w:t>
      </w:r>
      <w:r>
        <w:rPr>
          <w:lang w:val="en-US"/>
        </w:rPr>
        <w:noBreakHyphen/>
      </w:r>
      <w:r>
        <w:t>м</w:t>
      </w:r>
      <w:r>
        <w:rPr>
          <w:lang w:val="en-US"/>
        </w:rPr>
        <w:t> </w:t>
      </w:r>
      <w:r>
        <w:t>заседаниях</w:t>
      </w:r>
      <w:r w:rsidRPr="00176B61">
        <w:rPr>
          <w:rStyle w:val="a8"/>
          <w:bCs/>
        </w:rPr>
        <w:footnoteReference w:id="3"/>
      </w:r>
      <w:r>
        <w:t>, состоявшихся 17 и 18 сентября 2024 года, и на своем 59-м заседании, состоявшемся 27 сентября 2024 года, принял настоящие заключительные замечания.</w:t>
      </w:r>
    </w:p>
    <w:p w14:paraId="53773738" w14:textId="77777777" w:rsidR="0093611D" w:rsidRPr="0059561F" w:rsidRDefault="0093611D" w:rsidP="0093611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F8E44A6" w14:textId="68009671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iCs/>
        </w:rPr>
      </w:pPr>
      <w:r>
        <w:t>2.</w:t>
      </w:r>
      <w:r>
        <w:tab/>
        <w:t>Комитет приветствует представление государством-участником седьмого периодического доклада и дополнительную информацию, содержащуюся в ответах на перечень вопросов</w:t>
      </w:r>
      <w:r w:rsidRPr="00176B61">
        <w:rPr>
          <w:rStyle w:val="a8"/>
          <w:bCs/>
        </w:rPr>
        <w:footnoteReference w:id="4"/>
      </w:r>
      <w:r>
        <w:t>. Комитет выражает признательность за конструктивный диалог, состоявшийся с делегацией государства-участника.</w:t>
      </w:r>
    </w:p>
    <w:p w14:paraId="2FEC5DF6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asciiTheme="majorBidi" w:hAnsiTheme="majorBidi" w:cstheme="majorBidi"/>
        </w:rPr>
      </w:pPr>
      <w:bookmarkStart w:id="0" w:name="_Hlk138836936"/>
      <w:r>
        <w:t>3.</w:t>
      </w:r>
      <w:r>
        <w:tab/>
        <w:t>Комитет признает, что государство-участник не осуществляет контроль над всей своей территорией и что это создает серьезные проблемы для государства-участника в плане полного выполнения своих обязательств по Международному пакту об экономических, социальных и культурных правах. Однако Комитет напоминает государству-участнику, что Пакт применим на всей его территории и что оно должно принять все возможные меры для осуществления Пакта во всех частях своей территории.</w:t>
      </w:r>
      <w:bookmarkEnd w:id="0"/>
    </w:p>
    <w:p w14:paraId="19DD6F0D" w14:textId="77777777" w:rsidR="0093611D" w:rsidRPr="0059561F" w:rsidRDefault="0093611D" w:rsidP="0093611D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5EFA008A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>Комитет приветствует следующие законодательные и институциональные меры:</w:t>
      </w:r>
    </w:p>
    <w:p w14:paraId="37F39E87" w14:textId="77777777" w:rsidR="0093611D" w:rsidRPr="0059561F" w:rsidRDefault="0093611D" w:rsidP="0093611D">
      <w:pPr>
        <w:pStyle w:val="SingleTxtG"/>
      </w:pPr>
      <w:r>
        <w:tab/>
        <w:t>a)</w:t>
      </w:r>
      <w:r>
        <w:tab/>
        <w:t>принятие в 2021 году первой Национальной стратегии по защите и поощрению прав человека, а также создание в 2019 году в Министерстве юстиции и общественного порядка Отдела по правам человека, которому поручено следить за положением с правами человека в государстве-участнике и выполнением международных обязательств государства-участника по уважению, защите и осуществлению прав человека, гарантируемых Пактом;</w:t>
      </w:r>
    </w:p>
    <w:p w14:paraId="18156634" w14:textId="66A173EC" w:rsidR="0093611D" w:rsidRPr="0059561F" w:rsidRDefault="0093611D" w:rsidP="0093611D">
      <w:pPr>
        <w:pStyle w:val="SingleTxtG"/>
      </w:pPr>
      <w:r>
        <w:tab/>
        <w:t>b)</w:t>
      </w:r>
      <w:r>
        <w:tab/>
        <w:t>принятие Закона о защите лиц, сообщающих о нарушениях законодательства Европейского союза и национального законодательства, от 2022</w:t>
      </w:r>
      <w:r>
        <w:rPr>
          <w:lang w:val="en-US"/>
        </w:rPr>
        <w:t> </w:t>
      </w:r>
      <w:r>
        <w:t>года.</w:t>
      </w:r>
    </w:p>
    <w:p w14:paraId="07FEA579" w14:textId="02BBABBB" w:rsidR="0093611D" w:rsidRPr="0059561F" w:rsidRDefault="0093611D" w:rsidP="0093611D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4F1EB87F" w14:textId="77777777" w:rsidR="0093611D" w:rsidRDefault="0093611D" w:rsidP="0093611D">
      <w:pPr>
        <w:pStyle w:val="H23G"/>
      </w:pPr>
      <w:r>
        <w:tab/>
      </w:r>
      <w:r>
        <w:tab/>
        <w:t>Применение Пакта на национальном уровне</w:t>
      </w:r>
    </w:p>
    <w:p w14:paraId="6898BA0C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5.</w:t>
      </w:r>
      <w:r>
        <w:tab/>
        <w:t>Комитет обеспокоен нечастым применением Пакта национальной судебной системой и в целом низким уровнем осведомленности о Пакте в более широкой системе отправления правосудия.</w:t>
      </w:r>
    </w:p>
    <w:p w14:paraId="46265D5D" w14:textId="4551B7C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повысить уровень осведомленности о Пакте среди адвокатов, прокуроров и судей, чтобы обеспечить, по возможности, ссылки на его положения в национальных судах и их применение.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 9 (1998) о применении Пакта во внутреннем праве.</w:t>
      </w:r>
    </w:p>
    <w:p w14:paraId="48D88E0E" w14:textId="77777777" w:rsidR="0093611D" w:rsidRDefault="0093611D" w:rsidP="0093611D">
      <w:pPr>
        <w:pStyle w:val="H23G"/>
      </w:pPr>
      <w:r>
        <w:tab/>
      </w:r>
      <w:r>
        <w:tab/>
        <w:t>Организации гражданского общества</w:t>
      </w:r>
    </w:p>
    <w:p w14:paraId="36CE7DB0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7.</w:t>
      </w:r>
      <w:r>
        <w:tab/>
        <w:t>Комитет обеспокоен сообщениями о том, что государство-участник использует нормативно-правовую базу, регулирующую деятельность организаций гражданского общества, в своих интересах, в том числе посредством внесения в 2020 году в закон об ассоциациях поправки, которая позволяет Министерству внутренних дел быстро отменять регистрацию организаций гражданского общества, которые считаются бездействующими или не соблюдающими закон. Сообщаемые примеры такого использования включают в себя неоправданные ограничения права на свободу ассоциаций, а также финансирования и деятельности организаций гражданского общества, включая организации, работающие в сфере экономических, социальных и культурных прав мигрантов и беженцев.</w:t>
      </w:r>
    </w:p>
    <w:p w14:paraId="2AB8912C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пересмотра поправки 2020 года к закону об ассоциациях с целью устранения неоправданно ограничительных требований в отношении деятельности организаций гражданского общества, в том числе тех, которые работают в сфере экономических, социальных и культурных прав мигрантов и беженцев.</w:t>
      </w:r>
    </w:p>
    <w:p w14:paraId="05A5FC5C" w14:textId="4C99DE72" w:rsidR="0093611D" w:rsidRDefault="0093611D" w:rsidP="0093611D">
      <w:pPr>
        <w:pStyle w:val="H23G"/>
      </w:pPr>
      <w:r>
        <w:tab/>
      </w:r>
      <w:r>
        <w:tab/>
        <w:t>Предпринимательская деятельность и экономические, социальные и</w:t>
      </w:r>
      <w:r>
        <w:rPr>
          <w:lang w:val="en-US"/>
        </w:rPr>
        <w:t> </w:t>
      </w:r>
      <w:r>
        <w:t>культурные права</w:t>
      </w:r>
    </w:p>
    <w:p w14:paraId="4BCF11D0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  <w:t>Комитет обеспокоен отсутствием национального плана действий по вопросам предпринимательства в аспекте прав человека. Комитет также обеспокоен сообщениями о том, что государство-участник недостаточно эффективно применяет свою законодательную и нормативную базу в отношении отмывания денег и уклонения от уплаты налогов, в том числе в отношении компаний финансового сектора и компаний, которые имеют юридический адрес в государстве-участнике без физического присутствия на его территории, что негативно сказывается на осуществлении экономических, социальных и культурных прав как в государстве-участнике, так и за его пределами.</w:t>
      </w:r>
      <w:bookmarkStart w:id="1" w:name="_Hlk170461757"/>
      <w:bookmarkEnd w:id="1"/>
    </w:p>
    <w:p w14:paraId="61EB41D6" w14:textId="48D1D181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разработать национальный план действий по вопросам предпринимательства в аспекте прав человека.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все необходимые меры для обеспечения выполнения национальных, региональных и международных правовых обязательств по предотвращению и расследованию всех случаев отмывания денег и уклонения от уплаты налогов компаниями, имеющими юридический адрес в государстве-участнике, включая компании финансового сектора, и их судебному преследованию.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 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14:paraId="19499074" w14:textId="77777777" w:rsidR="0093611D" w:rsidRDefault="0093611D" w:rsidP="0093611D">
      <w:pPr>
        <w:pStyle w:val="H23G"/>
      </w:pPr>
      <w:r>
        <w:lastRenderedPageBreak/>
        <w:tab/>
      </w:r>
      <w:r>
        <w:tab/>
        <w:t>Изменение климата</w:t>
      </w:r>
    </w:p>
    <w:p w14:paraId="36376039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11.</w:t>
      </w:r>
      <w:r>
        <w:tab/>
        <w:t>Принимая к сведению предоставленную государством-участником информацию о Программе развития сельских районов, которая способствует более активному осуществлению мер в области лесного хозяйства, Комитет обеспокоен тем, что вклад Программы развития сельских районов в баланс общих выбросов/поглощения в стране не может быть оценен.</w:t>
      </w:r>
      <w:bookmarkStart w:id="2" w:name="_Hlk170461837"/>
      <w:bookmarkEnd w:id="2"/>
    </w:p>
    <w:p w14:paraId="05733963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поручить соответствующим отраслевым министерствам, соответствующим исследовательским институтам и/или университетам рассчитать баланс нетто-выбросов/поглощения при осуществлении лесохозяйственных мероприятий в рамках Программы развития сельских районов.</w:t>
      </w:r>
    </w:p>
    <w:p w14:paraId="306D33CD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13.</w:t>
      </w:r>
      <w:r>
        <w:tab/>
        <w:t>Комитет обеспокоен тем, что нынешняя политика сокращения выбросов может оказаться недостаточной для выполнения государством-участником своих обязательств по Парижскому соглашению (статья 2 (пункт1)).</w:t>
      </w:r>
    </w:p>
    <w:p w14:paraId="68691916" w14:textId="6F104FD7" w:rsidR="0093611D" w:rsidRPr="00E110B4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принять меры по достижению своего определяемого на национальном уровне вклада в рамках Парижского соглашения, в том числе путем повышения налогообложения выбросов и активизации усилий по замене видов ископаемого топлива в энергетическом балансе.</w:t>
      </w:r>
      <w:r>
        <w:t xml:space="preserve"> </w:t>
      </w:r>
      <w:r>
        <w:rPr>
          <w:b/>
          <w:bCs/>
        </w:rPr>
        <w:t>В этой связи Комитет ссылается на свое заявление по вопросу об изменении климата и Пакте</w:t>
      </w:r>
      <w:r w:rsidRPr="00176B61">
        <w:rPr>
          <w:rStyle w:val="a8"/>
        </w:rPr>
        <w:footnoteReference w:id="5"/>
      </w:r>
      <w:r>
        <w:rPr>
          <w:b/>
          <w:bCs/>
        </w:rPr>
        <w:t>.</w:t>
      </w:r>
    </w:p>
    <w:p w14:paraId="22F44420" w14:textId="77777777" w:rsidR="0093611D" w:rsidRDefault="0093611D" w:rsidP="0093611D">
      <w:pPr>
        <w:pStyle w:val="H23G"/>
      </w:pPr>
      <w:r>
        <w:tab/>
      </w:r>
      <w:r>
        <w:tab/>
        <w:t>Максимальные пределы имеющихся ресурсов</w:t>
      </w:r>
    </w:p>
    <w:p w14:paraId="0FE63F05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15.</w:t>
      </w:r>
      <w:r>
        <w:tab/>
        <w:t>Комитет обеспокоен ограниченными возможностями государства-участника по эффективному сбору налогов и борьбе с уклонением от уплаты налогов, что ослабляет его способность мобилизовать ресурсы, необходимые для осуществления прав, закрепленных в Пакте. Комитет также обеспокоен чрезмерной зависимостью государства-участника от колеблющихся доходов от туризма, что делает его экономику уязвимой к внешним неопределенностям (статья 2 (пункт 1)).</w:t>
      </w:r>
    </w:p>
    <w:p w14:paraId="0F0C498F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удвоить усилия по улучшению сбора налогов и борьбе с уклонением от уплаты налогов, а также по снижению зависимости от колеблющихся уровней туризма.</w:t>
      </w:r>
    </w:p>
    <w:p w14:paraId="656EA2E7" w14:textId="77777777" w:rsidR="0093611D" w:rsidRDefault="0093611D" w:rsidP="0093611D">
      <w:pPr>
        <w:pStyle w:val="H23G"/>
      </w:pPr>
      <w:r>
        <w:tab/>
      </w:r>
      <w:r>
        <w:tab/>
        <w:t>Коррупция</w:t>
      </w:r>
    </w:p>
    <w:p w14:paraId="606C5B59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17.</w:t>
      </w:r>
      <w:r>
        <w:tab/>
        <w:t>Принимая к сведению предоставленную делегацией информацию относительно Закона о создании и функционировании Независимого органа по борьбе с коррупцией от 2022 года, Комитет обеспокоен сообщениями о том, что государство-участник предоставляет досрочное освобождение и помилование лицам, осужденным по обвинениям в коррупции. Комитет также обеспокоен сообщениями о недостаточной координации между различными антикоррупционными органами и о недостаточных конкретных мерах по обеспечению того, чтобы должностные лица, расследующие дела о коррупции и/или осуществляющие судебное преследование по ним, не подвергались конфликту интересов, в том числе в результате практики «вращающейся двери», или их перехода после отставки в частные компании, деятельность которых они ранее расследовали (статья 2 (пункт 1)).</w:t>
      </w:r>
      <w:bookmarkStart w:id="3" w:name="_Hlk170462066"/>
      <w:bookmarkEnd w:id="3"/>
    </w:p>
    <w:p w14:paraId="37F94098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2FEA32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оперативно, независимо и беспристрастно расследовать все случаи коррупции, особенно случаи коррупции на высоком уровне, включая коррупцию в правительстве, привлекать виновных к ответственности и в случае вынесения обвинительного приговора применять наказания, соразмерные тяжести совершенного преступления;</w:t>
      </w:r>
    </w:p>
    <w:p w14:paraId="79387E57" w14:textId="77777777" w:rsidR="0093611D" w:rsidRPr="0059561F" w:rsidRDefault="0093611D" w:rsidP="0093611D">
      <w:pPr>
        <w:pStyle w:val="SingleTxtG"/>
        <w:keepLines/>
        <w:rPr>
          <w:b/>
          <w:bCs/>
        </w:rPr>
      </w:pPr>
      <w:r>
        <w:lastRenderedPageBreak/>
        <w:tab/>
        <w:t>b)</w:t>
      </w:r>
      <w:r>
        <w:tab/>
      </w:r>
      <w:r>
        <w:rPr>
          <w:b/>
          <w:bCs/>
        </w:rPr>
        <w:t>обеспечить независимость, эффективную координацию, прозрачность и подотчетность всех антикоррупционных органов, включая Независимый орган по борьбе с коррупцией и антикоррупционную целевую группу;</w:t>
      </w:r>
    </w:p>
    <w:p w14:paraId="0753CB51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пересмотреть свое законодательство, политику, руководящие принципы и фактическую практику, чтобы исключить риск коррупции посредством практики «вращающейся двери» при найме на работу.</w:t>
      </w:r>
    </w:p>
    <w:p w14:paraId="34AB91B5" w14:textId="77777777" w:rsidR="0093611D" w:rsidRDefault="0093611D" w:rsidP="0093611D">
      <w:pPr>
        <w:pStyle w:val="H23G"/>
      </w:pPr>
      <w:r>
        <w:tab/>
      </w:r>
      <w:r>
        <w:tab/>
        <w:t>Меры жесткой экономии</w:t>
      </w:r>
    </w:p>
    <w:p w14:paraId="350197D5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19.</w:t>
      </w:r>
      <w:r>
        <w:tab/>
        <w:t>Отмечая относительно высокие темпы экономического роста в государстве-участнике в последние годы, Комитет вместе с тем обеспокоен сохраняющимся негативным воздействием принятых ранее мер жесткой экономии на осуществление экономических, социальных и культурных прав (статьи 2 (пункт 1), 6, 9, 11 и 12).</w:t>
      </w:r>
    </w:p>
    <w:p w14:paraId="192AA05F" w14:textId="00699F48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оценивать воздействие на права, гарантируемые Пактом, при внесении будущих бюджетных корректировок и принять все необходимые меры для снижения любого негативного воздействия на осуществление экономических, социальных и культурных прав, в том числе в результате ранее принятых мер жесткой экономии.</w:t>
      </w:r>
      <w:r>
        <w:t xml:space="preserve"> </w:t>
      </w:r>
      <w:r>
        <w:rPr>
          <w:b/>
          <w:bCs/>
        </w:rPr>
        <w:t>В этой связи Комитет напоминает о своем заявлении о государственном долге, мерах жесткой экономии и Пакте</w:t>
      </w:r>
      <w:r w:rsidRPr="00176B61">
        <w:rPr>
          <w:rStyle w:val="a8"/>
        </w:rPr>
        <w:footnoteReference w:id="6"/>
      </w:r>
      <w:r>
        <w:rPr>
          <w:b/>
          <w:bCs/>
        </w:rPr>
        <w:t>.</w:t>
      </w:r>
    </w:p>
    <w:p w14:paraId="135715C3" w14:textId="77777777" w:rsidR="0093611D" w:rsidRDefault="0093611D" w:rsidP="0093611D">
      <w:pPr>
        <w:pStyle w:val="H23G"/>
      </w:pPr>
      <w:r>
        <w:tab/>
      </w:r>
      <w:r>
        <w:tab/>
        <w:t>Недискриминация</w:t>
      </w:r>
    </w:p>
    <w:p w14:paraId="0EEA84A1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21.</w:t>
      </w:r>
      <w:r>
        <w:tab/>
        <w:t>Комитет обеспокоен отсутствием всеобъемлющего антидискриминационного законодательства, обеспечивающего полную и эффективную защиту от всех форм дискриминации, запрещенных Пактом. Комитет также обеспокоен сообщениями о дискриминации по признаку сексуальной ориентации и гендерной идентичности и тем, что законопроект, направленный на признание изменения пола и разрешающий усыновление однополыми парами, не был принят (статья 2 (пункт 2)).</w:t>
      </w:r>
    </w:p>
    <w:p w14:paraId="55EEBD19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законодательство, обеспечивающее полную и эффективную защиту от дискриминации во всех сферах и содержащее полный перечень запрещенных оснований для дискриминации, включая прямые ссылки на сексуальную ориентацию и гендерную идентичность.</w:t>
      </w:r>
      <w:r>
        <w:t xml:space="preserve"> </w:t>
      </w:r>
      <w:r>
        <w:rPr>
          <w:b/>
          <w:bCs/>
        </w:rPr>
        <w:t>Комитет также рекомендует государству-участнику ускорить принятие находящегося на рассмотрении законопроекта о признании изменения пола и законопроекта о разрешении усыновления однополыми парами.</w:t>
      </w:r>
    </w:p>
    <w:p w14:paraId="42D95328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23.</w:t>
      </w:r>
      <w:r>
        <w:tab/>
        <w:t>Комитет обеспокоен сообщениями о том, что турки-киприоты по-прежнему подвергаются дискриминации, в том числе сообщениями о том, что они сталкиваются с ограничениями в доступе к банковским счетам. Комитет также обеспокоен сообщениями о том, что социально-экономический разрыв между турками-киприотами и греками-киприотами продолжает увеличиваться и что это ставит турок-киприотов в невыгодное положение. Комитет также обеспокоен риском безгражданства для детей, родившихся на Кипре от родителей из числа мигрантов или беженцев (статья 2 (пункт 2)).</w:t>
      </w:r>
    </w:p>
    <w:p w14:paraId="2657EEAA" w14:textId="42237E21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ссылается на свое замечание общего порядка № 20 (2009) о недискриминации при осуществлении экономических, социальных и культурных прав и рекомендует государству-участнику:</w:t>
      </w:r>
    </w:p>
    <w:p w14:paraId="166BAE07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провести тщательный анализ хода реализации реформ и действующих законов, направленных на устранение дискриминационной практики и поощрение инклюзивности, включая доступ к банковским счетам и собственности;</w:t>
      </w:r>
    </w:p>
    <w:p w14:paraId="3BFFF3D9" w14:textId="77777777" w:rsidR="0093611D" w:rsidRPr="0059561F" w:rsidRDefault="0093611D" w:rsidP="0093611D">
      <w:pPr>
        <w:pStyle w:val="SingleTxtG"/>
        <w:rPr>
          <w:b/>
          <w:bCs/>
        </w:rPr>
      </w:pPr>
      <w:r>
        <w:lastRenderedPageBreak/>
        <w:tab/>
        <w:t>b)</w:t>
      </w:r>
      <w:r>
        <w:tab/>
      </w:r>
      <w:r>
        <w:rPr>
          <w:b/>
          <w:bCs/>
        </w:rPr>
        <w:t>упорядочить процесс подачи заявлений на гражданство для детей турок-киприотов, рожденных в смешанных браках и проживающих в северной части Кипра, чтобы избежать ненужных задержек или отказов, и внедрить четкие руководящие принципы и сроки рассмотрения таких заявлений, обеспечивая справедливость и прозрачность;</w:t>
      </w:r>
    </w:p>
    <w:p w14:paraId="653A933D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реализовать целевые стратегии и инициативы, которые направлены на сокращение социально-экономического разрыва между турками-киприотами и греками-киприотами и которые могут включать, например, инвестиции в образование, программы профессиональной подготовки, развитие инфраструктуры и справедливое распределение ресурсов для содействия расширению экономических возможностей и социальной инклюзии для всех;</w:t>
      </w:r>
    </w:p>
    <w:p w14:paraId="132F68F9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принять все необходимые меры для борьбы с безгражданством, в том числе путем пересмотра соответствующего национального законодательства и ратификации Конвенции о статусе апатридов и Конвенции о сокращении безгражданства.</w:t>
      </w:r>
    </w:p>
    <w:p w14:paraId="1CDADBD2" w14:textId="77777777" w:rsidR="0093611D" w:rsidRDefault="0093611D" w:rsidP="0093611D">
      <w:pPr>
        <w:pStyle w:val="H23G"/>
      </w:pPr>
      <w:r>
        <w:tab/>
      </w:r>
      <w:r>
        <w:tab/>
        <w:t>Равные права мужчин и женщин</w:t>
      </w:r>
    </w:p>
    <w:p w14:paraId="132FC615" w14:textId="1EB17512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25.</w:t>
      </w:r>
      <w:r>
        <w:tab/>
        <w:t>Комитет обеспокоен сохранением гендерной асимметрии, в частности в связи с гендерным разрывом в оплате труда. Принимая к сведению предоставленную делегацией информацию об увеличении числа женщин —</w:t>
      </w:r>
      <w:r w:rsidR="0062088C">
        <w:t> </w:t>
      </w:r>
      <w:r>
        <w:t>членов Совета Министров в последние годы, Комитет также обеспокоен тем, что общая представленность женщин на руководящих должностях в государственном и частном секторах остается неудовлетворительной (статьи 3 и 7).</w:t>
      </w:r>
    </w:p>
    <w:p w14:paraId="2ACECF59" w14:textId="376D11EA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26.</w:t>
      </w:r>
      <w:r>
        <w:tab/>
      </w:r>
      <w:r>
        <w:rPr>
          <w:b/>
          <w:bCs/>
        </w:rPr>
        <w:t>Комитет напоминает о своем замечании общего порядка № 16 (2005) о равном для мужчин и женщин праве пользования всеми экономическими, социальными и культурными правами и рекомендует государству-участнику:</w:t>
      </w:r>
    </w:p>
    <w:p w14:paraId="5AF55A41" w14:textId="77777777" w:rsidR="0093611D" w:rsidRPr="0059561F" w:rsidRDefault="0093611D" w:rsidP="0093611D">
      <w:pPr>
        <w:pStyle w:val="SingleTxtG"/>
        <w:rPr>
          <w:b/>
          <w:bCs/>
          <w:shd w:val="clear" w:color="auto" w:fill="FFFFFF"/>
        </w:rPr>
      </w:pPr>
      <w:r>
        <w:tab/>
        <w:t>a)</w:t>
      </w:r>
      <w:r>
        <w:tab/>
      </w:r>
      <w:r>
        <w:rPr>
          <w:b/>
          <w:bCs/>
        </w:rPr>
        <w:t>активизировать усилия по устранению гендерного разрыва в оплате труда, в частности путем решения проблемы гендерной сегрегации на рынке труда, пересмотра социальной и налоговой политики и устранения факторов, препятствующих женщинам, желающим продолжать карьеру или работать в течение полного рабочего дня, в том числе путем обеспечения равного распределения неоплачиваемой домашней работы и ухода за детьми между женщинами и мужчинами, повышения доступности услуг по уходу за детьми и других услуг по уходу и поддержке, а также путем повышения стимулов для мужчин к получению отпуска по уходу за ребенком;</w:t>
      </w:r>
    </w:p>
    <w:p w14:paraId="1194500D" w14:textId="77777777" w:rsidR="0093611D" w:rsidRDefault="0093611D" w:rsidP="0093611D">
      <w:pPr>
        <w:pStyle w:val="SingleTxtG"/>
      </w:pPr>
      <w:r>
        <w:tab/>
        <w:t>b)</w:t>
      </w:r>
      <w:r>
        <w:tab/>
      </w:r>
      <w:r>
        <w:rPr>
          <w:b/>
          <w:bCs/>
        </w:rPr>
        <w:t>повысить представленность женщин на руководящих должностях в государственном и частном секторах, в том числе путем рассмотрения возможности введения квот.</w:t>
      </w:r>
    </w:p>
    <w:p w14:paraId="01CFAD70" w14:textId="77777777" w:rsidR="0093611D" w:rsidRDefault="0093611D" w:rsidP="0093611D">
      <w:pPr>
        <w:pStyle w:val="H23G"/>
      </w:pPr>
      <w:r>
        <w:tab/>
      </w:r>
      <w:r>
        <w:tab/>
        <w:t>Право на труд</w:t>
      </w:r>
    </w:p>
    <w:p w14:paraId="173D4355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27.</w:t>
      </w:r>
      <w:r>
        <w:tab/>
        <w:t xml:space="preserve">Комитет обеспокоен ростом безработицы среди молодых женщин в последние годы и явной непропорциональной долей молодых людей и </w:t>
      </w:r>
      <w:r w:rsidRPr="00D70614">
        <w:t xml:space="preserve">людей с инвалидностью </w:t>
      </w:r>
      <w:r>
        <w:t>среди безработных (статьи 3 и 6).</w:t>
      </w:r>
    </w:p>
    <w:p w14:paraId="244CDCB7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решению проблемы безработицы, например путем реализации целевых программ трудоустройства в государственном секторе и уделения особого внимания проблеме безработицы среди молодежи, в частности молодых женщин, и среди людей с инвалидностью.</w:t>
      </w:r>
      <w:r>
        <w:t xml:space="preserve"> </w:t>
      </w:r>
      <w:r>
        <w:rPr>
          <w:b/>
          <w:bCs/>
        </w:rPr>
        <w:t>Комитет также рекомендует государству-участнику продолжать работу, направленную на повышение соответствия системы образования потребностям рынка труда, например путем расширения профессиональной подготовки.</w:t>
      </w:r>
    </w:p>
    <w:p w14:paraId="33BC11E0" w14:textId="77777777" w:rsidR="0093611D" w:rsidRDefault="0093611D" w:rsidP="0093611D">
      <w:pPr>
        <w:pStyle w:val="H23G"/>
      </w:pPr>
      <w:r>
        <w:tab/>
      </w:r>
      <w:r>
        <w:tab/>
        <w:t>Право на справедливые и благоприятные условия труда</w:t>
      </w:r>
    </w:p>
    <w:p w14:paraId="51069D75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29.</w:t>
      </w:r>
      <w:r>
        <w:tab/>
        <w:t xml:space="preserve">Отмечая положения о минимальной заработной плате, Комитет выражает обеспокоенность сообщениями о недостатках в обеспечении соблюдения трудовых </w:t>
      </w:r>
      <w:r>
        <w:lastRenderedPageBreak/>
        <w:t>законов и указов, включая недостаточный контроль за условиями труда и жизни домашних работников. Комитет также обеспокоен сообщениями о том, что многие домашние работники подвергаются условиям эксплуатации, таким как чрезмерно долгий рабочий день без перерывов и выходных, конфискация паспортов и мобильных телефонов, а также случаи физического, словесного или сексуального насилия. Кроме того, тот факт, что домашние работники не подпадают под действие Указа о минимальной заработной плате от 2022 года, вызывает дополнительную обеспокоенность относительно способности государства-участника контролировать соблюдение работодателями требований законодательства в отношении заработной платы и пособий, а также его способности эффективно устранять любые нарушения этого законодательства (статья 7).</w:t>
      </w:r>
    </w:p>
    <w:p w14:paraId="05D37E9A" w14:textId="50613E70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ссылается на свое замечание общего порядка № 23 (2016) о праве на справедливые и благоприятные условия труда и рекомендует государству-участнику:</w:t>
      </w:r>
    </w:p>
    <w:p w14:paraId="1DAC9F68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увеличить число трудовых инспекторов и укрепить их потенциал, устраняя при этом все правовые и административные барьеры, препятствующие надзору за условиями труда домашних работников;</w:t>
      </w:r>
    </w:p>
    <w:p w14:paraId="026C1ADF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правовую и практическую защиту домашних работников от всех форм сексуальных домогательств и предоставить им эффективные средства правовой защиты;</w:t>
      </w:r>
    </w:p>
    <w:p w14:paraId="084F986F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беспрепятственный доступ к существующим механизмам сообщения о случаях насилия или эксплуатации, признавая трудности, с которыми сталкиваются некоторые домашние работники при доступе к каналам связи;</w:t>
      </w:r>
    </w:p>
    <w:p w14:paraId="70978F60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проводить тщательные расследования в связи со всеми заявлениями о нарушениях прав человека в отношении домашних работников;</w:t>
      </w:r>
    </w:p>
    <w:p w14:paraId="0164376D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расширить сферу действия Указа о минимальной заработной плате от 2022 года, включив в нее домашних работников;</w:t>
      </w:r>
    </w:p>
    <w:p w14:paraId="7CAF07F7" w14:textId="0CCAE2AB" w:rsidR="0093611D" w:rsidRPr="0059561F" w:rsidRDefault="0093611D" w:rsidP="0093611D">
      <w:pPr>
        <w:pStyle w:val="SingleTxtG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ратифицировать Конвенцию 2011 года о достойном труде домашних работников (№ 189) и Конвенцию 2019 года о насилии и домогательствах (№ 190) Международной организации труда.</w:t>
      </w:r>
    </w:p>
    <w:p w14:paraId="61D197D9" w14:textId="77777777" w:rsidR="0093611D" w:rsidRDefault="0093611D" w:rsidP="0093611D">
      <w:pPr>
        <w:pStyle w:val="H23G"/>
      </w:pPr>
      <w:r>
        <w:tab/>
      </w:r>
      <w:r>
        <w:tab/>
        <w:t>Права профсоюзов</w:t>
      </w:r>
    </w:p>
    <w:p w14:paraId="40BB54A5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31.</w:t>
      </w:r>
      <w:r>
        <w:tab/>
        <w:t>Комитет обеспокоен сообщениями о непоследовательном применении законодательства, предусматривающего средства правовой защиты от дискриминации в отношении профсоюзов.</w:t>
      </w:r>
      <w:bookmarkStart w:id="4" w:name="_Hlk170466970"/>
    </w:p>
    <w:bookmarkEnd w:id="4"/>
    <w:p w14:paraId="6DAB1E99" w14:textId="4AC84771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соблюдения законодательства, касающегося дискриминации в отношении профсоюзов.</w:t>
      </w:r>
      <w:r>
        <w:t xml:space="preserve"> </w:t>
      </w:r>
      <w:r>
        <w:rPr>
          <w:b/>
          <w:bCs/>
        </w:rPr>
        <w:t>В этой связи Комитет напоминает о своем совместном с Комитетом по правам человека заявлении о свободе ассоциации, включая право создавать профсоюзы и вступать в них</w:t>
      </w:r>
      <w:r w:rsidRPr="00176B61">
        <w:rPr>
          <w:rStyle w:val="a8"/>
        </w:rPr>
        <w:footnoteReference w:id="7"/>
      </w:r>
      <w:r>
        <w:rPr>
          <w:b/>
          <w:bCs/>
        </w:rPr>
        <w:t>.</w:t>
      </w:r>
    </w:p>
    <w:p w14:paraId="58C1B98F" w14:textId="77777777" w:rsidR="0093611D" w:rsidRDefault="0093611D" w:rsidP="0093611D">
      <w:pPr>
        <w:pStyle w:val="H23G"/>
      </w:pPr>
      <w:r>
        <w:tab/>
      </w:r>
      <w:r>
        <w:tab/>
        <w:t>Право на социальное обеспечение</w:t>
      </w:r>
    </w:p>
    <w:p w14:paraId="1AF88508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33.</w:t>
      </w:r>
      <w:r>
        <w:tab/>
        <w:t>Принимая к сведению предоставленную государством-участником информацию о соответствующем законодательстве, Комитет обеспокоен тем, что на среднесрочной и долгосрочной финансовой устойчивости пенсионной системы негативно сказывается отсутствие достаточных мер по адаптации к относительно быстрому старению населения, что может отрицательно сказаться на дальнейшем осуществлении пенсионерами экономических и социальных прав (статья 9).</w:t>
      </w:r>
    </w:p>
    <w:p w14:paraId="4B1454D4" w14:textId="18E96AE1" w:rsidR="0093611D" w:rsidRPr="0059561F" w:rsidRDefault="0093611D" w:rsidP="0062088C">
      <w:pPr>
        <w:pStyle w:val="SingleTxtG"/>
        <w:keepNext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lastRenderedPageBreak/>
        <w:t>34.</w:t>
      </w:r>
      <w:r>
        <w:tab/>
      </w:r>
      <w:r>
        <w:rPr>
          <w:b/>
          <w:bCs/>
        </w:rPr>
        <w:t>Комитет ссылается на свое замечание общего порядка № 19 (2007) о праве на социальное обеспечение и рекомендует государству-участнику:</w:t>
      </w:r>
    </w:p>
    <w:p w14:paraId="66072972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привести пенсионный возраст для государственных служащих в соответствие с общеустановленным пенсионным возрастом;</w:t>
      </w:r>
    </w:p>
    <w:p w14:paraId="3BCDF1DA" w14:textId="77777777" w:rsidR="0093611D" w:rsidRDefault="0093611D" w:rsidP="0093611D">
      <w:pPr>
        <w:pStyle w:val="SingleTxtG"/>
      </w:pPr>
      <w:r>
        <w:tab/>
        <w:t>b)</w:t>
      </w:r>
      <w:r>
        <w:tab/>
      </w:r>
      <w:r>
        <w:rPr>
          <w:b/>
          <w:bCs/>
        </w:rPr>
        <w:t>рассмотреть возможность корректировки уровня обязательных взносов в Общий режим социального страхования, чтобы обеспечить соответствие взносов расходам;</w:t>
      </w:r>
    </w:p>
    <w:p w14:paraId="66C40033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своевременное выполнение соответствующих рекомендаций Международной организации труда, касающихся пенсионной системы.</w:t>
      </w:r>
    </w:p>
    <w:p w14:paraId="084893BA" w14:textId="77777777" w:rsidR="0093611D" w:rsidRDefault="0093611D" w:rsidP="0093611D">
      <w:pPr>
        <w:pStyle w:val="H23G"/>
      </w:pPr>
      <w:r>
        <w:tab/>
      </w:r>
      <w:r>
        <w:tab/>
        <w:t>Защита семьи и детей</w:t>
      </w:r>
    </w:p>
    <w:p w14:paraId="6357E8F6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35.</w:t>
      </w:r>
      <w:r>
        <w:tab/>
        <w:t>Комитет обеспокоен положением детей из числа мигрантов и просителей убежища, в частности несопровождаемых детей, и ограничениями права на воссоединение семьи и получение кипрского гражданства. Комитет также обеспокоен отсутствием поддержки родителей, ухаживающих за детьми-инвалидами, что приводит к их помещению в специальные учреждения.</w:t>
      </w:r>
    </w:p>
    <w:p w14:paraId="3E910D85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DC06D39" w14:textId="345DD1E9" w:rsidR="0093611D" w:rsidRPr="0059561F" w:rsidRDefault="0093611D" w:rsidP="0093611D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 xml:space="preserve">обеспечить, чтобы все несопровождаемые дети, мигрирующие </w:t>
      </w:r>
      <w:r w:rsidR="0062088C">
        <w:rPr>
          <w:b/>
          <w:bCs/>
        </w:rPr>
        <w:br/>
      </w:r>
      <w:r>
        <w:rPr>
          <w:b/>
          <w:bCs/>
        </w:rPr>
        <w:t>в государство-участник, размещались в местах, обеспечивающих высококачественный уход и доступ к здравоохранению, образованию и досугу, в</w:t>
      </w:r>
      <w:r w:rsidR="0062088C">
        <w:rPr>
          <w:b/>
          <w:bCs/>
        </w:rPr>
        <w:t> </w:t>
      </w:r>
      <w:r>
        <w:rPr>
          <w:b/>
          <w:bCs/>
        </w:rPr>
        <w:t>том числе путем обеспечения того, чтобы первый пункт временного размещения «</w:t>
      </w:r>
      <w:proofErr w:type="spellStart"/>
      <w:r>
        <w:rPr>
          <w:b/>
          <w:bCs/>
        </w:rPr>
        <w:t>Пурнара</w:t>
      </w:r>
      <w:proofErr w:type="spellEnd"/>
      <w:r>
        <w:rPr>
          <w:b/>
          <w:bCs/>
        </w:rPr>
        <w:t>» использовался только для регистрации заявлений о предоставлении убежища и для ориентации, а не в качестве места долгосрочного размещения;</w:t>
      </w:r>
    </w:p>
    <w:p w14:paraId="3A2B0F9B" w14:textId="77777777" w:rsidR="0093611D" w:rsidRDefault="0093611D" w:rsidP="0093611D">
      <w:pPr>
        <w:pStyle w:val="SingleTxtG"/>
      </w:pPr>
      <w:r>
        <w:tab/>
        <w:t>b)</w:t>
      </w:r>
      <w:r>
        <w:tab/>
      </w:r>
      <w:r>
        <w:rPr>
          <w:b/>
          <w:bCs/>
        </w:rPr>
        <w:t>внедрить дополнительные программы поддержки самостоятельного образа жизни или разработать индивидуальные планы реинтеграции, чтобы помочь несопровождаемым детям начать самостоятельный образ жизни после достижения ими совершеннолетия;</w:t>
      </w:r>
    </w:p>
    <w:p w14:paraId="2102765E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пересмотреть право на воссоединение семьи для лиц, пользующихся дополнительной защитой;</w:t>
      </w:r>
      <w:r>
        <w:t xml:space="preserve"> </w:t>
      </w:r>
      <w:r>
        <w:rPr>
          <w:b/>
          <w:bCs/>
        </w:rPr>
        <w:t>и пересмотреть право на получение семейного вида на жительство для супругов и детей лиц, пользующихся международной защитой, если семья была создана на Кипре;</w:t>
      </w:r>
    </w:p>
    <w:p w14:paraId="7683AB71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принять все необходимые меры для предотвращения принудительного возвращения на границе и недопущения разлучения семей;</w:t>
      </w:r>
    </w:p>
    <w:p w14:paraId="34551034" w14:textId="77777777" w:rsidR="0093611D" w:rsidRPr="0059561F" w:rsidRDefault="0093611D" w:rsidP="0093611D">
      <w:pPr>
        <w:pStyle w:val="SingleTxtG"/>
      </w:pPr>
      <w:r>
        <w:tab/>
        <w:t>e)</w:t>
      </w:r>
      <w:r>
        <w:tab/>
      </w:r>
      <w:r>
        <w:rPr>
          <w:b/>
          <w:bCs/>
        </w:rPr>
        <w:t>принять все необходимые меры для пересмотра требований к получению кипрского гражданства для детей, родившихся на Кипре, с целью предоставления гражданства детям, которые в противном случае были бы апатридами, независимо от статуса их родителей в отношении гражданства, места жительства, правового статуса и семейного положения, уделяя особое внимание детям, родившимся от родителей из числа беженцев, просителей убежища, мигрантов или лиц без гражданства;</w:t>
      </w:r>
    </w:p>
    <w:p w14:paraId="3E5B61FF" w14:textId="77777777" w:rsidR="0093611D" w:rsidRDefault="0093611D" w:rsidP="0093611D">
      <w:pPr>
        <w:pStyle w:val="SingleTxtG"/>
      </w:pPr>
      <w:r>
        <w:tab/>
        <w:t>f)</w:t>
      </w:r>
      <w:r>
        <w:tab/>
      </w:r>
      <w:r>
        <w:rPr>
          <w:b/>
          <w:bCs/>
        </w:rPr>
        <w:t xml:space="preserve">принять все необходимые меры для обеспечения того, чтобы дети с инвалидностью могли реализовать свое </w:t>
      </w:r>
      <w:proofErr w:type="gramStart"/>
      <w:r>
        <w:rPr>
          <w:b/>
          <w:bCs/>
        </w:rPr>
        <w:t>право</w:t>
      </w:r>
      <w:proofErr w:type="gramEnd"/>
      <w:r>
        <w:rPr>
          <w:b/>
          <w:bCs/>
        </w:rPr>
        <w:t xml:space="preserve"> расти в семейном окружении, включая меры по увеличению доступности услуг раннего вмешательства и социально-экономической поддержки, а также доступа к информации об этих услугах.</w:t>
      </w:r>
    </w:p>
    <w:p w14:paraId="52CB5BF0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37.</w:t>
      </w:r>
      <w:r>
        <w:tab/>
        <w:t xml:space="preserve">Комитет обеспокоен сообщениями о том, что случаи домашнего насилия в отношении женщин и детей занижаются, в том числе в общинах иностранных граждан и в общинах этнических меньшинств. Комитет также обеспокоен низкими показателями судебного преследования и обвинительных приговоров по делам о домашнем насилии. Комитет далее обеспокоен сообщениями о том, что государство-участник является местом назначения для торговли людьми, в том числе </w:t>
      </w:r>
      <w:r>
        <w:lastRenderedPageBreak/>
        <w:t>несопровождаемыми детьми и детьми родителей из числа мигрантов, рома и просителей убежища, которые особенно уязвимы для торговли людьми в целях сексуальной или трудовой эксплуатации (статьи 3, 7 и 10).</w:t>
      </w:r>
    </w:p>
    <w:p w14:paraId="5E92DA08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2C34890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удвоить усилия по борьбе с гендерным и домашним насилием, в том числе путем обеспечения своевременной и всеобъемлющей реализации Национальной стратегии и Национального плана действий (2023–2028 годы) по предотвращению и пресечению насилия в отношении женщин;</w:t>
      </w:r>
    </w:p>
    <w:p w14:paraId="58C3861E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активизировать усилия по систематическому информированию женщин, в частности из числа этнических меньшинств и иностранных граждан, об их правах и имеющихся способах сообщения о насилии и поиска защиты, помощи и возмещения ущерба;</w:t>
      </w:r>
    </w:p>
    <w:p w14:paraId="5FFD0384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расширить инициативы в области подготовки по вопросам прав женщин и гендерного насилия, включая обязательные программы подготовки для всех соответствующих заинтересованных сторон, в частности национальных и местных органов власти, сотрудников правоохранительных органов, судей и прокуроров;</w:t>
      </w:r>
    </w:p>
    <w:p w14:paraId="087CB7E6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активизировать усилия по обеспечению оперативного и эффективного расследования случаев насилия в отношении женщин, судебного преследования виновных, назначения соответствующих наказаний после вынесения обвинительного приговора и предоставления жертвам доступных средств правовой защиты и мер защиты;</w:t>
      </w:r>
    </w:p>
    <w:p w14:paraId="33A796F9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усилить текущую систему сбора полных дезагрегированных данных о домашнем насилии и расширить ее путем включения в нее информации о жалобах, расследованиях, судебных преследованиях, вынесенных обвинительных приговорах и назначенных наказаниях по делам о гендерном насилии;</w:t>
      </w:r>
    </w:p>
    <w:p w14:paraId="3F578C93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выделить достаточные ресурсы полицейскому подразделению по борьбе с торговлей людьми, чтобы оно могло эффективно расследовать случаи торговли людьми, особенно женщинами и девочками, а также преследовать в судебном порядке виновных и в случае их осуждения применять наказания, соразмерные тяжести совершенного преступления.</w:t>
      </w:r>
    </w:p>
    <w:p w14:paraId="1CB8AD22" w14:textId="77777777" w:rsidR="0093611D" w:rsidRDefault="0093611D" w:rsidP="0093611D">
      <w:pPr>
        <w:pStyle w:val="H23G"/>
      </w:pPr>
      <w:r>
        <w:tab/>
      </w:r>
      <w:r>
        <w:tab/>
        <w:t>Бедность</w:t>
      </w:r>
    </w:p>
    <w:p w14:paraId="73D6C0FF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>
        <w:t>39.</w:t>
      </w:r>
      <w:r>
        <w:tab/>
        <w:t>Отмечая снижение в последние годы доли населения, живущего за национальной чертой бедности, Комитет выражает обеспокоенность тем, что уровень бедности остается высоким, в том числе среди женщин, пожилых людей и одиноких родителей (статья 11).</w:t>
      </w:r>
      <w:bookmarkStart w:id="5" w:name="_Hlk170467553"/>
      <w:bookmarkEnd w:id="5"/>
    </w:p>
    <w:p w14:paraId="10B6FA10" w14:textId="181A7A08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надлежащего удовлетворения потребностей лиц и семей с низкими доходами, в том числе путем увеличения целевых социальных выплат женщинам, пожилым людям и одиноким родителям, живущим за национальной чертой бедности.</w:t>
      </w:r>
      <w:r>
        <w:t xml:space="preserve"> </w:t>
      </w:r>
      <w:r>
        <w:rPr>
          <w:b/>
          <w:bCs/>
        </w:rPr>
        <w:t>В этой связи Комитет ссылается на свое заявление по вопросу о нищете и Пакте</w:t>
      </w:r>
      <w:r w:rsidRPr="00176B61">
        <w:rPr>
          <w:rStyle w:val="a8"/>
          <w:bCs/>
        </w:rPr>
        <w:footnoteReference w:id="8"/>
      </w:r>
      <w:r>
        <w:rPr>
          <w:b/>
          <w:bCs/>
        </w:rPr>
        <w:t xml:space="preserve"> и свое заявление о минимальных уровнях социальной защиты как важнейшем элементе права на социальное обеспечение и целей в области устойчивого развития</w:t>
      </w:r>
      <w:r w:rsidRPr="00176B61">
        <w:rPr>
          <w:rStyle w:val="a8"/>
          <w:bCs/>
        </w:rPr>
        <w:footnoteReference w:id="9"/>
      </w:r>
      <w:r>
        <w:rPr>
          <w:b/>
          <w:bCs/>
        </w:rPr>
        <w:t>.</w:t>
      </w:r>
    </w:p>
    <w:p w14:paraId="56A4025D" w14:textId="77777777" w:rsidR="0093611D" w:rsidRDefault="0093611D" w:rsidP="0093611D">
      <w:pPr>
        <w:pStyle w:val="H23G"/>
      </w:pPr>
      <w:r>
        <w:lastRenderedPageBreak/>
        <w:tab/>
      </w:r>
      <w:r>
        <w:tab/>
        <w:t>Право на достаточное жилище</w:t>
      </w:r>
    </w:p>
    <w:p w14:paraId="6CFB9FB8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41.</w:t>
      </w:r>
      <w:r>
        <w:tab/>
        <w:t xml:space="preserve">Комитет обеспокоен сообщениями о том, что владельцы </w:t>
      </w:r>
      <w:r w:rsidRPr="006B0390">
        <w:t xml:space="preserve">недвижимости </w:t>
      </w:r>
      <w:r>
        <w:t>из числа турок-киприотов сталкиваются с препятствиями при доступе к своей собственности и попытках добиться реституции (статьи 2 (пункт 2) и 11).</w:t>
      </w:r>
    </w:p>
    <w:p w14:paraId="0C2B524E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устранить препятствия, мешающие владельцам недвижимости из числа турок-киприотов получить доступ к своей собственности и добиваться законной реституции.</w:t>
      </w:r>
    </w:p>
    <w:p w14:paraId="75012292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43.</w:t>
      </w:r>
      <w:r>
        <w:tab/>
        <w:t>Комитет обеспокоен сообщениями о нехватке доступного жилья и о том, что мигранты и беженцы сталкиваются с повышенным риском эксплуатации со стороны арендодателей и риском бездомности (статьи 2 (пункт 2) и 11).</w:t>
      </w:r>
    </w:p>
    <w:p w14:paraId="479829A2" w14:textId="59FACA64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принять незамедлительные меры по решению жилищной ситуации, в том числе путем уделения первоочередного внимания финансированию строительства нового и доступного жилья, усиления механизмов надзора и обеспечения соблюдения правил в целях предотвращения эксплуатации со стороны арендодателей и снижения риска бездомности, в том числе среди мигрантов и беженцев.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 4 (1991) о праве на достаточное жилище.</w:t>
      </w:r>
    </w:p>
    <w:p w14:paraId="33820997" w14:textId="77777777" w:rsidR="0093611D" w:rsidRDefault="0093611D" w:rsidP="0093611D">
      <w:pPr>
        <w:pStyle w:val="H23G"/>
      </w:pPr>
      <w:r>
        <w:tab/>
      </w:r>
      <w:r>
        <w:tab/>
        <w:t>Адаптация к изменению климата</w:t>
      </w:r>
    </w:p>
    <w:p w14:paraId="1EB6A240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>
        <w:t>45.</w:t>
      </w:r>
      <w:r>
        <w:tab/>
        <w:t>Отмечая наличие национальных планов адаптации к изменению климата, Комитет выражает обеспокоенность тем, что выделяемых ресурсов может быть недостаточно для адекватного предотвращения негативных последствий изменения климата с целью осуществления экономических, социальных и культурных прав, в частности в отношении водоснабжения и готовности к засухе, что может непропорционально сильно сказаться на инвалидах, лицах, затронутых бедностью, пожилых людях, лицах с проблемами здоровья, крестьянах, рыбаках и лицах, работающих на открытом воздухе, и/или работниках сельского хозяйства (статья 11).</w:t>
      </w:r>
    </w:p>
    <w:p w14:paraId="5F7B3429" w14:textId="18242520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удвоить усилия по предотвращению и смягчению негативных последствий изменения климата, в том числе путем обеспечения того, чтобы цены на продовольствие и воду оставались доступными для групп населения и лиц, находящихся в уязвимом положении, и чтобы дома престарелых и больницы были надлежащим образом оборудованы для обеспечения здоровья пожилых людей и пациентов.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пересмотреть соответствующее </w:t>
      </w:r>
      <w:r w:rsidRPr="005E1FF9">
        <w:rPr>
          <w:b/>
          <w:bCs/>
        </w:rPr>
        <w:t>трудовое законодательство</w:t>
      </w:r>
      <w:r>
        <w:rPr>
          <w:b/>
          <w:bCs/>
        </w:rPr>
        <w:t>, чтобы предотвратить воздействие опасных температур наружного воздуха на лиц, работающих на открытом воздухе, и/или работников сельского хозяйства.</w:t>
      </w:r>
      <w:r>
        <w:t xml:space="preserve"> </w:t>
      </w:r>
      <w:r>
        <w:rPr>
          <w:b/>
          <w:bCs/>
        </w:rPr>
        <w:t>Комитет далее рекомендует государству-участнику значительно увеличить объем ресурсов, выделяемых на повышение устойчивости его экономики, в частности сельского хозяйства, рыболовства и туризма, и общества к нехватке воды и экологическим потрясениям.</w:t>
      </w:r>
      <w:r>
        <w:t xml:space="preserve"> </w:t>
      </w:r>
      <w:r>
        <w:rPr>
          <w:b/>
          <w:bCs/>
        </w:rPr>
        <w:t>Это может включать, например, расширение программ посадки деревьев, строительство водоопреснительных установок и увеличение количества и мощности очистных сооружений.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 15 (2002) о праве на воду.</w:t>
      </w:r>
    </w:p>
    <w:p w14:paraId="148CEA9B" w14:textId="77777777" w:rsidR="0093611D" w:rsidRDefault="0093611D" w:rsidP="0093611D">
      <w:pPr>
        <w:pStyle w:val="H23G"/>
      </w:pPr>
      <w:r>
        <w:tab/>
      </w:r>
      <w:r>
        <w:tab/>
        <w:t>Право на физическое и психическое здоровье</w:t>
      </w:r>
    </w:p>
    <w:p w14:paraId="7D10EA63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47.</w:t>
      </w:r>
      <w:r>
        <w:tab/>
        <w:t>Комитет обеспокоен значительными различиями в состоянии здоровья между группами населения, выделяемыми по размерам дохода, высоким уровнем смертности в результате потребления табака и ростом в последние годы случаев заболевания ВИЧ/СПИДом. Комитет также обеспокоен сообщениями о недостаточном доступе к психиатрической помощи, в том числе для беженцев, просителей убежища и мигрантов. Комитет далее обеспокоен тем, что некоторые формы использования наркотиков для личного потребления по-прежнему считаются уголовно наказуемыми (статьи 2 (пункт 2) и 12).</w:t>
      </w:r>
    </w:p>
    <w:p w14:paraId="0CFCCD02" w14:textId="48D81D08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lastRenderedPageBreak/>
        <w:t>48.</w:t>
      </w:r>
      <w:r>
        <w:tab/>
      </w:r>
      <w:r>
        <w:rPr>
          <w:b/>
          <w:bCs/>
        </w:rPr>
        <w:t>Комитет ссылается на свое замечание общего порядка № 14 (2000) о праве на наивысший достижимый уровень здоровья и рекомендует государству-участнику:</w:t>
      </w:r>
    </w:p>
    <w:p w14:paraId="59516EB6" w14:textId="77777777" w:rsidR="0093611D" w:rsidRPr="0059561F" w:rsidRDefault="0093611D" w:rsidP="0093611D">
      <w:pPr>
        <w:pStyle w:val="SingleTxtG"/>
        <w:rPr>
          <w:b/>
        </w:rPr>
      </w:pPr>
      <w:r>
        <w:tab/>
        <w:t>a)</w:t>
      </w:r>
      <w:r>
        <w:tab/>
      </w:r>
      <w:r>
        <w:rPr>
          <w:b/>
          <w:bCs/>
        </w:rPr>
        <w:t>принять все необходимые меры для улучшения медицинского обслуживания и гарантировать реализацию права на качественное и доступное медицинское обслуживание всем лицам на территории государства-участника, включая лиц с низкими доходами и женщин-пенсионеров;</w:t>
      </w:r>
    </w:p>
    <w:p w14:paraId="241123AC" w14:textId="77777777" w:rsidR="0093611D" w:rsidRPr="0059561F" w:rsidRDefault="0093611D" w:rsidP="0093611D">
      <w:pPr>
        <w:pStyle w:val="SingleTxtG"/>
        <w:rPr>
          <w:b/>
        </w:rPr>
      </w:pPr>
      <w:r>
        <w:tab/>
        <w:t>b)</w:t>
      </w:r>
      <w:r>
        <w:tab/>
      </w:r>
      <w:r>
        <w:rPr>
          <w:b/>
          <w:bCs/>
        </w:rPr>
        <w:t>удвоить усилия по сокращению потребления табака, в том числе путем повышения налогов на продажу табака и дальнейшего ограничения его потребления в общественных местах, а также путем проведения информационно-просветительских кампаний;</w:t>
      </w:r>
    </w:p>
    <w:p w14:paraId="40923202" w14:textId="77777777" w:rsidR="0093611D" w:rsidRPr="0059561F" w:rsidRDefault="0093611D" w:rsidP="0093611D">
      <w:pPr>
        <w:pStyle w:val="SingleTxtG"/>
        <w:rPr>
          <w:b/>
        </w:rPr>
      </w:pPr>
      <w:r>
        <w:tab/>
        <w:t>c)</w:t>
      </w:r>
      <w:r>
        <w:tab/>
      </w:r>
      <w:r>
        <w:rPr>
          <w:b/>
          <w:bCs/>
        </w:rPr>
        <w:t>расширить доступ к антиретровирусной терапии и улучшить специализированные медицинские учреждения и подготовку медицинских работников с целью снижения распространенности ВИЧ/СПИДа;</w:t>
      </w:r>
    </w:p>
    <w:p w14:paraId="43955D3B" w14:textId="6796299E" w:rsidR="0093611D" w:rsidRPr="0059561F" w:rsidRDefault="0093611D" w:rsidP="0093611D">
      <w:pPr>
        <w:pStyle w:val="SingleTxtG"/>
        <w:rPr>
          <w:b/>
        </w:rPr>
      </w:pPr>
      <w:r>
        <w:tab/>
        <w:t>d)</w:t>
      </w:r>
      <w:r>
        <w:tab/>
      </w:r>
      <w:r>
        <w:rPr>
          <w:b/>
          <w:bCs/>
        </w:rPr>
        <w:t>обеспечить финансирование для улучшения услуг по охране психического здоровья как на профилактическом, так и на лечебном уровне, в</w:t>
      </w:r>
      <w:r w:rsidR="0062088C">
        <w:rPr>
          <w:b/>
          <w:bCs/>
        </w:rPr>
        <w:t> </w:t>
      </w:r>
      <w:r>
        <w:rPr>
          <w:b/>
          <w:bCs/>
        </w:rPr>
        <w:t>том числе путем предоставления услуг и программ на уровне общин, в</w:t>
      </w:r>
      <w:r w:rsidR="0062088C">
        <w:rPr>
          <w:b/>
          <w:bCs/>
        </w:rPr>
        <w:t> </w:t>
      </w:r>
      <w:r>
        <w:rPr>
          <w:b/>
          <w:bCs/>
        </w:rPr>
        <w:t>частности для беженцев, просителей убежища и мигрантов;</w:t>
      </w:r>
    </w:p>
    <w:p w14:paraId="5426667E" w14:textId="77777777" w:rsidR="0093611D" w:rsidRPr="0059561F" w:rsidRDefault="0093611D" w:rsidP="0093611D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обеспечить правозащитный подход к решению проблемы употребления наркотиков и декриминализировать использование наркотиков для личного потребления.</w:t>
      </w:r>
    </w:p>
    <w:p w14:paraId="6036C33E" w14:textId="77777777" w:rsidR="0093611D" w:rsidRDefault="0093611D" w:rsidP="0093611D">
      <w:pPr>
        <w:pStyle w:val="H23G"/>
      </w:pPr>
      <w:r>
        <w:tab/>
      </w:r>
      <w:r>
        <w:tab/>
        <w:t>Право на образование</w:t>
      </w:r>
    </w:p>
    <w:p w14:paraId="2FED08B3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49.</w:t>
      </w:r>
      <w:r>
        <w:tab/>
        <w:t>Комитет обеспокоен сообщениями о трудностях, с которыми сталкиваются лица, желающие получить признание университетских степеней, полученных в других системах образования (статьи 2 (пункт 2), 13 и 14).</w:t>
      </w:r>
    </w:p>
    <w:p w14:paraId="33739970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обеспечить упрощение всех систем признания ученых степеней, чтобы обеспечить академическое и профессиональное развитие лиц, которых это касается, обеспечивая принципы недискриминации и академической строгости, а также уделяя особое внимание уважению права на образование.</w:t>
      </w:r>
    </w:p>
    <w:p w14:paraId="74D2326E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51.</w:t>
      </w:r>
      <w:r>
        <w:tab/>
        <w:t>Комитет обеспокоен тем, что успеваемость учащихся (измеряемая, например, рейтингом государства-участника в соответствии с Программой международной оценки студентов Организации экономического сотрудничества и развития) в последние годы снижается. Комитет также обеспокоен высоким уровнем отсева на уровне начальной школы среди учащихся, не являющихся гражданами государства — члена Европейского союза, по сравнению с учащимися, родившимися в государстве-участнике (статьи 2 (пункт 2), 13 и 14).</w:t>
      </w:r>
    </w:p>
    <w:p w14:paraId="3EE59082" w14:textId="3086B8AC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удвоить усилия по обеспечению доступного качественного образования и пересмотреть возможные фундаментальные, структурные причины снижения успеваемости, с тем чтобы обратить эту тенденцию вспять.</w:t>
      </w:r>
      <w:r>
        <w:t xml:space="preserve"> </w:t>
      </w:r>
      <w:r>
        <w:rPr>
          <w:b/>
          <w:bCs/>
        </w:rPr>
        <w:t>Комитет также рекомендует государству-участнику эффективно осуществлять существующую политику и планы действий, направленные на обеспечение инклюзивной интеграции учащихся, не являющихся гражданами государства —</w:t>
      </w:r>
      <w:r w:rsidR="0062088C">
        <w:rPr>
          <w:b/>
          <w:bCs/>
        </w:rPr>
        <w:t> </w:t>
      </w:r>
      <w:r>
        <w:rPr>
          <w:b/>
          <w:bCs/>
        </w:rPr>
        <w:t>члена Европейского союза, а также учащихся из числа рома, беженцев и мигрантов.</w:t>
      </w:r>
    </w:p>
    <w:p w14:paraId="07E5B075" w14:textId="08AB7A6B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53.</w:t>
      </w:r>
      <w:r>
        <w:tab/>
        <w:t>Комитет обеспокоен сообщениями о том, что дети-инвалиды лишены возможности получать инклюзивное образование в общеобразовательных школах, что, как сообщается, равносильно фактической сегрегации (статьи 2 (пункт 2), 13 и</w:t>
      </w:r>
      <w:r w:rsidR="0062088C">
        <w:t> </w:t>
      </w:r>
      <w:r>
        <w:t>14).</w:t>
      </w:r>
    </w:p>
    <w:p w14:paraId="11AF3B31" w14:textId="267D7A20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обеспечить, чтобы все дети-инвалиды имели доступ к инклюзивному образованию, в том числе путем обеспечения начальной подготовки учителей и повышения их квалификации, а</w:t>
      </w:r>
      <w:r w:rsidR="0062088C">
        <w:rPr>
          <w:b/>
          <w:bCs/>
        </w:rPr>
        <w:t> </w:t>
      </w:r>
      <w:r>
        <w:rPr>
          <w:b/>
          <w:bCs/>
        </w:rPr>
        <w:t xml:space="preserve">также обеспечения разумного приспособления в отношении инфраструктуры, </w:t>
      </w:r>
      <w:r>
        <w:rPr>
          <w:b/>
          <w:bCs/>
        </w:rPr>
        <w:lastRenderedPageBreak/>
        <w:t>педагогической помощи, материалов, методик и индивидуальных планов обучения</w:t>
      </w:r>
      <w:r w:rsidRPr="00176B61">
        <w:rPr>
          <w:rStyle w:val="a8"/>
          <w:bCs/>
        </w:rPr>
        <w:footnoteReference w:id="10"/>
      </w:r>
      <w:r>
        <w:rPr>
          <w:b/>
          <w:bCs/>
        </w:rPr>
        <w:t>.</w:t>
      </w:r>
    </w:p>
    <w:p w14:paraId="0A7E939B" w14:textId="77777777" w:rsidR="0093611D" w:rsidRDefault="0093611D" w:rsidP="0093611D">
      <w:pPr>
        <w:pStyle w:val="H23G"/>
      </w:pPr>
      <w:r>
        <w:tab/>
      </w:r>
      <w:r>
        <w:tab/>
        <w:t>Культурные права</w:t>
      </w:r>
    </w:p>
    <w:p w14:paraId="34F15BC1" w14:textId="77777777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55.</w:t>
      </w:r>
      <w:r>
        <w:tab/>
        <w:t>Отмечая положительную практику государства-участника в отношении объектов культурного наследия, Комитет выражает обеспокоенность сообщениями о трудностях, с которыми сталкиваются некоторые общины в отношении доступа к своим религиозным и/или историческим объектам (статьи 2 (пункт 2) и 15).</w:t>
      </w:r>
    </w:p>
    <w:p w14:paraId="2A59C8AA" w14:textId="64E4ABEC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беспрепятственного доступа к объектам религиозного и/или культурного значения и усилить управление политикой в области культуры, ориентированное на участие, доступность, развитие общин и человеческого потенциала и права человека</w:t>
      </w:r>
      <w:r>
        <w:t xml:space="preserve">. </w:t>
      </w:r>
      <w:r>
        <w:rPr>
          <w:b/>
          <w:bCs/>
        </w:rPr>
        <w:t>В этой связи Комитет ссылается на свое замечание общего порядка № 21 (2009) о праве каждого человека на участие в культурной жизни.</w:t>
      </w:r>
    </w:p>
    <w:p w14:paraId="5173FB85" w14:textId="77777777" w:rsidR="0093611D" w:rsidRPr="0059561F" w:rsidRDefault="0093611D" w:rsidP="0093611D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Прочие рекомендации</w:t>
      </w:r>
    </w:p>
    <w:p w14:paraId="69850E62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57.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3085A31D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ратифицировать Международную конвенцию о защите прав всех трудящихся-мигрантов и членов их семей и Международную конвенцию о защите всех лиц от насильственных исчезновений.</w:t>
      </w:r>
    </w:p>
    <w:p w14:paraId="11CF5D64" w14:textId="4F4B694E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также рекомендует государству-участнику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при восстановлении после пандемии коронавирусной инфекции (COVID-19), при необходимости пользуясь поддержкой международного сообщества и сотрудничеством с ним.</w:t>
      </w:r>
      <w:r>
        <w:t xml:space="preserve"> </w:t>
      </w:r>
      <w:r>
        <w:rPr>
          <w:b/>
          <w:bCs/>
        </w:rPr>
        <w:t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содействия по линии государственных программ как к правообладателям, которые могут претендовать на свои права.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этих целей на основе принципов участия, подотчетности и недискриминации будет способствовать обеспечению того, чтобы никто не остался без внимания.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по поводу обязательства никого не забыть</w:t>
      </w:r>
      <w:r w:rsidRPr="00176B61">
        <w:rPr>
          <w:rStyle w:val="a8"/>
        </w:rPr>
        <w:footnoteReference w:id="11"/>
      </w:r>
      <w:r>
        <w:rPr>
          <w:b/>
          <w:bCs/>
        </w:rPr>
        <w:t>.</w:t>
      </w:r>
    </w:p>
    <w:p w14:paraId="5B3E6E3D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60.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государственных должностных лиц и сотрудников судебных органов, и в своем следующем периодическом докладе предоставить ему информацию о мерах, принятых для их осуществления.</w:t>
      </w:r>
      <w:r>
        <w:t xml:space="preserve"> </w:t>
      </w:r>
      <w:r>
        <w:rPr>
          <w:b/>
          <w:bCs/>
        </w:rPr>
        <w:t>Комитет подчеркивает решающую роль, которую играет парламент в осуществлении настоящих заключительных замечаний, и призывает государство-участник обеспечить его участие в будущих процедурах представления докладов и последующих действиях.</w:t>
      </w:r>
      <w:r>
        <w:t xml:space="preserve"> </w:t>
      </w:r>
      <w:r>
        <w:rPr>
          <w:b/>
          <w:bCs/>
        </w:rPr>
        <w:t xml:space="preserve">Комитет рекомендует государству-участнику привлечь Уполномоченного по управлению и защите прав человека (Омбудсмен), неправительственные организации и других членов </w:t>
      </w:r>
      <w:r>
        <w:rPr>
          <w:b/>
          <w:bCs/>
        </w:rPr>
        <w:lastRenderedPageBreak/>
        <w:t>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следующего периодического доклада.</w:t>
      </w:r>
    </w:p>
    <w:p w14:paraId="0517FABF" w14:textId="77777777" w:rsidR="0093611D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61.</w:t>
      </w:r>
      <w:r>
        <w:tab/>
      </w:r>
      <w:r>
        <w:rPr>
          <w:b/>
          <w:bCs/>
        </w:rPr>
        <w:t>В соответствии с процедурой последующих мер по выполнению заключительных замечаний, принятой Комитетом, государству-участнику предлагается в 24-месячный срок с момента принятия настоящих заключительных замечаний (31 октября 2026 года) предоставить информацию о выполнении рекомендаций, содержащихся в подпункте а) пункта 22 (недискриминация), подпункте a) пункта 36 (защита семьи и детей) и 54 (право на образование).</w:t>
      </w:r>
    </w:p>
    <w:p w14:paraId="03FB2A09" w14:textId="6D396E5A" w:rsidR="0093611D" w:rsidRPr="0059561F" w:rsidRDefault="0093611D" w:rsidP="0093611D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62.</w:t>
      </w:r>
      <w:r>
        <w:tab/>
      </w:r>
      <w:r>
        <w:rPr>
          <w:b/>
          <w:bCs/>
        </w:rPr>
        <w:t>Комитет просит государство-участник представить свой восьмой периодический доклад в соответствии со статьей 16 Пакта не позднее 31 октября 2029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21 200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в области прав человека</w:t>
      </w:r>
      <w:r w:rsidRPr="00176B61">
        <w:rPr>
          <w:rStyle w:val="a8"/>
        </w:rPr>
        <w:footnoteReference w:id="12"/>
      </w:r>
      <w:r>
        <w:rPr>
          <w:b/>
          <w:bCs/>
        </w:rPr>
        <w:t>.</w:t>
      </w:r>
    </w:p>
    <w:p w14:paraId="6A495B2C" w14:textId="58C73497" w:rsidR="00381C24" w:rsidRPr="0093611D" w:rsidRDefault="0093611D" w:rsidP="0093611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3611D" w:rsidSect="0093611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0B702" w14:textId="77777777" w:rsidR="00CD136E" w:rsidRPr="00A312BC" w:rsidRDefault="00CD136E" w:rsidP="00A312BC"/>
  </w:endnote>
  <w:endnote w:type="continuationSeparator" w:id="0">
    <w:p w14:paraId="32A45A7B" w14:textId="77777777" w:rsidR="00CD136E" w:rsidRPr="00A312BC" w:rsidRDefault="00CD136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6FFB0" w14:textId="56A92388" w:rsidR="0093611D" w:rsidRPr="0093611D" w:rsidRDefault="0093611D">
    <w:pPr>
      <w:pStyle w:val="aa"/>
    </w:pPr>
    <w:r w:rsidRPr="0093611D">
      <w:rPr>
        <w:b/>
        <w:sz w:val="18"/>
      </w:rPr>
      <w:fldChar w:fldCharType="begin"/>
    </w:r>
    <w:r w:rsidRPr="0093611D">
      <w:rPr>
        <w:b/>
        <w:sz w:val="18"/>
      </w:rPr>
      <w:instrText xml:space="preserve"> PAGE  \* MERGEFORMAT </w:instrText>
    </w:r>
    <w:r w:rsidRPr="0093611D">
      <w:rPr>
        <w:b/>
        <w:sz w:val="18"/>
      </w:rPr>
      <w:fldChar w:fldCharType="separate"/>
    </w:r>
    <w:r w:rsidRPr="0093611D">
      <w:rPr>
        <w:b/>
        <w:noProof/>
        <w:sz w:val="18"/>
      </w:rPr>
      <w:t>2</w:t>
    </w:r>
    <w:r w:rsidRPr="0093611D">
      <w:rPr>
        <w:b/>
        <w:sz w:val="18"/>
      </w:rPr>
      <w:fldChar w:fldCharType="end"/>
    </w:r>
    <w:r>
      <w:rPr>
        <w:b/>
        <w:sz w:val="18"/>
      </w:rPr>
      <w:tab/>
    </w:r>
    <w:r>
      <w:t>GE.24-18310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41F83" w14:textId="6E5372E3" w:rsidR="0093611D" w:rsidRPr="0093611D" w:rsidRDefault="0093611D" w:rsidP="0093611D">
    <w:pPr>
      <w:pStyle w:val="aa"/>
      <w:tabs>
        <w:tab w:val="clear" w:pos="9639"/>
        <w:tab w:val="right" w:pos="9638"/>
      </w:tabs>
      <w:rPr>
        <w:b/>
        <w:sz w:val="18"/>
      </w:rPr>
    </w:pPr>
    <w:r>
      <w:t>GE.24-18310</w:t>
    </w:r>
    <w:r>
      <w:tab/>
    </w:r>
    <w:r w:rsidRPr="0093611D">
      <w:rPr>
        <w:b/>
        <w:sz w:val="18"/>
      </w:rPr>
      <w:fldChar w:fldCharType="begin"/>
    </w:r>
    <w:r w:rsidRPr="0093611D">
      <w:rPr>
        <w:b/>
        <w:sz w:val="18"/>
      </w:rPr>
      <w:instrText xml:space="preserve"> PAGE  \* MERGEFORMAT </w:instrText>
    </w:r>
    <w:r w:rsidRPr="0093611D">
      <w:rPr>
        <w:b/>
        <w:sz w:val="18"/>
      </w:rPr>
      <w:fldChar w:fldCharType="separate"/>
    </w:r>
    <w:r w:rsidRPr="0093611D">
      <w:rPr>
        <w:b/>
        <w:noProof/>
        <w:sz w:val="18"/>
      </w:rPr>
      <w:t>3</w:t>
    </w:r>
    <w:r w:rsidRPr="0093611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9EB1A" w14:textId="33AF2992" w:rsidR="00042B72" w:rsidRPr="00A1192E" w:rsidRDefault="0093611D" w:rsidP="0093611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F1C398" wp14:editId="0636C0B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24-18310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4065E96" wp14:editId="3518D37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192E">
      <w:t xml:space="preserve">   </w:t>
    </w:r>
    <w:r w:rsidR="00A1192E">
      <w:rPr>
        <w:lang w:val="en-US"/>
      </w:rPr>
      <w:t>221124   281124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AEBA4" w14:textId="77777777" w:rsidR="00CD136E" w:rsidRPr="001075E9" w:rsidRDefault="00CD136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48A7FC" w14:textId="77777777" w:rsidR="00CD136E" w:rsidRDefault="00CD136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5885B08" w14:textId="77777777" w:rsidR="0093611D" w:rsidRPr="0059561F" w:rsidRDefault="0093611D" w:rsidP="0093611D">
      <w:pPr>
        <w:pStyle w:val="af"/>
      </w:pPr>
      <w:r>
        <w:tab/>
      </w:r>
      <w:r w:rsidRPr="0093611D">
        <w:rPr>
          <w:sz w:val="20"/>
        </w:rPr>
        <w:t>*</w:t>
      </w:r>
      <w:r>
        <w:tab/>
        <w:t>Приняты Комитетом на его семьдесят шестой сессии (9–27 сентября 2024 года).</w:t>
      </w:r>
    </w:p>
  </w:footnote>
  <w:footnote w:id="2">
    <w:p w14:paraId="6B1931D9" w14:textId="5D19C340" w:rsidR="0093611D" w:rsidRPr="0059561F" w:rsidRDefault="0093611D" w:rsidP="0093611D">
      <w:pPr>
        <w:pStyle w:val="af"/>
      </w:pPr>
      <w:r w:rsidRPr="00176B61">
        <w:tab/>
      </w:r>
      <w:r w:rsidRPr="00176B61">
        <w:rPr>
          <w:rStyle w:val="a8"/>
        </w:rPr>
        <w:footnoteRef/>
      </w:r>
      <w:r>
        <w:tab/>
      </w:r>
      <w:hyperlink r:id="rId1" w:history="1">
        <w:r w:rsidRPr="0093611D">
          <w:rPr>
            <w:rStyle w:val="a7"/>
          </w:rPr>
          <w:t>E/C.12/CYP/7</w:t>
        </w:r>
      </w:hyperlink>
      <w:r>
        <w:t>.</w:t>
      </w:r>
    </w:p>
  </w:footnote>
  <w:footnote w:id="3">
    <w:p w14:paraId="409A39E8" w14:textId="33DEC4AD" w:rsidR="0093611D" w:rsidRPr="0059561F" w:rsidRDefault="0093611D" w:rsidP="0093611D">
      <w:pPr>
        <w:pStyle w:val="af"/>
      </w:pPr>
      <w:r w:rsidRPr="00176B61">
        <w:tab/>
      </w:r>
      <w:r w:rsidRPr="00176B61">
        <w:rPr>
          <w:rStyle w:val="a8"/>
        </w:rPr>
        <w:footnoteRef/>
      </w:r>
      <w:r>
        <w:tab/>
        <w:t xml:space="preserve">См. </w:t>
      </w:r>
      <w:hyperlink r:id="rId2" w:history="1">
        <w:r w:rsidRPr="0093611D">
          <w:rPr>
            <w:rStyle w:val="a7"/>
          </w:rPr>
          <w:t>E/C.12/2024/SR.43</w:t>
        </w:r>
      </w:hyperlink>
      <w:r>
        <w:t xml:space="preserve"> и </w:t>
      </w:r>
      <w:hyperlink r:id="rId3" w:history="1">
        <w:r w:rsidRPr="0093611D">
          <w:rPr>
            <w:rStyle w:val="a7"/>
          </w:rPr>
          <w:t>E/C.12/2024/SR.44</w:t>
        </w:r>
      </w:hyperlink>
      <w:r>
        <w:t>.</w:t>
      </w:r>
    </w:p>
  </w:footnote>
  <w:footnote w:id="4">
    <w:p w14:paraId="77AC5EA8" w14:textId="7119C204" w:rsidR="0093611D" w:rsidRPr="0059561F" w:rsidRDefault="0093611D" w:rsidP="0093611D">
      <w:pPr>
        <w:pStyle w:val="af"/>
        <w:rPr>
          <w:lang w:val="fr-FR"/>
        </w:rPr>
      </w:pPr>
      <w:r w:rsidRPr="00176B61">
        <w:tab/>
      </w:r>
      <w:r w:rsidRPr="00176B61">
        <w:rPr>
          <w:rStyle w:val="a8"/>
        </w:rPr>
        <w:footnoteRef/>
      </w:r>
      <w:r w:rsidRPr="0059561F">
        <w:rPr>
          <w:lang w:val="fr-FR"/>
        </w:rPr>
        <w:tab/>
      </w:r>
      <w:hyperlink r:id="rId4" w:history="1">
        <w:r w:rsidRPr="0093611D">
          <w:rPr>
            <w:rStyle w:val="a7"/>
            <w:lang w:val="fr-FR"/>
          </w:rPr>
          <w:t>E/C.12/CYP/RQ/7</w:t>
        </w:r>
      </w:hyperlink>
      <w:r w:rsidRPr="0059561F">
        <w:rPr>
          <w:lang w:val="fr-FR"/>
        </w:rPr>
        <w:t>.</w:t>
      </w:r>
    </w:p>
  </w:footnote>
  <w:footnote w:id="5">
    <w:p w14:paraId="2AB84A05" w14:textId="038177FA" w:rsidR="0093611D" w:rsidRPr="0059561F" w:rsidRDefault="0093611D" w:rsidP="0093611D">
      <w:pPr>
        <w:pStyle w:val="af"/>
        <w:rPr>
          <w:lang w:val="fr-FR"/>
        </w:rPr>
      </w:pPr>
      <w:r w:rsidRPr="0059561F">
        <w:rPr>
          <w:lang w:val="fr-FR"/>
        </w:rPr>
        <w:tab/>
      </w:r>
      <w:r w:rsidRPr="00176B61">
        <w:rPr>
          <w:rStyle w:val="a8"/>
        </w:rPr>
        <w:footnoteRef/>
      </w:r>
      <w:r w:rsidRPr="0059561F">
        <w:rPr>
          <w:lang w:val="fr-FR"/>
        </w:rPr>
        <w:tab/>
      </w:r>
      <w:hyperlink r:id="rId5" w:history="1">
        <w:r w:rsidRPr="0093611D">
          <w:rPr>
            <w:rStyle w:val="a7"/>
            <w:lang w:val="fr-FR"/>
          </w:rPr>
          <w:t>E/C.12/2018/1</w:t>
        </w:r>
      </w:hyperlink>
      <w:r w:rsidRPr="0059561F">
        <w:rPr>
          <w:lang w:val="fr-FR"/>
        </w:rPr>
        <w:t>.</w:t>
      </w:r>
    </w:p>
  </w:footnote>
  <w:footnote w:id="6">
    <w:p w14:paraId="7AFC665F" w14:textId="39F8EBFC" w:rsidR="0093611D" w:rsidRPr="0059561F" w:rsidRDefault="0093611D" w:rsidP="0093611D">
      <w:pPr>
        <w:pStyle w:val="af"/>
        <w:rPr>
          <w:lang w:val="fr-FR"/>
        </w:rPr>
      </w:pPr>
      <w:r w:rsidRPr="0059561F">
        <w:rPr>
          <w:lang w:val="fr-FR"/>
        </w:rPr>
        <w:tab/>
      </w:r>
      <w:r w:rsidRPr="00176B61">
        <w:rPr>
          <w:rStyle w:val="a8"/>
        </w:rPr>
        <w:footnoteRef/>
      </w:r>
      <w:r w:rsidRPr="0059561F">
        <w:rPr>
          <w:lang w:val="fr-FR"/>
        </w:rPr>
        <w:tab/>
      </w:r>
      <w:hyperlink r:id="rId6" w:history="1">
        <w:r w:rsidRPr="0093611D">
          <w:rPr>
            <w:rStyle w:val="a7"/>
            <w:lang w:val="fr-FR"/>
          </w:rPr>
          <w:t>E/C.12/2016/1</w:t>
        </w:r>
      </w:hyperlink>
      <w:r w:rsidRPr="0059561F">
        <w:rPr>
          <w:lang w:val="fr-FR"/>
        </w:rPr>
        <w:t>.</w:t>
      </w:r>
    </w:p>
  </w:footnote>
  <w:footnote w:id="7">
    <w:p w14:paraId="3FF0526F" w14:textId="6A7E4804" w:rsidR="0093611D" w:rsidRPr="0059561F" w:rsidRDefault="0093611D" w:rsidP="0093611D">
      <w:pPr>
        <w:pStyle w:val="af"/>
        <w:rPr>
          <w:lang w:val="fr-FR"/>
        </w:rPr>
      </w:pPr>
      <w:r w:rsidRPr="0059561F">
        <w:rPr>
          <w:lang w:val="fr-FR"/>
        </w:rPr>
        <w:tab/>
      </w:r>
      <w:r w:rsidRPr="00176B61">
        <w:rPr>
          <w:rStyle w:val="a8"/>
        </w:rPr>
        <w:footnoteRef/>
      </w:r>
      <w:r w:rsidRPr="0059561F">
        <w:rPr>
          <w:lang w:val="fr-FR"/>
        </w:rPr>
        <w:tab/>
      </w:r>
      <w:hyperlink r:id="rId7" w:history="1">
        <w:r w:rsidRPr="0093611D">
          <w:rPr>
            <w:rStyle w:val="a7"/>
            <w:lang w:val="fr-FR"/>
          </w:rPr>
          <w:t>E/C.12/66/5-CCPR/C/127/4</w:t>
        </w:r>
      </w:hyperlink>
      <w:r w:rsidRPr="0059561F">
        <w:rPr>
          <w:lang w:val="fr-FR"/>
        </w:rPr>
        <w:t>.</w:t>
      </w:r>
    </w:p>
  </w:footnote>
  <w:footnote w:id="8">
    <w:p w14:paraId="019732FC" w14:textId="11A0FDA0" w:rsidR="0093611D" w:rsidRPr="0059561F" w:rsidRDefault="0093611D" w:rsidP="0093611D">
      <w:pPr>
        <w:pStyle w:val="af"/>
        <w:widowControl w:val="0"/>
        <w:tabs>
          <w:tab w:val="clear" w:pos="1021"/>
          <w:tab w:val="right" w:pos="1020"/>
        </w:tabs>
        <w:rPr>
          <w:lang w:val="fr-FR"/>
        </w:rPr>
      </w:pPr>
      <w:r w:rsidRPr="0059561F">
        <w:rPr>
          <w:lang w:val="fr-FR"/>
        </w:rPr>
        <w:tab/>
      </w:r>
      <w:r w:rsidRPr="00176B61">
        <w:rPr>
          <w:rStyle w:val="a8"/>
        </w:rPr>
        <w:footnoteRef/>
      </w:r>
      <w:r w:rsidRPr="0059561F">
        <w:rPr>
          <w:lang w:val="fr-FR"/>
        </w:rPr>
        <w:tab/>
      </w:r>
      <w:hyperlink r:id="rId8" w:history="1">
        <w:r w:rsidRPr="0093611D">
          <w:rPr>
            <w:rStyle w:val="a7"/>
            <w:lang w:val="fr-FR"/>
          </w:rPr>
          <w:t>E/C.12/2001/10</w:t>
        </w:r>
      </w:hyperlink>
      <w:r w:rsidRPr="0059561F">
        <w:rPr>
          <w:lang w:val="fr-FR"/>
        </w:rPr>
        <w:t>.</w:t>
      </w:r>
    </w:p>
  </w:footnote>
  <w:footnote w:id="9">
    <w:p w14:paraId="208BAC0A" w14:textId="5ACD0D29" w:rsidR="0093611D" w:rsidRPr="0059561F" w:rsidRDefault="0093611D" w:rsidP="0093611D">
      <w:pPr>
        <w:pStyle w:val="af"/>
        <w:widowControl w:val="0"/>
        <w:tabs>
          <w:tab w:val="clear" w:pos="1021"/>
          <w:tab w:val="right" w:pos="1020"/>
        </w:tabs>
        <w:rPr>
          <w:lang w:val="fr-FR"/>
        </w:rPr>
      </w:pPr>
      <w:r w:rsidRPr="0059561F">
        <w:rPr>
          <w:lang w:val="fr-FR"/>
        </w:rPr>
        <w:tab/>
      </w:r>
      <w:r w:rsidRPr="00176B61">
        <w:rPr>
          <w:rStyle w:val="a8"/>
        </w:rPr>
        <w:footnoteRef/>
      </w:r>
      <w:r w:rsidRPr="0059561F">
        <w:rPr>
          <w:lang w:val="fr-FR"/>
        </w:rPr>
        <w:tab/>
      </w:r>
      <w:hyperlink r:id="rId9" w:history="1">
        <w:r w:rsidRPr="0093611D">
          <w:rPr>
            <w:rStyle w:val="a7"/>
            <w:lang w:val="fr-FR"/>
          </w:rPr>
          <w:t>E/C.12/2015/1</w:t>
        </w:r>
      </w:hyperlink>
      <w:r w:rsidRPr="0059561F">
        <w:rPr>
          <w:lang w:val="fr-FR"/>
        </w:rPr>
        <w:t>.</w:t>
      </w:r>
    </w:p>
  </w:footnote>
  <w:footnote w:id="10">
    <w:p w14:paraId="2953C1D8" w14:textId="76A5B7B7" w:rsidR="0093611D" w:rsidRPr="00176B61" w:rsidRDefault="0093611D" w:rsidP="0093611D">
      <w:pPr>
        <w:pStyle w:val="af"/>
      </w:pPr>
      <w:r w:rsidRPr="0059561F">
        <w:rPr>
          <w:lang w:val="fr-FR"/>
        </w:rPr>
        <w:tab/>
      </w:r>
      <w:r w:rsidRPr="00176B61">
        <w:rPr>
          <w:rStyle w:val="a8"/>
        </w:rPr>
        <w:footnoteRef/>
      </w:r>
      <w:r w:rsidRPr="0059561F">
        <w:rPr>
          <w:lang w:val="en-US"/>
        </w:rPr>
        <w:tab/>
      </w:r>
      <w:r>
        <w:t>См</w:t>
      </w:r>
      <w:r w:rsidRPr="0059561F">
        <w:rPr>
          <w:lang w:val="en-US"/>
        </w:rPr>
        <w:t xml:space="preserve">. </w:t>
      </w:r>
      <w:r>
        <w:t>также</w:t>
      </w:r>
      <w:r w:rsidRPr="0059561F">
        <w:rPr>
          <w:lang w:val="en-US"/>
        </w:rPr>
        <w:t xml:space="preserve"> </w:t>
      </w:r>
      <w:hyperlink r:id="rId10" w:history="1">
        <w:r w:rsidRPr="0093611D">
          <w:rPr>
            <w:rStyle w:val="a7"/>
            <w:lang w:val="en-US"/>
          </w:rPr>
          <w:t>CRC/C/CYP/CO/5-6</w:t>
        </w:r>
      </w:hyperlink>
      <w:r w:rsidRPr="0059561F">
        <w:rPr>
          <w:lang w:val="en-US"/>
        </w:rPr>
        <w:t xml:space="preserve">, </w:t>
      </w:r>
      <w:r>
        <w:t>п</w:t>
      </w:r>
      <w:r w:rsidRPr="0059561F">
        <w:rPr>
          <w:lang w:val="en-US"/>
        </w:rPr>
        <w:t>. 36 d).</w:t>
      </w:r>
    </w:p>
  </w:footnote>
  <w:footnote w:id="11">
    <w:p w14:paraId="0D404204" w14:textId="4C0C7B5A" w:rsidR="0093611D" w:rsidRPr="00176B61" w:rsidRDefault="0093611D" w:rsidP="0093611D">
      <w:pPr>
        <w:pStyle w:val="af"/>
      </w:pPr>
      <w:r w:rsidRPr="0059561F">
        <w:rPr>
          <w:lang w:val="en-US"/>
        </w:rPr>
        <w:tab/>
      </w:r>
      <w:r w:rsidRPr="00176B61">
        <w:rPr>
          <w:rStyle w:val="a8"/>
        </w:rPr>
        <w:footnoteRef/>
      </w:r>
      <w:r w:rsidRPr="0059561F">
        <w:rPr>
          <w:lang w:val="en-US"/>
        </w:rPr>
        <w:tab/>
      </w:r>
      <w:hyperlink r:id="rId11" w:history="1">
        <w:r w:rsidRPr="0093611D">
          <w:rPr>
            <w:rStyle w:val="a7"/>
            <w:lang w:val="en-US"/>
          </w:rPr>
          <w:t>E/C.12/2019/1</w:t>
        </w:r>
      </w:hyperlink>
      <w:r w:rsidRPr="0059561F">
        <w:rPr>
          <w:lang w:val="en-US"/>
        </w:rPr>
        <w:t>.</w:t>
      </w:r>
    </w:p>
  </w:footnote>
  <w:footnote w:id="12">
    <w:p w14:paraId="75315AAB" w14:textId="4D500AC3" w:rsidR="0093611D" w:rsidRPr="00176B61" w:rsidRDefault="0093611D" w:rsidP="0093611D">
      <w:pPr>
        <w:pStyle w:val="af"/>
      </w:pPr>
      <w:r w:rsidRPr="0059561F">
        <w:rPr>
          <w:lang w:val="en-US"/>
        </w:rPr>
        <w:tab/>
      </w:r>
      <w:r w:rsidRPr="00176B61">
        <w:rPr>
          <w:rStyle w:val="a8"/>
        </w:rPr>
        <w:footnoteRef/>
      </w:r>
      <w:r w:rsidRPr="0059561F">
        <w:rPr>
          <w:lang w:val="en-US"/>
        </w:rPr>
        <w:tab/>
      </w:r>
      <w:hyperlink r:id="rId12" w:history="1">
        <w:r w:rsidRPr="0093611D">
          <w:rPr>
            <w:rStyle w:val="a7"/>
            <w:lang w:val="en-US"/>
          </w:rPr>
          <w:t>HRI/GEN/2/Rev.6</w:t>
        </w:r>
      </w:hyperlink>
      <w:r w:rsidRPr="0059561F">
        <w:rPr>
          <w:lang w:val="en-US"/>
        </w:rPr>
        <w:t xml:space="preserve">, </w:t>
      </w:r>
      <w:proofErr w:type="spellStart"/>
      <w:r>
        <w:t>гл</w:t>
      </w:r>
      <w:proofErr w:type="spellEnd"/>
      <w:r w:rsidRPr="0059561F">
        <w:rPr>
          <w:lang w:val="en-US"/>
        </w:rPr>
        <w:t xml:space="preserve">. </w:t>
      </w:r>
      <w: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4F626" w14:textId="5D52D25F" w:rsidR="0093611D" w:rsidRPr="0093611D" w:rsidRDefault="00190A4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B0251">
      <w:t>E/C.12/CYP/CO/7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4C7EB" w14:textId="11E472C4" w:rsidR="0093611D" w:rsidRPr="0093611D" w:rsidRDefault="00190A43" w:rsidP="0093611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B0251">
      <w:t>E/C.12/CYP/CO/7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36E"/>
    <w:rsid w:val="000041D5"/>
    <w:rsid w:val="00033EE1"/>
    <w:rsid w:val="00042B72"/>
    <w:rsid w:val="00043B08"/>
    <w:rsid w:val="000558BD"/>
    <w:rsid w:val="000857D2"/>
    <w:rsid w:val="000B57E7"/>
    <w:rsid w:val="000B6373"/>
    <w:rsid w:val="000C738C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0A43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B0251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2088C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3611D"/>
    <w:rsid w:val="00951972"/>
    <w:rsid w:val="009608F3"/>
    <w:rsid w:val="009A24AC"/>
    <w:rsid w:val="009F1700"/>
    <w:rsid w:val="00A1192E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D136E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1D1E"/>
    <w:rsid w:val="00DD44B1"/>
    <w:rsid w:val="00DD78D1"/>
    <w:rsid w:val="00DE32CD"/>
    <w:rsid w:val="00DF71B9"/>
    <w:rsid w:val="00E73F76"/>
    <w:rsid w:val="00E77A2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E228C"/>
  <w15:docId w15:val="{878B659F-2B15-4BC9-83E9-C3BE178FD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93611D"/>
    <w:rPr>
      <w:lang w:val="ru-RU" w:eastAsia="en-US"/>
    </w:rPr>
  </w:style>
  <w:style w:type="character" w:customStyle="1" w:styleId="H1GChar">
    <w:name w:val="_ H_1_G Char"/>
    <w:link w:val="H1G"/>
    <w:locked/>
    <w:rsid w:val="0093611D"/>
    <w:rPr>
      <w:b/>
      <w:sz w:val="24"/>
      <w:lang w:val="ru-RU" w:eastAsia="ru-RU"/>
    </w:rPr>
  </w:style>
  <w:style w:type="character" w:customStyle="1" w:styleId="H23GChar">
    <w:name w:val="_ H_2/3_G Char"/>
    <w:link w:val="H23G"/>
    <w:rsid w:val="0093611D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936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01/10" TargetMode="External"/><Relationship Id="rId3" Type="http://schemas.openxmlformats.org/officeDocument/2006/relationships/hyperlink" Target="http://undocs.org/en/E/C.12/2024/SR.44" TargetMode="External"/><Relationship Id="rId7" Type="http://schemas.openxmlformats.org/officeDocument/2006/relationships/hyperlink" Target="http://undocs.org/ru/E/C.12/66/5" TargetMode="External"/><Relationship Id="rId12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en/E/C.12/2024/SR.43" TargetMode="External"/><Relationship Id="rId1" Type="http://schemas.openxmlformats.org/officeDocument/2006/relationships/hyperlink" Target="http://undocs.org/en/E/C.12/CYP/7" TargetMode="External"/><Relationship Id="rId6" Type="http://schemas.openxmlformats.org/officeDocument/2006/relationships/hyperlink" Target="http://undocs.org/ru/E/C.12/2016/1" TargetMode="External"/><Relationship Id="rId11" Type="http://schemas.openxmlformats.org/officeDocument/2006/relationships/hyperlink" Target="http://undocs.org/ru/E/C.12/2019/1" TargetMode="External"/><Relationship Id="rId5" Type="http://schemas.openxmlformats.org/officeDocument/2006/relationships/hyperlink" Target="http://undocs.org/ru/E/C.12/2018/1" TargetMode="External"/><Relationship Id="rId10" Type="http://schemas.openxmlformats.org/officeDocument/2006/relationships/hyperlink" Target="http://undocs.org/ru/CRC/C/CYP/CO/5-6" TargetMode="External"/><Relationship Id="rId4" Type="http://schemas.openxmlformats.org/officeDocument/2006/relationships/hyperlink" Target="http://undocs.org/en/E/C.12/CYP/RQ/7" TargetMode="External"/><Relationship Id="rId9" Type="http://schemas.openxmlformats.org/officeDocument/2006/relationships/hyperlink" Target="http://undocs.org/ru/E/C.12/2015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4289</Words>
  <Characters>30442</Characters>
  <Application>Microsoft Office Word</Application>
  <DocSecurity>0</DocSecurity>
  <Lines>559</Lines>
  <Paragraphs>132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E/C.12/CYP/CO/7</vt:lpstr>
      <vt:lpstr>A/</vt:lpstr>
      <vt:lpstr>A/</vt:lpstr>
    </vt:vector>
  </TitlesOfParts>
  <Company>DCM</Company>
  <LinksUpToDate>false</LinksUpToDate>
  <CharactersWithSpaces>34681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E/C.12/CYP/CO/7</dc:title>
  <dc:subject/>
  <dc:creator>Larisa MAYKOVSKAYA</dc:creator>
  <cp:keywords/>
  <cp:lastModifiedBy>Larisa MAYKOVSKAYA</cp:lastModifiedBy>
  <cp:revision>4</cp:revision>
  <cp:lastPrinted>2024-11-28T17:43:00Z</cp:lastPrinted>
  <dcterms:created xsi:type="dcterms:W3CDTF">2024-11-28T17:43:00Z</dcterms:created>
  <dcterms:modified xsi:type="dcterms:W3CDTF">2024-11-28T17:44:00Z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