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221E86" w:rsidP="00221E86">
            <w:pPr>
              <w:bidi w:val="0"/>
              <w:spacing w:after="20"/>
              <w:jc w:val="left"/>
              <w:rPr>
                <w:szCs w:val="20"/>
              </w:rPr>
            </w:pPr>
            <w:r w:rsidRPr="00221E86">
              <w:rPr>
                <w:sz w:val="40"/>
                <w:szCs w:val="20"/>
              </w:rPr>
              <w:t>A</w:t>
            </w:r>
            <w:r>
              <w:rPr>
                <w:szCs w:val="20"/>
              </w:rPr>
              <w:t>/HRC/RES/27/23</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221E86" w:rsidRDefault="00221E86" w:rsidP="00221E86">
            <w:pPr>
              <w:bidi w:val="0"/>
              <w:spacing w:before="240"/>
              <w:jc w:val="left"/>
            </w:pPr>
            <w:r>
              <w:t>Distr.: General</w:t>
            </w:r>
          </w:p>
          <w:p w:rsidR="00221E86" w:rsidRDefault="00221E86" w:rsidP="00FB691E">
            <w:pPr>
              <w:bidi w:val="0"/>
              <w:jc w:val="left"/>
            </w:pPr>
            <w:r>
              <w:t>3 October 2014</w:t>
            </w:r>
          </w:p>
          <w:p w:rsidR="00221E86" w:rsidRDefault="00221E86" w:rsidP="00221E86">
            <w:pPr>
              <w:bidi w:val="0"/>
              <w:jc w:val="left"/>
            </w:pPr>
            <w:r>
              <w:t>Arabic</w:t>
            </w:r>
          </w:p>
          <w:p w:rsidR="00257225" w:rsidRPr="008B4BC6" w:rsidRDefault="00221E86" w:rsidP="00221E86">
            <w:pPr>
              <w:bidi w:val="0"/>
              <w:jc w:val="left"/>
            </w:pPr>
            <w:r>
              <w:t>Original: French</w:t>
            </w:r>
          </w:p>
        </w:tc>
      </w:tr>
    </w:tbl>
    <w:p w:rsidR="00221E86" w:rsidRPr="00734E4F" w:rsidRDefault="00221E86" w:rsidP="00221E86">
      <w:pPr>
        <w:spacing w:before="120" w:line="380" w:lineRule="exact"/>
        <w:rPr>
          <w:rFonts w:hint="cs"/>
          <w:b/>
          <w:bCs/>
          <w:sz w:val="26"/>
          <w:szCs w:val="36"/>
          <w:rtl/>
        </w:rPr>
      </w:pPr>
      <w:r w:rsidRPr="00734E4F">
        <w:rPr>
          <w:rFonts w:hint="cs"/>
          <w:b/>
          <w:bCs/>
          <w:sz w:val="26"/>
          <w:szCs w:val="36"/>
          <w:rtl/>
        </w:rPr>
        <w:t>مجلس حقوق الإنسان</w:t>
      </w:r>
    </w:p>
    <w:p w:rsidR="00221E86" w:rsidRPr="00734E4F" w:rsidRDefault="00221E86" w:rsidP="00221E86">
      <w:pPr>
        <w:spacing w:line="380" w:lineRule="exact"/>
        <w:rPr>
          <w:b/>
          <w:bCs/>
        </w:rPr>
      </w:pPr>
      <w:r w:rsidRPr="00734E4F">
        <w:rPr>
          <w:rFonts w:hint="cs"/>
          <w:b/>
          <w:bCs/>
          <w:rtl/>
        </w:rPr>
        <w:t xml:space="preserve">الدورة </w:t>
      </w:r>
      <w:r>
        <w:rPr>
          <w:rFonts w:hint="cs"/>
          <w:b/>
          <w:bCs/>
          <w:rtl/>
        </w:rPr>
        <w:t>السابعة والعشرون</w:t>
      </w:r>
    </w:p>
    <w:p w:rsidR="00221E86" w:rsidRDefault="00221E86" w:rsidP="00221E86">
      <w:pPr>
        <w:spacing w:line="380" w:lineRule="exact"/>
        <w:rPr>
          <w:rFonts w:hint="cs"/>
          <w:rtl/>
        </w:rPr>
      </w:pPr>
      <w:r>
        <w:rPr>
          <w:rFonts w:hint="cs"/>
          <w:rtl/>
        </w:rPr>
        <w:t>البند 3 من جدول الأعمال</w:t>
      </w:r>
    </w:p>
    <w:p w:rsidR="00221E86" w:rsidRDefault="00221E86" w:rsidP="00221E86">
      <w:pPr>
        <w:spacing w:after="240" w:line="380" w:lineRule="exact"/>
        <w:ind w:right="4400"/>
        <w:rPr>
          <w:rFonts w:hint="cs"/>
          <w:b/>
          <w:bCs/>
          <w:rtl/>
        </w:rPr>
      </w:pPr>
      <w:r w:rsidRPr="00734E4F">
        <w:rPr>
          <w:rFonts w:hint="cs"/>
          <w:b/>
          <w:bCs/>
          <w:rtl/>
        </w:rPr>
        <w:t>تعزيز وحماية جميع حقوق الإنسان</w:t>
      </w:r>
      <w:r>
        <w:rPr>
          <w:rFonts w:hint="cs"/>
          <w:b/>
          <w:bCs/>
          <w:rtl/>
        </w:rPr>
        <w:t>،</w:t>
      </w:r>
      <w:r w:rsidRPr="00734E4F">
        <w:rPr>
          <w:rFonts w:hint="cs"/>
          <w:b/>
          <w:bCs/>
          <w:rtl/>
        </w:rPr>
        <w:t xml:space="preserve"> المدنية والسياسية والاقتصادية والاجتماعية والثقافية، بما في ذلك الحق في التنمية</w:t>
      </w:r>
    </w:p>
    <w:p w:rsidR="00221E86" w:rsidRDefault="00221E86" w:rsidP="00221E86">
      <w:pPr>
        <w:pStyle w:val="HChGA"/>
        <w:rPr>
          <w:rFonts w:hint="cs"/>
          <w:rtl/>
        </w:rPr>
      </w:pPr>
      <w:r>
        <w:rPr>
          <w:rFonts w:hint="cs"/>
          <w:rtl/>
        </w:rPr>
        <w:tab/>
      </w:r>
      <w:r>
        <w:rPr>
          <w:rtl/>
        </w:rPr>
        <w:tab/>
      </w:r>
      <w:r w:rsidRPr="00271EA9">
        <w:rPr>
          <w:rtl/>
        </w:rPr>
        <w:t>قرار</w:t>
      </w:r>
      <w:r>
        <w:rPr>
          <w:rFonts w:hint="cs"/>
          <w:rtl/>
        </w:rPr>
        <w:t xml:space="preserve"> اعتمده مجلس حقوق الإنسان</w:t>
      </w:r>
    </w:p>
    <w:p w:rsidR="00221E86" w:rsidRDefault="00221E86" w:rsidP="00221E86">
      <w:pPr>
        <w:pStyle w:val="HChGA"/>
        <w:rPr>
          <w:rFonts w:hint="cs"/>
          <w:rtl/>
        </w:rPr>
      </w:pPr>
      <w:r>
        <w:rPr>
          <w:rFonts w:hint="cs"/>
          <w:rtl/>
          <w:lang w:eastAsia="ar-SA"/>
        </w:rPr>
        <w:tab/>
      </w:r>
      <w:r>
        <w:rPr>
          <w:rFonts w:hint="cs"/>
          <w:rtl/>
          <w:lang w:eastAsia="ar-SA"/>
        </w:rPr>
        <w:tab/>
        <w:t>27/23</w:t>
      </w:r>
      <w:r>
        <w:rPr>
          <w:rFonts w:hint="cs"/>
          <w:rtl/>
          <w:lang w:eastAsia="ar-SA"/>
        </w:rPr>
        <w:br/>
      </w:r>
      <w:r>
        <w:rPr>
          <w:rFonts w:hint="cs"/>
          <w:rtl/>
        </w:rPr>
        <w:t>ولاية المقرر الخاص المعني بالآثار المترتبة في مجال حقوق الإنسان على إدارة المواد والنفايات الخطرة والتخلص منها بطريقة سليمة بيئياً</w:t>
      </w:r>
    </w:p>
    <w:p w:rsidR="00221E86" w:rsidRPr="00FA4168" w:rsidRDefault="00221E86" w:rsidP="00221E86">
      <w:pPr>
        <w:pStyle w:val="SingleTxtGA"/>
        <w:rPr>
          <w:rFonts w:hint="cs"/>
          <w:i/>
          <w:iCs/>
          <w:rtl/>
        </w:rPr>
      </w:pPr>
      <w:r w:rsidRPr="00FA4168">
        <w:rPr>
          <w:rFonts w:hint="cs"/>
          <w:i/>
          <w:iCs/>
          <w:rtl/>
        </w:rPr>
        <w:tab/>
        <w:t>إن مجلس حقوق الإنسان،</w:t>
      </w:r>
    </w:p>
    <w:p w:rsidR="00221E86" w:rsidRDefault="00221E86" w:rsidP="00221E86">
      <w:pPr>
        <w:pStyle w:val="SingleTxtGA"/>
        <w:rPr>
          <w:rFonts w:hint="cs"/>
          <w:rtl/>
        </w:rPr>
      </w:pPr>
      <w:r w:rsidRPr="00FA4168">
        <w:rPr>
          <w:rFonts w:hint="cs"/>
          <w:i/>
          <w:iCs/>
          <w:rtl/>
        </w:rPr>
        <w:tab/>
        <w:t>إذ يسترشد</w:t>
      </w:r>
      <w:r>
        <w:rPr>
          <w:rFonts w:hint="cs"/>
          <w:rtl/>
        </w:rPr>
        <w:t xml:space="preserve"> بميثاق الأمم المتحدة، والإعلان العالمي لحقوق الإنسان، والعهد الدولي الخاص بالحقوق الاقتصادية والاجتماعية والثقافية، والعهد الدولي الخاص بالحقوق المدنية والسياسية، وإعلان وبرنامج عمل فيينا،</w:t>
      </w:r>
    </w:p>
    <w:p w:rsidR="00221E86" w:rsidRDefault="00221E86" w:rsidP="00221E86">
      <w:pPr>
        <w:pStyle w:val="SingleTxtGA"/>
        <w:rPr>
          <w:rFonts w:hint="cs"/>
          <w:rtl/>
        </w:rPr>
      </w:pPr>
      <w:r>
        <w:rPr>
          <w:rFonts w:hint="cs"/>
          <w:rtl/>
        </w:rPr>
        <w:tab/>
      </w:r>
      <w:r w:rsidRPr="00FA4168">
        <w:rPr>
          <w:rFonts w:hint="cs"/>
          <w:i/>
          <w:iCs/>
          <w:rtl/>
        </w:rPr>
        <w:t>وإذ يضع في اعتباره</w:t>
      </w:r>
      <w:r>
        <w:rPr>
          <w:rFonts w:hint="cs"/>
          <w:rtl/>
        </w:rPr>
        <w:t xml:space="preserve"> الفقرة 6 من قرار الجمعية العامة 60/251 المؤرخ 15 آذار/مارس 2006،</w:t>
      </w:r>
    </w:p>
    <w:p w:rsidR="00221E86" w:rsidRDefault="00221E86" w:rsidP="00221E86">
      <w:pPr>
        <w:pStyle w:val="SingleTxtGA"/>
        <w:rPr>
          <w:rFonts w:hint="cs"/>
          <w:rtl/>
        </w:rPr>
      </w:pPr>
      <w:r>
        <w:rPr>
          <w:rFonts w:hint="cs"/>
          <w:rtl/>
        </w:rPr>
        <w:tab/>
      </w:r>
      <w:r w:rsidRPr="00FA4168">
        <w:rPr>
          <w:rFonts w:hint="cs"/>
          <w:i/>
          <w:iCs/>
          <w:rtl/>
        </w:rPr>
        <w:t>وإذ يشير</w:t>
      </w:r>
      <w:r>
        <w:rPr>
          <w:rFonts w:hint="cs"/>
          <w:rtl/>
        </w:rPr>
        <w:t xml:space="preserve"> </w:t>
      </w:r>
      <w:r w:rsidRPr="00AD73C4">
        <w:rPr>
          <w:rFonts w:hint="cs"/>
          <w:rtl/>
        </w:rPr>
        <w:t>إلى</w:t>
      </w:r>
      <w:r>
        <w:rPr>
          <w:rFonts w:hint="cs"/>
          <w:rtl/>
        </w:rPr>
        <w:t xml:space="preserve"> قراريه 5/1 بشأن بناء مؤسسات المجلس، و5/2 بشأن مدونة قواعد السلوك للمكلفين بولايات في إطار الإجراءات الخاصة للمجلس، المؤرخين 18 حزيران/ يونيه</w:t>
      </w:r>
      <w:r>
        <w:rPr>
          <w:rFonts w:hint="eastAsia"/>
          <w:rtl/>
        </w:rPr>
        <w:t> </w:t>
      </w:r>
      <w:r>
        <w:rPr>
          <w:rFonts w:hint="cs"/>
          <w:rtl/>
        </w:rPr>
        <w:t xml:space="preserve">2007، </w:t>
      </w:r>
      <w:r w:rsidRPr="00B328AB">
        <w:rPr>
          <w:rFonts w:hint="cs"/>
          <w:rtl/>
        </w:rPr>
        <w:t xml:space="preserve">وإذ يشدد </w:t>
      </w:r>
      <w:r>
        <w:rPr>
          <w:rFonts w:hint="cs"/>
          <w:rtl/>
        </w:rPr>
        <w:t>على ضرورة أن يؤدي المكلفون بولاية واجباتهم وفقاً لهذين القرارين ومرفقاتهما،</w:t>
      </w:r>
    </w:p>
    <w:p w:rsidR="00221E86" w:rsidRDefault="00221E86" w:rsidP="00221E86">
      <w:pPr>
        <w:pStyle w:val="SingleTxtGA"/>
        <w:rPr>
          <w:rFonts w:hint="cs"/>
          <w:rtl/>
        </w:rPr>
      </w:pPr>
      <w:r>
        <w:rPr>
          <w:rFonts w:hint="cs"/>
          <w:rtl/>
        </w:rPr>
        <w:tab/>
      </w:r>
      <w:r w:rsidRPr="00FA4168">
        <w:rPr>
          <w:rFonts w:hint="cs"/>
          <w:i/>
          <w:iCs/>
          <w:rtl/>
        </w:rPr>
        <w:t xml:space="preserve">وإذ يشير أيضاً </w:t>
      </w:r>
      <w:r>
        <w:rPr>
          <w:rFonts w:hint="cs"/>
          <w:rtl/>
        </w:rPr>
        <w:t>إلى قراراته 21/17 المؤرخ 27 أيلول/سبتمبر 2012، و18/11 المؤرخ 27 أيلول/سبتمبر 2011، و9/1 المؤرخ</w:t>
      </w:r>
      <w:r>
        <w:rPr>
          <w:rFonts w:hint="eastAsia"/>
          <w:rtl/>
        </w:rPr>
        <w:t> </w:t>
      </w:r>
      <w:r>
        <w:rPr>
          <w:rFonts w:hint="cs"/>
          <w:rtl/>
        </w:rPr>
        <w:t xml:space="preserve">24 </w:t>
      </w:r>
      <w:r w:rsidRPr="00B328AB">
        <w:rPr>
          <w:rFonts w:hint="cs"/>
          <w:sz w:val="30"/>
          <w:rtl/>
        </w:rPr>
        <w:t xml:space="preserve">أيلول/سبتمبر </w:t>
      </w:r>
      <w:r>
        <w:rPr>
          <w:rFonts w:hint="cs"/>
          <w:rtl/>
        </w:rPr>
        <w:t>2008، وإلى جميع قرارات لجنة حقوق الإنسان بشأن هذه المسألة،</w:t>
      </w:r>
    </w:p>
    <w:p w:rsidR="00221E86" w:rsidRDefault="00221E86" w:rsidP="00221E86">
      <w:pPr>
        <w:pStyle w:val="SingleTxtGA"/>
        <w:rPr>
          <w:rFonts w:hint="cs"/>
          <w:rtl/>
        </w:rPr>
      </w:pPr>
      <w:r>
        <w:rPr>
          <w:rFonts w:hint="cs"/>
          <w:rtl/>
        </w:rPr>
        <w:tab/>
        <w:t>1-</w:t>
      </w:r>
      <w:r>
        <w:rPr>
          <w:rFonts w:hint="cs"/>
          <w:rtl/>
        </w:rPr>
        <w:tab/>
      </w:r>
      <w:r w:rsidRPr="00FA4168">
        <w:rPr>
          <w:rFonts w:hint="cs"/>
          <w:i/>
          <w:iCs/>
          <w:rtl/>
        </w:rPr>
        <w:t>يحيط علماً</w:t>
      </w:r>
      <w:r>
        <w:rPr>
          <w:rFonts w:hint="cs"/>
          <w:rtl/>
        </w:rPr>
        <w:t xml:space="preserve"> بالتقرير الأولي الذي قدمه إلى المجلس في دورته السابعة والعشرين المقرر الخاص الجديد المعني بالآثار المترتبة في مجال حقوق الإنسان على إدارة المواد والنفايات الخطرة والتخلص منها بطريقة سليمة بيئياً</w:t>
      </w:r>
      <w:r w:rsidRPr="00B92FFA">
        <w:rPr>
          <w:rFonts w:hint="cs"/>
          <w:vertAlign w:val="superscript"/>
          <w:rtl/>
        </w:rPr>
        <w:t>(</w:t>
      </w:r>
      <w:r w:rsidRPr="00B92FFA">
        <w:rPr>
          <w:rStyle w:val="FootnoteReference"/>
          <w:rtl/>
        </w:rPr>
        <w:footnoteReference w:id="1"/>
      </w:r>
      <w:r w:rsidRPr="00B92FFA">
        <w:rPr>
          <w:rFonts w:hint="cs"/>
          <w:vertAlign w:val="superscript"/>
          <w:rtl/>
        </w:rPr>
        <w:t>)</w:t>
      </w:r>
      <w:r>
        <w:rPr>
          <w:rFonts w:hint="cs"/>
          <w:rtl/>
        </w:rPr>
        <w:t>؛</w:t>
      </w:r>
    </w:p>
    <w:p w:rsidR="00221E86" w:rsidRDefault="00221E86" w:rsidP="00221E86">
      <w:pPr>
        <w:pStyle w:val="SingleTxtGA"/>
        <w:rPr>
          <w:rFonts w:hint="cs"/>
          <w:rtl/>
        </w:rPr>
      </w:pPr>
      <w:r>
        <w:rPr>
          <w:rFonts w:hint="cs"/>
          <w:rtl/>
        </w:rPr>
        <w:tab/>
        <w:t>2-</w:t>
      </w:r>
      <w:r>
        <w:rPr>
          <w:rFonts w:hint="cs"/>
          <w:i/>
          <w:iCs/>
          <w:rtl/>
        </w:rPr>
        <w:tab/>
      </w:r>
      <w:r w:rsidRPr="00FA4168">
        <w:rPr>
          <w:i/>
          <w:iCs/>
          <w:rtl/>
        </w:rPr>
        <w:t>يقرر</w:t>
      </w:r>
      <w:r w:rsidRPr="001C043E">
        <w:rPr>
          <w:rtl/>
        </w:rPr>
        <w:t xml:space="preserve"> </w:t>
      </w:r>
      <w:r w:rsidRPr="00D52F4F">
        <w:rPr>
          <w:rtl/>
        </w:rPr>
        <w:t>تمديد</w:t>
      </w:r>
      <w:r w:rsidRPr="001C043E">
        <w:rPr>
          <w:rtl/>
        </w:rPr>
        <w:t xml:space="preserve"> ولاية المقرر الخاص لفترة </w:t>
      </w:r>
      <w:r>
        <w:rPr>
          <w:rFonts w:hint="cs"/>
          <w:rtl/>
        </w:rPr>
        <w:t>ثلاث</w:t>
      </w:r>
      <w:r w:rsidRPr="001C043E">
        <w:rPr>
          <w:rtl/>
        </w:rPr>
        <w:t xml:space="preserve"> سنوات</w:t>
      </w:r>
      <w:r>
        <w:rPr>
          <w:rFonts w:hint="cs"/>
          <w:rtl/>
        </w:rPr>
        <w:t>؛</w:t>
      </w:r>
    </w:p>
    <w:p w:rsidR="00221E86" w:rsidRDefault="00221E86" w:rsidP="00221E86">
      <w:pPr>
        <w:pStyle w:val="SingleTxtGA"/>
        <w:rPr>
          <w:rFonts w:hint="cs"/>
          <w:rtl/>
        </w:rPr>
      </w:pPr>
      <w:r>
        <w:rPr>
          <w:rFonts w:hint="cs"/>
          <w:rtl/>
        </w:rPr>
        <w:tab/>
        <w:t>3-</w:t>
      </w:r>
      <w:r>
        <w:rPr>
          <w:rFonts w:hint="cs"/>
          <w:rtl/>
        </w:rPr>
        <w:tab/>
      </w:r>
      <w:r w:rsidRPr="00FA4168">
        <w:rPr>
          <w:rFonts w:hint="cs"/>
          <w:i/>
          <w:iCs/>
          <w:rtl/>
        </w:rPr>
        <w:t>يحيط علماً</w:t>
      </w:r>
      <w:r>
        <w:rPr>
          <w:rFonts w:hint="cs"/>
          <w:rtl/>
        </w:rPr>
        <w:t xml:space="preserve"> بالعمل الذي أنجزه المقرر الخاص السابق ويطلب إلى المقرر الخاص الجديد أن يقدم، في إطار ولايته، معلومات مفصلة ومحدثة عن الآثار الضارة التي قد تترتب على إدارة المواد والنفايات الخطرة والتخلص منها بطريقة غير مناسبة فيما يتعلق بالتمتع الكامل بحقوق الإنسان؛</w:t>
      </w:r>
    </w:p>
    <w:p w:rsidR="00221E86" w:rsidRDefault="00221E86" w:rsidP="00221E86">
      <w:pPr>
        <w:pStyle w:val="SingleTxtGA"/>
        <w:rPr>
          <w:rFonts w:hint="cs"/>
          <w:rtl/>
        </w:rPr>
      </w:pPr>
      <w:r>
        <w:rPr>
          <w:rFonts w:hint="cs"/>
          <w:rtl/>
        </w:rPr>
        <w:tab/>
        <w:t>4-</w:t>
      </w:r>
      <w:r>
        <w:rPr>
          <w:rFonts w:hint="cs"/>
          <w:rtl/>
        </w:rPr>
        <w:tab/>
      </w:r>
      <w:r w:rsidRPr="00FA4168">
        <w:rPr>
          <w:rFonts w:hint="cs"/>
          <w:i/>
          <w:iCs/>
          <w:rtl/>
        </w:rPr>
        <w:t xml:space="preserve">يشجع </w:t>
      </w:r>
      <w:r>
        <w:rPr>
          <w:rFonts w:hint="cs"/>
          <w:rtl/>
        </w:rPr>
        <w:t>المقرر الخاص على الاضطلاع بولايته بالتعاون الوثيق مع برنامج الأمم المتحدة للبيئة ووكالات الأمم المتحدة المتخصصة، مثل منظمة الصحة العالمية ومنظمة العمل الدولية، ومع أمانات الاتفاقيات البيئية الدولية، من أجل إدراج حقوق الإنسان في أعمالها وتجنب تداخل الأنشطة؛</w:t>
      </w:r>
    </w:p>
    <w:p w:rsidR="00221E86" w:rsidRDefault="00221E86" w:rsidP="00221E86">
      <w:pPr>
        <w:pStyle w:val="SingleTxtGA"/>
        <w:rPr>
          <w:rFonts w:hint="cs"/>
          <w:rtl/>
        </w:rPr>
      </w:pPr>
      <w:r>
        <w:rPr>
          <w:rFonts w:hint="cs"/>
          <w:rtl/>
        </w:rPr>
        <w:tab/>
        <w:t>5-</w:t>
      </w:r>
      <w:r>
        <w:rPr>
          <w:rFonts w:hint="cs"/>
          <w:rtl/>
        </w:rPr>
        <w:tab/>
      </w:r>
      <w:r w:rsidRPr="00221E86">
        <w:rPr>
          <w:rFonts w:hint="cs"/>
          <w:i/>
          <w:iCs/>
          <w:rtl/>
        </w:rPr>
        <w:t>يطلب</w:t>
      </w:r>
      <w:r>
        <w:rPr>
          <w:rFonts w:hint="cs"/>
          <w:rtl/>
        </w:rPr>
        <w:t xml:space="preserve"> إلى المقرّر الخاص مواصلة إجراء مشاورات مع أجهزة الأمم المتحدة وهيئاتها المختصة ومع أمانات الاتفاقيات الدولية ذات الصلة، باتباع نهج متعدد التخصصات ومتعمق إزاء المشاكل الحالية، حتى يمكن تحديد الحلول الدائمة اللازمة فيما يتعلق بإدارة هذه المواد والنفايات، بغية تزويد المجلس، وفقا</w:t>
      </w:r>
      <w:r w:rsidR="001B77A4">
        <w:rPr>
          <w:rFonts w:hint="cs"/>
          <w:rtl/>
        </w:rPr>
        <w:t>ً</w:t>
      </w:r>
      <w:r>
        <w:rPr>
          <w:rFonts w:hint="cs"/>
          <w:rtl/>
        </w:rPr>
        <w:t xml:space="preserve"> لبرنامجه، بتقارير سنوية عن تنفيذ القرارات التي اعتمدها، وبتوصيات ومقترحات ملموسة بشأن التدابير التي يجب اتخاذها على الفور بغية التصدي للآثار السلبية المترتبة في مجال حقوق الإنسان على المواد والنفايات الخطرة؛</w:t>
      </w:r>
    </w:p>
    <w:p w:rsidR="00221E86" w:rsidRPr="00E87E3B" w:rsidRDefault="00221E86" w:rsidP="00221E86">
      <w:pPr>
        <w:pStyle w:val="SingleTxtGA"/>
        <w:rPr>
          <w:rFonts w:hint="cs"/>
          <w:spacing w:val="-2"/>
          <w:rtl/>
        </w:rPr>
      </w:pPr>
      <w:r w:rsidRPr="00E87E3B">
        <w:rPr>
          <w:rFonts w:hint="cs"/>
          <w:spacing w:val="-2"/>
          <w:rtl/>
        </w:rPr>
        <w:tab/>
        <w:t>6-</w:t>
      </w:r>
      <w:r w:rsidRPr="00E87E3B">
        <w:rPr>
          <w:rFonts w:hint="cs"/>
          <w:spacing w:val="-2"/>
          <w:rtl/>
        </w:rPr>
        <w:tab/>
      </w:r>
      <w:r w:rsidRPr="00E87E3B">
        <w:rPr>
          <w:rFonts w:hint="cs"/>
          <w:i/>
          <w:iCs/>
          <w:spacing w:val="-2"/>
          <w:rtl/>
        </w:rPr>
        <w:t>يطلب أيضاً</w:t>
      </w:r>
      <w:r w:rsidRPr="00E87E3B">
        <w:rPr>
          <w:rFonts w:hint="cs"/>
          <w:spacing w:val="-2"/>
          <w:rtl/>
        </w:rPr>
        <w:t xml:space="preserve"> إلى</w:t>
      </w:r>
      <w:r w:rsidRPr="00E87E3B">
        <w:rPr>
          <w:rFonts w:hint="cs"/>
          <w:i/>
          <w:iCs/>
          <w:spacing w:val="-2"/>
          <w:rtl/>
        </w:rPr>
        <w:t xml:space="preserve"> </w:t>
      </w:r>
      <w:r w:rsidRPr="00E87E3B">
        <w:rPr>
          <w:rFonts w:hint="cs"/>
          <w:spacing w:val="-2"/>
          <w:rtl/>
        </w:rPr>
        <w:t>المقرر الخاص أن يعدّ، بالتشاور مع أصحاب المصلحة المعنيين وبمساعدة مفوض الأمم المتحدة السامي لحقوق الإنسان، دليلاً للممارسات الجيدة بشأن الالتزامات التي تترتب في مجال حقوق الإنسان على إدارة المواد والنفايات الخطرة والتخلص منها بطريقة سليمة بيئياً، وأن يقدمه مع تقريره إلى المجلس في دورته السادسة والثلاثين؛</w:t>
      </w:r>
    </w:p>
    <w:p w:rsidR="00221E86" w:rsidRPr="00E87E3B" w:rsidRDefault="00221E86" w:rsidP="005A24AD">
      <w:pPr>
        <w:pStyle w:val="SingleTxtGA"/>
        <w:rPr>
          <w:rFonts w:hint="cs"/>
          <w:spacing w:val="-5"/>
          <w:rtl/>
        </w:rPr>
      </w:pPr>
      <w:r w:rsidRPr="00E87E3B">
        <w:rPr>
          <w:rFonts w:hint="cs"/>
          <w:spacing w:val="-5"/>
          <w:rtl/>
        </w:rPr>
        <w:tab/>
        <w:t>7-</w:t>
      </w:r>
      <w:r w:rsidRPr="00E87E3B">
        <w:rPr>
          <w:rFonts w:hint="cs"/>
          <w:spacing w:val="-5"/>
          <w:rtl/>
        </w:rPr>
        <w:tab/>
      </w:r>
      <w:r w:rsidRPr="00E87E3B">
        <w:rPr>
          <w:rFonts w:hint="cs"/>
          <w:i/>
          <w:iCs/>
          <w:spacing w:val="-5"/>
          <w:rtl/>
        </w:rPr>
        <w:t>يطلب</w:t>
      </w:r>
      <w:r w:rsidRPr="00E87E3B">
        <w:rPr>
          <w:rFonts w:hint="cs"/>
          <w:spacing w:val="-5"/>
          <w:rtl/>
        </w:rPr>
        <w:t xml:space="preserve"> </w:t>
      </w:r>
      <w:r w:rsidR="005A24AD" w:rsidRPr="00FB691E">
        <w:rPr>
          <w:rFonts w:hint="cs"/>
          <w:i/>
          <w:iCs/>
          <w:spacing w:val="-5"/>
          <w:rtl/>
        </w:rPr>
        <w:t>كذلك</w:t>
      </w:r>
      <w:r w:rsidR="005A24AD" w:rsidRPr="00E87E3B">
        <w:rPr>
          <w:rFonts w:hint="cs"/>
          <w:spacing w:val="-5"/>
          <w:rtl/>
        </w:rPr>
        <w:t xml:space="preserve"> </w:t>
      </w:r>
      <w:r w:rsidRPr="00E87E3B">
        <w:rPr>
          <w:rFonts w:hint="cs"/>
          <w:spacing w:val="-5"/>
          <w:rtl/>
        </w:rPr>
        <w:t xml:space="preserve">في هذا الصدد إلى المقرر الخاص أن ينظم، لغرض إعداد هذا الدليل، </w:t>
      </w:r>
      <w:r w:rsidR="005A24AD" w:rsidRPr="00E87E3B">
        <w:rPr>
          <w:rFonts w:hint="cs"/>
          <w:spacing w:val="-5"/>
          <w:rtl/>
        </w:rPr>
        <w:t xml:space="preserve">لقاءين دوليين </w:t>
      </w:r>
      <w:r w:rsidRPr="00E87E3B">
        <w:rPr>
          <w:rFonts w:hint="cs"/>
          <w:spacing w:val="-5"/>
          <w:rtl/>
        </w:rPr>
        <w:t>لخبراء</w:t>
      </w:r>
      <w:r w:rsidR="005A24AD" w:rsidRPr="00E87E3B">
        <w:rPr>
          <w:rFonts w:hint="cs"/>
          <w:spacing w:val="-5"/>
          <w:rtl/>
        </w:rPr>
        <w:t xml:space="preserve"> (خمسة خبراء)</w:t>
      </w:r>
      <w:r w:rsidRPr="00E87E3B">
        <w:rPr>
          <w:rFonts w:hint="cs"/>
          <w:spacing w:val="-5"/>
          <w:rtl/>
        </w:rPr>
        <w:t xml:space="preserve">، يضم خبراء من جميع المناطق ويعكس وجهة نظر آليات حقوق الإنسان المختصة الأخرى ووكالات الأمم المتحدة المتخصصة المعنية والهيئات الدولية الأخرى وخبراء حكوميين والمؤسسات الوطنية للدفاع عن حقوق الإنسان والمجتمع المدني؛ </w:t>
      </w:r>
    </w:p>
    <w:p w:rsidR="00221E86" w:rsidRDefault="00221E86" w:rsidP="00221E86">
      <w:pPr>
        <w:pStyle w:val="SingleTxtGA"/>
        <w:rPr>
          <w:rFonts w:hint="cs"/>
          <w:rtl/>
        </w:rPr>
      </w:pPr>
      <w:r>
        <w:rPr>
          <w:rFonts w:hint="cs"/>
          <w:rtl/>
        </w:rPr>
        <w:tab/>
        <w:t>8-</w:t>
      </w:r>
      <w:r>
        <w:rPr>
          <w:rFonts w:hint="cs"/>
          <w:rtl/>
        </w:rPr>
        <w:tab/>
      </w:r>
      <w:r w:rsidRPr="00FA4168">
        <w:rPr>
          <w:rFonts w:hint="cs"/>
          <w:i/>
          <w:iCs/>
          <w:rtl/>
        </w:rPr>
        <w:t>يشجع</w:t>
      </w:r>
      <w:r>
        <w:rPr>
          <w:rFonts w:hint="cs"/>
          <w:rtl/>
        </w:rPr>
        <w:t xml:space="preserve"> المقرر الخاص </w:t>
      </w:r>
      <w:r w:rsidRPr="004C13C5">
        <w:rPr>
          <w:rtl/>
        </w:rPr>
        <w:t xml:space="preserve">على القيام، </w:t>
      </w:r>
      <w:r>
        <w:rPr>
          <w:rFonts w:hint="cs"/>
          <w:rtl/>
        </w:rPr>
        <w:t>في إطار</w:t>
      </w:r>
      <w:r w:rsidRPr="004C13C5">
        <w:rPr>
          <w:rtl/>
        </w:rPr>
        <w:t xml:space="preserve"> </w:t>
      </w:r>
      <w:r>
        <w:rPr>
          <w:rFonts w:hint="cs"/>
          <w:rtl/>
        </w:rPr>
        <w:t>ال</w:t>
      </w:r>
      <w:r w:rsidRPr="004C13C5">
        <w:rPr>
          <w:rtl/>
        </w:rPr>
        <w:t>ولاية المسندة إليه، وبدعم ومساعدة من مفوضية الأمم المتحدة السامية لحقوق الإنسان، بمواصلة إتاحة فرصة مناسبة للحكومات</w:t>
      </w:r>
      <w:r>
        <w:rPr>
          <w:rtl/>
        </w:rPr>
        <w:t xml:space="preserve"> لكي ترد على الادعاءات التي </w:t>
      </w:r>
      <w:r>
        <w:rPr>
          <w:rFonts w:hint="cs"/>
          <w:rtl/>
        </w:rPr>
        <w:t>ترد</w:t>
      </w:r>
      <w:r w:rsidRPr="004C13C5">
        <w:rPr>
          <w:rtl/>
        </w:rPr>
        <w:t xml:space="preserve"> إليه و</w:t>
      </w:r>
      <w:r>
        <w:rPr>
          <w:rFonts w:hint="cs"/>
          <w:rtl/>
        </w:rPr>
        <w:t xml:space="preserve">يشير إليها </w:t>
      </w:r>
      <w:r w:rsidRPr="004C13C5">
        <w:rPr>
          <w:rtl/>
        </w:rPr>
        <w:t>في تقريره، وإيراد ملاحظات هذه الحكومات في تقريره إلى المجلس؛</w:t>
      </w:r>
      <w:r>
        <w:rPr>
          <w:rFonts w:hint="cs"/>
          <w:rtl/>
        </w:rPr>
        <w:t xml:space="preserve"> </w:t>
      </w:r>
    </w:p>
    <w:p w:rsidR="00221E86" w:rsidRDefault="00221E86" w:rsidP="00221E86">
      <w:pPr>
        <w:pStyle w:val="SingleTxtGA"/>
        <w:rPr>
          <w:rFonts w:hint="cs"/>
          <w:rtl/>
        </w:rPr>
      </w:pPr>
      <w:r>
        <w:rPr>
          <w:rFonts w:hint="cs"/>
          <w:rtl/>
        </w:rPr>
        <w:tab/>
        <w:t>9-</w:t>
      </w:r>
      <w:r>
        <w:rPr>
          <w:rFonts w:hint="cs"/>
          <w:rtl/>
        </w:rPr>
        <w:tab/>
      </w:r>
      <w:r w:rsidRPr="00FA4168">
        <w:rPr>
          <w:rFonts w:hint="cs"/>
          <w:i/>
          <w:iCs/>
          <w:rtl/>
        </w:rPr>
        <w:t xml:space="preserve">يكرّر </w:t>
      </w:r>
      <w:r w:rsidRPr="00BF08FA">
        <w:rPr>
          <w:rFonts w:hint="cs"/>
          <w:rtl/>
        </w:rPr>
        <w:t>مناشدته</w:t>
      </w:r>
      <w:r>
        <w:rPr>
          <w:rFonts w:hint="cs"/>
          <w:rtl/>
        </w:rPr>
        <w:t xml:space="preserve"> الدول وغيرها من الجهات صاحبة المصلحة تيسير عمل المقرر الخاص بتزويده بالمعلومات ودعوته إلى القيام بزيارات قطرية؛ </w:t>
      </w:r>
    </w:p>
    <w:p w:rsidR="00221E86" w:rsidRDefault="00221E86" w:rsidP="00221E86">
      <w:pPr>
        <w:pStyle w:val="SingleTxtGA"/>
        <w:rPr>
          <w:rFonts w:hint="cs"/>
          <w:rtl/>
        </w:rPr>
      </w:pPr>
      <w:r>
        <w:rPr>
          <w:rFonts w:hint="cs"/>
          <w:rtl/>
        </w:rPr>
        <w:tab/>
        <w:t>10-</w:t>
      </w:r>
      <w:r>
        <w:rPr>
          <w:rFonts w:hint="cs"/>
          <w:rtl/>
        </w:rPr>
        <w:tab/>
      </w:r>
      <w:r w:rsidRPr="00FA4168">
        <w:rPr>
          <w:rFonts w:hint="cs"/>
          <w:i/>
          <w:iCs/>
          <w:rtl/>
        </w:rPr>
        <w:t xml:space="preserve">يكرّر أيضاً </w:t>
      </w:r>
      <w:r w:rsidRPr="00BF08FA">
        <w:rPr>
          <w:rFonts w:hint="cs"/>
          <w:rtl/>
        </w:rPr>
        <w:t>مناشدته</w:t>
      </w:r>
      <w:r>
        <w:rPr>
          <w:rFonts w:hint="cs"/>
          <w:rtl/>
        </w:rPr>
        <w:t xml:space="preserve"> الأمين العام والمفوض السامي تزويد المقرر الخاص بكل ما يلزم من مساعدة للاضطلاع بولايته بصورة فعالة؛ </w:t>
      </w:r>
    </w:p>
    <w:p w:rsidR="00221E86" w:rsidRDefault="00221E86" w:rsidP="005A24AD">
      <w:pPr>
        <w:pStyle w:val="SingleTxtGA"/>
        <w:rPr>
          <w:rFonts w:hint="cs"/>
          <w:rtl/>
        </w:rPr>
      </w:pPr>
      <w:r>
        <w:rPr>
          <w:rFonts w:hint="cs"/>
          <w:rtl/>
        </w:rPr>
        <w:tab/>
        <w:t>11-</w:t>
      </w:r>
      <w:r>
        <w:rPr>
          <w:rFonts w:hint="cs"/>
          <w:rtl/>
        </w:rPr>
        <w:tab/>
      </w:r>
      <w:r w:rsidRPr="00FA4168">
        <w:rPr>
          <w:rFonts w:hint="cs"/>
          <w:i/>
          <w:iCs/>
          <w:rtl/>
        </w:rPr>
        <w:t>يقرر</w:t>
      </w:r>
      <w:r>
        <w:rPr>
          <w:rFonts w:hint="cs"/>
          <w:rtl/>
        </w:rPr>
        <w:t xml:space="preserve"> أن يواصل النظر في هذه المسألة في إطار البند نفسه من جدول الأعمال</w:t>
      </w:r>
      <w:r w:rsidR="00FB691E">
        <w:rPr>
          <w:rFonts w:hint="cs"/>
          <w:rtl/>
        </w:rPr>
        <w:t>،</w:t>
      </w:r>
      <w:r>
        <w:rPr>
          <w:rFonts w:hint="cs"/>
          <w:rtl/>
        </w:rPr>
        <w:t xml:space="preserve"> وفقاً لبرنامج عمله.</w:t>
      </w:r>
    </w:p>
    <w:p w:rsidR="005A24AD" w:rsidRPr="005A24AD" w:rsidRDefault="005A24AD" w:rsidP="005A24AD">
      <w:pPr>
        <w:pStyle w:val="SingleTxtGA"/>
        <w:spacing w:before="120" w:after="0"/>
        <w:jc w:val="right"/>
        <w:rPr>
          <w:rFonts w:hint="cs"/>
          <w:i/>
          <w:iCs/>
          <w:rtl/>
        </w:rPr>
      </w:pPr>
      <w:r w:rsidRPr="005A24AD">
        <w:rPr>
          <w:rFonts w:hint="cs"/>
          <w:i/>
          <w:iCs/>
          <w:rtl/>
        </w:rPr>
        <w:t>الجلسة 40</w:t>
      </w:r>
    </w:p>
    <w:p w:rsidR="005A24AD" w:rsidRPr="005A24AD" w:rsidRDefault="005A24AD" w:rsidP="005A24AD">
      <w:pPr>
        <w:pStyle w:val="SingleTxtGA"/>
        <w:jc w:val="right"/>
        <w:rPr>
          <w:rFonts w:hint="cs"/>
          <w:i/>
          <w:iCs/>
          <w:rtl/>
        </w:rPr>
      </w:pPr>
      <w:r w:rsidRPr="005A24AD">
        <w:rPr>
          <w:rFonts w:hint="cs"/>
          <w:i/>
          <w:iCs/>
          <w:rtl/>
        </w:rPr>
        <w:t>26 أيلول/سبتمبر 2014</w:t>
      </w:r>
    </w:p>
    <w:p w:rsidR="005A24AD" w:rsidRDefault="005A24AD" w:rsidP="005A24AD">
      <w:pPr>
        <w:pStyle w:val="SingleTxtGA"/>
        <w:rPr>
          <w:rFonts w:hint="cs"/>
          <w:rtl/>
          <w:lang w:eastAsia="ar-SA"/>
        </w:rPr>
      </w:pPr>
      <w:r>
        <w:rPr>
          <w:rFonts w:hint="cs"/>
          <w:rtl/>
        </w:rPr>
        <w:t>[اعتُمد بدون تصويت.]</w:t>
      </w:r>
    </w:p>
    <w:p w:rsidR="00221E86" w:rsidRPr="00FA4168" w:rsidRDefault="00221E86" w:rsidP="00221E86">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221E86" w:rsidRPr="00FA4168" w:rsidSect="00221E8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982" w:rsidRPr="00FE6865" w:rsidRDefault="00531982" w:rsidP="00FE6865">
      <w:pPr>
        <w:pStyle w:val="Footer"/>
      </w:pPr>
    </w:p>
  </w:endnote>
  <w:endnote w:type="continuationSeparator" w:id="0">
    <w:p w:rsidR="00531982" w:rsidRDefault="005319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82" w:rsidRPr="00221E86" w:rsidRDefault="00531982" w:rsidP="00221E86">
    <w:pPr>
      <w:pStyle w:val="Footer"/>
      <w:tabs>
        <w:tab w:val="right" w:pos="9598"/>
      </w:tabs>
    </w:pPr>
    <w:r>
      <w:t>GE.14-17980</w:t>
    </w:r>
    <w:r>
      <w:tab/>
    </w:r>
    <w:r w:rsidRPr="00221E86">
      <w:rPr>
        <w:b/>
        <w:sz w:val="18"/>
      </w:rPr>
      <w:fldChar w:fldCharType="begin"/>
    </w:r>
    <w:r w:rsidRPr="00221E86">
      <w:rPr>
        <w:b/>
        <w:sz w:val="18"/>
      </w:rPr>
      <w:instrText xml:space="preserve"> PAGE  \* MERGEFORMAT </w:instrText>
    </w:r>
    <w:r w:rsidRPr="00221E86">
      <w:rPr>
        <w:b/>
        <w:sz w:val="18"/>
      </w:rPr>
      <w:fldChar w:fldCharType="separate"/>
    </w:r>
    <w:r>
      <w:rPr>
        <w:b/>
        <w:noProof/>
        <w:sz w:val="18"/>
      </w:rPr>
      <w:t>2</w:t>
    </w:r>
    <w:r w:rsidRPr="00221E8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82" w:rsidRPr="00221E86" w:rsidRDefault="00531982" w:rsidP="00221E86">
    <w:pPr>
      <w:pStyle w:val="Footer"/>
      <w:tabs>
        <w:tab w:val="right" w:pos="9598"/>
      </w:tabs>
      <w:rPr>
        <w:b/>
        <w:sz w:val="18"/>
      </w:rPr>
    </w:pPr>
    <w:r w:rsidRPr="00221E86">
      <w:rPr>
        <w:b/>
        <w:sz w:val="18"/>
      </w:rPr>
      <w:fldChar w:fldCharType="begin"/>
    </w:r>
    <w:r w:rsidRPr="00221E86">
      <w:rPr>
        <w:b/>
        <w:sz w:val="18"/>
      </w:rPr>
      <w:instrText xml:space="preserve"> PAGE  \* MERGEFORMAT </w:instrText>
    </w:r>
    <w:r w:rsidRPr="00221E86">
      <w:rPr>
        <w:b/>
        <w:sz w:val="18"/>
      </w:rPr>
      <w:fldChar w:fldCharType="separate"/>
    </w:r>
    <w:r>
      <w:rPr>
        <w:b/>
        <w:noProof/>
        <w:sz w:val="18"/>
      </w:rPr>
      <w:t>3</w:t>
    </w:r>
    <w:r w:rsidRPr="00221E86">
      <w:rPr>
        <w:b/>
        <w:sz w:val="18"/>
      </w:rPr>
      <w:fldChar w:fldCharType="end"/>
    </w:r>
    <w:r>
      <w:rPr>
        <w:b/>
        <w:sz w:val="18"/>
      </w:rPr>
      <w:tab/>
    </w:r>
    <w:r>
      <w:t>GE.14-17980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82" w:rsidRDefault="00531982" w:rsidP="00221E86">
    <w:pPr>
      <w:pStyle w:val="Footer"/>
      <w:jc w:val="right"/>
      <w:rPr>
        <w:rFonts w:hint="cs"/>
      </w:rPr>
    </w:pPr>
    <w:r>
      <w:rPr>
        <w:sz w:val="20"/>
      </w:rPr>
      <w:t>(A)   GE.14-17980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201014    201014</w:t>
    </w:r>
    <w:r>
      <w:br/>
    </w:r>
    <w:r w:rsidRPr="00AE501A">
      <w:rPr>
        <w:rFonts w:ascii="C39T30Lfz" w:hAnsi="C39T30Lfz"/>
        <w:sz w:val="56"/>
      </w:rPr>
      <w:t></w:t>
    </w:r>
    <w:r w:rsidRPr="00AE501A">
      <w:rPr>
        <w:rFonts w:ascii="C39T30Lfz" w:hAnsi="C39T30Lfz"/>
        <w:sz w:val="56"/>
      </w:rPr>
      <w:t></w:t>
    </w:r>
    <w:r w:rsidRPr="00AE501A">
      <w:rPr>
        <w:rFonts w:ascii="C39T30Lfz" w:hAnsi="C39T30Lfz"/>
        <w:sz w:val="56"/>
      </w:rPr>
      <w:t></w:t>
    </w:r>
    <w:r w:rsidRPr="00AE501A">
      <w:rPr>
        <w:rFonts w:ascii="C39T30Lfz" w:hAnsi="C39T30Lfz"/>
        <w:sz w:val="56"/>
      </w:rPr>
      <w:t></w:t>
    </w:r>
    <w:r w:rsidRPr="00AE501A">
      <w:rPr>
        <w:rFonts w:ascii="C39T30Lfz" w:hAnsi="C39T30Lfz"/>
        <w:sz w:val="56"/>
      </w:rPr>
      <w:t></w:t>
    </w:r>
    <w:r w:rsidRPr="00AE501A">
      <w:rPr>
        <w:rFonts w:ascii="C39T30Lfz" w:hAnsi="C39T30Lfz"/>
        <w:sz w:val="56"/>
      </w:rPr>
      <w:t></w:t>
    </w:r>
    <w:r w:rsidRPr="00AE501A">
      <w:rPr>
        <w:rFonts w:ascii="C39T30Lfz" w:hAnsi="C39T30Lfz"/>
        <w:sz w:val="56"/>
      </w:rPr>
      <w:t></w:t>
    </w:r>
    <w:r w:rsidRPr="00AE501A">
      <w:rPr>
        <w:rFonts w:ascii="C39T30Lfz" w:hAnsi="C39T30Lfz"/>
        <w:sz w:val="56"/>
      </w:rPr>
      <w:t></w:t>
    </w:r>
    <w:r w:rsidRPr="00AE501A">
      <w:rPr>
        <w:rFonts w:ascii="C39T30Lfz" w:hAnsi="C39T30Lfz"/>
        <w:sz w:val="56"/>
      </w:rPr>
      <w:t></w:t>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982" w:rsidRPr="00E87E3B" w:rsidRDefault="00531982" w:rsidP="00E87E3B">
      <w:pPr>
        <w:spacing w:after="80" w:line="200" w:lineRule="exact"/>
        <w:ind w:left="680"/>
        <w:rPr>
          <w:sz w:val="12"/>
          <w:szCs w:val="22"/>
        </w:rPr>
      </w:pPr>
      <w:r w:rsidRPr="00E87E3B">
        <w:rPr>
          <w:sz w:val="8"/>
          <w:szCs w:val="22"/>
          <w:rtl/>
        </w:rPr>
        <w:t>__________</w:t>
      </w:r>
    </w:p>
  </w:footnote>
  <w:footnote w:type="continuationSeparator" w:id="0">
    <w:p w:rsidR="00531982" w:rsidRDefault="00531982" w:rsidP="00444AA6">
      <w:pPr>
        <w:pStyle w:val="Footer"/>
        <w:bidi/>
        <w:spacing w:after="80" w:line="200" w:lineRule="exact"/>
        <w:ind w:left="680"/>
      </w:pPr>
      <w:r>
        <w:rPr>
          <w:rFonts w:hint="cs"/>
          <w:rtl/>
        </w:rPr>
        <w:t>__________</w:t>
      </w:r>
    </w:p>
  </w:footnote>
  <w:footnote w:id="1">
    <w:p w:rsidR="00531982" w:rsidRPr="00B92FFA" w:rsidRDefault="00531982" w:rsidP="00221E86">
      <w:pPr>
        <w:pStyle w:val="FootnoteText"/>
        <w:numPr>
          <w:ilvl w:val="0"/>
          <w:numId w:val="40"/>
        </w:numPr>
        <w:tabs>
          <w:tab w:val="clear" w:pos="1292"/>
          <w:tab w:val="left" w:pos="1253"/>
        </w:tabs>
        <w:spacing w:after="60" w:line="300" w:lineRule="exact"/>
        <w:ind w:left="1247" w:right="1247"/>
        <w:rPr>
          <w:rFonts w:hint="cs"/>
          <w:sz w:val="18"/>
          <w:szCs w:val="26"/>
          <w:rtl/>
        </w:rPr>
      </w:pPr>
      <w:r w:rsidRPr="00B92FFA">
        <w:rPr>
          <w:sz w:val="18"/>
          <w:szCs w:val="26"/>
        </w:rPr>
        <w:t>A/HRC/</w:t>
      </w:r>
      <w:r>
        <w:rPr>
          <w:sz w:val="18"/>
          <w:szCs w:val="26"/>
        </w:rPr>
        <w:t>27</w:t>
      </w:r>
      <w:r w:rsidRPr="00B92FFA">
        <w:rPr>
          <w:sz w:val="18"/>
          <w:szCs w:val="26"/>
        </w:rPr>
        <w:t>/</w:t>
      </w:r>
      <w:r>
        <w:rPr>
          <w:sz w:val="18"/>
          <w:szCs w:val="26"/>
        </w:rPr>
        <w:t>54</w:t>
      </w:r>
      <w:r w:rsidRPr="00B92FFA">
        <w:rPr>
          <w:rFonts w:hint="cs"/>
          <w:sz w:val="18"/>
          <w:szCs w:val="26"/>
          <w:rt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82" w:rsidRPr="00221E86" w:rsidRDefault="00531982" w:rsidP="00221E86">
    <w:pPr>
      <w:pStyle w:val="Header"/>
      <w:jc w:val="right"/>
    </w:pPr>
    <w:r w:rsidRPr="00221E86">
      <w:t>A/HRC/RES/27/23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82" w:rsidRPr="00221E86" w:rsidRDefault="00531982" w:rsidP="00221E86">
    <w:pPr>
      <w:pStyle w:val="Header"/>
      <w:jc w:val="left"/>
    </w:pPr>
    <w:r w:rsidRPr="00221E86">
      <w:t>A/HRC/RES/27/23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CA0EB8"/>
    <w:multiLevelType w:val="hybridMultilevel"/>
    <w:tmpl w:val="3828CC46"/>
    <w:lvl w:ilvl="0" w:tplc="03EE1E52">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574D"/>
    <w:rsid w:val="00040E25"/>
    <w:rsid w:val="00042149"/>
    <w:rsid w:val="000648EA"/>
    <w:rsid w:val="0008166F"/>
    <w:rsid w:val="000957C8"/>
    <w:rsid w:val="000B52F2"/>
    <w:rsid w:val="000D0EAE"/>
    <w:rsid w:val="000D5380"/>
    <w:rsid w:val="000D6654"/>
    <w:rsid w:val="000F0264"/>
    <w:rsid w:val="000F2EBF"/>
    <w:rsid w:val="000F5FF6"/>
    <w:rsid w:val="00113FA5"/>
    <w:rsid w:val="001455A0"/>
    <w:rsid w:val="001602A3"/>
    <w:rsid w:val="001A5161"/>
    <w:rsid w:val="001A60BD"/>
    <w:rsid w:val="001B77A4"/>
    <w:rsid w:val="001E0067"/>
    <w:rsid w:val="00221E86"/>
    <w:rsid w:val="0023736D"/>
    <w:rsid w:val="00257225"/>
    <w:rsid w:val="00275860"/>
    <w:rsid w:val="002F13EF"/>
    <w:rsid w:val="00310160"/>
    <w:rsid w:val="00341A8C"/>
    <w:rsid w:val="003519E6"/>
    <w:rsid w:val="003B4356"/>
    <w:rsid w:val="003D5D43"/>
    <w:rsid w:val="003E3CD8"/>
    <w:rsid w:val="003F08A8"/>
    <w:rsid w:val="004250E3"/>
    <w:rsid w:val="00444AA6"/>
    <w:rsid w:val="00472A81"/>
    <w:rsid w:val="004B2C92"/>
    <w:rsid w:val="004D6A3A"/>
    <w:rsid w:val="004F4AD7"/>
    <w:rsid w:val="00531982"/>
    <w:rsid w:val="005449D8"/>
    <w:rsid w:val="00557CD3"/>
    <w:rsid w:val="00571432"/>
    <w:rsid w:val="005732A2"/>
    <w:rsid w:val="005762A5"/>
    <w:rsid w:val="00590BA3"/>
    <w:rsid w:val="005A1A9A"/>
    <w:rsid w:val="005A24AD"/>
    <w:rsid w:val="005B7AE0"/>
    <w:rsid w:val="005F146F"/>
    <w:rsid w:val="005F71B6"/>
    <w:rsid w:val="00660FD4"/>
    <w:rsid w:val="006A4425"/>
    <w:rsid w:val="006B4669"/>
    <w:rsid w:val="006C768B"/>
    <w:rsid w:val="006E3473"/>
    <w:rsid w:val="006F6BF8"/>
    <w:rsid w:val="00707BDF"/>
    <w:rsid w:val="00707E86"/>
    <w:rsid w:val="00710727"/>
    <w:rsid w:val="00710DA1"/>
    <w:rsid w:val="00715F45"/>
    <w:rsid w:val="00731B84"/>
    <w:rsid w:val="00734AE7"/>
    <w:rsid w:val="00786B69"/>
    <w:rsid w:val="007B599E"/>
    <w:rsid w:val="007E197F"/>
    <w:rsid w:val="007F68C4"/>
    <w:rsid w:val="008153DE"/>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9D574D"/>
    <w:rsid w:val="00A11DDA"/>
    <w:rsid w:val="00A26157"/>
    <w:rsid w:val="00A265C3"/>
    <w:rsid w:val="00A43F9A"/>
    <w:rsid w:val="00A543D4"/>
    <w:rsid w:val="00AD0014"/>
    <w:rsid w:val="00AD4CF2"/>
    <w:rsid w:val="00AE501A"/>
    <w:rsid w:val="00AF0BBA"/>
    <w:rsid w:val="00B06186"/>
    <w:rsid w:val="00B30468"/>
    <w:rsid w:val="00B54239"/>
    <w:rsid w:val="00B60E70"/>
    <w:rsid w:val="00B639B9"/>
    <w:rsid w:val="00BB2C41"/>
    <w:rsid w:val="00BC55C8"/>
    <w:rsid w:val="00BC5C10"/>
    <w:rsid w:val="00BE2964"/>
    <w:rsid w:val="00C24FBD"/>
    <w:rsid w:val="00C473BA"/>
    <w:rsid w:val="00C611ED"/>
    <w:rsid w:val="00C6490A"/>
    <w:rsid w:val="00C64FE1"/>
    <w:rsid w:val="00C66164"/>
    <w:rsid w:val="00C66278"/>
    <w:rsid w:val="00C8345E"/>
    <w:rsid w:val="00CA4C17"/>
    <w:rsid w:val="00CA5F7C"/>
    <w:rsid w:val="00CE7C87"/>
    <w:rsid w:val="00D06637"/>
    <w:rsid w:val="00D51067"/>
    <w:rsid w:val="00D5661B"/>
    <w:rsid w:val="00D75657"/>
    <w:rsid w:val="00D960AD"/>
    <w:rsid w:val="00DA0E0E"/>
    <w:rsid w:val="00DB0C39"/>
    <w:rsid w:val="00DB7679"/>
    <w:rsid w:val="00DC099B"/>
    <w:rsid w:val="00DE3904"/>
    <w:rsid w:val="00DF1702"/>
    <w:rsid w:val="00DF4DD8"/>
    <w:rsid w:val="00DF668E"/>
    <w:rsid w:val="00E05DE3"/>
    <w:rsid w:val="00E14D2B"/>
    <w:rsid w:val="00E20DBA"/>
    <w:rsid w:val="00E660D6"/>
    <w:rsid w:val="00E771AB"/>
    <w:rsid w:val="00E87E3B"/>
    <w:rsid w:val="00EA796F"/>
    <w:rsid w:val="00EB077B"/>
    <w:rsid w:val="00EC50B9"/>
    <w:rsid w:val="00ED26A0"/>
    <w:rsid w:val="00F04473"/>
    <w:rsid w:val="00F1727A"/>
    <w:rsid w:val="00F34764"/>
    <w:rsid w:val="00F54E3C"/>
    <w:rsid w:val="00F874BD"/>
    <w:rsid w:val="00FA6DD0"/>
    <w:rsid w:val="00FB691E"/>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3</Pages>
  <Words>598</Words>
  <Characters>3215</Characters>
  <Application>Microsoft Office Outlook</Application>
  <DocSecurity>4</DocSecurity>
  <Lines>73</Lines>
  <Paragraphs>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A/HRC/RES/27/23</vt:lpstr>
      <vt:lpstr>A/HRC/RES/27/23</vt:lpstr>
    </vt:vector>
  </TitlesOfParts>
  <Company>CSD</Company>
  <LinksUpToDate>false</LinksUpToDate>
  <CharactersWithSpaces>3775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A/HRC/RES/27/23</dc:title>
  <dc:subject>MOUNIR</dc:subject>
  <dc:creator>Bahnassawy</dc:creator>
  <cp:keywords/>
  <dc:description/>
  <cp:lastModifiedBy>TPS</cp:lastModifiedBy>
  <cp:revision>2</cp:revision>
  <cp:lastPrinted>2014-10-20T08:39:00Z</cp:lastPrinted>
  <dcterms:created xsi:type="dcterms:W3CDTF">2014-10-20T12:49:00Z</dcterms:created>
  <dcterms:modified xsi:type="dcterms:W3CDTF">2014-10-20T12:49:00Z</dcterms:modified>
</cp:coreProperties>
</file>