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10379" w14:textId="77777777" w:rsidR="001527EF" w:rsidRPr="00973FD3" w:rsidRDefault="001527EF" w:rsidP="001527EF">
      <w:pPr>
        <w:pStyle w:val="RepertoireFootnoteText"/>
        <w:spacing w:line="240" w:lineRule="auto"/>
        <w:ind w:left="0" w:right="0" w:firstLine="0"/>
        <w:jc w:val="both"/>
        <w:rPr>
          <w:sz w:val="2"/>
        </w:rPr>
        <w:sectPr w:rsidR="001527EF" w:rsidRPr="00973FD3" w:rsidSect="00973FD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73FD3">
        <w:rPr>
          <w:rStyle w:val="CommentReference"/>
          <w:rFonts w:ascii="Times New Roman" w:hAnsi="Times New Roman" w:cs="Times New Roman"/>
          <w:szCs w:val="20"/>
        </w:rPr>
        <w:commentReference w:id="0"/>
      </w:r>
    </w:p>
    <w:p w14:paraId="6ECB2632" w14:textId="77777777" w:rsidR="00973FD3" w:rsidRPr="002C6649" w:rsidRDefault="00973FD3" w:rsidP="00973F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2C6649">
        <w:t>Comité para la Eliminación de la Discriminación contra la Mujer</w:t>
      </w:r>
    </w:p>
    <w:p w14:paraId="02853777" w14:textId="77777777" w:rsidR="00973FD3" w:rsidRPr="002C6649" w:rsidRDefault="00973FD3" w:rsidP="00973FD3">
      <w:pPr>
        <w:pStyle w:val="Session"/>
      </w:pPr>
      <w:r w:rsidRPr="002C6649">
        <w:t>92º período de sesiones</w:t>
      </w:r>
    </w:p>
    <w:p w14:paraId="4BAD87E7" w14:textId="77777777" w:rsidR="00973FD3" w:rsidRPr="00973FD3" w:rsidRDefault="00973FD3" w:rsidP="00973FD3">
      <w:r w:rsidRPr="00973FD3">
        <w:t>Ginebra, 2 a 20 de febrero de 2026</w:t>
      </w:r>
    </w:p>
    <w:p w14:paraId="5B43812F" w14:textId="77777777" w:rsidR="00973FD3" w:rsidRPr="00973FD3" w:rsidRDefault="00973FD3" w:rsidP="00973FD3">
      <w:pPr>
        <w:pStyle w:val="AgendaItemNormal"/>
      </w:pPr>
      <w:r w:rsidRPr="00973FD3">
        <w:t xml:space="preserve">Tema </w:t>
      </w:r>
      <w:r w:rsidRPr="002C6649">
        <w:t>2</w:t>
      </w:r>
      <w:r w:rsidRPr="00973FD3">
        <w:t xml:space="preserve"> del programa provisional</w:t>
      </w:r>
    </w:p>
    <w:p w14:paraId="54BEBF82" w14:textId="47BFD7DE" w:rsidR="001527EF" w:rsidRPr="002C6649" w:rsidRDefault="00973FD3" w:rsidP="00973FD3">
      <w:pPr>
        <w:pStyle w:val="AgendaTitleH2"/>
        <w:ind w:left="1267" w:right="0" w:hanging="1267"/>
      </w:pPr>
      <w:r w:rsidRPr="002C6649">
        <w:t>Aprobación del programa y organización de los trabajos</w:t>
      </w:r>
    </w:p>
    <w:p w14:paraId="0DE7B7FD" w14:textId="77777777" w:rsidR="00973FD3" w:rsidRPr="00973FD3" w:rsidRDefault="00973FD3" w:rsidP="00973FD3">
      <w:pPr>
        <w:spacing w:line="120" w:lineRule="exact"/>
        <w:rPr>
          <w:sz w:val="10"/>
        </w:rPr>
      </w:pPr>
    </w:p>
    <w:p w14:paraId="77F2C26F" w14:textId="77777777" w:rsidR="00973FD3" w:rsidRPr="00973FD3" w:rsidRDefault="00973FD3" w:rsidP="00973FD3">
      <w:pPr>
        <w:spacing w:line="120" w:lineRule="exact"/>
        <w:rPr>
          <w:sz w:val="10"/>
        </w:rPr>
      </w:pPr>
    </w:p>
    <w:p w14:paraId="71AD34DA" w14:textId="77777777" w:rsidR="00973FD3" w:rsidRPr="00973FD3" w:rsidRDefault="00973FD3" w:rsidP="00973FD3">
      <w:pPr>
        <w:spacing w:line="120" w:lineRule="exact"/>
        <w:rPr>
          <w:sz w:val="10"/>
        </w:rPr>
      </w:pPr>
    </w:p>
    <w:p w14:paraId="291917B6" w14:textId="275E8664" w:rsidR="00973FD3" w:rsidRPr="002C6649" w:rsidRDefault="0012082B" w:rsidP="0012082B">
      <w:pPr>
        <w:pStyle w:val="TitleHCH"/>
        <w:ind w:right="1260"/>
      </w:pPr>
      <w:r w:rsidRPr="002C6649">
        <w:tab/>
      </w:r>
      <w:r w:rsidRPr="002C6649">
        <w:tab/>
      </w:r>
      <w:r w:rsidR="00973FD3" w:rsidRPr="002C6649">
        <w:t>Programa provisional anotado</w:t>
      </w:r>
    </w:p>
    <w:p w14:paraId="3E30E44C" w14:textId="77777777" w:rsidR="0012082B" w:rsidRPr="0012082B" w:rsidRDefault="0012082B" w:rsidP="0012082B">
      <w:pPr>
        <w:pStyle w:val="SingleTxt"/>
        <w:spacing w:after="0" w:line="120" w:lineRule="exact"/>
        <w:rPr>
          <w:sz w:val="10"/>
        </w:rPr>
      </w:pPr>
    </w:p>
    <w:p w14:paraId="16D9219F" w14:textId="77777777" w:rsidR="0012082B" w:rsidRPr="0012082B" w:rsidRDefault="0012082B" w:rsidP="0012082B">
      <w:pPr>
        <w:pStyle w:val="SingleTxt"/>
        <w:spacing w:after="0" w:line="120" w:lineRule="exact"/>
        <w:rPr>
          <w:sz w:val="10"/>
        </w:rPr>
      </w:pPr>
    </w:p>
    <w:p w14:paraId="3D734AE0" w14:textId="6D08E9E3" w:rsidR="00973FD3" w:rsidRPr="002C6649" w:rsidRDefault="0012082B" w:rsidP="0012082B">
      <w:pPr>
        <w:pStyle w:val="TitleH1"/>
      </w:pPr>
      <w:r w:rsidRPr="002C6649">
        <w:tab/>
      </w:r>
      <w:r w:rsidR="00973FD3" w:rsidRPr="002C6649">
        <w:tab/>
        <w:t>Programa provisional</w:t>
      </w:r>
    </w:p>
    <w:p w14:paraId="0848AE47" w14:textId="77777777" w:rsidR="0012082B" w:rsidRPr="0012082B" w:rsidRDefault="0012082B" w:rsidP="0012082B">
      <w:pPr>
        <w:pStyle w:val="SingleTxt"/>
        <w:spacing w:after="0" w:line="120" w:lineRule="exact"/>
        <w:rPr>
          <w:sz w:val="10"/>
        </w:rPr>
      </w:pPr>
    </w:p>
    <w:p w14:paraId="63B210DE" w14:textId="77777777" w:rsidR="0012082B" w:rsidRPr="0012082B" w:rsidRDefault="0012082B" w:rsidP="0012082B">
      <w:pPr>
        <w:pStyle w:val="SingleTxt"/>
        <w:spacing w:after="0" w:line="120" w:lineRule="exact"/>
        <w:rPr>
          <w:sz w:val="10"/>
        </w:rPr>
      </w:pPr>
    </w:p>
    <w:p w14:paraId="68141036" w14:textId="77777777" w:rsidR="00973FD3" w:rsidRPr="00973FD3" w:rsidRDefault="00973FD3" w:rsidP="0012082B">
      <w:pPr>
        <w:pStyle w:val="SingleTxt"/>
        <w:jc w:val="left"/>
      </w:pPr>
      <w:r w:rsidRPr="00973FD3">
        <w:t>1.</w:t>
      </w:r>
      <w:r w:rsidRPr="00973FD3">
        <w:tab/>
        <w:t>Apertura del período de sesiones.</w:t>
      </w:r>
    </w:p>
    <w:p w14:paraId="64BECE0B" w14:textId="77777777" w:rsidR="00973FD3" w:rsidRPr="00973FD3" w:rsidRDefault="00973FD3" w:rsidP="0012082B">
      <w:pPr>
        <w:pStyle w:val="SingleTxt"/>
        <w:jc w:val="left"/>
      </w:pPr>
      <w:r w:rsidRPr="00973FD3">
        <w:t>2.</w:t>
      </w:r>
      <w:r w:rsidRPr="00973FD3">
        <w:tab/>
        <w:t>Aprobación del programa y organización de los trabajos.</w:t>
      </w:r>
    </w:p>
    <w:p w14:paraId="06F36174" w14:textId="77777777" w:rsidR="00973FD3" w:rsidRPr="00973FD3" w:rsidRDefault="00973FD3" w:rsidP="0012082B">
      <w:pPr>
        <w:pStyle w:val="SingleTxt"/>
        <w:ind w:left="1742" w:hanging="475"/>
        <w:jc w:val="left"/>
      </w:pPr>
      <w:r w:rsidRPr="00973FD3">
        <w:t>3.</w:t>
      </w:r>
      <w:r w:rsidRPr="00973FD3">
        <w:tab/>
        <w:t>Informe de la Presidencia sobre las actividades realizadas entre los períodos de sesiones 91º y 92º del Comité.</w:t>
      </w:r>
    </w:p>
    <w:p w14:paraId="41EE505E" w14:textId="77777777" w:rsidR="00973FD3" w:rsidRPr="00973FD3" w:rsidRDefault="00973FD3" w:rsidP="0012082B">
      <w:pPr>
        <w:pStyle w:val="SingleTxt"/>
        <w:ind w:left="1742" w:hanging="475"/>
        <w:jc w:val="left"/>
      </w:pPr>
      <w:r w:rsidRPr="00973FD3">
        <w:t>4.</w:t>
      </w:r>
      <w:r w:rsidRPr="00973FD3">
        <w:tab/>
        <w:t>Examen de los informes presentados por los Estados Partes en virtud del artículo 18 de la Convención sobre la Eliminación de Todas las Formas de Discriminación contra la Mujer.</w:t>
      </w:r>
    </w:p>
    <w:p w14:paraId="6E8E0CF3" w14:textId="77777777" w:rsidR="00973FD3" w:rsidRPr="00973FD3" w:rsidRDefault="00973FD3" w:rsidP="0012082B">
      <w:pPr>
        <w:pStyle w:val="SingleTxt"/>
        <w:ind w:left="1742" w:hanging="475"/>
        <w:jc w:val="left"/>
      </w:pPr>
      <w:r w:rsidRPr="00973FD3">
        <w:t>5.</w:t>
      </w:r>
      <w:r w:rsidRPr="00973FD3">
        <w:tab/>
        <w:t>Seguimiento del examen de los informes presentados por los Estados Partes en virtud del artículo 18 de la Convención.</w:t>
      </w:r>
    </w:p>
    <w:p w14:paraId="5A93A835" w14:textId="77777777" w:rsidR="00973FD3" w:rsidRPr="00973FD3" w:rsidRDefault="00973FD3" w:rsidP="0012082B">
      <w:pPr>
        <w:pStyle w:val="SingleTxt"/>
        <w:jc w:val="left"/>
      </w:pPr>
      <w:r w:rsidRPr="00973FD3">
        <w:t>6.</w:t>
      </w:r>
      <w:r w:rsidRPr="00973FD3">
        <w:tab/>
        <w:t>Aplicación de los artículos 21 y 22 de la Convención.</w:t>
      </w:r>
    </w:p>
    <w:p w14:paraId="6DA8E2AD" w14:textId="77777777" w:rsidR="00973FD3" w:rsidRPr="00973FD3" w:rsidRDefault="00973FD3" w:rsidP="0012082B">
      <w:pPr>
        <w:pStyle w:val="SingleTxt"/>
        <w:jc w:val="left"/>
      </w:pPr>
      <w:r w:rsidRPr="00973FD3">
        <w:t>7.</w:t>
      </w:r>
      <w:r w:rsidRPr="00973FD3">
        <w:tab/>
        <w:t>Medios de agilizar los trabajos del Comité.</w:t>
      </w:r>
    </w:p>
    <w:p w14:paraId="030CF67F" w14:textId="77777777" w:rsidR="00973FD3" w:rsidRPr="00973FD3" w:rsidRDefault="00973FD3" w:rsidP="0012082B">
      <w:pPr>
        <w:pStyle w:val="SingleTxt"/>
        <w:ind w:left="1742" w:hanging="475"/>
        <w:jc w:val="left"/>
      </w:pPr>
      <w:r w:rsidRPr="00973FD3">
        <w:t>8.</w:t>
      </w:r>
      <w:r w:rsidRPr="00973FD3">
        <w:tab/>
        <w:t>Actividades del Comité en relación con el Protocolo Facultativo de la Convención.</w:t>
      </w:r>
    </w:p>
    <w:p w14:paraId="23590C21" w14:textId="77777777" w:rsidR="00973FD3" w:rsidRPr="00973FD3" w:rsidRDefault="00973FD3" w:rsidP="0012082B">
      <w:pPr>
        <w:pStyle w:val="SingleTxt"/>
        <w:jc w:val="left"/>
      </w:pPr>
      <w:r w:rsidRPr="00973FD3">
        <w:t>9.</w:t>
      </w:r>
      <w:r w:rsidRPr="00973FD3">
        <w:tab/>
        <w:t>Programa provisional del 93</w:t>
      </w:r>
      <w:r w:rsidRPr="00973FD3">
        <w:rPr>
          <w:vertAlign w:val="superscript"/>
        </w:rPr>
        <w:t>er</w:t>
      </w:r>
      <w:r w:rsidRPr="00973FD3">
        <w:t xml:space="preserve"> período de sesiones del Comité.</w:t>
      </w:r>
    </w:p>
    <w:p w14:paraId="2A3304FD" w14:textId="77777777" w:rsidR="00973FD3" w:rsidRDefault="00973FD3" w:rsidP="0012082B">
      <w:pPr>
        <w:pStyle w:val="SingleTxt"/>
        <w:jc w:val="left"/>
      </w:pPr>
      <w:r w:rsidRPr="00973FD3">
        <w:t>10.</w:t>
      </w:r>
      <w:r w:rsidRPr="00973FD3">
        <w:tab/>
        <w:t>Aprobación del informe del Comité sobre su 92º período de sesiones.</w:t>
      </w:r>
    </w:p>
    <w:p w14:paraId="2A450646" w14:textId="77777777" w:rsidR="0012082B" w:rsidRPr="0012082B" w:rsidRDefault="0012082B" w:rsidP="0012082B">
      <w:pPr>
        <w:pStyle w:val="SingleTxt"/>
        <w:spacing w:after="0" w:line="120" w:lineRule="exact"/>
        <w:jc w:val="left"/>
        <w:rPr>
          <w:sz w:val="10"/>
        </w:rPr>
      </w:pPr>
    </w:p>
    <w:p w14:paraId="0804A649" w14:textId="77777777" w:rsidR="0012082B" w:rsidRPr="0012082B" w:rsidRDefault="0012082B" w:rsidP="0012082B">
      <w:pPr>
        <w:pStyle w:val="SingleTxt"/>
        <w:spacing w:after="0" w:line="120" w:lineRule="exact"/>
        <w:jc w:val="left"/>
        <w:rPr>
          <w:sz w:val="10"/>
        </w:rPr>
      </w:pPr>
    </w:p>
    <w:p w14:paraId="24D9F0E4" w14:textId="52F74D1C" w:rsidR="00973FD3" w:rsidRPr="002C6649" w:rsidRDefault="0012082B" w:rsidP="001208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00973FD3" w:rsidRPr="002C6649">
        <w:tab/>
        <w:t>Anotaciones</w:t>
      </w:r>
    </w:p>
    <w:p w14:paraId="25D3F5B1" w14:textId="77777777" w:rsidR="0012082B" w:rsidRPr="0012082B" w:rsidRDefault="0012082B" w:rsidP="0012082B">
      <w:pPr>
        <w:pStyle w:val="SingleTxt"/>
        <w:spacing w:after="0" w:line="120" w:lineRule="exact"/>
        <w:rPr>
          <w:sz w:val="10"/>
        </w:rPr>
      </w:pPr>
    </w:p>
    <w:p w14:paraId="47321EB0" w14:textId="77777777" w:rsidR="0012082B" w:rsidRPr="0012082B" w:rsidRDefault="0012082B" w:rsidP="0012082B">
      <w:pPr>
        <w:pStyle w:val="SingleTxt"/>
        <w:spacing w:after="0" w:line="120" w:lineRule="exact"/>
        <w:rPr>
          <w:sz w:val="10"/>
        </w:rPr>
      </w:pPr>
    </w:p>
    <w:p w14:paraId="7CB45CD5"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1.</w:t>
      </w:r>
      <w:r w:rsidRPr="002C6649">
        <w:tab/>
        <w:t>Apertura del período de sesiones</w:t>
      </w:r>
    </w:p>
    <w:p w14:paraId="45FD3191" w14:textId="77777777" w:rsidR="0012082B" w:rsidRPr="0012082B" w:rsidRDefault="0012082B" w:rsidP="0012082B">
      <w:pPr>
        <w:pStyle w:val="SingleTxt"/>
        <w:spacing w:after="0" w:line="120" w:lineRule="exact"/>
        <w:rPr>
          <w:sz w:val="10"/>
        </w:rPr>
      </w:pPr>
    </w:p>
    <w:p w14:paraId="5C76EE83" w14:textId="77777777" w:rsidR="00973FD3" w:rsidRDefault="00973FD3" w:rsidP="00973FD3">
      <w:pPr>
        <w:pStyle w:val="SingleTxt"/>
      </w:pPr>
      <w:r w:rsidRPr="00973FD3">
        <w:t>El 92º período de sesiones del Comité para la Eliminación de la Discriminación contra la Mujer será inaugurado por la Presidencia del Comité el 2 de febrero de 2026.</w:t>
      </w:r>
    </w:p>
    <w:p w14:paraId="2C2B2BB7" w14:textId="77777777" w:rsidR="0012082B" w:rsidRPr="0012082B" w:rsidRDefault="0012082B" w:rsidP="0012082B">
      <w:pPr>
        <w:pStyle w:val="SingleTxt"/>
        <w:spacing w:after="0" w:line="120" w:lineRule="exact"/>
        <w:rPr>
          <w:sz w:val="10"/>
        </w:rPr>
      </w:pPr>
    </w:p>
    <w:p w14:paraId="40C74032"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lastRenderedPageBreak/>
        <w:tab/>
        <w:t>2.</w:t>
      </w:r>
      <w:r w:rsidRPr="002C6649">
        <w:tab/>
        <w:t>Aprobación del programa y organización de los trabajos</w:t>
      </w:r>
    </w:p>
    <w:p w14:paraId="6C372910" w14:textId="77777777" w:rsidR="0012082B" w:rsidRPr="0012082B" w:rsidRDefault="0012082B" w:rsidP="0012082B">
      <w:pPr>
        <w:pStyle w:val="SingleTxt"/>
        <w:spacing w:after="0" w:line="120" w:lineRule="exact"/>
        <w:rPr>
          <w:sz w:val="10"/>
        </w:rPr>
      </w:pPr>
    </w:p>
    <w:p w14:paraId="2AF06A08" w14:textId="77777777" w:rsidR="00973FD3" w:rsidRPr="00973FD3" w:rsidRDefault="00973FD3" w:rsidP="00973FD3">
      <w:pPr>
        <w:pStyle w:val="SingleTxt"/>
      </w:pPr>
      <w:r w:rsidRPr="00973FD3">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64207EA2" w14:textId="77777777" w:rsidR="00973FD3" w:rsidRDefault="00973FD3" w:rsidP="00973FD3">
      <w:pPr>
        <w:pStyle w:val="SingleTxt"/>
      </w:pPr>
      <w:r w:rsidRPr="00973FD3">
        <w:t>El Comité aprobó el programa provisional de su 92º período de sesiones en su 91</w:t>
      </w:r>
      <w:r w:rsidRPr="00973FD3">
        <w:rPr>
          <w:vertAlign w:val="superscript"/>
        </w:rPr>
        <w:t>er</w:t>
      </w:r>
      <w:r w:rsidRPr="00973FD3">
        <w:t xml:space="preserve"> período de sesiones.</w:t>
      </w:r>
    </w:p>
    <w:p w14:paraId="2FACFEE3" w14:textId="77777777" w:rsidR="0012082B" w:rsidRPr="0012082B" w:rsidRDefault="0012082B" w:rsidP="0012082B">
      <w:pPr>
        <w:pStyle w:val="SingleTxt"/>
        <w:spacing w:after="0" w:line="120" w:lineRule="exact"/>
        <w:rPr>
          <w:sz w:val="10"/>
        </w:rPr>
      </w:pPr>
    </w:p>
    <w:p w14:paraId="1B25B559"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2C6649">
        <w:tab/>
        <w:t>3.</w:t>
      </w:r>
      <w:r w:rsidRPr="002C6649">
        <w:tab/>
        <w:t>Informe de la Presidencia sobre las actividades realizadas entre los períodos de sesiones 91º y 92º del Comité</w:t>
      </w:r>
    </w:p>
    <w:p w14:paraId="00609BB0" w14:textId="77777777" w:rsidR="0012082B" w:rsidRPr="0012082B" w:rsidRDefault="0012082B" w:rsidP="0012082B">
      <w:pPr>
        <w:pStyle w:val="SingleTxt"/>
        <w:spacing w:after="0" w:line="120" w:lineRule="exact"/>
        <w:rPr>
          <w:sz w:val="10"/>
        </w:rPr>
      </w:pPr>
    </w:p>
    <w:p w14:paraId="06A2D14D" w14:textId="77777777" w:rsidR="00973FD3" w:rsidRDefault="00973FD3" w:rsidP="00973FD3">
      <w:pPr>
        <w:pStyle w:val="SingleTxt"/>
      </w:pPr>
      <w:r w:rsidRPr="00973FD3">
        <w:t>La Presidencia informará al Comité sobre su participación en las actividades y los acontecimientos relacionados con la labor del Comité que hayan ocurrido desde el período de sesiones anterior.</w:t>
      </w:r>
    </w:p>
    <w:p w14:paraId="4DECE53B" w14:textId="77777777" w:rsidR="0012082B" w:rsidRPr="0012082B" w:rsidRDefault="0012082B" w:rsidP="0012082B">
      <w:pPr>
        <w:pStyle w:val="SingleTxt"/>
        <w:spacing w:after="0" w:line="120" w:lineRule="exact"/>
        <w:rPr>
          <w:sz w:val="10"/>
        </w:rPr>
      </w:pPr>
    </w:p>
    <w:p w14:paraId="65C9C7B0" w14:textId="5A4072C7" w:rsidR="00973FD3" w:rsidRPr="002C6649" w:rsidRDefault="0012082B"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00973FD3" w:rsidRPr="002C6649">
        <w:tab/>
        <w:t>Documentación</w:t>
      </w:r>
    </w:p>
    <w:p w14:paraId="4FACB334" w14:textId="77777777" w:rsidR="0012082B" w:rsidRPr="0012082B" w:rsidRDefault="0012082B" w:rsidP="0012082B">
      <w:pPr>
        <w:pStyle w:val="SingleTxt"/>
        <w:spacing w:after="0" w:line="120" w:lineRule="exact"/>
        <w:rPr>
          <w:sz w:val="10"/>
        </w:rPr>
      </w:pPr>
    </w:p>
    <w:p w14:paraId="2A57B404" w14:textId="4B3A73A2" w:rsidR="00973FD3" w:rsidRDefault="00973FD3" w:rsidP="00973FD3">
      <w:pPr>
        <w:pStyle w:val="SingleTxt"/>
      </w:pPr>
      <w:r w:rsidRPr="00973FD3">
        <w:t>Programa provisional anotado (</w:t>
      </w:r>
      <w:bookmarkStart w:id="1" w:name="bmv0"/>
      <w:r w:rsidR="0012082B" w:rsidRPr="002C6649">
        <w:fldChar w:fldCharType="begin"/>
      </w:r>
      <w:r w:rsidR="0012082B" w:rsidRPr="002C6649">
        <w:instrText>HYPERLINK "https://docs.un.org/es/CEDAW/C/92/1"</w:instrText>
      </w:r>
      <w:r w:rsidR="0012082B" w:rsidRPr="002C6649">
        <w:fldChar w:fldCharType="separate"/>
      </w:r>
      <w:r w:rsidRPr="00973FD3">
        <w:rPr>
          <w:rStyle w:val="Hyperlink"/>
        </w:rPr>
        <w:t>CEDAW/C/92/1</w:t>
      </w:r>
      <w:r w:rsidR="0012082B" w:rsidRPr="002C6649">
        <w:fldChar w:fldCharType="end"/>
      </w:r>
      <w:bookmarkEnd w:id="1"/>
      <w:r w:rsidRPr="00973FD3">
        <w:t>)</w:t>
      </w:r>
    </w:p>
    <w:p w14:paraId="6DE9CE9E" w14:textId="77777777" w:rsidR="0012082B" w:rsidRPr="0012082B" w:rsidRDefault="0012082B" w:rsidP="0012082B">
      <w:pPr>
        <w:pStyle w:val="SingleTxt"/>
        <w:spacing w:after="0" w:line="120" w:lineRule="exact"/>
        <w:rPr>
          <w:sz w:val="10"/>
        </w:rPr>
      </w:pPr>
    </w:p>
    <w:p w14:paraId="33C563DB"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4.</w:t>
      </w:r>
      <w:r w:rsidRPr="002C6649">
        <w:tab/>
        <w:t>Examen de los informes presentados por los Estados Partes en virtud del artículo 18 de la Convención sobre la Eliminación de Todas las Formas de Discriminación contra la Mujer</w:t>
      </w:r>
    </w:p>
    <w:p w14:paraId="3694A6BF" w14:textId="77777777" w:rsidR="00973FD3" w:rsidRPr="0012082B" w:rsidRDefault="00973FD3" w:rsidP="0012082B">
      <w:pPr>
        <w:pStyle w:val="SingleTxt"/>
        <w:spacing w:after="0" w:line="120" w:lineRule="exact"/>
        <w:rPr>
          <w:sz w:val="10"/>
        </w:rPr>
      </w:pPr>
    </w:p>
    <w:p w14:paraId="7FCDB8B9" w14:textId="77777777" w:rsidR="00973FD3" w:rsidRPr="00973FD3" w:rsidRDefault="00973FD3" w:rsidP="00973FD3">
      <w:pPr>
        <w:pStyle w:val="SingleTxt"/>
      </w:pPr>
      <w:r w:rsidRPr="00973FD3">
        <w:t>El artículo 18 de la Convención dispone que los Estados Partes en ella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123496BB" w14:textId="77777777" w:rsidR="00973FD3" w:rsidRPr="00973FD3" w:rsidRDefault="00973FD3" w:rsidP="00973FD3">
      <w:pPr>
        <w:pStyle w:val="SingleTxt"/>
      </w:pPr>
      <w:r w:rsidRPr="00973FD3">
        <w:t>Está previsto que en su 92º período de sesiones el Comité examine los informes de los Estados Partes siguientes: Argentina, Chequia, El Salvador, Iraq, Lesotho, Lituania, Países Bajos (Reino de los) y Viet Nam.</w:t>
      </w:r>
    </w:p>
    <w:p w14:paraId="068751CA" w14:textId="77777777" w:rsidR="00973FD3" w:rsidRPr="00973FD3" w:rsidRDefault="00973FD3" w:rsidP="00973FD3">
      <w:pPr>
        <w:pStyle w:val="SingleTxt"/>
      </w:pPr>
      <w:r w:rsidRPr="00973FD3">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10595B4C" w14:textId="77777777" w:rsidR="00973FD3" w:rsidRPr="00973FD3" w:rsidRDefault="00973FD3" w:rsidP="00973FD3">
      <w:pPr>
        <w:pStyle w:val="SingleTxt"/>
      </w:pPr>
      <w:r w:rsidRPr="00973FD3">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así como una lista de los informes que todavía no hayan sido examinados por el Comité.</w:t>
      </w:r>
    </w:p>
    <w:p w14:paraId="6EF21A2C" w14:textId="6CEE8CF3" w:rsidR="0012082B" w:rsidRDefault="00973FD3" w:rsidP="00973FD3">
      <w:pPr>
        <w:pStyle w:val="SingleTxt"/>
      </w:pPr>
      <w:r w:rsidRPr="00973FD3">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92º período de sesiones se reunió del 24 al 28 de febrero de 2025. El Comité tendrá ante sí el informe del grupo de trabajo (</w:t>
      </w:r>
      <w:hyperlink r:id="rId20" w:history="1">
        <w:r w:rsidRPr="00973FD3">
          <w:rPr>
            <w:rStyle w:val="Hyperlink"/>
          </w:rPr>
          <w:t>CEDAW/C/PSWG/92/1</w:t>
        </w:r>
      </w:hyperlink>
      <w:r w:rsidRPr="00973FD3">
        <w:t>).</w:t>
      </w:r>
    </w:p>
    <w:p w14:paraId="1433BCDA" w14:textId="4D847F0F" w:rsidR="0012082B" w:rsidRDefault="0012082B">
      <w:pPr>
        <w:suppressAutoHyphens w:val="0"/>
        <w:spacing w:after="160" w:line="259" w:lineRule="auto"/>
        <w:rPr>
          <w:kern w:val="14"/>
          <w:sz w:val="10"/>
        </w:rPr>
      </w:pPr>
      <w:r>
        <w:rPr>
          <w:sz w:val="10"/>
        </w:rPr>
        <w:br w:type="page"/>
      </w:r>
    </w:p>
    <w:p w14:paraId="72CBEC4E"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lastRenderedPageBreak/>
        <w:tab/>
      </w:r>
      <w:r w:rsidRPr="002C6649">
        <w:tab/>
        <w:t>Documentación</w:t>
      </w:r>
    </w:p>
    <w:p w14:paraId="25E0C513" w14:textId="77777777" w:rsidR="0012082B" w:rsidRPr="0012082B" w:rsidRDefault="0012082B" w:rsidP="0012082B">
      <w:pPr>
        <w:pStyle w:val="SingleTxt"/>
        <w:spacing w:after="0" w:line="120" w:lineRule="exact"/>
        <w:rPr>
          <w:sz w:val="10"/>
        </w:rPr>
      </w:pPr>
    </w:p>
    <w:p w14:paraId="5E21F804" w14:textId="77777777" w:rsidR="00973FD3" w:rsidRPr="002C6649" w:rsidRDefault="00973FD3"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Pr="002C6649">
        <w:tab/>
        <w:t>Informes</w:t>
      </w:r>
    </w:p>
    <w:p w14:paraId="64D01408" w14:textId="77777777" w:rsidR="0012082B" w:rsidRPr="0012082B" w:rsidRDefault="0012082B" w:rsidP="0012082B">
      <w:pPr>
        <w:pStyle w:val="SingleTxt"/>
        <w:spacing w:after="0" w:line="120" w:lineRule="exact"/>
        <w:rPr>
          <w:sz w:val="10"/>
        </w:rPr>
      </w:pPr>
    </w:p>
    <w:p w14:paraId="769F0213" w14:textId="68E160BD" w:rsidR="00973FD3" w:rsidRPr="00973FD3" w:rsidRDefault="00973FD3" w:rsidP="00973FD3">
      <w:pPr>
        <w:pStyle w:val="SingleTxt"/>
      </w:pPr>
      <w:r w:rsidRPr="00973FD3">
        <w:t>Octavo informe periódico de la Argentina, presentado conforme al procedimiento simplificado (</w:t>
      </w:r>
      <w:hyperlink r:id="rId21" w:history="1">
        <w:r w:rsidRPr="00973FD3">
          <w:rPr>
            <w:rStyle w:val="Hyperlink"/>
          </w:rPr>
          <w:t>CEDAW/C/ARG/8</w:t>
        </w:r>
      </w:hyperlink>
      <w:r w:rsidRPr="00973FD3">
        <w:t>)</w:t>
      </w:r>
    </w:p>
    <w:p w14:paraId="4D1F82B2" w14:textId="754E5B31" w:rsidR="00973FD3" w:rsidRPr="00973FD3" w:rsidRDefault="00973FD3" w:rsidP="00973FD3">
      <w:pPr>
        <w:pStyle w:val="SingleTxt"/>
      </w:pPr>
      <w:r w:rsidRPr="00973FD3">
        <w:t>Séptimo informe periódico de Chequia (</w:t>
      </w:r>
      <w:hyperlink r:id="rId22" w:history="1">
        <w:r w:rsidRPr="00973FD3">
          <w:rPr>
            <w:rStyle w:val="Hyperlink"/>
          </w:rPr>
          <w:t>CEDAW/C/CZE/7</w:t>
        </w:r>
      </w:hyperlink>
      <w:r w:rsidRPr="00973FD3">
        <w:t>)</w:t>
      </w:r>
    </w:p>
    <w:p w14:paraId="4CE5C0CD" w14:textId="4CE25DCE" w:rsidR="00973FD3" w:rsidRPr="00973FD3" w:rsidRDefault="00973FD3" w:rsidP="00973FD3">
      <w:pPr>
        <w:pStyle w:val="SingleTxt"/>
      </w:pPr>
      <w:r w:rsidRPr="00973FD3">
        <w:t>Décimo informe periódico de El Salvador (</w:t>
      </w:r>
      <w:hyperlink r:id="rId23" w:history="1">
        <w:r w:rsidRPr="00973FD3">
          <w:rPr>
            <w:rStyle w:val="Hyperlink"/>
          </w:rPr>
          <w:t>CEDAW/C/SLV/10</w:t>
        </w:r>
      </w:hyperlink>
      <w:r w:rsidRPr="00973FD3">
        <w:t>)</w:t>
      </w:r>
    </w:p>
    <w:p w14:paraId="25226605" w14:textId="58072CA5" w:rsidR="00973FD3" w:rsidRPr="00973FD3" w:rsidRDefault="00973FD3" w:rsidP="00973FD3">
      <w:pPr>
        <w:pStyle w:val="SingleTxt"/>
      </w:pPr>
      <w:r w:rsidRPr="00973FD3">
        <w:t>Octavo informe periódico del Iraq (</w:t>
      </w:r>
      <w:hyperlink r:id="rId24" w:history="1">
        <w:r w:rsidRPr="00973FD3">
          <w:rPr>
            <w:rStyle w:val="Hyperlink"/>
          </w:rPr>
          <w:t>CEDAW/C/IRQ/8</w:t>
        </w:r>
      </w:hyperlink>
      <w:r w:rsidRPr="00973FD3">
        <w:t>)</w:t>
      </w:r>
    </w:p>
    <w:p w14:paraId="33B096B9" w14:textId="4C66F34C" w:rsidR="00973FD3" w:rsidRPr="00973FD3" w:rsidRDefault="00973FD3" w:rsidP="00973FD3">
      <w:pPr>
        <w:pStyle w:val="SingleTxt"/>
      </w:pPr>
      <w:r w:rsidRPr="00973FD3">
        <w:t>Informes periódicos quinto a séptimo combinados de Lesotho (</w:t>
      </w:r>
      <w:hyperlink r:id="rId25" w:history="1">
        <w:r w:rsidRPr="00973FD3">
          <w:rPr>
            <w:rStyle w:val="Hyperlink"/>
          </w:rPr>
          <w:t>CEDAW/C/LSO/5-7</w:t>
        </w:r>
      </w:hyperlink>
      <w:r w:rsidRPr="00973FD3">
        <w:t>)</w:t>
      </w:r>
    </w:p>
    <w:p w14:paraId="189306EF" w14:textId="57A61C68" w:rsidR="00973FD3" w:rsidRPr="00973FD3" w:rsidRDefault="00973FD3" w:rsidP="00973FD3">
      <w:pPr>
        <w:pStyle w:val="SingleTxt"/>
      </w:pPr>
      <w:r w:rsidRPr="00973FD3">
        <w:t>Séptimo informe periódico de Lituania (</w:t>
      </w:r>
      <w:hyperlink r:id="rId26" w:history="1">
        <w:r w:rsidRPr="00973FD3">
          <w:rPr>
            <w:rStyle w:val="Hyperlink"/>
          </w:rPr>
          <w:t>CEDAW/C/LTU/7</w:t>
        </w:r>
      </w:hyperlink>
      <w:r w:rsidRPr="00973FD3">
        <w:t>)</w:t>
      </w:r>
    </w:p>
    <w:p w14:paraId="5B7DBC7D" w14:textId="03E2E1C2" w:rsidR="00973FD3" w:rsidRPr="00973FD3" w:rsidRDefault="00973FD3" w:rsidP="00973FD3">
      <w:pPr>
        <w:pStyle w:val="SingleTxt"/>
      </w:pPr>
      <w:r w:rsidRPr="00973FD3">
        <w:t>Séptimo informe periódico del Reino de los Países Bajos, presentado conforme al procedimiento simplificado (</w:t>
      </w:r>
      <w:hyperlink r:id="rId27" w:history="1">
        <w:r w:rsidRPr="00973FD3">
          <w:rPr>
            <w:rStyle w:val="Hyperlink"/>
          </w:rPr>
          <w:t>CEDAW/C/NLD/7</w:t>
        </w:r>
      </w:hyperlink>
      <w:r w:rsidRPr="00973FD3">
        <w:t>)</w:t>
      </w:r>
    </w:p>
    <w:p w14:paraId="6B18A890" w14:textId="192938D3" w:rsidR="0012082B" w:rsidRDefault="00973FD3" w:rsidP="00973FD3">
      <w:pPr>
        <w:pStyle w:val="SingleTxt"/>
      </w:pPr>
      <w:r w:rsidRPr="00973FD3">
        <w:t>Noveno informe periódico de Viet Nam (</w:t>
      </w:r>
      <w:hyperlink r:id="rId28" w:history="1">
        <w:r w:rsidRPr="00973FD3">
          <w:rPr>
            <w:rStyle w:val="Hyperlink"/>
          </w:rPr>
          <w:t>CEDAW/C/VNM/9</w:t>
        </w:r>
      </w:hyperlink>
      <w:r w:rsidRPr="00973FD3">
        <w:t>)</w:t>
      </w:r>
    </w:p>
    <w:p w14:paraId="3A1230E1" w14:textId="77777777" w:rsidR="0012082B" w:rsidRPr="0012082B" w:rsidRDefault="0012082B" w:rsidP="0012082B">
      <w:pPr>
        <w:pStyle w:val="SingleTxt"/>
        <w:spacing w:after="0" w:line="120" w:lineRule="exact"/>
        <w:rPr>
          <w:sz w:val="10"/>
        </w:rPr>
      </w:pPr>
    </w:p>
    <w:p w14:paraId="24EF7AAF" w14:textId="77777777" w:rsidR="00973FD3" w:rsidRPr="002C6649" w:rsidRDefault="00973FD3"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Pr="002C6649">
        <w:tab/>
        <w:t>Listas de cuestiones y preguntas</w:t>
      </w:r>
    </w:p>
    <w:p w14:paraId="2B092653" w14:textId="77777777" w:rsidR="0012082B" w:rsidRPr="0012082B" w:rsidRDefault="0012082B" w:rsidP="0012082B">
      <w:pPr>
        <w:pStyle w:val="SingleTxt"/>
        <w:spacing w:after="0" w:line="120" w:lineRule="exact"/>
        <w:rPr>
          <w:sz w:val="10"/>
        </w:rPr>
      </w:pPr>
    </w:p>
    <w:p w14:paraId="16C695DE" w14:textId="068DDFD8" w:rsidR="00973FD3" w:rsidRPr="00973FD3" w:rsidRDefault="00973FD3" w:rsidP="00973FD3">
      <w:pPr>
        <w:pStyle w:val="SingleTxt"/>
      </w:pPr>
      <w:r w:rsidRPr="00973FD3">
        <w:t>Argentina (</w:t>
      </w:r>
      <w:hyperlink r:id="rId29" w:history="1">
        <w:r w:rsidRPr="00973FD3">
          <w:rPr>
            <w:rStyle w:val="Hyperlink"/>
          </w:rPr>
          <w:t>CEDAW/C/ARG/QPR/8</w:t>
        </w:r>
      </w:hyperlink>
      <w:r w:rsidRPr="00973FD3">
        <w:t>)</w:t>
      </w:r>
    </w:p>
    <w:p w14:paraId="5B701334" w14:textId="70006F5E" w:rsidR="00973FD3" w:rsidRPr="00973FD3" w:rsidRDefault="00973FD3" w:rsidP="00973FD3">
      <w:pPr>
        <w:pStyle w:val="SingleTxt"/>
      </w:pPr>
      <w:r w:rsidRPr="00973FD3">
        <w:t>Chequia (</w:t>
      </w:r>
      <w:hyperlink r:id="rId30" w:history="1">
        <w:r w:rsidRPr="00973FD3">
          <w:rPr>
            <w:rStyle w:val="Hyperlink"/>
          </w:rPr>
          <w:t>CEDAW/C/CZE/Q/7</w:t>
        </w:r>
      </w:hyperlink>
      <w:r w:rsidRPr="00973FD3">
        <w:t>)</w:t>
      </w:r>
    </w:p>
    <w:p w14:paraId="759D9C83" w14:textId="09A27459" w:rsidR="00973FD3" w:rsidRPr="00973FD3" w:rsidRDefault="00973FD3" w:rsidP="00973FD3">
      <w:pPr>
        <w:pStyle w:val="SingleTxt"/>
      </w:pPr>
      <w:r w:rsidRPr="00973FD3">
        <w:t>El Salvador (</w:t>
      </w:r>
      <w:hyperlink r:id="rId31" w:history="1">
        <w:r w:rsidRPr="00973FD3">
          <w:rPr>
            <w:rStyle w:val="Hyperlink"/>
          </w:rPr>
          <w:t>CEDAW/C/SLV/Q/10</w:t>
        </w:r>
      </w:hyperlink>
      <w:r w:rsidRPr="00973FD3">
        <w:t>)</w:t>
      </w:r>
    </w:p>
    <w:p w14:paraId="3A8A39A3" w14:textId="5F58B6A7" w:rsidR="00973FD3" w:rsidRPr="00973FD3" w:rsidRDefault="00973FD3" w:rsidP="00973FD3">
      <w:pPr>
        <w:pStyle w:val="SingleTxt"/>
      </w:pPr>
      <w:r w:rsidRPr="00973FD3">
        <w:t>Iraq (</w:t>
      </w:r>
      <w:hyperlink r:id="rId32" w:history="1">
        <w:r w:rsidRPr="00973FD3">
          <w:rPr>
            <w:rStyle w:val="Hyperlink"/>
          </w:rPr>
          <w:t>CEDAW/C/IRQ/Q/8</w:t>
        </w:r>
      </w:hyperlink>
      <w:r w:rsidRPr="00973FD3">
        <w:t>)</w:t>
      </w:r>
    </w:p>
    <w:p w14:paraId="63D1F95B" w14:textId="3C63F02F" w:rsidR="00973FD3" w:rsidRPr="00973FD3" w:rsidRDefault="00973FD3" w:rsidP="00973FD3">
      <w:pPr>
        <w:pStyle w:val="SingleTxt"/>
      </w:pPr>
      <w:r w:rsidRPr="00973FD3">
        <w:t>Lesotho (</w:t>
      </w:r>
      <w:hyperlink r:id="rId33" w:history="1">
        <w:r w:rsidRPr="00973FD3">
          <w:rPr>
            <w:rStyle w:val="Hyperlink"/>
          </w:rPr>
          <w:t>CEDAW/C/LSO/Q/5-7</w:t>
        </w:r>
      </w:hyperlink>
      <w:r w:rsidRPr="00973FD3">
        <w:t>)</w:t>
      </w:r>
    </w:p>
    <w:p w14:paraId="0957FB6B" w14:textId="265F5866" w:rsidR="00973FD3" w:rsidRPr="00973FD3" w:rsidRDefault="00973FD3" w:rsidP="00973FD3">
      <w:pPr>
        <w:pStyle w:val="SingleTxt"/>
      </w:pPr>
      <w:r w:rsidRPr="00973FD3">
        <w:t>Lituania (</w:t>
      </w:r>
      <w:hyperlink r:id="rId34" w:history="1">
        <w:r w:rsidRPr="00973FD3">
          <w:rPr>
            <w:rStyle w:val="Hyperlink"/>
          </w:rPr>
          <w:t>CEDAW/C/LTU/Q/7</w:t>
        </w:r>
      </w:hyperlink>
      <w:r w:rsidRPr="00973FD3">
        <w:t>)</w:t>
      </w:r>
    </w:p>
    <w:p w14:paraId="0F54E5CE" w14:textId="4C958864" w:rsidR="00973FD3" w:rsidRPr="00973FD3" w:rsidRDefault="00973FD3" w:rsidP="00973FD3">
      <w:pPr>
        <w:pStyle w:val="SingleTxt"/>
      </w:pPr>
      <w:r w:rsidRPr="00973FD3">
        <w:t>Países Bajos (Reino de los) (</w:t>
      </w:r>
      <w:hyperlink r:id="rId35" w:history="1">
        <w:r w:rsidRPr="00973FD3">
          <w:rPr>
            <w:rStyle w:val="Hyperlink"/>
          </w:rPr>
          <w:t>CEDAW/C/NLD/QPR/7</w:t>
        </w:r>
      </w:hyperlink>
      <w:r w:rsidRPr="00973FD3">
        <w:t>)</w:t>
      </w:r>
    </w:p>
    <w:p w14:paraId="06C4AAD9" w14:textId="15F75B75" w:rsidR="0012082B" w:rsidRDefault="00973FD3" w:rsidP="00973FD3">
      <w:pPr>
        <w:pStyle w:val="SingleTxt"/>
        <w:rPr>
          <w:lang w:val="en-US"/>
        </w:rPr>
      </w:pPr>
      <w:r w:rsidRPr="00973FD3">
        <w:rPr>
          <w:lang w:val="en-US"/>
        </w:rPr>
        <w:t>Viet Nam (</w:t>
      </w:r>
      <w:hyperlink r:id="rId36" w:history="1">
        <w:r w:rsidRPr="00973FD3">
          <w:rPr>
            <w:rStyle w:val="Hyperlink"/>
            <w:lang w:val="en-US"/>
          </w:rPr>
          <w:t>CEDAW/C/VNM/Q/9</w:t>
        </w:r>
      </w:hyperlink>
      <w:r w:rsidRPr="00973FD3">
        <w:rPr>
          <w:lang w:val="en-US"/>
        </w:rPr>
        <w:t>)</w:t>
      </w:r>
    </w:p>
    <w:p w14:paraId="0657762E" w14:textId="77777777" w:rsidR="0012082B" w:rsidRPr="0012082B" w:rsidRDefault="0012082B" w:rsidP="0012082B">
      <w:pPr>
        <w:pStyle w:val="SingleTxt"/>
        <w:spacing w:after="0" w:line="120" w:lineRule="exact"/>
        <w:rPr>
          <w:sz w:val="10"/>
          <w:lang w:val="en-US"/>
        </w:rPr>
      </w:pPr>
    </w:p>
    <w:p w14:paraId="2CFF2D56" w14:textId="77777777" w:rsidR="00973FD3" w:rsidRPr="002C6649" w:rsidRDefault="00973FD3"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rPr>
          <w:lang w:val="en-US"/>
        </w:rPr>
        <w:tab/>
      </w:r>
      <w:r w:rsidRPr="002C6649">
        <w:rPr>
          <w:lang w:val="en-US"/>
        </w:rPr>
        <w:tab/>
      </w:r>
      <w:r w:rsidRPr="002C6649">
        <w:t>Respuestas a las listas de cuestiones y preguntas</w:t>
      </w:r>
    </w:p>
    <w:p w14:paraId="4DC3070C" w14:textId="77777777" w:rsidR="0012082B" w:rsidRPr="0012082B" w:rsidRDefault="0012082B" w:rsidP="0012082B">
      <w:pPr>
        <w:pStyle w:val="SingleTxt"/>
        <w:spacing w:after="0" w:line="120" w:lineRule="exact"/>
        <w:rPr>
          <w:sz w:val="10"/>
        </w:rPr>
      </w:pPr>
    </w:p>
    <w:p w14:paraId="0DBDDB53" w14:textId="372C9023" w:rsidR="00973FD3" w:rsidRPr="00973FD3" w:rsidRDefault="00973FD3" w:rsidP="00973FD3">
      <w:pPr>
        <w:pStyle w:val="SingleTxt"/>
        <w:rPr>
          <w:lang w:val="en-US"/>
        </w:rPr>
      </w:pPr>
      <w:r w:rsidRPr="00973FD3">
        <w:rPr>
          <w:lang w:val="en-US"/>
        </w:rPr>
        <w:t>Chequia (</w:t>
      </w:r>
      <w:hyperlink r:id="rId37" w:history="1">
        <w:r w:rsidRPr="00973FD3">
          <w:rPr>
            <w:rStyle w:val="Hyperlink"/>
            <w:lang w:val="en-US"/>
          </w:rPr>
          <w:t>CEDAW/C/CZE/RQ/7</w:t>
        </w:r>
      </w:hyperlink>
      <w:r w:rsidRPr="00973FD3">
        <w:rPr>
          <w:lang w:val="en-US"/>
        </w:rPr>
        <w:t>)</w:t>
      </w:r>
    </w:p>
    <w:p w14:paraId="4793C882" w14:textId="477B0DCD" w:rsidR="00973FD3" w:rsidRPr="00973FD3" w:rsidRDefault="00973FD3" w:rsidP="00973FD3">
      <w:pPr>
        <w:pStyle w:val="SingleTxt"/>
      </w:pPr>
      <w:r w:rsidRPr="00973FD3">
        <w:t>El Salvador (</w:t>
      </w:r>
      <w:hyperlink r:id="rId38" w:history="1">
        <w:r w:rsidRPr="00973FD3">
          <w:rPr>
            <w:rStyle w:val="Hyperlink"/>
          </w:rPr>
          <w:t>CEDAW/C/SLV/RQ/10</w:t>
        </w:r>
      </w:hyperlink>
      <w:r w:rsidRPr="00973FD3">
        <w:t>)</w:t>
      </w:r>
    </w:p>
    <w:p w14:paraId="0B7FF667" w14:textId="0F45B717" w:rsidR="00973FD3" w:rsidRPr="00973FD3" w:rsidRDefault="00973FD3" w:rsidP="00973FD3">
      <w:pPr>
        <w:pStyle w:val="SingleTxt"/>
      </w:pPr>
      <w:r w:rsidRPr="00973FD3">
        <w:t>Iraq (</w:t>
      </w:r>
      <w:bookmarkStart w:id="2" w:name="bmv20"/>
      <w:r w:rsidRPr="00973FD3">
        <w:t>CEDAW/C/IRQ/RQ/8</w:t>
      </w:r>
      <w:bookmarkEnd w:id="2"/>
      <w:r w:rsidRPr="00973FD3">
        <w:t>)</w:t>
      </w:r>
    </w:p>
    <w:p w14:paraId="471C725C" w14:textId="1F27D2B5" w:rsidR="00973FD3" w:rsidRPr="00973FD3" w:rsidRDefault="00973FD3" w:rsidP="00973FD3">
      <w:pPr>
        <w:pStyle w:val="SingleTxt"/>
      </w:pPr>
      <w:r w:rsidRPr="00973FD3">
        <w:t>Lesotho (</w:t>
      </w:r>
      <w:hyperlink r:id="rId39" w:history="1">
        <w:r w:rsidRPr="00973FD3">
          <w:rPr>
            <w:rStyle w:val="Hyperlink"/>
          </w:rPr>
          <w:t>CEDAW/C/LSO/RQ/5-7</w:t>
        </w:r>
      </w:hyperlink>
      <w:r w:rsidRPr="00973FD3">
        <w:t>)</w:t>
      </w:r>
    </w:p>
    <w:p w14:paraId="295BFBF4" w14:textId="6F43AE8A" w:rsidR="00973FD3" w:rsidRPr="00973FD3" w:rsidRDefault="00973FD3" w:rsidP="00973FD3">
      <w:pPr>
        <w:pStyle w:val="SingleTxt"/>
      </w:pPr>
      <w:r w:rsidRPr="00973FD3">
        <w:t>Lituania (</w:t>
      </w:r>
      <w:hyperlink r:id="rId40" w:history="1">
        <w:r w:rsidRPr="00973FD3">
          <w:rPr>
            <w:rStyle w:val="Hyperlink"/>
          </w:rPr>
          <w:t>CEDAW/C/LTU/RQ/7</w:t>
        </w:r>
      </w:hyperlink>
      <w:r w:rsidRPr="00973FD3">
        <w:t>)</w:t>
      </w:r>
    </w:p>
    <w:p w14:paraId="709C9921" w14:textId="18960D84" w:rsidR="0012082B" w:rsidRDefault="00973FD3" w:rsidP="00973FD3">
      <w:pPr>
        <w:pStyle w:val="SingleTxt"/>
        <w:rPr>
          <w:lang w:val="en-US"/>
        </w:rPr>
      </w:pPr>
      <w:r w:rsidRPr="00973FD3">
        <w:rPr>
          <w:lang w:val="en-US"/>
        </w:rPr>
        <w:t>Viet Nam (</w:t>
      </w:r>
      <w:hyperlink r:id="rId41" w:history="1">
        <w:r w:rsidRPr="00973FD3">
          <w:rPr>
            <w:rStyle w:val="Hyperlink"/>
            <w:lang w:val="en-US"/>
          </w:rPr>
          <w:t>CEDAW/C/VNM/RQ/9</w:t>
        </w:r>
      </w:hyperlink>
      <w:r w:rsidRPr="00973FD3">
        <w:rPr>
          <w:lang w:val="en-US"/>
        </w:rPr>
        <w:t>)</w:t>
      </w:r>
    </w:p>
    <w:p w14:paraId="47F5A56A" w14:textId="77777777" w:rsidR="0012082B" w:rsidRPr="0012082B" w:rsidRDefault="0012082B" w:rsidP="0012082B">
      <w:pPr>
        <w:pStyle w:val="SingleTxt"/>
        <w:spacing w:after="0" w:line="120" w:lineRule="exact"/>
        <w:rPr>
          <w:sz w:val="10"/>
          <w:lang w:val="en-US"/>
        </w:rPr>
      </w:pPr>
    </w:p>
    <w:p w14:paraId="27B27712"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2C6649">
        <w:rPr>
          <w:lang w:val="en-US"/>
        </w:rPr>
        <w:tab/>
      </w:r>
      <w:r w:rsidRPr="002C6649">
        <w:t>5.</w:t>
      </w:r>
      <w:r w:rsidRPr="002C6649">
        <w:tab/>
        <w:t>Seguimiento del examen de los informes presentados por los Estados Partes en virtud del artículo 18 de la Convención</w:t>
      </w:r>
    </w:p>
    <w:p w14:paraId="7178499F" w14:textId="77777777" w:rsidR="0012082B" w:rsidRPr="0012082B" w:rsidRDefault="0012082B" w:rsidP="0012082B">
      <w:pPr>
        <w:pStyle w:val="SingleTxt"/>
        <w:spacing w:after="0" w:line="120" w:lineRule="exact"/>
        <w:rPr>
          <w:sz w:val="10"/>
        </w:rPr>
      </w:pPr>
    </w:p>
    <w:p w14:paraId="7397F083" w14:textId="77777777" w:rsidR="00973FD3" w:rsidRDefault="00973FD3" w:rsidP="00973FD3">
      <w:pPr>
        <w:pStyle w:val="SingleTxt"/>
      </w:pPr>
      <w:r w:rsidRPr="00973FD3">
        <w:t>El Comité examinará cuestiones relacionadas con el seguimiento de las observaciones finales.</w:t>
      </w:r>
    </w:p>
    <w:p w14:paraId="01ABEA81" w14:textId="77777777" w:rsidR="0012082B" w:rsidRPr="0012082B" w:rsidRDefault="0012082B" w:rsidP="0012082B">
      <w:pPr>
        <w:pStyle w:val="SingleTxt"/>
        <w:spacing w:after="0" w:line="120" w:lineRule="exact"/>
        <w:rPr>
          <w:sz w:val="10"/>
        </w:rPr>
      </w:pPr>
    </w:p>
    <w:p w14:paraId="4B3C37F1"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6.</w:t>
      </w:r>
      <w:r w:rsidRPr="002C6649">
        <w:tab/>
        <w:t>Aplicación de los artículos 21 y 22 de la Convención</w:t>
      </w:r>
    </w:p>
    <w:p w14:paraId="117E7ABD" w14:textId="77777777" w:rsidR="0012082B" w:rsidRPr="0012082B" w:rsidRDefault="0012082B" w:rsidP="0012082B">
      <w:pPr>
        <w:pStyle w:val="SingleTxt"/>
        <w:spacing w:after="0" w:line="120" w:lineRule="exact"/>
        <w:rPr>
          <w:sz w:val="10"/>
        </w:rPr>
      </w:pPr>
    </w:p>
    <w:p w14:paraId="5268C15E" w14:textId="77777777" w:rsidR="00973FD3" w:rsidRPr="00973FD3" w:rsidRDefault="00973FD3" w:rsidP="00973FD3">
      <w:pPr>
        <w:pStyle w:val="SingleTxt"/>
      </w:pPr>
      <w:r w:rsidRPr="00973FD3">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17CF1442" w14:textId="77777777" w:rsidR="00973FD3" w:rsidRDefault="00973FD3" w:rsidP="00973FD3">
      <w:pPr>
        <w:pStyle w:val="SingleTxt"/>
      </w:pPr>
      <w:r w:rsidRPr="00973FD3">
        <w:lastRenderedPageBreak/>
        <w:t>El artículo 22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6BE7B25D" w14:textId="77777777" w:rsidR="0012082B" w:rsidRPr="0012082B" w:rsidRDefault="0012082B" w:rsidP="0012082B">
      <w:pPr>
        <w:pStyle w:val="SingleTxt"/>
        <w:spacing w:after="0" w:line="120" w:lineRule="exact"/>
        <w:rPr>
          <w:sz w:val="10"/>
        </w:rPr>
      </w:pPr>
    </w:p>
    <w:p w14:paraId="4E6DA7EA" w14:textId="77777777" w:rsidR="00973FD3" w:rsidRPr="002C6649" w:rsidRDefault="00973FD3"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Pr="002C6649">
        <w:tab/>
        <w:t>Documentación</w:t>
      </w:r>
    </w:p>
    <w:p w14:paraId="0041355F" w14:textId="77777777" w:rsidR="0012082B" w:rsidRPr="0012082B" w:rsidRDefault="0012082B" w:rsidP="0012082B">
      <w:pPr>
        <w:pStyle w:val="SingleTxt"/>
        <w:spacing w:after="0" w:line="120" w:lineRule="exact"/>
        <w:rPr>
          <w:sz w:val="10"/>
        </w:rPr>
      </w:pPr>
    </w:p>
    <w:p w14:paraId="37AF0EC9" w14:textId="77777777" w:rsidR="00973FD3" w:rsidRDefault="00973FD3" w:rsidP="00973FD3">
      <w:pPr>
        <w:pStyle w:val="SingleTxt"/>
      </w:pPr>
      <w:r w:rsidRPr="00973FD3">
        <w:t>Informes presentados por los organismos especializados del sistema de las Naciones Unidas sobre la aplicación de la Convención en la esfera de sus actividades.</w:t>
      </w:r>
    </w:p>
    <w:p w14:paraId="1526BE21" w14:textId="77777777" w:rsidR="0012082B" w:rsidRPr="0012082B" w:rsidRDefault="0012082B" w:rsidP="0012082B">
      <w:pPr>
        <w:pStyle w:val="SingleTxt"/>
        <w:spacing w:after="0" w:line="120" w:lineRule="exact"/>
        <w:rPr>
          <w:sz w:val="10"/>
        </w:rPr>
      </w:pPr>
    </w:p>
    <w:p w14:paraId="3E7F4C57"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7.</w:t>
      </w:r>
      <w:r w:rsidRPr="002C6649">
        <w:tab/>
        <w:t>Medios de agilizar los trabajos del Comité</w:t>
      </w:r>
    </w:p>
    <w:p w14:paraId="3A76AB33" w14:textId="77777777" w:rsidR="0012082B" w:rsidRPr="0012082B" w:rsidRDefault="0012082B" w:rsidP="0012082B">
      <w:pPr>
        <w:pStyle w:val="SingleTxt"/>
        <w:spacing w:after="0" w:line="120" w:lineRule="exact"/>
        <w:rPr>
          <w:sz w:val="10"/>
        </w:rPr>
      </w:pPr>
    </w:p>
    <w:p w14:paraId="0D2BFFBE" w14:textId="77777777" w:rsidR="00973FD3" w:rsidRDefault="00973FD3" w:rsidP="00973FD3">
      <w:pPr>
        <w:pStyle w:val="SingleTxt"/>
      </w:pPr>
      <w:r w:rsidRPr="00973FD3">
        <w:t>El Comité examinará cuestiones relacionadas con sus métodos de trabajo.</w:t>
      </w:r>
    </w:p>
    <w:p w14:paraId="69D3886D" w14:textId="77777777" w:rsidR="0012082B" w:rsidRPr="0012082B" w:rsidRDefault="0012082B" w:rsidP="0012082B">
      <w:pPr>
        <w:pStyle w:val="SingleTxt"/>
        <w:spacing w:after="0" w:line="120" w:lineRule="exact"/>
        <w:rPr>
          <w:sz w:val="10"/>
        </w:rPr>
      </w:pPr>
    </w:p>
    <w:p w14:paraId="2BAFD90D"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8.</w:t>
      </w:r>
      <w:r w:rsidRPr="002C6649">
        <w:tab/>
        <w:t>Actividades del Comité en relación con el Protocolo Facultativo de la Convención</w:t>
      </w:r>
    </w:p>
    <w:p w14:paraId="2B7B92C6" w14:textId="77777777" w:rsidR="0012082B" w:rsidRPr="0012082B" w:rsidRDefault="0012082B" w:rsidP="0012082B">
      <w:pPr>
        <w:pStyle w:val="SingleTxt"/>
        <w:spacing w:after="0" w:line="120" w:lineRule="exact"/>
        <w:rPr>
          <w:sz w:val="10"/>
        </w:rPr>
      </w:pPr>
    </w:p>
    <w:p w14:paraId="24FA9210" w14:textId="77777777" w:rsidR="00973FD3" w:rsidRPr="00973FD3" w:rsidRDefault="00973FD3" w:rsidP="00973FD3">
      <w:pPr>
        <w:pStyle w:val="SingleTxt"/>
      </w:pPr>
      <w:r w:rsidRPr="00973FD3">
        <w:t>El 63</w:t>
      </w:r>
      <w:r w:rsidRPr="00973FD3">
        <w:rPr>
          <w:vertAlign w:val="superscript"/>
        </w:rPr>
        <w:t>er</w:t>
      </w:r>
      <w:r w:rsidRPr="00973FD3">
        <w:t xml:space="preserve"> período de sesiones del Grupo de Trabajo sobre las Comunicaciones presentadas en virtud del Protocolo Facultativo y el 32º período de sesiones del Grupo de Trabajo sobre Investigaciones con arreglo al Protocolo Facultativo, que se iban a celebrar los días 29 y 30 de enero de 2026 en Ginebra, se han cancelado debido a la situación de la liquidez de la Secretaría de las Naciones Unidas y las medidas de ahorro de efectivo conexas.</w:t>
      </w:r>
    </w:p>
    <w:p w14:paraId="3BC226BC" w14:textId="77777777" w:rsidR="00973FD3" w:rsidRDefault="00973FD3" w:rsidP="00973FD3">
      <w:pPr>
        <w:pStyle w:val="SingleTxt"/>
      </w:pPr>
      <w:r w:rsidRPr="00973FD3">
        <w:t>En su 92º período de sesiones, el Comité continuará cumpliendo su mandato en virtud de los artículos 2 y 8 del Protocolo Facultativo de la Convención.</w:t>
      </w:r>
    </w:p>
    <w:p w14:paraId="5CB657B3" w14:textId="77777777" w:rsidR="0012082B" w:rsidRPr="0012082B" w:rsidRDefault="0012082B" w:rsidP="0012082B">
      <w:pPr>
        <w:pStyle w:val="SingleTxt"/>
        <w:spacing w:after="0" w:line="120" w:lineRule="exact"/>
        <w:rPr>
          <w:sz w:val="10"/>
        </w:rPr>
      </w:pPr>
    </w:p>
    <w:p w14:paraId="2C2CEAF3" w14:textId="77777777"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9.</w:t>
      </w:r>
      <w:r w:rsidRPr="002C6649">
        <w:tab/>
        <w:t>Programa provisional del 93er período de sesiones del Comité</w:t>
      </w:r>
    </w:p>
    <w:p w14:paraId="134AE845" w14:textId="77777777" w:rsidR="0012082B" w:rsidRPr="0012082B" w:rsidRDefault="0012082B" w:rsidP="0012082B">
      <w:pPr>
        <w:pStyle w:val="SingleTxt"/>
        <w:spacing w:after="0" w:line="120" w:lineRule="exact"/>
        <w:rPr>
          <w:sz w:val="10"/>
        </w:rPr>
      </w:pPr>
    </w:p>
    <w:p w14:paraId="352C9716" w14:textId="77777777" w:rsidR="00973FD3" w:rsidRPr="002C6649" w:rsidRDefault="00973FD3" w:rsidP="001208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r>
      <w:r w:rsidRPr="002C6649">
        <w:tab/>
        <w:t>Documentación</w:t>
      </w:r>
    </w:p>
    <w:p w14:paraId="469B17ED" w14:textId="77777777" w:rsidR="0012082B" w:rsidRPr="0012082B" w:rsidRDefault="0012082B" w:rsidP="0012082B">
      <w:pPr>
        <w:pStyle w:val="SingleTxt"/>
        <w:spacing w:after="0" w:line="120" w:lineRule="exact"/>
        <w:rPr>
          <w:sz w:val="10"/>
        </w:rPr>
      </w:pPr>
    </w:p>
    <w:p w14:paraId="29A12194" w14:textId="3D4D8F18" w:rsidR="00973FD3" w:rsidRDefault="00973FD3" w:rsidP="00973FD3">
      <w:pPr>
        <w:pStyle w:val="SingleTxt"/>
      </w:pPr>
      <w:r w:rsidRPr="00973FD3">
        <w:t>Programa provisional anotado del 93</w:t>
      </w:r>
      <w:r w:rsidRPr="00973FD3">
        <w:rPr>
          <w:vertAlign w:val="superscript"/>
        </w:rPr>
        <w:t>er</w:t>
      </w:r>
      <w:r w:rsidRPr="00973FD3">
        <w:t xml:space="preserve"> período de sesiones (</w:t>
      </w:r>
      <w:bookmarkStart w:id="3" w:name="bmv24"/>
      <w:r w:rsidRPr="00973FD3">
        <w:t>CEDAW/C/93/1</w:t>
      </w:r>
      <w:bookmarkEnd w:id="3"/>
      <w:r w:rsidRPr="00973FD3">
        <w:t>)</w:t>
      </w:r>
    </w:p>
    <w:p w14:paraId="41B237EB" w14:textId="77777777" w:rsidR="0012082B" w:rsidRPr="0012082B" w:rsidRDefault="0012082B" w:rsidP="0012082B">
      <w:pPr>
        <w:pStyle w:val="SingleTxt"/>
        <w:spacing w:after="0" w:line="120" w:lineRule="exact"/>
        <w:rPr>
          <w:sz w:val="10"/>
        </w:rPr>
      </w:pPr>
    </w:p>
    <w:p w14:paraId="2C71A515" w14:textId="6C54B0A9" w:rsidR="00973FD3" w:rsidRPr="002C6649" w:rsidRDefault="00973FD3" w:rsidP="00120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6649">
        <w:tab/>
        <w:t>10.</w:t>
      </w:r>
      <w:r w:rsidRPr="002C6649">
        <w:tab/>
        <w:t>Aprobación del informe del Comité sobre su 92º período de sesiones</w:t>
      </w:r>
    </w:p>
    <w:p w14:paraId="2D69D93B" w14:textId="5BC8FD0B" w:rsidR="00973FD3" w:rsidRPr="00973FD3" w:rsidRDefault="00973FD3" w:rsidP="00973FD3">
      <w:pPr>
        <w:pStyle w:val="SingleTxt"/>
      </w:pPr>
      <w:r>
        <w:rPr>
          <w:noProof/>
          <w:w w:val="100"/>
        </w:rPr>
        <mc:AlternateContent>
          <mc:Choice Requires="wps">
            <w:drawing>
              <wp:anchor distT="0" distB="0" distL="114300" distR="114300" simplePos="0" relativeHeight="251659264" behindDoc="0" locked="0" layoutInCell="1" allowOverlap="1" wp14:anchorId="48A07CD7" wp14:editId="265BDF16">
                <wp:simplePos x="0" y="0"/>
                <wp:positionH relativeFrom="column">
                  <wp:posOffset>2669540</wp:posOffset>
                </wp:positionH>
                <wp:positionV relativeFrom="paragraph">
                  <wp:posOffset>304800</wp:posOffset>
                </wp:positionV>
                <wp:extent cx="914400" cy="0"/>
                <wp:effectExtent l="0" t="0" r="0" b="0"/>
                <wp:wrapNone/>
                <wp:docPr id="203037655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99138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73FD3" w:rsidRPr="00973FD3" w:rsidSect="00973FD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9T11:54:00Z" w:initials="Start">
    <w:p w14:paraId="1E6F948E" w14:textId="77777777" w:rsidR="001527EF" w:rsidRPr="0012082B" w:rsidRDefault="001527EF">
      <w:pPr>
        <w:pStyle w:val="CommentText"/>
        <w:rPr>
          <w:lang w:val="en-US"/>
        </w:rPr>
      </w:pPr>
      <w:r>
        <w:rPr>
          <w:rStyle w:val="CommentReference"/>
        </w:rPr>
        <w:annotationRef/>
      </w:r>
      <w:r w:rsidRPr="0012082B">
        <w:rPr>
          <w:lang w:val="en-US"/>
        </w:rPr>
        <w:t>&lt;&lt;ODS JOB NO&gt;&gt;N2533085S&lt;&lt;ODS JOB NO&gt;&gt;</w:t>
      </w:r>
    </w:p>
    <w:p w14:paraId="39A2CBA6" w14:textId="77777777" w:rsidR="001527EF" w:rsidRDefault="001527EF">
      <w:pPr>
        <w:pStyle w:val="CommentText"/>
      </w:pPr>
      <w:r>
        <w:t>&lt;&lt;ODS DOC SYMBOL1&gt;&gt;CEDAW/C/92/1&lt;&lt;ODS DOC SYMBOL1&gt;&gt;</w:t>
      </w:r>
    </w:p>
    <w:p w14:paraId="356B84C2" w14:textId="77777777" w:rsidR="001527EF" w:rsidRDefault="001527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6B84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C9363C" w16cex:dateUtc="2025-12-19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6B84C2" w16cid:durableId="1EC93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3DCA8" w14:textId="77777777" w:rsidR="009F078B" w:rsidRDefault="009F078B" w:rsidP="00331D20">
      <w:r>
        <w:separator/>
      </w:r>
    </w:p>
  </w:endnote>
  <w:endnote w:type="continuationSeparator" w:id="0">
    <w:p w14:paraId="3F7DB8BC" w14:textId="77777777" w:rsidR="009F078B" w:rsidRDefault="009F078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27EF" w14:paraId="18508218" w14:textId="77777777" w:rsidTr="001527EF">
      <w:tc>
        <w:tcPr>
          <w:tcW w:w="4920" w:type="dxa"/>
          <w:vAlign w:val="bottom"/>
        </w:tcPr>
        <w:p w14:paraId="74742DF3" w14:textId="77777777" w:rsidR="001527EF" w:rsidRPr="001527EF" w:rsidRDefault="001527EF" w:rsidP="001527E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813BD43" w14:textId="67A93B32" w:rsidR="001527EF" w:rsidRPr="001527EF" w:rsidRDefault="001527EF" w:rsidP="001527E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3546D">
            <w:rPr>
              <w:b w:val="0"/>
              <w:color w:val="000000"/>
              <w:sz w:val="14"/>
            </w:rPr>
            <w:t>25-19676</w:t>
          </w:r>
          <w:r>
            <w:rPr>
              <w:b w:val="0"/>
              <w:color w:val="000000"/>
              <w:sz w:val="14"/>
            </w:rPr>
            <w:fldChar w:fldCharType="end"/>
          </w:r>
        </w:p>
      </w:tc>
    </w:tr>
  </w:tbl>
  <w:p w14:paraId="639B8285" w14:textId="77777777" w:rsidR="001527EF" w:rsidRPr="001527EF" w:rsidRDefault="001527EF" w:rsidP="00152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27EF" w14:paraId="4FC1C270" w14:textId="77777777" w:rsidTr="001527EF">
      <w:tc>
        <w:tcPr>
          <w:tcW w:w="4920" w:type="dxa"/>
          <w:vAlign w:val="bottom"/>
        </w:tcPr>
        <w:p w14:paraId="5AD78F7D" w14:textId="526D6653" w:rsidR="001527EF" w:rsidRPr="001527EF" w:rsidRDefault="001527EF" w:rsidP="001527E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3546D">
            <w:rPr>
              <w:b w:val="0"/>
              <w:color w:val="000000"/>
              <w:sz w:val="14"/>
            </w:rPr>
            <w:t>25-19676</w:t>
          </w:r>
          <w:r>
            <w:rPr>
              <w:b w:val="0"/>
              <w:color w:val="000000"/>
              <w:sz w:val="14"/>
            </w:rPr>
            <w:fldChar w:fldCharType="end"/>
          </w:r>
        </w:p>
      </w:tc>
      <w:tc>
        <w:tcPr>
          <w:tcW w:w="4920" w:type="dxa"/>
          <w:vAlign w:val="bottom"/>
        </w:tcPr>
        <w:p w14:paraId="1AA890A5" w14:textId="77777777" w:rsidR="001527EF" w:rsidRPr="001527EF" w:rsidRDefault="001527EF" w:rsidP="001527E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74D1AE1" w14:textId="77777777" w:rsidR="001527EF" w:rsidRPr="001527EF" w:rsidRDefault="001527EF" w:rsidP="001527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ABFCA" w14:textId="77777777" w:rsidR="001527EF" w:rsidRPr="001527EF" w:rsidRDefault="001527EF" w:rsidP="001527EF">
    <w:pPr>
      <w:pStyle w:val="Footer"/>
      <w:spacing w:line="120" w:lineRule="exact"/>
      <w:rPr>
        <w:b w:val="0"/>
        <w:sz w:val="10"/>
      </w:rPr>
    </w:pPr>
    <w:r>
      <w:rPr>
        <w:b w:val="0"/>
        <w:sz w:val="10"/>
      </w:rPr>
      <w:drawing>
        <wp:anchor distT="0" distB="0" distL="114300" distR="114300" simplePos="0" relativeHeight="251658240" behindDoc="0" locked="0" layoutInCell="1" allowOverlap="1" wp14:anchorId="3A760863" wp14:editId="19330542">
          <wp:simplePos x="0" y="0"/>
          <wp:positionH relativeFrom="column">
            <wp:posOffset>5568315</wp:posOffset>
          </wp:positionH>
          <wp:positionV relativeFrom="paragraph">
            <wp:posOffset>-283210</wp:posOffset>
          </wp:positionV>
          <wp:extent cx="694690" cy="694690"/>
          <wp:effectExtent l="0" t="0" r="0" b="0"/>
          <wp:wrapNone/>
          <wp:docPr id="7730045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527EF" w14:paraId="0C644CFC" w14:textId="77777777" w:rsidTr="001527EF">
      <w:tc>
        <w:tcPr>
          <w:tcW w:w="3830" w:type="dxa"/>
        </w:tcPr>
        <w:p w14:paraId="543C5E1B" w14:textId="77777777" w:rsidR="001527EF" w:rsidRDefault="001527EF" w:rsidP="001527EF">
          <w:pPr>
            <w:pStyle w:val="ReleaseDate"/>
          </w:pPr>
          <w:r>
            <w:t xml:space="preserve">25-19676 (S)    </w:t>
          </w:r>
          <w:r w:rsidR="0043077C">
            <w:t>03</w:t>
          </w:r>
          <w:r>
            <w:t xml:space="preserve">1225    </w:t>
          </w:r>
          <w:r w:rsidR="0043077C">
            <w:t>26</w:t>
          </w:r>
          <w:r>
            <w:t>1225</w:t>
          </w:r>
        </w:p>
        <w:p w14:paraId="2AF314B7" w14:textId="77777777" w:rsidR="001527EF" w:rsidRPr="001527EF" w:rsidRDefault="001527EF" w:rsidP="001527E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*2519676*</w:t>
          </w:r>
        </w:p>
      </w:tc>
      <w:tc>
        <w:tcPr>
          <w:tcW w:w="4920" w:type="dxa"/>
          <w:vAlign w:val="bottom"/>
        </w:tcPr>
        <w:p w14:paraId="4A6E8154" w14:textId="77777777" w:rsidR="001527EF" w:rsidRDefault="001527EF" w:rsidP="001527EF">
          <w:pPr>
            <w:pStyle w:val="Footer"/>
            <w:ind w:right="115"/>
            <w:jc w:val="right"/>
            <w:rPr>
              <w:b w:val="0"/>
              <w:sz w:val="20"/>
            </w:rPr>
          </w:pPr>
          <w:r>
            <w:rPr>
              <w:b w:val="0"/>
              <w:sz w:val="20"/>
            </w:rPr>
            <w:drawing>
              <wp:inline distT="0" distB="0" distL="0" distR="0" wp14:anchorId="702F4038" wp14:editId="668C7CFB">
                <wp:extent cx="1082042" cy="231648"/>
                <wp:effectExtent l="0" t="0" r="3810" b="0"/>
                <wp:docPr id="837749015" name="Picture 2"/>
                <wp:cNvGraphicFramePr/>
                <a:graphic xmlns:a="http://schemas.openxmlformats.org/drawingml/2006/main">
                  <a:graphicData uri="http://schemas.openxmlformats.org/drawingml/2006/picture">
                    <pic:pic xmlns:pic="http://schemas.openxmlformats.org/drawingml/2006/picture">
                      <pic:nvPicPr>
                        <pic:cNvPr id="195053258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EA0E60" w14:textId="77777777" w:rsidR="001527EF" w:rsidRPr="001527EF" w:rsidRDefault="001527EF" w:rsidP="001527E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D61DD" w14:textId="77777777" w:rsidR="009F078B" w:rsidRDefault="009F078B" w:rsidP="00331D20">
      <w:r>
        <w:separator/>
      </w:r>
    </w:p>
  </w:footnote>
  <w:footnote w:type="continuationSeparator" w:id="0">
    <w:p w14:paraId="6480E260" w14:textId="77777777" w:rsidR="009F078B" w:rsidRDefault="009F078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27EF" w14:paraId="6C9F10C0" w14:textId="77777777" w:rsidTr="001527EF">
      <w:trPr>
        <w:trHeight w:hRule="exact" w:val="864"/>
      </w:trPr>
      <w:tc>
        <w:tcPr>
          <w:tcW w:w="4920" w:type="dxa"/>
          <w:vAlign w:val="bottom"/>
        </w:tcPr>
        <w:p w14:paraId="78D0DE11" w14:textId="4AE09659" w:rsidR="001527EF" w:rsidRPr="001527EF" w:rsidRDefault="001527EF" w:rsidP="001527EF">
          <w:pPr>
            <w:pStyle w:val="Header"/>
            <w:spacing w:after="80"/>
            <w:rPr>
              <w:b/>
            </w:rPr>
          </w:pPr>
          <w:r>
            <w:rPr>
              <w:b/>
            </w:rPr>
            <w:fldChar w:fldCharType="begin"/>
          </w:r>
          <w:r>
            <w:rPr>
              <w:b/>
            </w:rPr>
            <w:instrText xml:space="preserve"> DOCVARIABLE "Symbol1" \* MERGEFORMAT </w:instrText>
          </w:r>
          <w:r>
            <w:rPr>
              <w:b/>
            </w:rPr>
            <w:fldChar w:fldCharType="separate"/>
          </w:r>
          <w:r w:rsidR="00F3546D">
            <w:rPr>
              <w:b/>
            </w:rPr>
            <w:t>CEDAW/C/92/1</w:t>
          </w:r>
          <w:r>
            <w:rPr>
              <w:b/>
            </w:rPr>
            <w:fldChar w:fldCharType="end"/>
          </w:r>
        </w:p>
      </w:tc>
      <w:tc>
        <w:tcPr>
          <w:tcW w:w="4920" w:type="dxa"/>
          <w:vAlign w:val="bottom"/>
        </w:tcPr>
        <w:p w14:paraId="7FE418F9" w14:textId="77777777" w:rsidR="001527EF" w:rsidRDefault="001527EF" w:rsidP="001527EF">
          <w:pPr>
            <w:pStyle w:val="Header"/>
          </w:pPr>
        </w:p>
      </w:tc>
    </w:tr>
  </w:tbl>
  <w:p w14:paraId="2D527F2D" w14:textId="77777777" w:rsidR="001527EF" w:rsidRPr="001527EF" w:rsidRDefault="001527EF" w:rsidP="001527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27EF" w14:paraId="17E276EF" w14:textId="77777777" w:rsidTr="001527EF">
      <w:trPr>
        <w:trHeight w:hRule="exact" w:val="864"/>
      </w:trPr>
      <w:tc>
        <w:tcPr>
          <w:tcW w:w="4920" w:type="dxa"/>
          <w:vAlign w:val="bottom"/>
        </w:tcPr>
        <w:p w14:paraId="15D28E90" w14:textId="77777777" w:rsidR="001527EF" w:rsidRDefault="001527EF" w:rsidP="001527EF">
          <w:pPr>
            <w:pStyle w:val="Header"/>
          </w:pPr>
        </w:p>
      </w:tc>
      <w:tc>
        <w:tcPr>
          <w:tcW w:w="4920" w:type="dxa"/>
          <w:vAlign w:val="bottom"/>
        </w:tcPr>
        <w:p w14:paraId="49B3F59D" w14:textId="5B294FE1" w:rsidR="001527EF" w:rsidRPr="001527EF" w:rsidRDefault="001527EF" w:rsidP="001527EF">
          <w:pPr>
            <w:pStyle w:val="Header"/>
            <w:spacing w:after="80"/>
            <w:jc w:val="right"/>
            <w:rPr>
              <w:b/>
            </w:rPr>
          </w:pPr>
          <w:r>
            <w:rPr>
              <w:b/>
            </w:rPr>
            <w:fldChar w:fldCharType="begin"/>
          </w:r>
          <w:r>
            <w:rPr>
              <w:b/>
            </w:rPr>
            <w:instrText xml:space="preserve"> DOCVARIABLE "Symbol1" \* MERGEFORMAT </w:instrText>
          </w:r>
          <w:r>
            <w:rPr>
              <w:b/>
            </w:rPr>
            <w:fldChar w:fldCharType="separate"/>
          </w:r>
          <w:r w:rsidR="00F3546D">
            <w:rPr>
              <w:b/>
            </w:rPr>
            <w:t>CEDAW/C/92/1</w:t>
          </w:r>
          <w:r>
            <w:rPr>
              <w:b/>
            </w:rPr>
            <w:fldChar w:fldCharType="end"/>
          </w:r>
        </w:p>
      </w:tc>
    </w:tr>
  </w:tbl>
  <w:p w14:paraId="65F95BB4" w14:textId="77777777" w:rsidR="001527EF" w:rsidRPr="001527EF" w:rsidRDefault="001527EF" w:rsidP="001527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527EF" w14:paraId="2BE2FE08" w14:textId="77777777" w:rsidTr="001527EF">
      <w:trPr>
        <w:gridAfter w:val="1"/>
        <w:wAfter w:w="15" w:type="dxa"/>
        <w:trHeight w:hRule="exact" w:val="864"/>
      </w:trPr>
      <w:tc>
        <w:tcPr>
          <w:tcW w:w="1267" w:type="dxa"/>
          <w:tcBorders>
            <w:bottom w:val="single" w:sz="4" w:space="0" w:color="auto"/>
          </w:tcBorders>
          <w:vAlign w:val="bottom"/>
        </w:tcPr>
        <w:p w14:paraId="411B8447" w14:textId="77777777" w:rsidR="001527EF" w:rsidRDefault="001527EF" w:rsidP="001527EF">
          <w:pPr>
            <w:pStyle w:val="Header"/>
            <w:spacing w:after="120"/>
          </w:pPr>
        </w:p>
      </w:tc>
      <w:tc>
        <w:tcPr>
          <w:tcW w:w="2059" w:type="dxa"/>
          <w:tcBorders>
            <w:bottom w:val="single" w:sz="4" w:space="0" w:color="auto"/>
          </w:tcBorders>
          <w:vAlign w:val="bottom"/>
        </w:tcPr>
        <w:p w14:paraId="57AE5DC6" w14:textId="77777777" w:rsidR="001527EF" w:rsidRPr="001527EF" w:rsidRDefault="001527EF" w:rsidP="001527E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75067CB" w14:textId="77777777" w:rsidR="001527EF" w:rsidRDefault="001527EF" w:rsidP="001527EF">
          <w:pPr>
            <w:pStyle w:val="Header"/>
            <w:spacing w:after="120"/>
          </w:pPr>
        </w:p>
      </w:tc>
      <w:tc>
        <w:tcPr>
          <w:tcW w:w="6480" w:type="dxa"/>
          <w:gridSpan w:val="3"/>
          <w:tcBorders>
            <w:bottom w:val="single" w:sz="4" w:space="0" w:color="auto"/>
          </w:tcBorders>
          <w:vAlign w:val="bottom"/>
        </w:tcPr>
        <w:p w14:paraId="42AAC20B" w14:textId="77777777" w:rsidR="001527EF" w:rsidRPr="001527EF" w:rsidRDefault="001527EF" w:rsidP="001527EF">
          <w:pPr>
            <w:spacing w:after="80" w:line="240" w:lineRule="auto"/>
            <w:jc w:val="right"/>
            <w:rPr>
              <w:position w:val="-4"/>
            </w:rPr>
          </w:pPr>
          <w:r>
            <w:rPr>
              <w:position w:val="-4"/>
              <w:sz w:val="40"/>
            </w:rPr>
            <w:t>CEDAW</w:t>
          </w:r>
          <w:r>
            <w:rPr>
              <w:position w:val="-4"/>
            </w:rPr>
            <w:t>/C/92/1</w:t>
          </w:r>
        </w:p>
      </w:tc>
    </w:tr>
    <w:tr w:rsidR="001527EF" w:rsidRPr="001527EF" w14:paraId="01A8BD33" w14:textId="77777777" w:rsidTr="001527EF">
      <w:trPr>
        <w:trHeight w:hRule="exact" w:val="2880"/>
      </w:trPr>
      <w:tc>
        <w:tcPr>
          <w:tcW w:w="1267" w:type="dxa"/>
          <w:tcBorders>
            <w:top w:val="single" w:sz="4" w:space="0" w:color="auto"/>
            <w:bottom w:val="single" w:sz="12" w:space="0" w:color="auto"/>
          </w:tcBorders>
        </w:tcPr>
        <w:p w14:paraId="3E38512C" w14:textId="77777777" w:rsidR="001527EF" w:rsidRPr="001527EF" w:rsidRDefault="001527EF" w:rsidP="001527EF">
          <w:pPr>
            <w:pStyle w:val="Header"/>
            <w:spacing w:before="120"/>
            <w:jc w:val="center"/>
          </w:pPr>
          <w:r>
            <w:t xml:space="preserve"> </w:t>
          </w:r>
          <w:r>
            <w:drawing>
              <wp:inline distT="0" distB="0" distL="0" distR="0" wp14:anchorId="281AD9D8" wp14:editId="22586D72">
                <wp:extent cx="713232" cy="597103"/>
                <wp:effectExtent l="0" t="0" r="0" b="0"/>
                <wp:docPr id="1801842680" name="Picture 1"/>
                <wp:cNvGraphicFramePr/>
                <a:graphic xmlns:a="http://schemas.openxmlformats.org/drawingml/2006/main">
                  <a:graphicData uri="http://schemas.openxmlformats.org/drawingml/2006/picture">
                    <pic:pic xmlns:pic="http://schemas.openxmlformats.org/drawingml/2006/picture">
                      <pic:nvPicPr>
                        <pic:cNvPr id="32501501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18EDDC7" w14:textId="77777777" w:rsidR="001527EF" w:rsidRPr="001527EF" w:rsidRDefault="001527EF" w:rsidP="001527E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0DED823" w14:textId="77777777" w:rsidR="001527EF" w:rsidRPr="00973FD3" w:rsidRDefault="001527EF" w:rsidP="001527EF">
          <w:pPr>
            <w:pStyle w:val="Header"/>
            <w:spacing w:before="109"/>
            <w:rPr>
              <w:lang w:val="es-ES"/>
            </w:rPr>
          </w:pPr>
        </w:p>
      </w:tc>
      <w:tc>
        <w:tcPr>
          <w:tcW w:w="3140" w:type="dxa"/>
          <w:gridSpan w:val="2"/>
          <w:tcBorders>
            <w:top w:val="single" w:sz="4" w:space="0" w:color="auto"/>
            <w:bottom w:val="single" w:sz="12" w:space="0" w:color="auto"/>
          </w:tcBorders>
        </w:tcPr>
        <w:p w14:paraId="70167D12" w14:textId="77777777" w:rsidR="001527EF" w:rsidRDefault="001527EF" w:rsidP="001527EF">
          <w:pPr>
            <w:pStyle w:val="Distribution"/>
            <w:spacing w:before="240"/>
          </w:pPr>
          <w:r>
            <w:t>Distr. general</w:t>
          </w:r>
        </w:p>
        <w:p w14:paraId="29C90AE2" w14:textId="77777777" w:rsidR="001527EF" w:rsidRDefault="001527EF" w:rsidP="001527EF">
          <w:pPr>
            <w:pStyle w:val="Publication"/>
          </w:pPr>
          <w:r>
            <w:t>2 de diciembre de 2025</w:t>
          </w:r>
        </w:p>
        <w:p w14:paraId="20B356F2" w14:textId="77777777" w:rsidR="001527EF" w:rsidRDefault="001527EF" w:rsidP="001527EF">
          <w:r>
            <w:t>Español</w:t>
          </w:r>
        </w:p>
        <w:p w14:paraId="1B1B4966" w14:textId="77777777" w:rsidR="001527EF" w:rsidRDefault="001527EF" w:rsidP="001527EF">
          <w:pPr>
            <w:pStyle w:val="Original"/>
          </w:pPr>
          <w:r>
            <w:t>Original: inglés</w:t>
          </w:r>
        </w:p>
        <w:p w14:paraId="00DB8C79" w14:textId="77777777" w:rsidR="001527EF" w:rsidRPr="001527EF" w:rsidRDefault="0012082B" w:rsidP="001527EF">
          <w:r w:rsidRPr="0012082B">
            <w:t>Español, francés e inglés únicamente</w:t>
          </w:r>
        </w:p>
      </w:tc>
    </w:tr>
  </w:tbl>
  <w:p w14:paraId="416F0CB1" w14:textId="77777777" w:rsidR="001527EF" w:rsidRPr="0012082B" w:rsidRDefault="001527EF" w:rsidP="001527E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519676*"/>
    <w:docVar w:name="CreationDt" w:val="19/12/2025 11:54 AM"/>
    <w:docVar w:name="DocCategory" w:val="Doc"/>
    <w:docVar w:name="DocType" w:val="Final"/>
    <w:docVar w:name="DutyStation" w:val="New York"/>
    <w:docVar w:name="FooterJN" w:val="25-19676"/>
    <w:docVar w:name="jobn" w:val="25-19676 (S)"/>
    <w:docVar w:name="jobnDT" w:val="25-19676 (S)   191225"/>
    <w:docVar w:name="jobnDTDT" w:val="25-19676 (S)   191225   191225"/>
    <w:docVar w:name="JobNo" w:val="2519676S"/>
    <w:docVar w:name="JobNo2" w:val="253308511:54 AM"/>
    <w:docVar w:name="LocalDrive" w:val="-1"/>
    <w:docVar w:name="OandT" w:val="MAO/Puga"/>
    <w:docVar w:name="Session1" w:val="92º período de sesiones_x000d_"/>
    <w:docVar w:name="sss1" w:val="CEDAW/C/92/1"/>
    <w:docVar w:name="sss2" w:val="-"/>
    <w:docVar w:name="Symbol1" w:val="CEDAW/C/92/1"/>
    <w:docVar w:name="Symbol2" w:val="-"/>
    <w:docVar w:name="Title1" w:val="_x0009__x0009_Programa provisional anotado_x000d_"/>
    <w:docVar w:name="Title2" w:val="_x0009__x0009_Programa provisional_x000d_"/>
  </w:docVars>
  <w:rsids>
    <w:rsidRoot w:val="009F3D66"/>
    <w:rsid w:val="00001169"/>
    <w:rsid w:val="00001967"/>
    <w:rsid w:val="00086B6C"/>
    <w:rsid w:val="00105618"/>
    <w:rsid w:val="00113CAD"/>
    <w:rsid w:val="00116C5B"/>
    <w:rsid w:val="0012082B"/>
    <w:rsid w:val="001325B0"/>
    <w:rsid w:val="00145855"/>
    <w:rsid w:val="00151F81"/>
    <w:rsid w:val="001527EF"/>
    <w:rsid w:val="00171CDD"/>
    <w:rsid w:val="001958AB"/>
    <w:rsid w:val="001978D5"/>
    <w:rsid w:val="001A1649"/>
    <w:rsid w:val="001E6191"/>
    <w:rsid w:val="00247400"/>
    <w:rsid w:val="0027492E"/>
    <w:rsid w:val="002A2EA6"/>
    <w:rsid w:val="002C21FD"/>
    <w:rsid w:val="002C6649"/>
    <w:rsid w:val="0032052B"/>
    <w:rsid w:val="00324E08"/>
    <w:rsid w:val="00331D20"/>
    <w:rsid w:val="00364719"/>
    <w:rsid w:val="00365FD7"/>
    <w:rsid w:val="00397C5E"/>
    <w:rsid w:val="003A16AF"/>
    <w:rsid w:val="003B22F2"/>
    <w:rsid w:val="003D25A3"/>
    <w:rsid w:val="003D39A0"/>
    <w:rsid w:val="003E5E54"/>
    <w:rsid w:val="003F75F8"/>
    <w:rsid w:val="0043077C"/>
    <w:rsid w:val="00437288"/>
    <w:rsid w:val="004756F0"/>
    <w:rsid w:val="0047638E"/>
    <w:rsid w:val="00495E7B"/>
    <w:rsid w:val="0049669D"/>
    <w:rsid w:val="004F5722"/>
    <w:rsid w:val="0054211F"/>
    <w:rsid w:val="005610B1"/>
    <w:rsid w:val="005D4F00"/>
    <w:rsid w:val="005E5F02"/>
    <w:rsid w:val="00675194"/>
    <w:rsid w:val="00683889"/>
    <w:rsid w:val="0069077F"/>
    <w:rsid w:val="00695818"/>
    <w:rsid w:val="006B5BDE"/>
    <w:rsid w:val="006C7738"/>
    <w:rsid w:val="006F4596"/>
    <w:rsid w:val="006F654D"/>
    <w:rsid w:val="00727155"/>
    <w:rsid w:val="007522B9"/>
    <w:rsid w:val="007633C9"/>
    <w:rsid w:val="00771F68"/>
    <w:rsid w:val="00777D58"/>
    <w:rsid w:val="00786D30"/>
    <w:rsid w:val="007A3F1E"/>
    <w:rsid w:val="007B4CD6"/>
    <w:rsid w:val="008138CB"/>
    <w:rsid w:val="0082117D"/>
    <w:rsid w:val="00863195"/>
    <w:rsid w:val="00871053"/>
    <w:rsid w:val="00877270"/>
    <w:rsid w:val="0088056D"/>
    <w:rsid w:val="008A2590"/>
    <w:rsid w:val="008D347F"/>
    <w:rsid w:val="008F11CA"/>
    <w:rsid w:val="0091199A"/>
    <w:rsid w:val="00927330"/>
    <w:rsid w:val="00973FD3"/>
    <w:rsid w:val="009B00E9"/>
    <w:rsid w:val="009B2B8F"/>
    <w:rsid w:val="009B7591"/>
    <w:rsid w:val="009D56BA"/>
    <w:rsid w:val="009F078B"/>
    <w:rsid w:val="009F3D66"/>
    <w:rsid w:val="00A10141"/>
    <w:rsid w:val="00A103C7"/>
    <w:rsid w:val="00A72797"/>
    <w:rsid w:val="00AA29EE"/>
    <w:rsid w:val="00B040A0"/>
    <w:rsid w:val="00B125A0"/>
    <w:rsid w:val="00B272FA"/>
    <w:rsid w:val="00B27698"/>
    <w:rsid w:val="00B33074"/>
    <w:rsid w:val="00B43769"/>
    <w:rsid w:val="00B6364A"/>
    <w:rsid w:val="00B7299C"/>
    <w:rsid w:val="00B901FD"/>
    <w:rsid w:val="00BA6894"/>
    <w:rsid w:val="00BC2C8A"/>
    <w:rsid w:val="00BE0D97"/>
    <w:rsid w:val="00C16A02"/>
    <w:rsid w:val="00C16D72"/>
    <w:rsid w:val="00C174A0"/>
    <w:rsid w:val="00C358FE"/>
    <w:rsid w:val="00C54FD2"/>
    <w:rsid w:val="00C60123"/>
    <w:rsid w:val="00C6119A"/>
    <w:rsid w:val="00C63225"/>
    <w:rsid w:val="00CC2D86"/>
    <w:rsid w:val="00CE35F9"/>
    <w:rsid w:val="00D23FFB"/>
    <w:rsid w:val="00D409D0"/>
    <w:rsid w:val="00D744EE"/>
    <w:rsid w:val="00DB0712"/>
    <w:rsid w:val="00DB652C"/>
    <w:rsid w:val="00DE254A"/>
    <w:rsid w:val="00E47E79"/>
    <w:rsid w:val="00E53497"/>
    <w:rsid w:val="00E548DF"/>
    <w:rsid w:val="00E65E5D"/>
    <w:rsid w:val="00E8036E"/>
    <w:rsid w:val="00EA1709"/>
    <w:rsid w:val="00EE314B"/>
    <w:rsid w:val="00F05AC4"/>
    <w:rsid w:val="00F12A89"/>
    <w:rsid w:val="00F33AD6"/>
    <w:rsid w:val="00F3546D"/>
    <w:rsid w:val="00F5096D"/>
    <w:rsid w:val="00F52BE2"/>
    <w:rsid w:val="00F65F4F"/>
    <w:rsid w:val="00F81DB3"/>
    <w:rsid w:val="00F81EAF"/>
    <w:rsid w:val="00F854EE"/>
    <w:rsid w:val="00F95E56"/>
    <w:rsid w:val="00FB66C6"/>
    <w:rsid w:val="00FD1B9D"/>
    <w:rsid w:val="00FF34CF"/>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96174"/>
  <w15:chartTrackingRefBased/>
  <w15:docId w15:val="{3E41C91C-08AA-4E6D-989A-2C69943B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F3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D6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F3D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D6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F3D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3D66"/>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F3D66"/>
    <w:pPr>
      <w:ind w:left="720"/>
      <w:contextualSpacing/>
    </w:pPr>
  </w:style>
  <w:style w:type="character" w:styleId="IntenseEmphasis">
    <w:name w:val="Intense Emphasis"/>
    <w:basedOn w:val="DefaultParagraphFont"/>
    <w:uiPriority w:val="21"/>
    <w:qFormat/>
    <w:rsid w:val="009F3D66"/>
    <w:rPr>
      <w:i/>
      <w:iCs/>
      <w:color w:val="2F5496" w:themeColor="accent1" w:themeShade="BF"/>
    </w:rPr>
  </w:style>
  <w:style w:type="paragraph" w:styleId="IntenseQuote">
    <w:name w:val="Intense Quote"/>
    <w:basedOn w:val="Normal"/>
    <w:next w:val="Normal"/>
    <w:link w:val="IntenseQuoteChar"/>
    <w:uiPriority w:val="30"/>
    <w:qFormat/>
    <w:rsid w:val="009F3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D66"/>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F3D66"/>
    <w:rPr>
      <w:b/>
      <w:bCs/>
      <w:smallCaps/>
      <w:color w:val="2F5496" w:themeColor="accent1" w:themeShade="BF"/>
      <w:spacing w:val="5"/>
    </w:rPr>
  </w:style>
  <w:style w:type="paragraph" w:styleId="CommentText">
    <w:name w:val="annotation text"/>
    <w:basedOn w:val="Normal"/>
    <w:link w:val="CommentTextChar"/>
    <w:uiPriority w:val="99"/>
    <w:semiHidden/>
    <w:unhideWhenUsed/>
    <w:rsid w:val="001527EF"/>
    <w:pPr>
      <w:spacing w:line="240" w:lineRule="auto"/>
    </w:pPr>
    <w:rPr>
      <w:szCs w:val="20"/>
    </w:rPr>
  </w:style>
  <w:style w:type="character" w:customStyle="1" w:styleId="CommentTextChar">
    <w:name w:val="Comment Text Char"/>
    <w:basedOn w:val="DefaultParagraphFont"/>
    <w:link w:val="CommentText"/>
    <w:uiPriority w:val="99"/>
    <w:semiHidden/>
    <w:rsid w:val="001527E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527EF"/>
    <w:rPr>
      <w:b/>
      <w:bCs/>
    </w:rPr>
  </w:style>
  <w:style w:type="character" w:customStyle="1" w:styleId="CommentSubjectChar">
    <w:name w:val="Comment Subject Char"/>
    <w:basedOn w:val="CommentTextChar"/>
    <w:link w:val="CommentSubject"/>
    <w:uiPriority w:val="99"/>
    <w:semiHidden/>
    <w:rsid w:val="001527EF"/>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LTU/7" TargetMode="External"/><Relationship Id="rId39" Type="http://schemas.openxmlformats.org/officeDocument/2006/relationships/hyperlink" Target="https://docs.un.org/es/CEDAW/C/LSO/RQ/5-7" TargetMode="External"/><Relationship Id="rId21" Type="http://schemas.openxmlformats.org/officeDocument/2006/relationships/hyperlink" Target="https://docs.un.org/es/CEDAW/C/ARG/8" TargetMode="External"/><Relationship Id="rId34" Type="http://schemas.openxmlformats.org/officeDocument/2006/relationships/hyperlink" Target="https://docs.un.org/es/CEDAW/C/LTU/Q/7"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PSWG/92/1" TargetMode="External"/><Relationship Id="rId29" Type="http://schemas.openxmlformats.org/officeDocument/2006/relationships/hyperlink" Target="https://docs.un.org/es/CEDAW/C/ARG/QPR/8" TargetMode="External"/><Relationship Id="rId41" Type="http://schemas.openxmlformats.org/officeDocument/2006/relationships/hyperlink" Target="https://docs.un.org/es/CEDAW/C/VNM/R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IRQ/8" TargetMode="External"/><Relationship Id="rId32" Type="http://schemas.openxmlformats.org/officeDocument/2006/relationships/hyperlink" Target="https://docs.un.org/es/CEDAW/C/IRQ/Q/8" TargetMode="External"/><Relationship Id="rId37" Type="http://schemas.openxmlformats.org/officeDocument/2006/relationships/hyperlink" Target="https://docs.un.org/es/CEDAW/C/CZE/RQ/7" TargetMode="External"/><Relationship Id="rId40" Type="http://schemas.openxmlformats.org/officeDocument/2006/relationships/hyperlink" Target="https://docs.un.org/es/CEDAW/C/LTU/RQ/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SLV/10" TargetMode="External"/><Relationship Id="rId28" Type="http://schemas.openxmlformats.org/officeDocument/2006/relationships/hyperlink" Target="https://docs.un.org/es/CEDAW/C/VNM/9" TargetMode="External"/><Relationship Id="rId36" Type="http://schemas.openxmlformats.org/officeDocument/2006/relationships/hyperlink" Target="https://docs.un.org/es/CEDAW/C/VNM/Q/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SLV/Q/1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CZE/7" TargetMode="External"/><Relationship Id="rId27" Type="http://schemas.openxmlformats.org/officeDocument/2006/relationships/hyperlink" Target="https://docs.un.org/es/CEDAW/C/NLD/7" TargetMode="External"/><Relationship Id="rId30" Type="http://schemas.openxmlformats.org/officeDocument/2006/relationships/hyperlink" Target="https://docs.un.org/es/CEDAW/C/CZE/Q/7" TargetMode="External"/><Relationship Id="rId35" Type="http://schemas.openxmlformats.org/officeDocument/2006/relationships/hyperlink" Target="https://docs.un.org/es/CEDAW/C/NLD/QPR/7"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LSO/5-7" TargetMode="External"/><Relationship Id="rId33" Type="http://schemas.openxmlformats.org/officeDocument/2006/relationships/hyperlink" Target="https://docs.un.org/es/CEDAW/C/LSO/Q/5-7" TargetMode="External"/><Relationship Id="rId38" Type="http://schemas.openxmlformats.org/officeDocument/2006/relationships/hyperlink" Target="https://docs.un.org/es/CEDAW/C/SLV/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Patricia Lopez Horta</cp:lastModifiedBy>
  <cp:revision>3</cp:revision>
  <cp:lastPrinted>2025-12-24T14:56:00Z</cp:lastPrinted>
  <dcterms:created xsi:type="dcterms:W3CDTF">2025-12-24T14:56:00Z</dcterms:created>
  <dcterms:modified xsi:type="dcterms:W3CDTF">2025-12-24T14:56:00Z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2519676</vt:lpwstr>
  </property>
  <property fmtid="{D5CDD505-2E9C-101B-9397-08002B2CF9AE}" pid="3" name="ODSRefJobNo">
    <vt:lpwstr>2533085S</vt:lpwstr>
  </property>
  <property fmtid="{D5CDD505-2E9C-101B-9397-08002B2CF9AE}" pid="4" name="Symbol1">
    <vt:lpwstr>CEDAW/C/92/1</vt:lpwstr>
  </property>
  <property fmtid="{D5CDD505-2E9C-101B-9397-08002B2CF9AE}" pid="5" name="Symbol2">
    <vt:lpwstr/>
  </property>
  <property fmtid="{D5CDD505-2E9C-101B-9397-08002B2CF9AE}" pid="6" name="Translator">
    <vt:lpwstr>Puga</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031225</vt:lpwstr>
  </property>
  <property fmtid="{D5CDD505-2E9C-101B-9397-08002B2CF9AE}" pid="14" name="Session1">
    <vt:lpwstr>92º período de sesiones_x000d_</vt:lpwstr>
  </property>
  <property fmtid="{D5CDD505-2E9C-101B-9397-08002B2CF9AE}" pid="15" name="Agenda1">
    <vt:lpwstr>Tema 2 del programa provisional_x000d_</vt:lpwstr>
  </property>
  <property fmtid="{D5CDD505-2E9C-101B-9397-08002B2CF9AE}" pid="16" name="Agenda Title1">
    <vt:lpwstr>Aprobación del programa y organización de los trabajos_x000d_</vt:lpwstr>
  </property>
  <property fmtid="{D5CDD505-2E9C-101B-9397-08002B2CF9AE}" pid="17" name="Title1">
    <vt:lpwstr>		Programa provisional anotado_x000d_</vt:lpwstr>
  </property>
  <property fmtid="{D5CDD505-2E9C-101B-9397-08002B2CF9AE}" pid="18" name="Title2">
    <vt:lpwstr>		Programa provisional_x000d_</vt:lpwstr>
  </property>
</Properties>
</file>