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C069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64900" w:rsidP="00F64900">
            <w:pPr>
              <w:jc w:val="right"/>
            </w:pPr>
            <w:r w:rsidRPr="00F64900">
              <w:rPr>
                <w:sz w:val="40"/>
              </w:rPr>
              <w:t>CRC</w:t>
            </w:r>
            <w:r>
              <w:t>/C/GC/15</w:t>
            </w:r>
          </w:p>
        </w:tc>
      </w:tr>
      <w:tr w:rsidR="002D5AAC" w:rsidTr="00CC069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64900" w:rsidRDefault="00F64900" w:rsidP="00DD299D">
            <w:pPr>
              <w:spacing w:before="240"/>
            </w:pPr>
            <w:r>
              <w:t>Distr. general</w:t>
            </w:r>
          </w:p>
          <w:p w:rsidR="00F64900" w:rsidRDefault="00F64900" w:rsidP="00F64900">
            <w:pPr>
              <w:spacing w:line="240" w:lineRule="exact"/>
            </w:pPr>
            <w:r>
              <w:t>17 de abril de 2013</w:t>
            </w:r>
          </w:p>
          <w:p w:rsidR="00F64900" w:rsidRDefault="00F64900" w:rsidP="00F64900">
            <w:pPr>
              <w:spacing w:line="240" w:lineRule="exact"/>
            </w:pPr>
            <w:r>
              <w:t>Español</w:t>
            </w:r>
          </w:p>
          <w:p w:rsidR="002D5AAC" w:rsidRDefault="00F64900" w:rsidP="00F64900">
            <w:pPr>
              <w:spacing w:line="240" w:lineRule="exact"/>
            </w:pPr>
            <w:r>
              <w:t>Original: inglés</w:t>
            </w:r>
          </w:p>
        </w:tc>
      </w:tr>
    </w:tbl>
    <w:p w:rsidR="00CC0698" w:rsidRPr="00552E31" w:rsidRDefault="00CC0698" w:rsidP="00CC0698">
      <w:pPr>
        <w:spacing w:before="120"/>
        <w:rPr>
          <w:b/>
          <w:sz w:val="24"/>
          <w:szCs w:val="24"/>
        </w:rPr>
      </w:pPr>
      <w:r w:rsidRPr="00552E31">
        <w:rPr>
          <w:b/>
          <w:sz w:val="24"/>
          <w:szCs w:val="24"/>
        </w:rPr>
        <w:t>Comité de los Derechos del Niño</w:t>
      </w:r>
    </w:p>
    <w:p w:rsidR="00CC0698" w:rsidRPr="00552E31" w:rsidRDefault="00CC0698" w:rsidP="00CC0698">
      <w:pPr>
        <w:pStyle w:val="HMG"/>
      </w:pPr>
      <w:bookmarkStart w:id="0" w:name="_Toc285723364"/>
      <w:bookmarkStart w:id="1" w:name="_Toc285724519"/>
      <w:bookmarkStart w:id="2" w:name="_Toc285724579"/>
      <w:bookmarkStart w:id="3" w:name="_Toc285724726"/>
      <w:bookmarkStart w:id="4" w:name="_Toc285724983"/>
      <w:r w:rsidRPr="00552E31">
        <w:tab/>
      </w:r>
      <w:r w:rsidRPr="00552E31">
        <w:tab/>
        <w:t>Observación general Nº 15 (2013)</w:t>
      </w:r>
      <w:bookmarkEnd w:id="0"/>
      <w:bookmarkEnd w:id="1"/>
      <w:bookmarkEnd w:id="2"/>
      <w:bookmarkEnd w:id="3"/>
      <w:bookmarkEnd w:id="4"/>
      <w:r w:rsidRPr="00552E31">
        <w:t xml:space="preserve"> sob</w:t>
      </w:r>
      <w:r>
        <w:t xml:space="preserve">re el </w:t>
      </w:r>
      <w:r w:rsidRPr="00552E31">
        <w:t>derecho del niño al disfrute del más alto nivel posible de salud (artículo 24)</w:t>
      </w:r>
      <w:r w:rsidRPr="00552E31">
        <w:rPr>
          <w:rStyle w:val="FootnoteReference"/>
          <w:b w:val="0"/>
          <w:sz w:val="20"/>
          <w:vertAlign w:val="baseline"/>
        </w:rPr>
        <w:footnoteReference w:customMarkFollows="1" w:id="1"/>
        <w:t>*</w:t>
      </w:r>
    </w:p>
    <w:p w:rsidR="00CC0698" w:rsidRDefault="00CC0698" w:rsidP="00CC0698">
      <w:pPr>
        <w:spacing w:after="120"/>
        <w:rPr>
          <w:sz w:val="28"/>
        </w:rPr>
      </w:pPr>
      <w:r>
        <w:br w:type="page"/>
      </w:r>
      <w:r>
        <w:rPr>
          <w:sz w:val="28"/>
        </w:rPr>
        <w:t>Índice</w:t>
      </w:r>
    </w:p>
    <w:p w:rsidR="00CC0698" w:rsidRDefault="00CC0698" w:rsidP="00CC0698">
      <w:pPr>
        <w:tabs>
          <w:tab w:val="right" w:pos="8929"/>
          <w:tab w:val="right" w:pos="9638"/>
        </w:tabs>
        <w:spacing w:after="120"/>
        <w:ind w:left="283"/>
        <w:rPr>
          <w:sz w:val="18"/>
        </w:rPr>
      </w:pPr>
      <w:r>
        <w:rPr>
          <w:i/>
          <w:sz w:val="18"/>
        </w:rPr>
        <w:tab/>
        <w:t>Párrafos</w:t>
      </w:r>
      <w:r>
        <w:rPr>
          <w:i/>
          <w:sz w:val="18"/>
        </w:rPr>
        <w:tab/>
        <w:t>Página</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t>I.</w:t>
      </w:r>
      <w:r w:rsidRPr="00552E31">
        <w:tab/>
        <w:t>Introducción</w:t>
      </w:r>
      <w:r w:rsidRPr="00552E31">
        <w:tab/>
      </w:r>
      <w:r w:rsidRPr="00552E31">
        <w:tab/>
        <w:t>1–6</w:t>
      </w:r>
      <w:r w:rsidRPr="00552E31">
        <w:tab/>
      </w:r>
      <w:r w:rsidR="008A6CB1">
        <w:t>3</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t>II.</w:t>
      </w:r>
      <w:r w:rsidRPr="00552E31">
        <w:tab/>
        <w:t>Principios y premisas para realizar el derecho del niño a la salud</w:t>
      </w:r>
      <w:r w:rsidRPr="00552E31">
        <w:tab/>
      </w:r>
      <w:r w:rsidRPr="00552E31">
        <w:tab/>
        <w:t>7–22</w:t>
      </w:r>
      <w:r w:rsidRPr="00552E31">
        <w:tab/>
      </w:r>
      <w:r w:rsidR="008A6CB1">
        <w:t>4</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A.</w:t>
      </w:r>
      <w:r w:rsidRPr="00552E31">
        <w:tab/>
        <w:t>Indivisibilidad e interdependencia de los derechos del niño</w:t>
      </w:r>
      <w:r w:rsidRPr="00552E31">
        <w:tab/>
      </w:r>
      <w:r w:rsidRPr="00552E31">
        <w:tab/>
        <w:t>7</w:t>
      </w:r>
      <w:r w:rsidRPr="00552E31">
        <w:tab/>
      </w:r>
      <w:r w:rsidR="008A6CB1">
        <w:t>4</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B.</w:t>
      </w:r>
      <w:r w:rsidRPr="00552E31">
        <w:tab/>
        <w:t>Derecho a la no discriminación</w:t>
      </w:r>
      <w:r w:rsidRPr="00552E31">
        <w:tab/>
      </w:r>
      <w:r w:rsidRPr="00552E31">
        <w:tab/>
        <w:t>8–11</w:t>
      </w:r>
      <w:r w:rsidRPr="00552E31">
        <w:tab/>
      </w:r>
      <w:r w:rsidR="008A6CB1">
        <w:t>5</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C.</w:t>
      </w:r>
      <w:r w:rsidRPr="00552E31">
        <w:tab/>
        <w:t>El interés superior del niño</w:t>
      </w:r>
      <w:r w:rsidRPr="00552E31">
        <w:tab/>
      </w:r>
      <w:r w:rsidRPr="00552E31">
        <w:tab/>
        <w:t>12–15</w:t>
      </w:r>
      <w:r w:rsidRPr="00552E31">
        <w:tab/>
      </w:r>
      <w:r w:rsidR="008A6CB1">
        <w:t>5</w:t>
      </w:r>
    </w:p>
    <w:p w:rsidR="00CC0698" w:rsidRPr="00552E31" w:rsidRDefault="00CC0698" w:rsidP="004F384D">
      <w:pPr>
        <w:tabs>
          <w:tab w:val="right" w:pos="850"/>
          <w:tab w:val="left" w:pos="1134"/>
          <w:tab w:val="left" w:pos="1559"/>
          <w:tab w:val="left" w:pos="1984"/>
          <w:tab w:val="left" w:leader="dot" w:pos="7654"/>
          <w:tab w:val="right" w:pos="8929"/>
          <w:tab w:val="right" w:pos="9638"/>
        </w:tabs>
        <w:spacing w:after="120"/>
        <w:ind w:left="1559" w:hanging="1559"/>
      </w:pPr>
      <w:r w:rsidRPr="00552E31">
        <w:tab/>
      </w:r>
      <w:r w:rsidRPr="00552E31">
        <w:tab/>
        <w:t>D.</w:t>
      </w:r>
      <w:r w:rsidRPr="00552E31">
        <w:tab/>
        <w:t xml:space="preserve">Derecho a la vida, a la supervivencia y al desarrollo y factores que </w:t>
      </w:r>
      <w:r>
        <w:br/>
      </w:r>
      <w:r w:rsidRPr="00552E31">
        <w:t>determinan la salud del niño</w:t>
      </w:r>
      <w:r w:rsidRPr="00552E31">
        <w:tab/>
      </w:r>
      <w:r w:rsidRPr="00552E31">
        <w:tab/>
        <w:t>16–18</w:t>
      </w:r>
      <w:r w:rsidRPr="00552E31">
        <w:tab/>
      </w:r>
      <w:r w:rsidR="008A6CB1">
        <w:t>6</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E.</w:t>
      </w:r>
      <w:r w:rsidRPr="00552E31">
        <w:tab/>
        <w:t>Derecho del niño a ser escuchado</w:t>
      </w:r>
      <w:r w:rsidRPr="00552E31">
        <w:tab/>
      </w:r>
      <w:r w:rsidRPr="00552E31">
        <w:tab/>
        <w:t>19</w:t>
      </w:r>
      <w:r w:rsidRPr="00552E31">
        <w:tab/>
      </w:r>
      <w:r w:rsidR="008A6CB1">
        <w:t>7</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F.</w:t>
      </w:r>
      <w:r w:rsidRPr="00552E31">
        <w:tab/>
        <w:t>Evolución de las capacidades y trayectoria vital del niño</w:t>
      </w:r>
      <w:r w:rsidRPr="00552E31">
        <w:tab/>
      </w:r>
      <w:r w:rsidRPr="00552E31">
        <w:tab/>
        <w:t>20–22</w:t>
      </w:r>
      <w:r w:rsidRPr="00552E31">
        <w:tab/>
      </w:r>
      <w:r w:rsidR="008A6CB1">
        <w:t>7</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t>III.</w:t>
      </w:r>
      <w:r w:rsidRPr="00552E31">
        <w:tab/>
        <w:t>Contenido normativo del artículo 24</w:t>
      </w:r>
      <w:r w:rsidRPr="00552E31">
        <w:tab/>
      </w:r>
      <w:r w:rsidRPr="00552E31">
        <w:tab/>
        <w:t>23–70</w:t>
      </w:r>
      <w:r w:rsidRPr="00552E31">
        <w:tab/>
      </w:r>
      <w:r w:rsidR="008A6CB1">
        <w:t>8</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A.</w:t>
      </w:r>
      <w:r w:rsidRPr="00552E31">
        <w:tab/>
        <w:t>Artículo 24, párrafo 1</w:t>
      </w:r>
      <w:r w:rsidRPr="00552E31">
        <w:tab/>
      </w:r>
      <w:r w:rsidRPr="00552E31">
        <w:tab/>
        <w:t>23–31</w:t>
      </w:r>
      <w:r w:rsidRPr="00552E31">
        <w:tab/>
      </w:r>
      <w:r w:rsidR="008A6CB1">
        <w:t>8</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B.</w:t>
      </w:r>
      <w:r w:rsidRPr="00552E31">
        <w:tab/>
        <w:t>Artículo 24, párrafo 2</w:t>
      </w:r>
      <w:r w:rsidRPr="00552E31">
        <w:tab/>
      </w:r>
      <w:r w:rsidRPr="00552E31">
        <w:tab/>
        <w:t>32–70</w:t>
      </w:r>
      <w:r w:rsidRPr="00552E31">
        <w:tab/>
      </w:r>
      <w:r w:rsidR="008A6CB1">
        <w:t>10</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t>IV.</w:t>
      </w:r>
      <w:r w:rsidRPr="00552E31">
        <w:tab/>
        <w:t>Obligaciones y responsabilidades</w:t>
      </w:r>
      <w:r w:rsidRPr="00552E31">
        <w:tab/>
      </w:r>
      <w:r w:rsidRPr="00552E31">
        <w:tab/>
        <w:t>71–85</w:t>
      </w:r>
      <w:r w:rsidRPr="00552E31">
        <w:tab/>
      </w:r>
      <w:r w:rsidR="008A6CB1">
        <w:t>18</w:t>
      </w:r>
    </w:p>
    <w:p w:rsidR="00CC0698" w:rsidRPr="00552E31" w:rsidRDefault="00CC0698" w:rsidP="004F384D">
      <w:pPr>
        <w:tabs>
          <w:tab w:val="right" w:pos="850"/>
          <w:tab w:val="left" w:pos="1134"/>
          <w:tab w:val="left" w:pos="1559"/>
          <w:tab w:val="left" w:pos="1984"/>
          <w:tab w:val="left" w:leader="dot" w:pos="7654"/>
          <w:tab w:val="right" w:pos="8929"/>
          <w:tab w:val="right" w:pos="9638"/>
        </w:tabs>
        <w:spacing w:after="120"/>
        <w:ind w:left="1559" w:hanging="1559"/>
      </w:pPr>
      <w:r w:rsidRPr="00552E31">
        <w:tab/>
      </w:r>
      <w:r w:rsidRPr="00552E31">
        <w:tab/>
        <w:t>A.</w:t>
      </w:r>
      <w:r w:rsidRPr="00552E31">
        <w:tab/>
        <w:t xml:space="preserve">Obligaciones de los Estados partes de respetar, proteger y hacer efectivo </w:t>
      </w:r>
      <w:r>
        <w:br/>
      </w:r>
      <w:r w:rsidR="008A6CB1">
        <w:t>el derecho</w:t>
      </w:r>
      <w:r w:rsidRPr="00552E31">
        <w:tab/>
      </w:r>
      <w:r>
        <w:tab/>
      </w:r>
      <w:r w:rsidRPr="00552E31">
        <w:t>71–74</w:t>
      </w:r>
      <w:r w:rsidRPr="00552E31">
        <w:tab/>
      </w:r>
      <w:r w:rsidR="008A6CB1">
        <w:t>18</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B.</w:t>
      </w:r>
      <w:r w:rsidRPr="00552E31">
        <w:tab/>
        <w:t>Responsabilidades de los agentes no estatales</w:t>
      </w:r>
      <w:r w:rsidRPr="00552E31">
        <w:tab/>
      </w:r>
      <w:r w:rsidRPr="00552E31">
        <w:tab/>
        <w:t>75–85</w:t>
      </w:r>
      <w:r w:rsidRPr="00552E31">
        <w:tab/>
      </w:r>
      <w:r w:rsidR="008A6CB1">
        <w:t>18</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t>V.</w:t>
      </w:r>
      <w:r w:rsidRPr="00552E31">
        <w:tab/>
        <w:t>Cooperación internacional</w:t>
      </w:r>
      <w:r w:rsidRPr="00552E31">
        <w:tab/>
      </w:r>
      <w:r w:rsidRPr="00552E31">
        <w:tab/>
        <w:t>86–89</w:t>
      </w:r>
      <w:r w:rsidRPr="00552E31">
        <w:tab/>
      </w:r>
      <w:r w:rsidR="008A6CB1">
        <w:t>20</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t>VI.</w:t>
      </w:r>
      <w:r w:rsidRPr="00552E31">
        <w:tab/>
        <w:t>Marco de aplicación y rendición de cuentas</w:t>
      </w:r>
      <w:r w:rsidRPr="00552E31">
        <w:tab/>
      </w:r>
      <w:r w:rsidRPr="00552E31">
        <w:tab/>
        <w:t>90–120</w:t>
      </w:r>
      <w:r w:rsidRPr="00552E31">
        <w:tab/>
      </w:r>
      <w:r w:rsidR="008A6CB1">
        <w:t>21</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A.</w:t>
      </w:r>
      <w:r w:rsidRPr="00552E31">
        <w:tab/>
        <w:t>Promoción del conocimiento del derecho del niño a la</w:t>
      </w:r>
      <w:r w:rsidR="00AE0CB8">
        <w:t xml:space="preserve"> salud (artículo</w:t>
      </w:r>
      <w:r w:rsidRPr="00552E31">
        <w:t xml:space="preserve"> 42)</w:t>
      </w:r>
      <w:r w:rsidRPr="00552E31">
        <w:tab/>
      </w:r>
      <w:r w:rsidRPr="00552E31">
        <w:tab/>
        <w:t>93</w:t>
      </w:r>
      <w:r w:rsidRPr="00552E31">
        <w:tab/>
      </w:r>
      <w:r w:rsidR="008A6CB1">
        <w:t>21</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B.</w:t>
      </w:r>
      <w:r w:rsidRPr="00552E31">
        <w:tab/>
        <w:t>Medidas legislativas</w:t>
      </w:r>
      <w:r w:rsidRPr="00552E31">
        <w:tab/>
      </w:r>
      <w:r w:rsidRPr="00552E31">
        <w:tab/>
        <w:t>94–95</w:t>
      </w:r>
      <w:r w:rsidRPr="00552E31">
        <w:tab/>
      </w:r>
      <w:r w:rsidR="008A6CB1">
        <w:t>22</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C.</w:t>
      </w:r>
      <w:r w:rsidRPr="00552E31">
        <w:tab/>
        <w:t>Gobernanza y coordinación</w:t>
      </w:r>
      <w:r w:rsidRPr="00552E31">
        <w:tab/>
      </w:r>
      <w:r w:rsidRPr="00552E31">
        <w:tab/>
        <w:t>96–103</w:t>
      </w:r>
      <w:r w:rsidRPr="00552E31">
        <w:tab/>
      </w:r>
      <w:r w:rsidR="008A6CB1">
        <w:t>22</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D.</w:t>
      </w:r>
      <w:r w:rsidRPr="00552E31">
        <w:tab/>
        <w:t>Inversión en la salud del niño</w:t>
      </w:r>
      <w:r w:rsidRPr="00552E31">
        <w:tab/>
      </w:r>
      <w:r w:rsidRPr="00552E31">
        <w:tab/>
        <w:t>104–107</w:t>
      </w:r>
      <w:r w:rsidRPr="00552E31">
        <w:tab/>
      </w:r>
      <w:r w:rsidR="008A6CB1">
        <w:t>23</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pPr>
      <w:r w:rsidRPr="00552E31">
        <w:tab/>
      </w:r>
      <w:r w:rsidRPr="00552E31">
        <w:tab/>
        <w:t>E.</w:t>
      </w:r>
      <w:r w:rsidRPr="00552E31">
        <w:tab/>
        <w:t>El ciclo de acción</w:t>
      </w:r>
      <w:r w:rsidRPr="00552E31">
        <w:tab/>
      </w:r>
      <w:r w:rsidRPr="00552E31">
        <w:tab/>
        <w:t>108–118</w:t>
      </w:r>
      <w:r w:rsidRPr="00552E31">
        <w:tab/>
      </w:r>
      <w:r w:rsidR="008A6CB1">
        <w:t>24</w:t>
      </w:r>
    </w:p>
    <w:p w:rsidR="00CC0698" w:rsidRPr="00552E31" w:rsidRDefault="00CC0698" w:rsidP="00CC0698">
      <w:pPr>
        <w:tabs>
          <w:tab w:val="right" w:pos="850"/>
          <w:tab w:val="left" w:pos="1134"/>
          <w:tab w:val="left" w:pos="1559"/>
          <w:tab w:val="left" w:pos="1984"/>
          <w:tab w:val="left" w:leader="dot" w:pos="7654"/>
          <w:tab w:val="right" w:pos="8929"/>
          <w:tab w:val="right" w:pos="9638"/>
        </w:tabs>
        <w:spacing w:after="120"/>
        <w:rPr>
          <w:rFonts w:eastAsia="Calibri"/>
        </w:rPr>
      </w:pPr>
      <w:r w:rsidRPr="00552E31">
        <w:tab/>
      </w:r>
      <w:r w:rsidRPr="00552E31">
        <w:tab/>
        <w:t>F.</w:t>
      </w:r>
      <w:r w:rsidRPr="00552E31">
        <w:tab/>
        <w:t>Reparaciones por violación del derecho del niño a la salud</w:t>
      </w:r>
      <w:r w:rsidRPr="00552E31">
        <w:tab/>
      </w:r>
      <w:r w:rsidRPr="00552E31">
        <w:tab/>
        <w:t>119–120</w:t>
      </w:r>
      <w:r w:rsidRPr="00552E31">
        <w:tab/>
      </w:r>
      <w:r w:rsidR="008A6CB1">
        <w:t>26</w:t>
      </w:r>
    </w:p>
    <w:p w:rsidR="00CC0698" w:rsidRPr="00552E31" w:rsidRDefault="00CC0698" w:rsidP="004F384D">
      <w:pPr>
        <w:tabs>
          <w:tab w:val="right" w:pos="850"/>
          <w:tab w:val="left" w:pos="1134"/>
          <w:tab w:val="left" w:pos="1559"/>
          <w:tab w:val="left" w:leader="dot" w:pos="7654"/>
          <w:tab w:val="right" w:pos="8929"/>
          <w:tab w:val="right" w:pos="9638"/>
        </w:tabs>
        <w:spacing w:after="120"/>
        <w:rPr>
          <w:rFonts w:eastAsia="Calibri"/>
        </w:rPr>
      </w:pPr>
      <w:r w:rsidRPr="00552E31">
        <w:tab/>
        <w:t>VII.</w:t>
      </w:r>
      <w:r w:rsidRPr="00552E31">
        <w:tab/>
        <w:t>Difusión</w:t>
      </w:r>
      <w:r w:rsidRPr="00552E31">
        <w:tab/>
      </w:r>
      <w:r w:rsidRPr="00552E31">
        <w:tab/>
        <w:t>121</w:t>
      </w:r>
      <w:r w:rsidRPr="00552E31">
        <w:tab/>
      </w:r>
      <w:r w:rsidR="004F384D">
        <w:t>27</w:t>
      </w:r>
    </w:p>
    <w:p w:rsidR="00CC0698" w:rsidRPr="00552E31" w:rsidRDefault="00CC0698" w:rsidP="00CC0698">
      <w:pPr>
        <w:pStyle w:val="HChG"/>
      </w:pPr>
      <w:r>
        <w:br w:type="page"/>
      </w:r>
      <w:r w:rsidRPr="00552E31">
        <w:tab/>
        <w:t>I.</w:t>
      </w:r>
      <w:r w:rsidRPr="00552E31">
        <w:tab/>
        <w:t>Introducción</w:t>
      </w:r>
    </w:p>
    <w:p w:rsidR="00CC0698" w:rsidRPr="00552E31" w:rsidRDefault="00CC0698" w:rsidP="00CC0698">
      <w:pPr>
        <w:pStyle w:val="SingleTxtG"/>
        <w:rPr>
          <w:rFonts w:eastAsia="Batang"/>
        </w:rPr>
      </w:pPr>
      <w:bookmarkStart w:id="5" w:name="__RefHeading__6_503802003"/>
      <w:bookmarkEnd w:id="5"/>
      <w:r>
        <w:t>1.</w:t>
      </w:r>
      <w:r>
        <w:tab/>
      </w:r>
      <w:r w:rsidRPr="00552E31">
        <w:t xml:space="preserve">La presente observación general obedece a la importancia de estudiar la salud infantil desde la óptica de los derechos del niño, en el sentido de que todos los niños tienen derecho a oportunidades de supervivencia, crecimiento y desarrollo en un contexto de bienestar físico, emocional y social al máximo de sus posibilidades. En el marco de la presente observación general, se entiende por "niño" todo menor de </w:t>
      </w:r>
      <w:r>
        <w:t>18</w:t>
      </w:r>
      <w:r w:rsidRPr="00552E31">
        <w:t xml:space="preserve"> años de edad, de conformidad con el artículo 1 de la Convención </w:t>
      </w:r>
      <w:r>
        <w:t xml:space="preserve">sobre los Derechos del Niño (en </w:t>
      </w:r>
      <w:r w:rsidRPr="00552E31">
        <w:t xml:space="preserve">adelante denominada "la Convención"). Pese a los notables logros alcanzados recientemente desde la aprobación de la Convención, persisten dificultades considerables en cuanto al disfrute por los niños de su derecho a la salud. El Comité de los Derechos del Niño (en adelante denominado "el Comité") reconoce que la mayor parte de la mortalidad, la morbilidad y la discapacidad infantiles podría prevenirse con compromiso político y una asignación de suficientes recursos a la aplicación de los conocimientos y tecnologías disponibles con fines de prevención, tratamiento y atención. La presente observación general se preparó con el objeto de facilitar orientación y apoyo a los Estados partes y otras instancias protectoras para ayudarlos a respetar, proteger y hacer efectivo el derecho del niño al disfrute del más alto nivel posible de salud (en adelante denominado "el </w:t>
      </w:r>
      <w:r>
        <w:t>derecho del niño a la salud").</w:t>
      </w:r>
    </w:p>
    <w:p w:rsidR="00CC0698" w:rsidRPr="00552E31" w:rsidRDefault="00CC0698" w:rsidP="00CC0698">
      <w:pPr>
        <w:pStyle w:val="SingleTxtG"/>
        <w:rPr>
          <w:rFonts w:eastAsia="Batang"/>
        </w:rPr>
      </w:pPr>
      <w:r>
        <w:t>2.</w:t>
      </w:r>
      <w:r>
        <w:tab/>
      </w:r>
      <w:r w:rsidRPr="00552E31">
        <w:t xml:space="preserve">El Comité interpreta el derecho del niño a la salud, definido en el artículo 24, como derecho inclusivo que no </w:t>
      </w:r>
      <w:r>
        <w:t>solo</w:t>
      </w:r>
      <w:r w:rsidRPr="00552E31">
        <w:t xml:space="preserve"> abarca la prevención oportuna y apropiada, la promoción de la salud y los servicios paliativos, de curación y de rehabilitación, sino también el derecho del niño a crecer y desarrollarse al máximo de sus posibilidades y vivir en condiciones que le permitan disfrutar del más alto nivel posible de salud, mediante la ejecución de programas centrados en los factores subyacentes que determinan la salud. El enfoque integral en materia de salud sitúa la realización del derecho del niño a la salud en el contexto más amplio de las obligaciones internacionales en materia de derechos humanos. </w:t>
      </w:r>
    </w:p>
    <w:p w:rsidR="00CC0698" w:rsidRPr="00552E31" w:rsidRDefault="00CC0698" w:rsidP="00CC0698">
      <w:pPr>
        <w:pStyle w:val="SingleTxtG"/>
        <w:rPr>
          <w:rFonts w:eastAsia="Batang"/>
        </w:rPr>
      </w:pPr>
      <w:r>
        <w:t>3.</w:t>
      </w:r>
      <w:r>
        <w:tab/>
      </w:r>
      <w:r w:rsidRPr="00552E31">
        <w:t>El Comité dirige la presente observación general a diversos interesados que operan en el ámbito de los derechos del niño y la salud pública, entre ellos responsables de formular políticas, encargados de ejecutar programas y activistas, así como padres y los propios niños. Al ser deliberadamente genérica, resultará pertinente para una amplia gama de problemas de salud infantil, sistemas sanitarios y contextos propios de distintos países y regiones. Se centra fundamentalmente en el artículo 24, párrafos 1 y 2, aunque también aborda el artículo 24, párrafo 4</w:t>
      </w:r>
      <w:r w:rsidRPr="008049BB">
        <w:rPr>
          <w:rStyle w:val="FootnoteReference"/>
        </w:rPr>
        <w:footnoteReference w:id="2"/>
      </w:r>
      <w:r w:rsidRPr="00552E31">
        <w:t>. Cuando se aplica el artículo 24 han de tenerse en cuenta todos los principios de derechos humanos, en particular los principios rectores de la Convención, y respetarse las normas y mejores prácticas con base empírica en el ámbito de la salud pública.</w:t>
      </w:r>
    </w:p>
    <w:p w:rsidR="00CC0698" w:rsidRPr="00552E31" w:rsidRDefault="00CC0698" w:rsidP="00CC0698">
      <w:pPr>
        <w:pStyle w:val="SingleTxtG"/>
        <w:rPr>
          <w:rFonts w:eastAsia="Batang"/>
        </w:rPr>
      </w:pPr>
      <w:bookmarkStart w:id="6" w:name="__RefHeading__8_503802003"/>
      <w:bookmarkEnd w:id="6"/>
      <w:r>
        <w:t>4.</w:t>
      </w:r>
      <w:r>
        <w:tab/>
      </w:r>
      <w:r w:rsidRPr="00552E31">
        <w:t>En la Constitución de la Organización Mundial de la Salud, los Estados convinieron en entender la salud como estado de completo bienestar físico, mental y social, y no solamente como ausencia de afecciones o enfermedades</w:t>
      </w:r>
      <w:r w:rsidRPr="008049BB">
        <w:rPr>
          <w:rStyle w:val="FootnoteReference"/>
        </w:rPr>
        <w:footnoteReference w:id="3"/>
      </w:r>
      <w:r w:rsidRPr="00552E31">
        <w:t>. Este concepto positivo de salud sienta las bases de la presente observación general en el ámbito de la salud pública. En el artículo 24 se menciona expresamente la atención primaria de salud, enfoque definido en la Declaración de Alma-Ata</w:t>
      </w:r>
      <w:r w:rsidRPr="008049BB">
        <w:rPr>
          <w:rStyle w:val="FootnoteReference"/>
        </w:rPr>
        <w:footnoteReference w:id="4"/>
      </w:r>
      <w:r w:rsidRPr="00552E31">
        <w:t xml:space="preserve"> y corroborado por la Asamblea Mundial de la Salud</w:t>
      </w:r>
      <w:r w:rsidRPr="008049BB">
        <w:rPr>
          <w:rStyle w:val="FootnoteReference"/>
        </w:rPr>
        <w:footnoteReference w:id="5"/>
      </w:r>
      <w:r w:rsidRPr="00552E31">
        <w:t xml:space="preserve">. Este enfoque pone de manifiesto la necesidad de eliminar la exclusión y reducir las disparidades sociales en el ámbito de la salud; organizar los servicios sanitarios en función de las necesidades y expectativas de las personas; incorporar la salud en los sectores conexos; adoptar modelos colaborativos de diálogo sobre políticas; y dar mayor cabida a los interesados, en particular por lo que se refiere a la demanda de servicios y el uso apropiado de estos. </w:t>
      </w:r>
    </w:p>
    <w:p w:rsidR="00CC0698" w:rsidRPr="00552E31" w:rsidRDefault="00CC0698" w:rsidP="00CC0698">
      <w:pPr>
        <w:pStyle w:val="SingleTxtG"/>
        <w:rPr>
          <w:rFonts w:eastAsia="Batang"/>
        </w:rPr>
      </w:pPr>
      <w:r>
        <w:t>5.</w:t>
      </w:r>
      <w:r>
        <w:tab/>
      </w:r>
      <w:r w:rsidRPr="00552E31">
        <w:t>La salud del niño se ve afectada por diversos factores, muchos de los cuales han cambiado en los últimos 20 años y probablemente seguirán evolucionando. Cabe mencionar al respecto la atención prestada a nuevos problemas sanitarios y a las prioridades cambiantes en el ámbito de la salud, como por ejemplo el VIH/SIDA, la gripe pandémica, las enfermedades no transmisibles, la importancia de la atención de la salud mental, el cuidado del recién nacido, la mortalidad neonatal y de adolescentes y el mayor entendimiento de los factores que contribuyen al fallecimiento, la enfermedad y la discapacidad de niños, entre ellos los determinantes estructurales, como la situación económica y financiera mundial, la pobreza, el desempleo, la migración y los desplazamientos de población, la guerra y los disturbios civiles, la discriminación y la marginación. También se entienden cada vez mejor las repercusiones del cambio climático y la rápida urbanización en la salud del niño; el desarrollo de nuevas tecnologías, como vacunas y productos farmacéuticos; una base empírica más sólida para organizar intervenciones biomédicas, conductuales y estructurales eficaces; y algunas prácticas culturales en materia de crianza que han demostrado ser positivas para los niños.</w:t>
      </w:r>
    </w:p>
    <w:p w:rsidR="00CC0698" w:rsidRPr="00552E31" w:rsidRDefault="00CC0698" w:rsidP="00CC0698">
      <w:pPr>
        <w:pStyle w:val="SingleTxtG"/>
        <w:rPr>
          <w:rFonts w:eastAsia="Batang"/>
        </w:rPr>
      </w:pPr>
      <w:r>
        <w:t>6.</w:t>
      </w:r>
      <w:r>
        <w:tab/>
      </w:r>
      <w:r w:rsidRPr="00552E31">
        <w:t xml:space="preserve">Los avances en las tecnologías de la información y las comunicaciones han presentado nuevas oportunidades y dificultades para el ejercicio del derecho del niño a la salud. A pesar de los nuevos recursos y tecnologías de los que ha pasado a disponer el sector de la salud, muchos países siguen sin facilitar acceso universal a servicios de promoción y prevención de la salud infantil básica y al correspondiente tratamiento. Para que el derecho del niño a la salud se ejerza plenamente deben intervenir muy diversas instancias protectoras, y debe reconocerse la función central desempeñada por los padres y otros cuidadores. Deberán participar en la labor interesados que operen en el ámbito nacional, regional, comunitario y de distrito, incluidos asociados gubernamentales y no gubernamentales, el sector privado y organizaciones que aportan fondos. Los Estados están obligados a velar por que todas las instancias protectoras tengan un grado de conciencia, conocimiento y capacidad suficiente para cumplir con sus obligaciones y responsabilidades, y por que se desarrolle suficientemente la capacidad de los propios niños de modo que puedan reivindicar su derecho a la salud. </w:t>
      </w:r>
    </w:p>
    <w:p w:rsidR="00CC0698" w:rsidRPr="00552E31" w:rsidRDefault="00CC0698" w:rsidP="00CC0698">
      <w:pPr>
        <w:pStyle w:val="HChG"/>
        <w:rPr>
          <w:rFonts w:eastAsia="Batang"/>
        </w:rPr>
      </w:pPr>
      <w:bookmarkStart w:id="7" w:name="_Toc208909865"/>
      <w:r w:rsidRPr="00552E31">
        <w:tab/>
        <w:t>II.</w:t>
      </w:r>
      <w:r w:rsidRPr="00552E31">
        <w:tab/>
        <w:t>Principios y premisas para re</w:t>
      </w:r>
      <w:r>
        <w:t>alizar el derecho del niño a la </w:t>
      </w:r>
      <w:r w:rsidRPr="00552E31">
        <w:t xml:space="preserve">salud </w:t>
      </w:r>
      <w:bookmarkEnd w:id="7"/>
    </w:p>
    <w:p w:rsidR="00CC0698" w:rsidRPr="00552E31" w:rsidRDefault="00CC0698" w:rsidP="00CC0698">
      <w:pPr>
        <w:pStyle w:val="H1G"/>
        <w:rPr>
          <w:rFonts w:eastAsia="Batang"/>
        </w:rPr>
      </w:pPr>
      <w:bookmarkStart w:id="8" w:name="__RefHeading__12_503802003"/>
      <w:bookmarkStart w:id="9" w:name="_Toc208909866"/>
      <w:bookmarkEnd w:id="8"/>
      <w:r w:rsidRPr="00552E31">
        <w:tab/>
        <w:t>A.</w:t>
      </w:r>
      <w:r w:rsidRPr="00552E31">
        <w:tab/>
        <w:t>Indivisibilidad e interdependencia de los derechos del niño</w:t>
      </w:r>
      <w:bookmarkEnd w:id="9"/>
    </w:p>
    <w:p w:rsidR="00CC0698" w:rsidRPr="00552E31" w:rsidRDefault="00CC0698" w:rsidP="00CC0698">
      <w:pPr>
        <w:pStyle w:val="SingleTxtG"/>
        <w:rPr>
          <w:rFonts w:eastAsia="Batang"/>
        </w:rPr>
      </w:pPr>
      <w:r>
        <w:t>7.</w:t>
      </w:r>
      <w:r>
        <w:tab/>
      </w:r>
      <w:r w:rsidRPr="00552E31">
        <w:t>La Convención reconoce la interdependencia y la igualdad de importancia de los distintos derechos (civiles, políticos, económicos, sociales y culturales) que permiten a todos los niños desarrollar su capacidad mental y física, su personalidad y su talento en la mayor medida posible. El derecho del niño a la salud no solo es importante en sí mismo; la realización del derecho a la salud es indispensable para el disfrute de todos los demás derechos contemplados en la Convención. A su vez, el logro del derecho del niño a la salud depende de la realización de otros muchos derechos enunciados en la Convención.</w:t>
      </w:r>
    </w:p>
    <w:p w:rsidR="00CC0698" w:rsidRPr="00552E31" w:rsidRDefault="00CC0698" w:rsidP="00CC0698">
      <w:pPr>
        <w:pStyle w:val="H1G"/>
        <w:rPr>
          <w:rFonts w:eastAsia="Batang"/>
        </w:rPr>
      </w:pPr>
      <w:r w:rsidRPr="00552E31">
        <w:tab/>
        <w:t>B.</w:t>
      </w:r>
      <w:r>
        <w:tab/>
      </w:r>
      <w:r w:rsidRPr="00552E31">
        <w:t>Derecho a la no discriminación</w:t>
      </w:r>
    </w:p>
    <w:p w:rsidR="00CC0698" w:rsidRPr="00552E31" w:rsidRDefault="00CC0698" w:rsidP="00CC0698">
      <w:pPr>
        <w:pStyle w:val="SingleTxtG"/>
        <w:rPr>
          <w:rFonts w:eastAsia="Batang"/>
        </w:rPr>
      </w:pPr>
      <w:r>
        <w:t>8.</w:t>
      </w:r>
      <w:r>
        <w:tab/>
      </w:r>
      <w:r w:rsidRPr="00552E31">
        <w:t xml:space="preserve">A fin de lograr la plena realización del derecho de todos los niños a la salud, los Estados partes tienen la obligación de asegurar que la salud del niño no quede minada por la discriminación, importante factor que contribuye a la vulnerabilidad. En el artículo 2 de la Convención figuran diversos motivos con respecto a los cuales está prohibido discriminar, en particular la raza, el color, el sexo, el idioma, la religión, la opinión política o de otro tipo, el origen nacional, étnico o social, la posición económica, los impedimentos físicos, el nacimiento o cualquier otra condición del niño, de sus padres o de sus representantes legales. Al respecto cabe mencionar también la orientación sexual, la identidad de género y el estado de salud, en particular el VIH/SIDA y la salud </w:t>
      </w:r>
      <w:r w:rsidRPr="008049BB">
        <w:t>menta</w:t>
      </w:r>
      <w:r>
        <w:rPr>
          <w:rStyle w:val="FootnoteReference"/>
          <w:vertAlign w:val="baseline"/>
        </w:rPr>
        <w:t>l</w:t>
      </w:r>
      <w:r w:rsidRPr="008049BB">
        <w:rPr>
          <w:rStyle w:val="FootnoteReference"/>
        </w:rPr>
        <w:footnoteReference w:id="6"/>
      </w:r>
      <w:r w:rsidRPr="00552E31">
        <w:t>. También hay que prestar atención a cualquier otra forma de discriminación que mine la salud del niño y hacer frente a los múltiples tipos de discriminación.</w:t>
      </w:r>
    </w:p>
    <w:p w:rsidR="00CC0698" w:rsidRPr="00552E31" w:rsidRDefault="00CC0698" w:rsidP="00CC0698">
      <w:pPr>
        <w:pStyle w:val="SingleTxtG"/>
        <w:rPr>
          <w:rFonts w:eastAsia="Batang"/>
        </w:rPr>
      </w:pPr>
      <w:r>
        <w:t>9.</w:t>
      </w:r>
      <w:r>
        <w:tab/>
      </w:r>
      <w:r w:rsidRPr="00552E31">
        <w:t>La discriminación basada en el género está especialmente extendida, y da lugar a una amplia gama de fenómenos, desde el infanticidio o feticidio femenino hasta las prácticas discriminatorias en la alimentación de lactantes y niños pequeños, los estereotipos basados en el género y las diferencias en el acceso a los servicios. También debe prestarse atención a las distintas necesidades de los niños y las niñas y al impacto de las normas y valores sociales relacionados con el género en la salud y el desarrollo de los niños y las niñas. Igualmente, hay que prestar atención a las prácticas y normas de comportamiento nocivas basadas en el género que están arraigadas en las tradiciones y costumbres y minan el derecho de las niñas y los niños a la salud.</w:t>
      </w:r>
    </w:p>
    <w:p w:rsidR="00CC0698" w:rsidRPr="00552E31" w:rsidRDefault="00CC0698" w:rsidP="00CC0698">
      <w:pPr>
        <w:pStyle w:val="SingleTxtG"/>
        <w:rPr>
          <w:rFonts w:eastAsia="Batang"/>
        </w:rPr>
      </w:pPr>
      <w:r>
        <w:t>10.</w:t>
      </w:r>
      <w:r>
        <w:tab/>
      </w:r>
      <w:r w:rsidRPr="00552E31">
        <w:t>Todos los programas y políticas que afecten a la salud del niño deben fundarse en un enfoque amplio inspirado en la igualdad de género que garantice la plena participación política de la mujer; su empoderamiento social y económico; el reconocimiento de la igualdad de derechos en el ámbito de la salud sexual y reproductiva; y la igualdad en el acceso a la información, la educación, la justicia y la seguridad, incluida la eliminación de todas las formas de violencia sexual y basada en el género.</w:t>
      </w:r>
    </w:p>
    <w:p w:rsidR="00CC0698" w:rsidRPr="00552E31" w:rsidRDefault="00CC0698" w:rsidP="00CC0698">
      <w:pPr>
        <w:pStyle w:val="SingleTxtG"/>
        <w:rPr>
          <w:rFonts w:eastAsia="Batang"/>
        </w:rPr>
      </w:pPr>
      <w:r>
        <w:t>11.</w:t>
      </w:r>
      <w:r>
        <w:tab/>
      </w:r>
      <w:r w:rsidRPr="00552E31">
        <w:t xml:space="preserve">La labor orientada a la realización del derecho del niño a la salud ha de tener como destinatarios privilegiados a los niños desfavorecidos y que se encuentran en zonas insuficientemente atendidas. Los Estados deben determinar los factores de ámbito nacional y subnacional que generan vulnerabilidad en los niños o colocan en situación desfavorable a determinados grupos de niños. Estos factores deben tenerse presentes al elaborar leyes, reglamentos, políticas, programas y servicios en el ámbito de la salud infantil y al trabajar en pro de la equidad. </w:t>
      </w:r>
    </w:p>
    <w:p w:rsidR="00CC0698" w:rsidRPr="00552E31" w:rsidRDefault="00CC0698" w:rsidP="00CC0698">
      <w:pPr>
        <w:pStyle w:val="H1G"/>
        <w:rPr>
          <w:rFonts w:eastAsia="Batang"/>
        </w:rPr>
      </w:pPr>
      <w:bookmarkStart w:id="10" w:name="_Toc208909867"/>
      <w:r w:rsidRPr="00552E31">
        <w:tab/>
        <w:t>C.</w:t>
      </w:r>
      <w:r>
        <w:tab/>
      </w:r>
      <w:r w:rsidRPr="00552E31">
        <w:t>El interés superior del niño</w:t>
      </w:r>
      <w:bookmarkEnd w:id="10"/>
    </w:p>
    <w:p w:rsidR="00CC0698" w:rsidRPr="00552E31" w:rsidRDefault="00CC0698" w:rsidP="00CC0698">
      <w:pPr>
        <w:pStyle w:val="SingleTxtG"/>
        <w:rPr>
          <w:rFonts w:eastAsia="Batang"/>
        </w:rPr>
      </w:pPr>
      <w:r>
        <w:t>12.</w:t>
      </w:r>
      <w:r>
        <w:tab/>
      </w:r>
      <w:r w:rsidRPr="00552E31">
        <w:t xml:space="preserve">El artículo 3, párrafo 1, de la Convención obliga a las instituciones de previsión social, tanto públicas como privadas, así como a los tribunales de justicia, las autoridades administrativas y los órganos legislativos, a velar por que se determine el interés superior del niño, que constituye una consideración de primer orden en todas las acciones que afectan a la infancia. Este principio debe respetarse en toda decisión en materia de salud relativa a niños individuales o un grupo de niños. El interés superior de cada niño debe determinarse en función de sus necesidades físicas, emocionales y educativas, la edad, el sexo, la relación con sus padres y cuidadores y su extracción familiar y social y tras haberse escuchado su opinión, de conformidad con el artículo 12 de la Convención. </w:t>
      </w:r>
    </w:p>
    <w:p w:rsidR="00CC0698" w:rsidRPr="00552E31" w:rsidRDefault="00CC0698" w:rsidP="00CC0698">
      <w:pPr>
        <w:pStyle w:val="SingleTxtG"/>
        <w:rPr>
          <w:rFonts w:eastAsia="Batang"/>
        </w:rPr>
      </w:pPr>
      <w:r>
        <w:t>13.</w:t>
      </w:r>
      <w:r>
        <w:tab/>
      </w:r>
      <w:r w:rsidRPr="00552E31">
        <w:t xml:space="preserve">El Comité exhorta a los Estados a que sitúen el interés superior del niño en el centro de todas las decisiones que afecten a su salud y su desarrollo, incluidas las relativas a la asignación de recursos y al desarrollo y aplicación de políticas e intervenciones que afecten a los factores subyacentes que determinan la salud del niño. Por ejemplo, el interés superior del niño deberá: </w:t>
      </w:r>
    </w:p>
    <w:p w:rsidR="00CC0698" w:rsidRPr="00552E31" w:rsidRDefault="00CC0698" w:rsidP="00CC0698">
      <w:pPr>
        <w:pStyle w:val="SingleTxtG"/>
        <w:rPr>
          <w:rFonts w:eastAsia="Batang"/>
        </w:rPr>
      </w:pPr>
      <w:r>
        <w:tab/>
        <w:t>a)</w:t>
      </w:r>
      <w:r>
        <w:tab/>
      </w:r>
      <w:r w:rsidRPr="00552E31">
        <w:t xml:space="preserve">Orientar, cuando sea viable, las opciones de tratamiento, anteponiéndose a las consideraciones económicas; </w:t>
      </w:r>
    </w:p>
    <w:p w:rsidR="00CC0698" w:rsidRPr="00E00F70" w:rsidRDefault="00CC0698" w:rsidP="00CC0698">
      <w:pPr>
        <w:pStyle w:val="SingleTxtG"/>
      </w:pPr>
      <w:r>
        <w:tab/>
        <w:t>b)</w:t>
      </w:r>
      <w:r>
        <w:tab/>
      </w:r>
      <w:r w:rsidRPr="00552E31">
        <w:t>Contribuir a la solución de los conflictos de intereses entre padres y trabajadores sanitarios; y</w:t>
      </w:r>
    </w:p>
    <w:p w:rsidR="00CC0698" w:rsidRPr="00552E31" w:rsidRDefault="00CC0698" w:rsidP="00CC0698">
      <w:pPr>
        <w:pStyle w:val="SingleTxtG"/>
        <w:rPr>
          <w:rFonts w:eastAsia="Batang"/>
        </w:rPr>
      </w:pPr>
      <w:r>
        <w:tab/>
        <w:t>c)</w:t>
      </w:r>
      <w:r>
        <w:tab/>
      </w:r>
      <w:r w:rsidRPr="00552E31">
        <w:t xml:space="preserve">Determinar la elaboración de políticas orientadas a reglamentar las acciones que enrarecen los entornos físicos y sociales en los que los niños viven, crecen y se desarrollan. </w:t>
      </w:r>
    </w:p>
    <w:p w:rsidR="00CC0698" w:rsidRPr="00552E31" w:rsidRDefault="00CC0698" w:rsidP="00CC0698">
      <w:pPr>
        <w:pStyle w:val="SingleTxtG"/>
        <w:rPr>
          <w:rFonts w:eastAsia="Batang"/>
        </w:rPr>
      </w:pPr>
      <w:r>
        <w:t>14.</w:t>
      </w:r>
      <w:r>
        <w:tab/>
      </w:r>
      <w:r w:rsidRPr="00552E31">
        <w:t>El Comité recalca la importancia del interés superior del niño como fundamento de todas las decisiones que se adopten con respecto al tratamiento que se dispense, niegue o suspenda a todos los niños. Los Estados deben establecer procedimientos y criterios para orientar a los trabajadores sanitarios en la determinación del interés superior del niño en la esfera de la salud, además de otros procesos vinculantes formales disponibles para definir el interés superior del niño. El Comité, en su Observación general Nº 3</w:t>
      </w:r>
      <w:r w:rsidRPr="008049BB">
        <w:rPr>
          <w:rStyle w:val="FootnoteReference"/>
        </w:rPr>
        <w:footnoteReference w:id="7"/>
      </w:r>
      <w:r w:rsidRPr="00552E31">
        <w:t xml:space="preserve">, ha subrayado que solo podrán adoptarse medidas adecuadas en la lucha contra el VIH/SIDA si se respetan plenamente los derechos de los niños y los adolescentes. En consecuencia, el interés superior del niño debe guiar el examen del VIH/SIDA en todos los niveles de prevención, tratamiento, atención y apoyo. </w:t>
      </w:r>
    </w:p>
    <w:p w:rsidR="00CC0698" w:rsidRPr="00552E31" w:rsidRDefault="00CC0698" w:rsidP="00CC0698">
      <w:pPr>
        <w:pStyle w:val="SingleTxtG"/>
        <w:rPr>
          <w:rFonts w:eastAsia="Batang"/>
        </w:rPr>
      </w:pPr>
      <w:r>
        <w:t>15.</w:t>
      </w:r>
      <w:r>
        <w:tab/>
      </w:r>
      <w:r w:rsidRPr="00552E31">
        <w:t>En su Observación general Nº 4, el Comité subrayó el interés superior del niño en tener acceso a información adecuada en materia de salud</w:t>
      </w:r>
      <w:r w:rsidRPr="008049BB">
        <w:rPr>
          <w:rStyle w:val="FootnoteReference"/>
        </w:rPr>
        <w:footnoteReference w:id="8"/>
      </w:r>
      <w:r w:rsidRPr="00552E31">
        <w:t xml:space="preserve">. Debe prestarse especial atención a determinadas categorías de niños, entre ellos los niños y adolescentes con discapacidad psicosocial. Cuando se plantee la hospitalización o el internamiento, la decisión debe adoptarse de conformidad con el principio del interés superior del niño, en el entendimiento fundamental de que redunda en el interés superior de los niños con discapacidad recibir atención, en la medida de lo posible, en la comunidad en la que viven y en un entorno familiar, de ser posible en su propia familia, prestando a la familia y al niño todo el apoyo necesario. </w:t>
      </w:r>
    </w:p>
    <w:p w:rsidR="00CC0698" w:rsidRPr="00552E31" w:rsidRDefault="00CC0698" w:rsidP="00CC0698">
      <w:pPr>
        <w:pStyle w:val="H1G"/>
        <w:rPr>
          <w:rFonts w:eastAsia="Batang"/>
        </w:rPr>
      </w:pPr>
      <w:bookmarkStart w:id="11" w:name="__RefHeading__14_503802003"/>
      <w:bookmarkStart w:id="12" w:name="__RefHeading__16_503802003"/>
      <w:bookmarkStart w:id="13" w:name="_Toc208909868"/>
      <w:bookmarkEnd w:id="11"/>
      <w:bookmarkEnd w:id="12"/>
      <w:r w:rsidRPr="00552E31">
        <w:tab/>
        <w:t>D.</w:t>
      </w:r>
      <w:r w:rsidRPr="00552E31">
        <w:tab/>
        <w:t>Derecho a la vida, a la supervivencia</w:t>
      </w:r>
      <w:r w:rsidR="008A6CB1">
        <w:t xml:space="preserve"> y al desarrollo y factores que </w:t>
      </w:r>
      <w:r w:rsidRPr="00552E31">
        <w:t>determinan la salud del niño</w:t>
      </w:r>
      <w:bookmarkEnd w:id="13"/>
    </w:p>
    <w:p w:rsidR="00CC0698" w:rsidRPr="00552E31" w:rsidRDefault="00CC0698" w:rsidP="00CC0698">
      <w:pPr>
        <w:pStyle w:val="SingleTxtG"/>
        <w:rPr>
          <w:rFonts w:eastAsia="Batang"/>
        </w:rPr>
      </w:pPr>
      <w:r>
        <w:t>16.</w:t>
      </w:r>
      <w:r>
        <w:tab/>
      </w:r>
      <w:r w:rsidRPr="00552E31">
        <w:t>En el artículo 6 se pone de relieve la obligación de los Estados partes de garantizar la supervivencia, el crecimiento y el desarrollo del niño, en particular las dimensiones físicas, mentales, espirituales y sociales de su desarrollo. Hay que determinar sistemáticamente los numerosos riesgos y factores de protección que determinan la vida, la supervivencia, el crecimiento y el desarrollo del niño para idear y poner en práctica intervenciones de base empírica encaminadas a hacer frente a los diversos determinantes que surgen durante la trayectoria vital.</w:t>
      </w:r>
    </w:p>
    <w:p w:rsidR="00CC0698" w:rsidRPr="00552E31" w:rsidRDefault="00CC0698" w:rsidP="00CC0698">
      <w:pPr>
        <w:pStyle w:val="SingleTxtG"/>
        <w:rPr>
          <w:rFonts w:eastAsia="Batang"/>
        </w:rPr>
      </w:pPr>
      <w:r>
        <w:t>17.</w:t>
      </w:r>
      <w:r>
        <w:tab/>
      </w:r>
      <w:r w:rsidRPr="00552E31">
        <w:t>El Comité reconoce que, para la realización del derecho del niño a la salud, deben tenerse en cuenta varios determinantes, algunos de orden individual como la edad, el sexo, el rendimiento escolar, la condición socioeconómica y el domicilio; otros que operan en el entorno inmediato formado por las familias, los compañeros, los maestros y los proveedores de servicios, en particular con respecto a la violencia que pone en peligro la vida y la supervivencia del niño en su entorno inmediato; y determinantes estructurales como políticas, estructuras y sistemas administrativos, valores sociales y culturales y normas</w:t>
      </w:r>
      <w:r w:rsidRPr="008049BB">
        <w:rPr>
          <w:rStyle w:val="FootnoteReference"/>
        </w:rPr>
        <w:footnoteReference w:id="9"/>
      </w:r>
      <w:r w:rsidRPr="00552E31">
        <w:t>.</w:t>
      </w:r>
    </w:p>
    <w:p w:rsidR="00CC0698" w:rsidRPr="00552E31" w:rsidRDefault="00CC0698" w:rsidP="00CC0698">
      <w:pPr>
        <w:pStyle w:val="SingleTxtG"/>
        <w:rPr>
          <w:rFonts w:eastAsia="Batang"/>
        </w:rPr>
      </w:pPr>
      <w:r>
        <w:t>18.</w:t>
      </w:r>
      <w:r>
        <w:tab/>
      </w:r>
      <w:r w:rsidRPr="00552E31">
        <w:t>Entre los principales determinantes de la salud, la nutrición y el desarrollo del niño, cabe mencionar la realización del derecho de la madre a la salud</w:t>
      </w:r>
      <w:r w:rsidRPr="008049BB">
        <w:rPr>
          <w:rStyle w:val="FootnoteReference"/>
        </w:rPr>
        <w:footnoteReference w:id="10"/>
      </w:r>
      <w:r w:rsidRPr="008049BB">
        <w:rPr>
          <w:rStyle w:val="FootnoteReference"/>
        </w:rPr>
        <w:t xml:space="preserve"> </w:t>
      </w:r>
      <w:r w:rsidRPr="00552E31">
        <w:t xml:space="preserve">y el papel de los progenitores y otros cuidadores. Un número considerable de fallecimientos de lactantes tiene lugar en el período neonatal, como consecuencia de la mala salud de la madre antes del embarazo, en el curso de este, después de él y en el período inmediatamente posterior al parto, así como de prácticas de lactancia natural que distan mucho de ser óptimas. El comportamiento de los progenitores y otros adultos que influyen en el niño en el ámbito de la salud y otros ámbitos conexos tiene gran repercusión en la salud del niño. </w:t>
      </w:r>
    </w:p>
    <w:p w:rsidR="00CC0698" w:rsidRPr="00552E31" w:rsidRDefault="00CC0698" w:rsidP="00CC0698">
      <w:pPr>
        <w:pStyle w:val="H1G"/>
        <w:rPr>
          <w:rFonts w:eastAsia="Batang"/>
        </w:rPr>
      </w:pPr>
      <w:r w:rsidRPr="00552E31">
        <w:tab/>
        <w:t>E.</w:t>
      </w:r>
      <w:r w:rsidRPr="00552E31">
        <w:tab/>
        <w:t>D</w:t>
      </w:r>
      <w:r w:rsidR="008A6CB1">
        <w:t>erecho del niño a ser escuchado</w:t>
      </w:r>
    </w:p>
    <w:p w:rsidR="00CC0698" w:rsidRPr="00552E31" w:rsidRDefault="00CC0698" w:rsidP="00CC0698">
      <w:pPr>
        <w:pStyle w:val="SingleTxtG"/>
        <w:rPr>
          <w:rFonts w:eastAsia="Batang"/>
        </w:rPr>
      </w:pPr>
      <w:r>
        <w:t>19.</w:t>
      </w:r>
      <w:r>
        <w:tab/>
      </w:r>
      <w:r w:rsidRPr="00552E31">
        <w:t>En el artículo 12 se pone de relieve la importancia de la participación de los niños, al disponerse que expresen sus opiniones y que dichas opiniones se tengan debidamente en cuenta, en función de la edad y madurez del niño</w:t>
      </w:r>
      <w:r w:rsidRPr="00E00F70">
        <w:rPr>
          <w:rStyle w:val="FootnoteReference"/>
        </w:rPr>
        <w:footnoteReference w:id="11"/>
      </w:r>
      <w:r w:rsidRPr="00552E31">
        <w:t xml:space="preserve">. Ello incluye sus opiniones sobre todos los aspectos relativos a la salud, entre ellos, por ejemplo, los servicios que se necesitan, la manera y el lugar más indicados para su prestación, los obstáculos al acceso a los servicios o el uso de ellos, la calidad de los servicios y la actitudes de los profesionales de la salud, la manera de incrementar la capacidad de los niños de asumir un nivel de responsabilidad cada vez mayor en relación con su salud y su desarrollo y la manera de implicarlos de forma más eficaz en la prestación de servicios encargándoles la instrucción de sus propios compañeros. Se alienta a los Estados a que organicen consultas participativas periódicas adaptadas a la edad y la madurez del niño, así como investigaciones con los niños, y a que hagan lo mismo con los padres, por separado, a fin de conocer las dificultades que encuentran en el ámbito de la salud, sus necesidades en materia de desarrollo y sus expectativas con miras a la elaboración de intervenciones y programas eficaces sobre salud. </w:t>
      </w:r>
    </w:p>
    <w:p w:rsidR="00CC0698" w:rsidRPr="00552E31" w:rsidRDefault="00CC0698" w:rsidP="00CC0698">
      <w:pPr>
        <w:pStyle w:val="H1G"/>
        <w:rPr>
          <w:rFonts w:eastAsia="Batang"/>
        </w:rPr>
      </w:pPr>
      <w:bookmarkStart w:id="14" w:name="__RefHeading__18_503802003"/>
      <w:bookmarkStart w:id="15" w:name="_Toc208909869"/>
      <w:bookmarkEnd w:id="14"/>
      <w:r w:rsidRPr="00552E31">
        <w:tab/>
        <w:t>F.</w:t>
      </w:r>
      <w:r w:rsidRPr="00552E31">
        <w:tab/>
        <w:t>Evolución de las capacidades y trayectoria vital del niño</w:t>
      </w:r>
      <w:bookmarkEnd w:id="15"/>
    </w:p>
    <w:p w:rsidR="00CC0698" w:rsidRPr="00552E31" w:rsidRDefault="00CC0698" w:rsidP="00CC0698">
      <w:pPr>
        <w:pStyle w:val="SingleTxtG"/>
        <w:rPr>
          <w:rFonts w:eastAsia="Batang"/>
        </w:rPr>
      </w:pPr>
      <w:r>
        <w:t>20.</w:t>
      </w:r>
      <w:r>
        <w:tab/>
      </w:r>
      <w:r w:rsidRPr="00552E31">
        <w:t xml:space="preserve">La infancia es un período de crecimiento constante que va del parto y la lactancia a la edad preescolar y la adolescencia. Cada fase reviste importancia en la medida en que comporta cambios diversos en el desarrollo físico, psicológico, emocional y social, así como en las expectativas y las normas. Las etapas del desarrollo del niño son acumulativas; cada una repercute en las etapas ulteriores e influye en la salud, el potencial, los riesgos y las oportunidades del niño. Entender la trayectoria vital es decisivo para apreciar la manera en que los problemas de salud de la infancia afectan a la salud pública en general. </w:t>
      </w:r>
    </w:p>
    <w:p w:rsidR="00CC0698" w:rsidRPr="00552E31" w:rsidRDefault="00CC0698" w:rsidP="00CC0698">
      <w:pPr>
        <w:pStyle w:val="SingleTxtG"/>
        <w:rPr>
          <w:rFonts w:eastAsia="Batang"/>
        </w:rPr>
      </w:pPr>
      <w:r>
        <w:t>21.</w:t>
      </w:r>
      <w:r>
        <w:tab/>
      </w:r>
      <w:r w:rsidRPr="00552E31">
        <w:t xml:space="preserve">El Comité reconoce que las capacidades cambiantes del niño repercuten en su independencia al adoptar decisiones sobre las cuestiones que afectan a su salud. Observa también que, a menudo, surgen discrepancias profundas en cuanto a esa autonomía en la adopción de decisiones, siendo habitual que los niños especialmente vulnerables a la discriminación tengan menor capacidad de ejercerla. En consecuencia, es fundamental disponer de políticas de respaldo y proporcionar a los niños, los padres y los trabajadores sanitarios orientación adecuada basada en derechos con respecto al consentimiento, el asentimiento y la confidencialidad. </w:t>
      </w:r>
    </w:p>
    <w:p w:rsidR="00CC0698" w:rsidRPr="00552E31" w:rsidRDefault="00CC0698" w:rsidP="00CC0698">
      <w:pPr>
        <w:pStyle w:val="SingleTxtG"/>
        <w:rPr>
          <w:rFonts w:eastAsia="Batang"/>
        </w:rPr>
      </w:pPr>
      <w:r>
        <w:t>22.</w:t>
      </w:r>
      <w:r>
        <w:tab/>
      </w:r>
      <w:r w:rsidRPr="00552E31">
        <w:t xml:space="preserve">Para tener en cuenta y entender las capacidades cambiantes del niño y las distintas prioridades en materia de salud a lo largo del ciclo vital, los datos y la información reunidos y analizados deben desglosarse por edad, sexo, estado de discapacidad relativo, condición socioeconómica, aspectos socioculturales y ubicación geográfica, siempre con arreglo a las normas internacionales. De ese modo es posible planificar, elaborar, aplicar y supervisar políticas e intervenciones apropiadas que tomen en consideración las capacidades y las necesidades cambiantes de los niños en el transcurso del tiempo y contribuyan a la prestación a todos los niños de servicios sanitarios pertinentes. </w:t>
      </w:r>
    </w:p>
    <w:p w:rsidR="00CC0698" w:rsidRPr="00552E31" w:rsidRDefault="00CC0698" w:rsidP="00CC0698">
      <w:pPr>
        <w:pStyle w:val="HChG"/>
        <w:rPr>
          <w:rFonts w:eastAsia="Batang"/>
        </w:rPr>
      </w:pPr>
      <w:bookmarkStart w:id="16" w:name="__RefHeading__20_503802003"/>
      <w:bookmarkStart w:id="17" w:name="__RefHeading__22_503802003"/>
      <w:bookmarkStart w:id="18" w:name="__RefHeading__24_503802003"/>
      <w:bookmarkEnd w:id="16"/>
      <w:bookmarkEnd w:id="17"/>
      <w:bookmarkEnd w:id="18"/>
      <w:r w:rsidRPr="00552E31">
        <w:tab/>
        <w:t>III.</w:t>
      </w:r>
      <w:r w:rsidRPr="00552E31">
        <w:tab/>
        <w:t>Contenido normativo del artículo 24</w:t>
      </w:r>
    </w:p>
    <w:p w:rsidR="00CC0698" w:rsidRPr="00552E31" w:rsidRDefault="00CC0698" w:rsidP="00CC0698">
      <w:pPr>
        <w:pStyle w:val="H1G"/>
        <w:rPr>
          <w:rFonts w:eastAsia="Batang"/>
        </w:rPr>
      </w:pPr>
      <w:r w:rsidRPr="00552E31">
        <w:tab/>
        <w:t>A.</w:t>
      </w:r>
      <w:r w:rsidRPr="00552E31">
        <w:tab/>
        <w:t>Artículo 24, párrafo 1</w:t>
      </w:r>
    </w:p>
    <w:p w:rsidR="00CC0698" w:rsidRPr="00552E31" w:rsidRDefault="00CC0698" w:rsidP="00CC0698">
      <w:pPr>
        <w:pStyle w:val="H23G"/>
        <w:rPr>
          <w:rFonts w:eastAsia="Batang"/>
        </w:rPr>
      </w:pPr>
      <w:r w:rsidRPr="00552E31">
        <w:tab/>
      </w:r>
      <w:r w:rsidRPr="00552E31">
        <w:tab/>
        <w:t>"Los Estados partes reconocen el derecho del niño al disfrute del más alto nivel posible de salud"</w:t>
      </w:r>
    </w:p>
    <w:p w:rsidR="00CC0698" w:rsidRPr="00552E31" w:rsidRDefault="00CC0698" w:rsidP="00CC0698">
      <w:pPr>
        <w:pStyle w:val="SingleTxtG"/>
        <w:rPr>
          <w:rFonts w:eastAsia="Batang"/>
        </w:rPr>
      </w:pPr>
      <w:r>
        <w:t>23.</w:t>
      </w:r>
      <w:r>
        <w:tab/>
      </w:r>
      <w:r w:rsidRPr="00552E31">
        <w:t xml:space="preserve">La noción de "más alto nivel posible de salud" tiene en cuenta tanto las condiciones biológicas, sociales, culturales y económicas previas del niño como los recursos de que dispone el Estado, complementados con recursos aportados por otras fuentes, entre ellas organizaciones no gubernamentales, la comunidad internacional y el sector privado. </w:t>
      </w:r>
    </w:p>
    <w:p w:rsidR="00CC0698" w:rsidRPr="00552E31" w:rsidRDefault="00CC0698" w:rsidP="00CC0698">
      <w:pPr>
        <w:pStyle w:val="SingleTxtG"/>
        <w:rPr>
          <w:rFonts w:eastAsia="Batang"/>
        </w:rPr>
      </w:pPr>
      <w:r>
        <w:t>24.</w:t>
      </w:r>
      <w:r>
        <w:tab/>
      </w:r>
      <w:r w:rsidRPr="00552E31">
        <w:t xml:space="preserve">El derecho del niño a la salud consta de una serie de libertades y derechos. Entre las libertades, de importancia creciente a medida que aumentan la capacidad y la madurez, cabe mencionar el derecho a controlar la propia salud y el propio cuerpo, incluida la libertad sexual y reproductiva para adoptar decisiones responsables. Los derechos se refieren al acceso a una amplia gama de instalaciones, bienes, servicios y condiciones que ofrezcan a cada niño igualdad de oportunidades para disfrutar del más alto nivel posible de salud. </w:t>
      </w:r>
    </w:p>
    <w:p w:rsidR="00CC0698" w:rsidRPr="00552E31" w:rsidRDefault="00CC0698" w:rsidP="00CC0698">
      <w:pPr>
        <w:pStyle w:val="H23G"/>
        <w:rPr>
          <w:rFonts w:eastAsia="Batang"/>
        </w:rPr>
      </w:pPr>
      <w:r w:rsidRPr="00552E31">
        <w:tab/>
      </w:r>
      <w:r w:rsidRPr="00552E31">
        <w:tab/>
        <w:t>"y a servicios para el tratamiento de las enfermedades y la rehabilitación</w:t>
      </w:r>
      <w:r>
        <w:br/>
      </w:r>
      <w:r w:rsidRPr="00552E31">
        <w:t>de la salud"</w:t>
      </w:r>
    </w:p>
    <w:p w:rsidR="00CC0698" w:rsidRPr="00552E31" w:rsidRDefault="00CC0698" w:rsidP="00CC0698">
      <w:pPr>
        <w:pStyle w:val="SingleTxtG"/>
        <w:rPr>
          <w:rFonts w:eastAsia="Batang"/>
        </w:rPr>
      </w:pPr>
      <w:r>
        <w:t>25.</w:t>
      </w:r>
      <w:r>
        <w:tab/>
      </w:r>
      <w:r w:rsidRPr="00552E31">
        <w:t xml:space="preserve">Los niños tienen derecho a servicios sanitarios de calidad, incluidos servicios de prevención, promoción, tratamiento, rehabilitación y atención paliativa. En la sanidad primaria, deben ofrecerse servicios en cantidad y calidad suficientes que sean funcionales y aceptables para todos y estén al alcance físico y financiero de todos los sectores de la población infantil. El sistema de atención de salud no solo debe prestar apoyo sanitario, sino también notificar a las autoridades competentes los casos de violación de derechos e injusticia. En el caso de la sanidad secundaria y terciaria, también deben prestarse servicios, en la medida de lo posible mediante sistemas funcionales de remisión conectados con las comunidades y las familias en todos los niveles del sistema sanitario. </w:t>
      </w:r>
    </w:p>
    <w:p w:rsidR="00CC0698" w:rsidRPr="00552E31" w:rsidRDefault="00CC0698" w:rsidP="00CC0698">
      <w:pPr>
        <w:pStyle w:val="SingleTxtG"/>
        <w:rPr>
          <w:rFonts w:eastAsia="Batang"/>
        </w:rPr>
      </w:pPr>
      <w:r>
        <w:t>26.</w:t>
      </w:r>
      <w:r>
        <w:tab/>
      </w:r>
      <w:r w:rsidRPr="00552E31">
        <w:t xml:space="preserve">Los programas globales de atención primaria de la salud deben combinarse con iniciativas comunitarias de eficacia probada, como la atención preventiva, el tratamiento de enfermedades específicas y las intervenciones en materia de nutrición. Las intervenciones en la esfera comunitaria deben comprender el aporte de información, servicios y productos básicos, así como la prevención de enfermedades y lesiones, por ejemplo mediante inversiones en espacios públicos seguros, seguridad vial y educación en materia de prevención de lesiones, accidentes y violencia. </w:t>
      </w:r>
    </w:p>
    <w:p w:rsidR="00CC0698" w:rsidRPr="00552E31" w:rsidRDefault="00CC0698" w:rsidP="00CC0698">
      <w:pPr>
        <w:pStyle w:val="SingleTxtG"/>
        <w:rPr>
          <w:rFonts w:eastAsia="Batang"/>
        </w:rPr>
      </w:pPr>
      <w:r>
        <w:t>27.</w:t>
      </w:r>
      <w:r>
        <w:tab/>
      </w:r>
      <w:r w:rsidRPr="00552E31">
        <w:t xml:space="preserve">Los Estados deben garantizar una fuerza laboral debidamente capacitada y de tamaño adecuado para prestar servicios sanitarios a todos los niños. También se precisa regulación, supervisión, remuneración y condiciones de servicio adecuadas, incluso para los trabajadores sanitarios comunitarios. Mediante las actividades de desarrollo de la capacidad debe velarse por que los proveedores de servicios tengan en cuenta las necesidades de los niños y no les nieguen servicios a los que tienen derecho por ley. Deberán incorporarse mecanismos de rendición de cuentas para velar por que se respeten las normas de calidad. </w:t>
      </w:r>
    </w:p>
    <w:p w:rsidR="00CC0698" w:rsidRPr="00552E31" w:rsidRDefault="00CC0698" w:rsidP="00CC0698">
      <w:pPr>
        <w:pStyle w:val="H23G"/>
        <w:rPr>
          <w:rFonts w:eastAsia="Batang"/>
        </w:rPr>
      </w:pPr>
      <w:r w:rsidRPr="00552E31">
        <w:tab/>
      </w:r>
      <w:r w:rsidRPr="00552E31">
        <w:tab/>
        <w:t>"Los Estados partes se esforzarán por asegurar qu</w:t>
      </w:r>
      <w:r>
        <w:t>e ningún niño sea privado de su </w:t>
      </w:r>
      <w:r w:rsidRPr="00552E31">
        <w:t>derecho al disfrute de esos servicios sanitarios"</w:t>
      </w:r>
    </w:p>
    <w:p w:rsidR="00CC0698" w:rsidRPr="00552E31" w:rsidRDefault="00CC0698" w:rsidP="00CC0698">
      <w:pPr>
        <w:pStyle w:val="SingleTxtG"/>
        <w:rPr>
          <w:rFonts w:eastAsia="Batang"/>
        </w:rPr>
      </w:pPr>
      <w:r>
        <w:t>28.</w:t>
      </w:r>
      <w:r>
        <w:tab/>
      </w:r>
      <w:r w:rsidRPr="00552E31">
        <w:t xml:space="preserve">El artículo 24, párrafo 1, impone a los Estados partes el firme deber de actuar para velar por que todos los niños dispongan de servicios sanitarios y otros servicios pertinentes accesibles, especialmente en el caso de las zonas y poblaciones insuficientemente atendidas. Los requisitos al respecto son un sistema de atención primaria de salud, un marco jurídico adecuado y atención sostenida a factores subyacentes que son determinantes para la salud del niño. </w:t>
      </w:r>
    </w:p>
    <w:p w:rsidR="00CC0698" w:rsidRPr="00552E31" w:rsidRDefault="00CC0698" w:rsidP="00CC0698">
      <w:pPr>
        <w:pStyle w:val="SingleTxtG"/>
        <w:rPr>
          <w:rFonts w:eastAsia="Batang"/>
        </w:rPr>
      </w:pPr>
      <w:r>
        <w:t>29.</w:t>
      </w:r>
      <w:r>
        <w:tab/>
      </w:r>
      <w:r w:rsidRPr="00552E31">
        <w:t xml:space="preserve">Deberán determinarse y eliminarse los obstáculos al acceso del niño a los servicios sanitarios, incluidos obstáculos financieros, institucionales y culturales. Es indispensable la inscripción de nacimientos gratuita y universal, y deben realizarse intervenciones en la esfera de la protección social, en particular mecanismos de seguridad social como ayudas o subsidios infantiles, transferencias en metálico y bajas de paternidad retribuidas, todas ellas entendidas como inversiones complementarias. </w:t>
      </w:r>
    </w:p>
    <w:p w:rsidR="00CC0698" w:rsidRPr="00552E31" w:rsidRDefault="00CC0698" w:rsidP="00CC0698">
      <w:pPr>
        <w:pStyle w:val="SingleTxtG"/>
        <w:rPr>
          <w:rFonts w:eastAsia="Batang"/>
        </w:rPr>
      </w:pPr>
      <w:r>
        <w:t>30.</w:t>
      </w:r>
      <w:r>
        <w:tab/>
      </w:r>
      <w:r w:rsidRPr="00552E31">
        <w:t>La utilización de los servicios de salud está determinada por el entorno, lo cual incluye, entre otras cosas, la disponibilidad de servicios, los niveles de conocimiento en materia de salud, la preparación para la vida cotidiana y los valores. Los Estados deben esforzarse por garantizar un entorno propicio que aliente a los padres y los niños a utilizar debidamente los servicios de salud.</w:t>
      </w:r>
    </w:p>
    <w:p w:rsidR="00CC0698" w:rsidRPr="00552E31" w:rsidRDefault="00CC0698" w:rsidP="00CC0698">
      <w:pPr>
        <w:pStyle w:val="SingleTxtG"/>
        <w:rPr>
          <w:rFonts w:eastAsia="Batang"/>
        </w:rPr>
      </w:pPr>
      <w:r>
        <w:t>31.</w:t>
      </w:r>
      <w:r>
        <w:tab/>
      </w:r>
      <w:r w:rsidRPr="00552E31">
        <w:t xml:space="preserve">De conformidad con la evolución de sus capacidades, los niños deben tener acceso a terapia y asesoramiento confidenciales, sin necesidad del consentimiento de su padres o su custodio legal cuando los profesionales que examinen el caso determinen que ello redunda en el interés superior del niño. Los Estados deben aclarar los procedimientos legislativos para la designación de los cuidadores adecuados que se encarguen de los niños sin padres o representantes legales y puedan dar su consentimiento en representación del niño o ayudarle a dar su consentimiento en función de la edad y la madurez del niño. Los Estados deben estudiar la posibilidad de permitir que los niños accedan a someterse a determinados tratamientos e intervenciones médicos sin el permiso de un progenitor, cuidador o tutor, como la prueba del VIH y servicios de salud sexual y reproductiva, con inclusión de educación y orientación en materia de salud sexual, métodos anticonceptivos y aborto en condiciones de seguridad. </w:t>
      </w:r>
    </w:p>
    <w:p w:rsidR="00CC0698" w:rsidRPr="00552E31" w:rsidRDefault="00CC0698" w:rsidP="00CC0698">
      <w:pPr>
        <w:pStyle w:val="H1G"/>
        <w:rPr>
          <w:rFonts w:eastAsia="Batang"/>
        </w:rPr>
      </w:pPr>
      <w:r w:rsidRPr="00552E31">
        <w:tab/>
        <w:t>B.</w:t>
      </w:r>
      <w:r w:rsidRPr="00552E31">
        <w:tab/>
        <w:t>Artículo 24, párrafo 2</w:t>
      </w:r>
    </w:p>
    <w:p w:rsidR="00CC0698" w:rsidRPr="00552E31" w:rsidRDefault="00CC0698" w:rsidP="00CC0698">
      <w:pPr>
        <w:pStyle w:val="SingleTxtG"/>
        <w:rPr>
          <w:rFonts w:eastAsia="Batang"/>
        </w:rPr>
      </w:pPr>
      <w:r>
        <w:t>32.</w:t>
      </w:r>
      <w:r>
        <w:tab/>
      </w:r>
      <w:r w:rsidRPr="00552E31">
        <w:t>De conformidad con el artículo 24, párrafo 2, los Estados han de establecer un proceso para determinar otras cuestiones relacionadas con el derecho del niño a la salud y actuar en consecuencia. Para ello es preciso, entre otras cosas, analizar a fondo la situación actual por lo que se refiere a los problemas y respuestas prioritarios en el ámbito de la salud y determinar y aplicar, si procede en consulta con los niños, intervenciones y políticas con base empírica que obedezcan a los principales determinantes y problemas en el ámbito de la salud.</w:t>
      </w:r>
    </w:p>
    <w:p w:rsidR="00CC0698" w:rsidRPr="00552E31" w:rsidRDefault="00CC0698" w:rsidP="00CC0698">
      <w:pPr>
        <w:pStyle w:val="H23G"/>
        <w:rPr>
          <w:rFonts w:eastAsia="Batang"/>
        </w:rPr>
      </w:pPr>
      <w:r w:rsidRPr="00552E31">
        <w:tab/>
      </w:r>
      <w:r>
        <w:tab/>
        <w:t>Artículo 24, párrafo 2 a).</w:t>
      </w:r>
      <w:r w:rsidRPr="00552E31">
        <w:t xml:space="preserve"> "Reducir</w:t>
      </w:r>
      <w:r>
        <w:t xml:space="preserve"> la mortalidad infantil y en la </w:t>
      </w:r>
      <w:r w:rsidRPr="00552E31">
        <w:t xml:space="preserve">niñez" </w:t>
      </w:r>
    </w:p>
    <w:p w:rsidR="00CC0698" w:rsidRPr="00552E31" w:rsidRDefault="00CC0698" w:rsidP="00CC0698">
      <w:pPr>
        <w:pStyle w:val="SingleTxtG"/>
        <w:rPr>
          <w:rFonts w:eastAsia="Batang"/>
        </w:rPr>
      </w:pPr>
      <w:r>
        <w:t>33.</w:t>
      </w:r>
      <w:r>
        <w:tab/>
      </w:r>
      <w:r w:rsidRPr="00552E31">
        <w:t>Los Estados tienen la obligación de reducir la mortalidad infantil. El Comité insta a que se preste especial atención a la mortalidad neonatal, que constituye una proporción cada vez mayor de la mortalidad de niños menores de 5 años. Además, los Estados partes deben hacer frente a la morbilidad y mortalidad de adolescentes, que suele quedar relegada en el orden de prioridades.</w:t>
      </w:r>
    </w:p>
    <w:p w:rsidR="00CC0698" w:rsidRPr="00552E31" w:rsidRDefault="00CC0698" w:rsidP="00CC0698">
      <w:pPr>
        <w:pStyle w:val="SingleTxtG"/>
        <w:rPr>
          <w:rFonts w:eastAsia="Batang"/>
        </w:rPr>
      </w:pPr>
      <w:r>
        <w:t>34.</w:t>
      </w:r>
      <w:r>
        <w:tab/>
      </w:r>
      <w:r w:rsidRPr="00552E31">
        <w:t xml:space="preserve">Mediante las intervenciones se ha de prestar atención a la mortinatalidad, las complicaciones en los partos prematuros, la asfixia al nacer, el peso bajo al nacer, la transmisión maternoinfantil del VIH y otras infecciones de transmisión sexual, las infecciones neonatales, la neumonía, la diarrea, el sarampión, la subnutrición, la malnutrición, la malaria, los accidentes, la violencia, el suicidio y la morbilidad y mortalidad de madres adolescentes. Se recomienda fortalecer los sistemas sanitarios para facilitar esas intervenciones a todos los niños en el contexto de un proceso ininterrumpido de atención en materia de salud reproductiva, materna, del recién nacido y del niño, incluidas pruebas de detección de defectos congénitos, servicios de parto en condiciones seguras y atención del recién nacido. Deben realizarse periódicamente comprobaciones de la mortalidad materna y perinatal con fines de prevención y rendición de cuentas. </w:t>
      </w:r>
    </w:p>
    <w:p w:rsidR="00CC0698" w:rsidRPr="00552E31" w:rsidRDefault="00CC0698" w:rsidP="00CC0698">
      <w:pPr>
        <w:pStyle w:val="SingleTxtG"/>
        <w:rPr>
          <w:rFonts w:eastAsia="Batang"/>
        </w:rPr>
      </w:pPr>
      <w:r>
        <w:t>35.</w:t>
      </w:r>
      <w:r>
        <w:tab/>
      </w:r>
      <w:r w:rsidRPr="00552E31">
        <w:t xml:space="preserve">Los Estados deben hacer especial hincapié en ampliar a escala las intervenciones sencillas, seguras y poco costosas que han surtido efecto, como el tratamiento a escala comunitaria de la neumonía, las enfermedades diarreicas y la malaria, y prestar especial atención a velar por la plena protección y </w:t>
      </w:r>
      <w:r>
        <w:t>promoción</w:t>
      </w:r>
      <w:r w:rsidRPr="00552E31">
        <w:t xml:space="preserve"> de las prácticas de lactancia natural.</w:t>
      </w:r>
      <w:r w:rsidR="005006E6">
        <w:t xml:space="preserve"> </w:t>
      </w:r>
    </w:p>
    <w:p w:rsidR="00CC0698" w:rsidRPr="00552E31" w:rsidRDefault="00CC0698" w:rsidP="00CC0698">
      <w:pPr>
        <w:pStyle w:val="H23G"/>
        <w:rPr>
          <w:rFonts w:eastAsia="Batang"/>
        </w:rPr>
      </w:pPr>
      <w:r w:rsidRPr="00552E31">
        <w:tab/>
      </w:r>
      <w:r w:rsidRPr="00552E31">
        <w:tab/>
        <w:t>Artículo 24,</w:t>
      </w:r>
      <w:r>
        <w:t xml:space="preserve"> párrafo 2 b).</w:t>
      </w:r>
      <w:r w:rsidRPr="00552E31">
        <w:t xml:space="preserve"> "Asegurar la prestación de la asistencia médica y la atención</w:t>
      </w:r>
      <w:r>
        <w:t> </w:t>
      </w:r>
      <w:r w:rsidRPr="00552E31">
        <w:t>sanitaria que sean necesarias a todos los</w:t>
      </w:r>
      <w:r>
        <w:t xml:space="preserve"> niños, haciendo hincapié en el </w:t>
      </w:r>
      <w:r w:rsidRPr="00552E31">
        <w:t>desarrollo de la atención primaria de salud"</w:t>
      </w:r>
    </w:p>
    <w:p w:rsidR="00CC0698" w:rsidRPr="00552E31" w:rsidRDefault="00CC0698" w:rsidP="00CC0698">
      <w:pPr>
        <w:pStyle w:val="SingleTxtG"/>
        <w:rPr>
          <w:rFonts w:eastAsia="Batang"/>
        </w:rPr>
      </w:pPr>
      <w:r>
        <w:t>36.</w:t>
      </w:r>
      <w:r>
        <w:tab/>
      </w:r>
      <w:r w:rsidRPr="00552E31">
        <w:t>Los Estados han de dar prioridad al acceso universal de los niños a servicios de atención primaria de salud prestados lo más cerca posible de los lugares de residencia de los niños y su familia, especialmente en contextos comunitarios. Aunque la configuración y el contenido precisos de los servicios variarán de un país a otro, en todos los casos serán precisos sistemas sanitarios eficaces, lo cual incluye un mecanismo sólido de financiación; personal debidamente capacitado y pagado; información fiable que sirva de fundamento a la adopción de decisiones y políticas; instalaciones debidamente mantenidas y sistemas de logística para suministrar medicamentos y tecnologías de calidad; y solidez en el liderazgo y la gobernanza. La prestación de servicios sanitarios en las escuelas ofrece una oportunidad importante de promover la salud y detectar enfermedades y aumenta el acceso de los niños escolarizados a los servicios sanitarios.</w:t>
      </w:r>
    </w:p>
    <w:p w:rsidR="00CC0698" w:rsidRPr="00552E31" w:rsidRDefault="00CC0698" w:rsidP="00CC0698">
      <w:pPr>
        <w:pStyle w:val="SingleTxtG"/>
        <w:rPr>
          <w:rFonts w:eastAsia="Batang"/>
        </w:rPr>
      </w:pPr>
      <w:r>
        <w:t>37.</w:t>
      </w:r>
      <w:r>
        <w:tab/>
      </w:r>
      <w:r w:rsidRPr="00552E31">
        <w:t>Deberían emplearse conjuntos de servicios recomendados, como por ejemplo las Intervenciones, productos y directrices esenciales para la salud reproductiva, de la madre, el recién nacido y el niño</w:t>
      </w:r>
      <w:r w:rsidRPr="000E1C3D">
        <w:rPr>
          <w:rStyle w:val="FootnoteReference"/>
        </w:rPr>
        <w:footnoteReference w:id="12"/>
      </w:r>
      <w:r w:rsidRPr="00CC0698">
        <w:rPr>
          <w:rStyle w:val="FootnoteReference"/>
          <w:vertAlign w:val="baseline"/>
        </w:rPr>
        <w:t xml:space="preserve">. </w:t>
      </w:r>
      <w:r w:rsidRPr="00552E31">
        <w:t>Los Estados tienen la obligación de que todos los medicamentos esenciales que figuran en las Listas Modelo de Medicamentos Esenciales de la Organización Mundial de la Salud, incluidas las listas</w:t>
      </w:r>
      <w:r>
        <w:t xml:space="preserve"> de medicamentos para niños (en </w:t>
      </w:r>
      <w:r w:rsidRPr="00552E31">
        <w:t>fórmulas pediátricas, cuando es posible), resulten disponibles, accesibles y asequibles.</w:t>
      </w:r>
    </w:p>
    <w:p w:rsidR="00CC0698" w:rsidRPr="00552E31" w:rsidRDefault="00CC0698" w:rsidP="00CC0698">
      <w:pPr>
        <w:pStyle w:val="SingleTxtG"/>
        <w:rPr>
          <w:rFonts w:eastAsia="Batang"/>
        </w:rPr>
      </w:pPr>
      <w:r>
        <w:t>38.</w:t>
      </w:r>
      <w:r>
        <w:tab/>
      </w:r>
      <w:r w:rsidRPr="00552E31">
        <w:t xml:space="preserve">Preocupa al Comité el aumento de la mala salud mental en los adolescentes, en concreto trastornos en el desarrollo y la conducta, depresión, trastornos alimentarios, ansiedad, traumas psicológicos resultantes del abuso, la desatención, la violencia o la explotación, el consumo indebido de alcohol, tabaco y drogas, comportamientos obsesivos, como un uso excesivo de Internet y otras tecnologías hasta un punto adictivo y la autolesión y el suicidio. Cada vez se es más consciente de la necesidad de prestar mayor atención a las problemáticas sociales y de conducta que socavan la salud mental, el bienestar psicosocial y el desarrollo emocional de los niños. El Comité advierte del peligro del recurso excesivo a la medicalización y el internamiento e insta a los Estados a que adopten un enfoque basado en la salud pública y el apoyo psicosocial para hacer frente a la mala salud mental de los niños y adolescentes e invertir en enfoques de atención primaria que faciliten la detección y el tratamiento precoces de los problemas psicosociales, emocionales y mentales de los niños. </w:t>
      </w:r>
    </w:p>
    <w:p w:rsidR="00CC0698" w:rsidRPr="00552E31" w:rsidRDefault="00CC0698" w:rsidP="00CC0698">
      <w:pPr>
        <w:pStyle w:val="SingleTxtG"/>
        <w:rPr>
          <w:rFonts w:eastAsia="Batang"/>
        </w:rPr>
      </w:pPr>
      <w:r>
        <w:t>39.</w:t>
      </w:r>
      <w:r>
        <w:tab/>
      </w:r>
      <w:r w:rsidRPr="00552E31">
        <w:t>Los Estados tienen la obligación de ofrecer tratamiento y rehabilitación adecuados a los niños que presenten trastornos psicosociales y de salud mental, absteniéndose de administrarles medicaciones innecesarias. En una resolución de 2012 de la Asamblea Mundial de la Salud sobre la carga mundial de trastornos mentales y necesidad de que el sector de la salud y el sector social respondan de modo integral y coordinado a escala de país</w:t>
      </w:r>
      <w:r w:rsidRPr="000E1C3D">
        <w:rPr>
          <w:vertAlign w:val="superscript"/>
        </w:rPr>
        <w:footnoteReference w:id="13"/>
      </w:r>
      <w:r w:rsidRPr="00552E31">
        <w:t xml:space="preserve"> se observa que cada vez hay más datos sobre la eficacia y la costoeficacia de las intervenciones encaminadas a promover la salud mental y prevenir los trastornos mentales, en particular entre los niños. El Comité alienta encarecidamente a los Estados a que amplíen a escala estas intervenciones incorporándolas mediante toda una gama de políticas y programas sectoriales, en particular en materia de salud, educación y protección (justicia penal), con participación de las familias y las comunidades. Los niños en situación de riesgo debido a sus entornos familiares y sociales deben recibir atención especial orientada a mejorar sus aptitudes para hacer frente al medio y su preparación para la vida cotidiana con el fin de promover e</w:t>
      </w:r>
      <w:r w:rsidR="00056631">
        <w:t>ntornos protectores y de apoyo.</w:t>
      </w:r>
    </w:p>
    <w:p w:rsidR="00CC0698" w:rsidRPr="00552E31" w:rsidRDefault="00CC0698" w:rsidP="00CC0698">
      <w:pPr>
        <w:pStyle w:val="SingleTxtG"/>
        <w:rPr>
          <w:rFonts w:eastAsia="Batang"/>
        </w:rPr>
      </w:pPr>
      <w:r>
        <w:t>40.</w:t>
      </w:r>
      <w:r>
        <w:tab/>
      </w:r>
      <w:r w:rsidRPr="00552E31">
        <w:t>Hay que reconocer las dificultades concretas que encuentra la salud infantil en el caso de los niños afectados por situaciones de emergencia humanitaria, incluidas las derivadas de los desplazamientos a gran escala como consecuencia de desastres naturales o de factura humana. Deben adoptarse todas las medidas posibles para velar por que los niños tengan un acceso ininterrumpido a servicios de atención sanitaria, para unirlos o reunirlos con sus familias y para protegerlos no solo mediante apoyo material (como alimentos y agua potable) sino también incentivando la atención psicosocial especial, parental o de otro tipo, para prevenir miedos y traumas o hacer frente a ellos.</w:t>
      </w:r>
    </w:p>
    <w:p w:rsidR="00A6279B" w:rsidRPr="00FF45DB" w:rsidRDefault="00A6279B" w:rsidP="00A6279B">
      <w:pPr>
        <w:pStyle w:val="H23G"/>
        <w:rPr>
          <w:rFonts w:eastAsia="Batang"/>
        </w:rPr>
      </w:pPr>
      <w:r w:rsidRPr="00FF45DB">
        <w:tab/>
      </w:r>
      <w:r w:rsidRPr="00FF45DB">
        <w:tab/>
        <w:t>Artículo 24, párrafo 2 c).</w:t>
      </w:r>
      <w:r>
        <w:t xml:space="preserve"> "</w:t>
      </w:r>
      <w:r w:rsidRPr="00FF45DB">
        <w:t>Combatir las enfermedade</w:t>
      </w:r>
      <w:r>
        <w:t>s y la malnutrición en el marco </w:t>
      </w:r>
      <w:r w:rsidRPr="00FF45DB">
        <w:t xml:space="preserve">de la atención primaria de la salud </w:t>
      </w:r>
      <w:r>
        <w:t>mediante, entre otras cosas, la </w:t>
      </w:r>
      <w:r w:rsidRPr="00FF45DB">
        <w:t>aplicación de la tecnología disponible y el suministro de alimentos nutritivos adecuados y agua potable salubre, teniendo en c</w:t>
      </w:r>
      <w:r>
        <w:t>uenta los peligros y riesgos de </w:t>
      </w:r>
      <w:r w:rsidRPr="00FF45DB">
        <w:t>contaminación del medio ambiente</w:t>
      </w:r>
      <w:r>
        <w:t>"</w:t>
      </w:r>
    </w:p>
    <w:p w:rsidR="00A6279B" w:rsidRPr="00FF45DB" w:rsidRDefault="00A6279B" w:rsidP="00A6279B">
      <w:pPr>
        <w:pStyle w:val="H23G"/>
      </w:pPr>
      <w:r>
        <w:tab/>
        <w:t>a)</w:t>
      </w:r>
      <w:r>
        <w:tab/>
      </w:r>
      <w:r w:rsidRPr="00FF45DB">
        <w:t>Aplicación de la tecnología disponible</w:t>
      </w:r>
    </w:p>
    <w:p w:rsidR="00A6279B" w:rsidRPr="00FF45DB" w:rsidRDefault="00A6279B" w:rsidP="00A6279B">
      <w:pPr>
        <w:pStyle w:val="SingleTxtG"/>
        <w:rPr>
          <w:rFonts w:eastAsia="Batang"/>
        </w:rPr>
      </w:pPr>
      <w:r>
        <w:t>41.</w:t>
      </w:r>
      <w:r>
        <w:tab/>
      </w:r>
      <w:r w:rsidRPr="00FF45DB">
        <w:t>A medida que se disponga de nuevas tecnologías de eficacia demostrada en el ámbito de la salud infantil, con inclusión de medicamentos, equipo e intervenciones, los Estados deberán incorporarlas en las políticas y los servicios. Algunos riesgos pueden reducirse considerablemente con técnicas móviles y actuaciones comunitarias que deben adoptarse de forma universal, en particular la inmunización contra las enfermedades infantiles comunes; el seguimiento del crecimiento y el desarrollo, sobre todo en la primera infancia; la vacunación de niñas contra el papilomavirus humano; la administración a las embarazadas de inyecciones de toxoide tetánico; el acceso a terapia de rehidratación oral y suplementos de zinc para el tratamiento de la diarrea; antibióticos y medicamentos antivirales esenciales; suplementos de micronutrientes, como vitaminas A y D, sal yodada y suplementos de hierro; y preservativos. Los trabajadores sanitarios deben asesorar a los padres sobre la manera de acceder a estas tecnologías sencillas y, cuando proceda, administrarlas.</w:t>
      </w:r>
    </w:p>
    <w:p w:rsidR="00A6279B" w:rsidRPr="00FF45DB" w:rsidRDefault="00A6279B" w:rsidP="00A6279B">
      <w:pPr>
        <w:pStyle w:val="SingleTxtG"/>
        <w:rPr>
          <w:rFonts w:eastAsia="Batang"/>
        </w:rPr>
      </w:pPr>
      <w:r>
        <w:t>42.</w:t>
      </w:r>
      <w:r>
        <w:tab/>
      </w:r>
      <w:r w:rsidRPr="00FF45DB">
        <w:t>El sector privado, integrado por las empresas comerciales y las organizaciones sin fines de lucro con proyección en el ámbito de la salud, está asumiendo un papel cada vez más importante en el desarrollo y el perfeccionamiento de la tecnología, los medicamentos, el equipo, las intervenciones y los procesos que pueden comportar adelantos notables para la salud infantil. Los Estados deben velar por que todos los niños necesitados de beneficios los perciban. También pueden fomentar asociaciones entre los sectores público y privado e iniciativas de sostenibilidad que aumenten el acceso y la asequibilidad de la tecnología sanitaria.</w:t>
      </w:r>
    </w:p>
    <w:p w:rsidR="00A6279B" w:rsidRPr="00FF45DB" w:rsidRDefault="00A6279B" w:rsidP="00A6279B">
      <w:pPr>
        <w:pStyle w:val="H23G"/>
      </w:pPr>
      <w:r w:rsidRPr="00FF45DB">
        <w:tab/>
        <w:t>b)</w:t>
      </w:r>
      <w:r w:rsidRPr="00FF45DB">
        <w:tab/>
        <w:t>Suministro de alimentos nutritivos adecuados</w:t>
      </w:r>
    </w:p>
    <w:p w:rsidR="00A6279B" w:rsidRPr="00FF45DB" w:rsidRDefault="00A6279B" w:rsidP="00A6279B">
      <w:pPr>
        <w:pStyle w:val="SingleTxtG"/>
        <w:rPr>
          <w:rFonts w:eastAsia="Batang"/>
        </w:rPr>
      </w:pPr>
      <w:r>
        <w:t>43.</w:t>
      </w:r>
      <w:r>
        <w:tab/>
      </w:r>
      <w:r w:rsidRPr="00FF45DB">
        <w:t>Habrá que adoptar, en función de cada contexto, medidas encaminadas al cumplimiento por los Estados de sus obligaciones de garantizar el acceso a alimentos inocuos, nutricionalmente adecuados y culturalmente apropiados</w:t>
      </w:r>
      <w:r>
        <w:rPr>
          <w:rStyle w:val="FootnoteReference"/>
        </w:rPr>
        <w:footnoteReference w:id="14"/>
      </w:r>
      <w:r w:rsidRPr="00FF45DB">
        <w:t xml:space="preserve"> y luchar contra la malnutrición. Las intervenciones directas en el ámbito de la nutrición de las embarazadas van encaminadas a hacer frente a la anemia y la carencia de ácido fólico y yodo y aportar suplementos de calcio. Todas las mujeres en edad reproductiva deben recibir prevención y tratamiento de la eclampsia y la preeclampsia en aras de su salud y del desarrollo sal</w:t>
      </w:r>
      <w:r>
        <w:t>udable del feto y el lactante.</w:t>
      </w:r>
    </w:p>
    <w:p w:rsidR="00A6279B" w:rsidRPr="00FF45DB" w:rsidRDefault="00A6279B" w:rsidP="00A6279B">
      <w:pPr>
        <w:pStyle w:val="SingleTxtG"/>
        <w:rPr>
          <w:rFonts w:eastAsia="Batang"/>
        </w:rPr>
      </w:pPr>
      <w:r>
        <w:t>44.</w:t>
      </w:r>
      <w:r>
        <w:tab/>
      </w:r>
      <w:r w:rsidRPr="00FF45DB">
        <w:t xml:space="preserve">La lactancia natural exclusiva debe protegerse y promoverse durante los </w:t>
      </w:r>
      <w:r w:rsidR="00A62C30">
        <w:t>6</w:t>
      </w:r>
      <w:r w:rsidRPr="00FF45DB">
        <w:t xml:space="preserve"> primeros meses de vida y, en combinación con alimentación complementaria, debe proseguir, preferentemente hasta los </w:t>
      </w:r>
      <w:r>
        <w:t>2</w:t>
      </w:r>
      <w:r w:rsidRPr="00FF45DB">
        <w:t xml:space="preserve"> años de edad, de ser viable. Las obligaciones de los Estados en este ámbito se definen en el marco de </w:t>
      </w:r>
      <w:r>
        <w:t>"</w:t>
      </w:r>
      <w:r w:rsidRPr="00FF45DB">
        <w:t>proteger, promover y apoyar</w:t>
      </w:r>
      <w:r>
        <w:t>"</w:t>
      </w:r>
      <w:r w:rsidRPr="00FF45DB">
        <w:t>, adoptado por unanimidad por la Asamblea Mundial de la Salud</w:t>
      </w:r>
      <w:r>
        <w:rPr>
          <w:rStyle w:val="FootnoteReference"/>
        </w:rPr>
        <w:footnoteReference w:id="15"/>
      </w:r>
      <w:r w:rsidRPr="00FF45DB">
        <w:t xml:space="preserve">. Los Estados han de incorporar en su derecho interno, aplicar y hacer cumplir normas acordadas internacionalmente en el ámbito del derecho del niño a la salud, entre ellas el Código Internacional para la Comercialización de Sucedáneos de la Leche Materna y las subsiguientes resoluciones pertinentes de la Asamblea Mundial de la Salud, así como el Convenio Marco de la OMS para el Control del Tabaco. Deben adoptarse medidas especiales para promover el apoyo a las madres en las comunidades y el lugar de trabajo en el contexto del embarazo y la lactancia natural y establecerse servicios de guardería viables y asequibles; también debe promoverse el cumplimiento del Convenio </w:t>
      </w:r>
      <w:r>
        <w:t>Nº</w:t>
      </w:r>
      <w:r w:rsidRPr="00FF45DB">
        <w:t xml:space="preserve"> 183 (2000) de la Organización Internacional del Trabajo, relativo a la revisión del Convenio sobre la protección de la </w:t>
      </w:r>
      <w:r>
        <w:t>maternidad (revisado), de 1952.</w:t>
      </w:r>
    </w:p>
    <w:p w:rsidR="00A6279B" w:rsidRPr="00FF45DB" w:rsidRDefault="00A6279B" w:rsidP="00A6279B">
      <w:pPr>
        <w:pStyle w:val="SingleTxtG"/>
        <w:rPr>
          <w:rFonts w:eastAsia="Batang"/>
        </w:rPr>
      </w:pPr>
      <w:r>
        <w:t>45.</w:t>
      </w:r>
      <w:r>
        <w:tab/>
      </w:r>
      <w:r w:rsidRPr="00FF45DB">
        <w:t>La nutrición adecuada y el seguimiento del crecimiento en la primera infancia revisten especial importancia. Cuando sea necesario, deberá ampliarse la gestión integrada de la malnutrición aguda grave mediante intervenciones en centros y en las comunidades, así como el tratamiento de la malnutrición aguda moderada, incluidas intervenciones de alimentación terapéutic</w:t>
      </w:r>
      <w:r>
        <w:t>a.</w:t>
      </w:r>
    </w:p>
    <w:p w:rsidR="00A6279B" w:rsidRPr="00FF45DB" w:rsidRDefault="00A6279B" w:rsidP="00A6279B">
      <w:pPr>
        <w:pStyle w:val="SingleTxtG"/>
        <w:rPr>
          <w:rFonts w:eastAsia="Batang"/>
        </w:rPr>
      </w:pPr>
      <w:r>
        <w:t>46.</w:t>
      </w:r>
      <w:r>
        <w:tab/>
      </w:r>
      <w:r w:rsidRPr="00FF45DB">
        <w:t>Es deseable la alimentación escolar para garantizar a todos los alumnos acceso a una comida completa al día, algo que, además, puede elevar la atención de los niños en aras del aprendizaje y aumentar la matrícula escolar. El Comité recomienda combinar todo esto con educación en materia de nutrición y salud, lo cual incluye la creación de huertos escolares y la capacitación del personal docente para fomentar la nutrición infantil y los h</w:t>
      </w:r>
      <w:r>
        <w:t>ábitos alimenticios saludables.</w:t>
      </w:r>
    </w:p>
    <w:p w:rsidR="00A6279B" w:rsidRPr="00FF45DB" w:rsidRDefault="00A6279B" w:rsidP="00A6279B">
      <w:pPr>
        <w:pStyle w:val="SingleTxtG"/>
        <w:rPr>
          <w:rFonts w:eastAsia="Batang"/>
        </w:rPr>
      </w:pPr>
      <w:r>
        <w:t>47.</w:t>
      </w:r>
      <w:r>
        <w:tab/>
      </w:r>
      <w:r w:rsidRPr="00FF45DB">
        <w:t xml:space="preserve">Los Estados también deberán hacer frente a la obesidad infantil, que se vincula con la hipertensión, indicios tempranos de enfermedades cardiovasculares, la resistencia a la insulina, efectos psicológicos, una mayor probabilidad de obesidad en la edad adulta y fallecimientos prematuros. Debe limitarse la exposición de los niños a la </w:t>
      </w:r>
      <w:r>
        <w:t>"</w:t>
      </w:r>
      <w:r w:rsidRPr="00FF45DB">
        <w:t>comida rápida</w:t>
      </w:r>
      <w:r>
        <w:t>"</w:t>
      </w:r>
      <w:r w:rsidRPr="00FF45DB">
        <w:t xml:space="preserve"> de alto contenido en grasas, azúcar o sal, que es muy energética pero carece de suficientes micronutrientes, y a bebidas de alto contenido en cafeína u otras sustancias de posibles efectos nocivos. Debe controlarse la comercialización de estas sustancias, especialmente cuando sus destinatarios son niños, así como su disponibilidad en las escuelas y otros lugares.</w:t>
      </w:r>
    </w:p>
    <w:p w:rsidR="00A6279B" w:rsidRPr="00FF45DB" w:rsidRDefault="00A6279B" w:rsidP="00A6279B">
      <w:pPr>
        <w:pStyle w:val="H23G"/>
      </w:pPr>
      <w:r w:rsidRPr="00FF45DB">
        <w:tab/>
        <w:t>c)</w:t>
      </w:r>
      <w:r w:rsidRPr="00FF45DB">
        <w:tab/>
        <w:t>Suministro de agua potable salubre</w:t>
      </w:r>
    </w:p>
    <w:p w:rsidR="00A6279B" w:rsidRPr="00FF45DB" w:rsidRDefault="00A6279B" w:rsidP="00A6279B">
      <w:pPr>
        <w:pStyle w:val="SingleTxtG"/>
        <w:rPr>
          <w:rFonts w:eastAsia="Batang"/>
        </w:rPr>
      </w:pPr>
      <w:r>
        <w:t>48.</w:t>
      </w:r>
      <w:r>
        <w:tab/>
      </w:r>
      <w:r w:rsidRPr="00FF45DB">
        <w:t>El agua potable salubre y el saneamiento son esenciales para el pleno disfrute de la vida y los demás derechos humanos</w:t>
      </w:r>
      <w:r>
        <w:rPr>
          <w:rStyle w:val="FootnoteReference"/>
        </w:rPr>
        <w:footnoteReference w:id="16"/>
      </w:r>
      <w:r w:rsidRPr="00FF45DB">
        <w:t>. Los departamentos gubernamentales y las autoridades locales a cargo del agua y el saneamiento deben asumir su obligación de contribuir a la realización del derecho del niño a la salud y tener presentes los indicadores infantiles de malnutrición, diarrea y otras enfermedades relacionadas con el agua, así como el tamaño de las familias, al planificar y llevar a cabo obras de expansión de la infraestructura y mantenimiento de los servicios de abastecimiento de agua y al adoptar decisiones con respecto a la asignación mínima gratuita y al corte del suministro. Los Estados no están exentos de cumplir sus obligaciones aunque hayan privat</w:t>
      </w:r>
      <w:r>
        <w:t>izado el agua y el saneamiento.</w:t>
      </w:r>
    </w:p>
    <w:p w:rsidR="00A6279B" w:rsidRPr="00FF45DB" w:rsidRDefault="00A6279B" w:rsidP="00A6279B">
      <w:pPr>
        <w:pStyle w:val="H23G"/>
        <w:rPr>
          <w:rFonts w:eastAsia="font278"/>
        </w:rPr>
      </w:pPr>
      <w:r w:rsidRPr="00FF45DB">
        <w:tab/>
        <w:t>d)</w:t>
      </w:r>
      <w:r w:rsidRPr="00FF45DB">
        <w:tab/>
        <w:t>Contaminación del medio ambiente</w:t>
      </w:r>
    </w:p>
    <w:p w:rsidR="00A6279B" w:rsidRPr="00FF45DB" w:rsidRDefault="00A6279B" w:rsidP="00A6279B">
      <w:pPr>
        <w:pStyle w:val="SingleTxtG"/>
        <w:rPr>
          <w:rFonts w:eastAsia="Batang"/>
        </w:rPr>
      </w:pPr>
      <w:r>
        <w:t>49.</w:t>
      </w:r>
      <w:r>
        <w:tab/>
      </w:r>
      <w:r w:rsidRPr="00FF45DB">
        <w:t>Los Estados deben adoptar medidas para hacer frente a los peligros y riesgos que la contaminación del medio ambiente local plantea a la salud infantil en todos los entornos. Para la crianza y el desarrollo del niño en condiciones sanas son fundamentales viviendas adecuadas que incluyan instalaciones para preparar alimentos exentas de peligro, un entorno sin humos, ventilación apropiada, la gestión eficaz de los desechos y la eliminación de los desperdicios de las viviendas y sus inmediaciones, la ausencia de moho y otras sustancias tóxicas y la higiene familiar. Los Estados han de regular y vigilar el impacto ambiental de las actividades empresariales que puedan poner en peligro el derecho del niño a la salud, su seguridad alimentaria y su acceso a agua potable y saneamiento.</w:t>
      </w:r>
    </w:p>
    <w:p w:rsidR="00A6279B" w:rsidRPr="00FF45DB" w:rsidRDefault="00A6279B" w:rsidP="00A6279B">
      <w:pPr>
        <w:pStyle w:val="SingleTxtG"/>
        <w:rPr>
          <w:rFonts w:eastAsia="Batang"/>
        </w:rPr>
      </w:pPr>
      <w:r>
        <w:t>50.</w:t>
      </w:r>
      <w:r>
        <w:tab/>
      </w:r>
      <w:r w:rsidRPr="00FF45DB">
        <w:t>El Comité pone de manifiesto la importancia del medio ambiente para la salud del niño, más allá de la contaminación. Las intervenciones en materia de medio ambiente deben hacer frente, entre otras cosas, al cambio climático, que es una de las principales amenazas a la salud infantil y empeora las disparidades en el estado de salud. En consecuencia, los Estados han de reservar a la salud infantil un lugar central en sus estrategias de adaptación al cambio climático y mitigación de sus consecuencias.</w:t>
      </w:r>
    </w:p>
    <w:p w:rsidR="00A6279B" w:rsidRPr="00FF45DB" w:rsidRDefault="00A6279B" w:rsidP="00A6279B">
      <w:pPr>
        <w:pStyle w:val="H23G"/>
        <w:rPr>
          <w:rFonts w:eastAsia="Batang"/>
        </w:rPr>
      </w:pPr>
      <w:r w:rsidRPr="00FF45DB">
        <w:tab/>
      </w:r>
      <w:r w:rsidRPr="00FF45DB">
        <w:tab/>
        <w:t>Artículo 24, párrafo 2</w:t>
      </w:r>
      <w:r w:rsidR="00A62C30">
        <w:t xml:space="preserve"> </w:t>
      </w:r>
      <w:r w:rsidR="00A62C30" w:rsidRPr="00FF45DB">
        <w:t>d)</w:t>
      </w:r>
      <w:r w:rsidR="000C012D">
        <w:t>.</w:t>
      </w:r>
      <w:r w:rsidRPr="00FF45DB">
        <w:t xml:space="preserve"> </w:t>
      </w:r>
      <w:r>
        <w:t>"</w:t>
      </w:r>
      <w:r w:rsidRPr="00FF45DB">
        <w:t>Asegurar atención sanitari</w:t>
      </w:r>
      <w:r w:rsidR="00A62C30">
        <w:t>a prenatal y posnatal apropiada </w:t>
      </w:r>
      <w:r w:rsidRPr="00FF45DB">
        <w:t>a las madres</w:t>
      </w:r>
      <w:r>
        <w:t>"</w:t>
      </w:r>
    </w:p>
    <w:p w:rsidR="00A6279B" w:rsidRPr="00FF45DB" w:rsidRDefault="00A6279B" w:rsidP="00A6279B">
      <w:pPr>
        <w:pStyle w:val="SingleTxtG"/>
        <w:rPr>
          <w:rFonts w:eastAsia="Batang"/>
        </w:rPr>
      </w:pPr>
      <w:r>
        <w:t>51.</w:t>
      </w:r>
      <w:r>
        <w:tab/>
      </w:r>
      <w:r w:rsidRPr="00FF45DB">
        <w:t>El Comité observa que la mortalidad y morbilidad prevenibles asociadas con la maternidad constituyen graves violaciones de los derechos humanos de las mujeres y las niñas y amenazan gravemente su propio derecho a la salud y el de sus hijos. El embarazo y el parto son procesos naturales que conllevan riesgos para la salud consabidos susceptibles de prevención y respuesta terapéutica si se identifican en fases tempranas. Durante el embarazo, el part</w:t>
      </w:r>
      <w:r>
        <w:t>o y los períodos prenatal y pos</w:t>
      </w:r>
      <w:r w:rsidRPr="00FF45DB">
        <w:t>natal pueden surgir situaciones de riesgo que repercutan a corto y a largo plazo en la salud y el b</w:t>
      </w:r>
      <w:r>
        <w:t>ienestar de la madre y el niño.</w:t>
      </w:r>
    </w:p>
    <w:p w:rsidR="00A6279B" w:rsidRPr="00FF45DB" w:rsidRDefault="00A6279B" w:rsidP="00A6279B">
      <w:pPr>
        <w:pStyle w:val="SingleTxtG"/>
        <w:rPr>
          <w:rFonts w:eastAsia="Batang"/>
        </w:rPr>
      </w:pPr>
      <w:r>
        <w:t>52.</w:t>
      </w:r>
      <w:r>
        <w:tab/>
      </w:r>
      <w:r w:rsidRPr="00FF45DB">
        <w:t>El Comité alienta a los Estados a que adopten enfoques en materia de salud que presten atención a la especificidad del niño a lo largo de los distintos períodos de la infancia, como</w:t>
      </w:r>
      <w:r>
        <w:t>:</w:t>
      </w:r>
      <w:r w:rsidRPr="00FF45DB">
        <w:t xml:space="preserve"> a) la iniciativa </w:t>
      </w:r>
      <w:r>
        <w:t>"</w:t>
      </w:r>
      <w:r w:rsidRPr="00FF45DB">
        <w:t>Hospitales amigos del niño</w:t>
      </w:r>
      <w:r>
        <w:t>"</w:t>
      </w:r>
      <w:r>
        <w:rPr>
          <w:rStyle w:val="FootnoteReference"/>
        </w:rPr>
        <w:footnoteReference w:id="17"/>
      </w:r>
      <w:r w:rsidRPr="00FF45DB">
        <w:t>, que protege, promueve y respalda la presencia del bebé en el cuarto de la madre y la lactancia natural; b) políticas sanitarias favorables al niño centradas en capacitar a los trabajadores sanitarios para prestar servicios de calidad reduciendo al mínimo el miedo, la ansiedad y el sufrimiento de los niños y su familia; y c) servicios de salud favorables al adolescente en el marco de los cuales los profesionales de la salud y las instalaciones acojan debidamente a los adolescentes y tengan en cuenta sus necesidades, respeten la confidencialidad y presten servicios aceptables para los adolescentes.</w:t>
      </w:r>
    </w:p>
    <w:p w:rsidR="00A6279B" w:rsidRPr="00FF45DB" w:rsidRDefault="00A6279B" w:rsidP="00A6279B">
      <w:pPr>
        <w:pStyle w:val="SingleTxtG"/>
        <w:rPr>
          <w:rFonts w:eastAsia="Batang"/>
        </w:rPr>
      </w:pPr>
      <w:r>
        <w:t>53.</w:t>
      </w:r>
      <w:r>
        <w:tab/>
      </w:r>
      <w:r w:rsidRPr="00FF45DB">
        <w:t>La atención que reciben las mujeres antes, durante y después del embarazo tiene repercusiones profundas en la salud y el desarrollo de sus hijos. El cumplimiento de la obligación de garantizar el acceso universal a un conjunto completo de intervenciones en materia de salud sexual y reproductiva deberá basarse en el concepto de atención ininterrumpida que empieza en el período anterior al embarazo, prosigue durante el embarazo y el parto y se extiende hasta el período posterior al parto. La atención oportuna y de calidad durante estos períodos sucesivos ofrece importantes oportunidades de prevenir la transmisión intergeneracional de la mala salud y tiene grandes repercusiones en la salud del niño dur</w:t>
      </w:r>
      <w:r>
        <w:t>ante toda su trayectoria vital.</w:t>
      </w:r>
    </w:p>
    <w:p w:rsidR="00A6279B" w:rsidRPr="00FF45DB" w:rsidRDefault="00A6279B" w:rsidP="00A6279B">
      <w:pPr>
        <w:pStyle w:val="SingleTxtG"/>
        <w:rPr>
          <w:rFonts w:eastAsia="Batang"/>
        </w:rPr>
      </w:pPr>
      <w:r>
        <w:t>54.</w:t>
      </w:r>
      <w:r>
        <w:tab/>
      </w:r>
      <w:r w:rsidRPr="00FF45DB">
        <w:t>Las intervenciones que deben ofrecerse durante este proceso ininterrumpido constan, entre otras cosas, de prevención y promoción de la salud básica y servicios de curación, incluida la prevención del tétanos neonatal, la malaria en el embarazo y la sífilis congénita; la atención nutricional; el acceso a educación, información y servicios en materia de salud sexual y reproductiva; educación sobre el comportamiento en materia de salud (por ejemplo, en relación con el consumo de tabaco y otras sustancias); preparación para el parto; detección y tratamiento temprano de complicaciones; servicios de aborto en condiciones de seguridad y de atención después del aborto; atención básica durante el parto; y prevención de la transmisión maternoinfantil del VIH, junto con la atención y el tratamiento de las mujeres y los lactantes infectados por el VIH. En el marco de la atención dispensada a madres y recién nacidos después del parto no debe separarse innecesariamente a la madre de su hijo.</w:t>
      </w:r>
    </w:p>
    <w:p w:rsidR="00A6279B" w:rsidRPr="00FF45DB" w:rsidRDefault="00A6279B" w:rsidP="00A6279B">
      <w:pPr>
        <w:pStyle w:val="SingleTxtG"/>
        <w:rPr>
          <w:rFonts w:eastAsia="Batang"/>
        </w:rPr>
      </w:pPr>
      <w:r>
        <w:t>55.</w:t>
      </w:r>
      <w:r>
        <w:tab/>
      </w:r>
      <w:r w:rsidRPr="00FF45DB">
        <w:t>El Comité recomienda que las intervenciones en el ámbito de la protección social garanticen la cobertura universal de la atención o el acceso financiero a ella, bajas de paternidad retribuidas y otras prestaciones en materia de seguridad social, así como legislación para limitar la comercialización y la promoción indebidas de sucedáneos de la leche materna.</w:t>
      </w:r>
    </w:p>
    <w:p w:rsidR="00A6279B" w:rsidRPr="00FF45DB" w:rsidRDefault="00A6279B" w:rsidP="00A6279B">
      <w:pPr>
        <w:pStyle w:val="SingleTxtG"/>
        <w:rPr>
          <w:rFonts w:eastAsia="Batang"/>
        </w:rPr>
      </w:pPr>
      <w:r>
        <w:t>56.</w:t>
      </w:r>
      <w:r>
        <w:tab/>
      </w:r>
      <w:r w:rsidRPr="00FF45DB">
        <w:t>En vista de las altas tasas mundiales de embarazo en la adolescencia y de los consiguientes riesgos de morbilidad y mortalidad, los Estados han de velar por que los sistemas y servicios sanitarios puedan atender las necesidades de los adolescentes en materia de salud sexual y reproductiva, incluso mediante servicios de planificación familiar y aborto en condiciones de seguridad. Los Estados deben procurar que las niñas puedan tomar decisiones autónomas y fundamentadas sobre su salud reproductiva. Debe prohibirse la discriminación de las adolescentes que se quedan embarazadas, como cuando se las expulsa de la escuela, y deben ofrecerse oportunidades de educac</w:t>
      </w:r>
      <w:r>
        <w:t>ión permanente.</w:t>
      </w:r>
    </w:p>
    <w:p w:rsidR="00A6279B" w:rsidRPr="00FF45DB" w:rsidRDefault="00A6279B" w:rsidP="00A6279B">
      <w:pPr>
        <w:pStyle w:val="SingleTxtG"/>
        <w:rPr>
          <w:rFonts w:eastAsia="Batang"/>
        </w:rPr>
      </w:pPr>
      <w:r>
        <w:t>57.</w:t>
      </w:r>
      <w:r>
        <w:tab/>
      </w:r>
      <w:r w:rsidRPr="00FF45DB">
        <w:t>Teniendo en cuenta que es fundamental la participación de los niños varones y los hombres para planificar y garantizar condiciones sanas en el embarazo y el parto, los Estados deben incorporar oportunidades de educación, sensibilización y diálogo dirigidas a los niños y los hombres en los servicios de salud s</w:t>
      </w:r>
      <w:r>
        <w:t>exual, reproductiva e infantil.</w:t>
      </w:r>
    </w:p>
    <w:p w:rsidR="00A6279B" w:rsidRPr="00FF45DB" w:rsidRDefault="00A6279B" w:rsidP="00A6279B">
      <w:pPr>
        <w:pStyle w:val="H23G"/>
        <w:rPr>
          <w:rFonts w:eastAsia="Batang"/>
        </w:rPr>
      </w:pPr>
      <w:r w:rsidRPr="00FF45DB">
        <w:tab/>
      </w:r>
      <w:r w:rsidRPr="00FF45DB">
        <w:tab/>
        <w:t xml:space="preserve">Artículo 24, párrafo 2 e). </w:t>
      </w:r>
      <w:r>
        <w:t>"</w:t>
      </w:r>
      <w:r w:rsidRPr="00FF45DB">
        <w:t>Asegurar que todos lo</w:t>
      </w:r>
      <w:r>
        <w:t xml:space="preserve">s sectores de la sociedad, y en </w:t>
      </w:r>
      <w:r w:rsidRPr="00FF45DB">
        <w:t>particular los padres y los niños, conozcan los principios básicos d</w:t>
      </w:r>
      <w:r>
        <w:t>e la salud y la </w:t>
      </w:r>
      <w:r w:rsidRPr="00FF45DB">
        <w:t>nutrición de los niños, las ventajas de la lactancia materna, la higiene y el saneamiento ambiental y las medidas de prevención de</w:t>
      </w:r>
      <w:r>
        <w:t xml:space="preserve"> accidentes, tengan acceso a la </w:t>
      </w:r>
      <w:r w:rsidRPr="00FF45DB">
        <w:t>educación pertinente y reciban apoyo en la aplicación de esos conocimientos</w:t>
      </w:r>
      <w:r>
        <w:t>"</w:t>
      </w:r>
    </w:p>
    <w:p w:rsidR="00A6279B" w:rsidRPr="00FF45DB" w:rsidRDefault="00A6279B" w:rsidP="00A6279B">
      <w:pPr>
        <w:pStyle w:val="SingleTxtG"/>
        <w:rPr>
          <w:rFonts w:eastAsia="Batang"/>
        </w:rPr>
      </w:pPr>
      <w:r>
        <w:t>58.</w:t>
      </w:r>
      <w:r>
        <w:tab/>
      </w:r>
      <w:r w:rsidRPr="00FF45DB">
        <w:t xml:space="preserve">Las obligaciones correspondientes a esta disposición comprenden el aporte de información en materia de salud y el apoyo para el uso de esta información. La información en materia de salud ha de ser accesible físicamente, comprensible y adecuada para la edad y el </w:t>
      </w:r>
      <w:r>
        <w:t>nivel de estudios de los niños.</w:t>
      </w:r>
    </w:p>
    <w:p w:rsidR="00A6279B" w:rsidRPr="00FF45DB" w:rsidRDefault="00A6279B" w:rsidP="00A6279B">
      <w:pPr>
        <w:pStyle w:val="SingleTxtG"/>
        <w:rPr>
          <w:rFonts w:eastAsia="Batang"/>
        </w:rPr>
      </w:pPr>
      <w:r>
        <w:t>59.</w:t>
      </w:r>
      <w:r>
        <w:tab/>
      </w:r>
      <w:r w:rsidRPr="00FF45DB">
        <w:t>Los niños necesitan información y educación sobre todos los aspectos de la salud para poder adoptar decisiones fundamentadas en relación con su estilo de vida y el acceso a los servicios sanitarios. La información y la preparación para la vida cotidiana deben abordar una amplia gama de asuntos relativos a la salud, entre ellos los hábitos alimenticios saludables y la promoción de la actividad física, el deporte y el esparcimiento; la prevención de accidentes y lesiones; el saneamiento, lavarse las manos y otras prácticas de higiene personal; y los peligros del consumo de alcohol, tabaco y sustancias psicoactivas. La información y la educación han de presentar debidamente el derecho del niño a la salud, las obligaciones de los gobiernos y la manera y el lugar para acceder a la información y los servicios sanitarios, y ha de impartirse como parte esencial del plan de estudios de la escuela, así como mediante servicios de salud y en otros entornos para los niños que no estén escolarizados. Los materiales de información acerca de la salud deben diseñarse en colaboración con los niños y difundirse en una amplia gama de espacios públicos.</w:t>
      </w:r>
    </w:p>
    <w:p w:rsidR="00A6279B" w:rsidRPr="00FF45DB" w:rsidRDefault="00A6279B" w:rsidP="00A6279B">
      <w:pPr>
        <w:pStyle w:val="SingleTxtG"/>
        <w:rPr>
          <w:rFonts w:eastAsia="Batang"/>
        </w:rPr>
      </w:pPr>
      <w:r>
        <w:t>60.</w:t>
      </w:r>
      <w:r>
        <w:tab/>
      </w:r>
      <w:r w:rsidRPr="00FF45DB">
        <w:t xml:space="preserve">La educación en materia de salud sexual y reproductiva debe hacer referencia a la conciencia de uno mismo y del propio cuerpo, incluidos aspectos anatómicos, fisiológicos y emocionales, y ha de estar al alcance de todos los niños, varones o hembras. Su contenido debe guardar relación con la salud y el bienestar sexuales, por ejemplo mediante información sobre los cambios corporales y los procesos de maduración, y ha de estar concebido para que los niños puedan recabar conocimientos sobre la salud reproductiva y la prevención de la violencia basada en el género y adopten un comportamiento sexual </w:t>
      </w:r>
      <w:r>
        <w:t>responsable.</w:t>
      </w:r>
    </w:p>
    <w:p w:rsidR="00A6279B" w:rsidRPr="00FF45DB" w:rsidRDefault="00A6279B" w:rsidP="00A6279B">
      <w:pPr>
        <w:pStyle w:val="SingleTxtG"/>
        <w:rPr>
          <w:rFonts w:eastAsia="Batang"/>
        </w:rPr>
      </w:pPr>
      <w:r>
        <w:t>61.</w:t>
      </w:r>
      <w:r>
        <w:tab/>
      </w:r>
      <w:r w:rsidRPr="00FF45DB">
        <w:t>Debe impartirse información sobre la salud infantil a todos los padres, a título individual o en grupos, a la familia ampliada y a otros cuidadores por diversos conductos, como clínicas, clases de paternidad, folletos de información pública, órganos profesionales, organizaciones comunitaria</w:t>
      </w:r>
      <w:r>
        <w:t>s y los medios de comunicación.</w:t>
      </w:r>
    </w:p>
    <w:p w:rsidR="00A6279B" w:rsidRPr="00FF45DB" w:rsidRDefault="00A6279B" w:rsidP="00A6279B">
      <w:pPr>
        <w:pStyle w:val="H23G"/>
        <w:rPr>
          <w:rFonts w:eastAsia="Batang"/>
        </w:rPr>
      </w:pPr>
      <w:r w:rsidRPr="00FF45DB">
        <w:tab/>
      </w:r>
      <w:r w:rsidRPr="00FF45DB">
        <w:tab/>
        <w:t xml:space="preserve">Artículo 24, párrafo 2 f). </w:t>
      </w:r>
      <w:r>
        <w:t>"</w:t>
      </w:r>
      <w:r w:rsidRPr="00FF45DB">
        <w:t>Desarrollar la atención sanit</w:t>
      </w:r>
      <w:r>
        <w:t>aria preventiva, la orientación </w:t>
      </w:r>
      <w:r w:rsidRPr="00FF45DB">
        <w:t>a los padres y la educación y servicios en</w:t>
      </w:r>
      <w:r>
        <w:t xml:space="preserve"> materia de planificación de la </w:t>
      </w:r>
      <w:r w:rsidRPr="00FF45DB">
        <w:t>familia</w:t>
      </w:r>
      <w:r>
        <w:t>"</w:t>
      </w:r>
    </w:p>
    <w:p w:rsidR="00A6279B" w:rsidRPr="00FF45DB" w:rsidRDefault="00A6279B" w:rsidP="00A6279B">
      <w:pPr>
        <w:pStyle w:val="H23G"/>
      </w:pPr>
      <w:r w:rsidRPr="00FF45DB">
        <w:tab/>
        <w:t>a)</w:t>
      </w:r>
      <w:r w:rsidRPr="00FF45DB">
        <w:tab/>
        <w:t>Atención sanitaria preventiva</w:t>
      </w:r>
    </w:p>
    <w:p w:rsidR="00A6279B" w:rsidRPr="00FF45DB" w:rsidRDefault="00A6279B" w:rsidP="00A6279B">
      <w:pPr>
        <w:pStyle w:val="SingleTxtG"/>
        <w:rPr>
          <w:rFonts w:eastAsia="Batang"/>
        </w:rPr>
      </w:pPr>
      <w:r>
        <w:t>62.</w:t>
      </w:r>
      <w:r>
        <w:tab/>
      </w:r>
      <w:r w:rsidRPr="00FF45DB">
        <w:t>La prevención y la promoción de la salud han de estar orientadas a los principales problemas de salud a los que hacen frente los niños en la comunidad y el país en su conjunto. Cabe mencionar al respecto las enfermedades y otros problemas de salud, como los accidentes, la violencia, el uso indebido de sustancias y los problemas psicosociales y mentales. La atención sanitaria preventiva ha de hacer frente a las enfermedades transmisibles y no transmisibles e incorporar una combinación de intervenciones biomédicas, conductuales y estructurales. La prevención de las enfermedades no transmisibles ha de empezar en las fases iniciales de la vida mediante la promoción y el apoyo de estilos de vida saludables y no violentos entre las embarazadas, su cónyuge</w:t>
      </w:r>
      <w:r>
        <w:t xml:space="preserve"> o pareja y los niños pequeños.</w:t>
      </w:r>
    </w:p>
    <w:p w:rsidR="00A6279B" w:rsidRPr="00FF45DB" w:rsidRDefault="00A6279B" w:rsidP="00A6279B">
      <w:pPr>
        <w:pStyle w:val="SingleTxtG"/>
        <w:rPr>
          <w:rFonts w:eastAsia="Batang"/>
        </w:rPr>
      </w:pPr>
      <w:r>
        <w:t>63.</w:t>
      </w:r>
      <w:r>
        <w:tab/>
      </w:r>
      <w:r w:rsidRPr="00FF45DB">
        <w:t>La reducción de la carga que constituyen las lesiones infantiles exige estrategias y medidas dirigidas a disminuir los ahogamientos, las quemaduras y otros accidentes. Cabe mencionar al respecto la legislación y la aplicación de la ley; la modificación de productos y entornos; las visitas de apoyo a domicilio y la promoción de las características de seguridad; la educación, el desarrollo de aptitudes y el cambio de conducta; proyectos comunitarios; y la prestación de atención prehospitalaria y aguda, así como rehabilitación. La labor orientada a reducir el número de accidentes de tráfico ha de incluir normativa sobre el uso de cinturones de seguridad y otros dispositivos de seguridad, el acceso de los niños a un transporte seguro y la debida consideración de los niños en la planificación vial y el control del tráfico. Al respecto es fundamental contar con el apoyo de la industria conexa y los medios de comunicación.</w:t>
      </w:r>
    </w:p>
    <w:p w:rsidR="00A6279B" w:rsidRPr="00FF45DB" w:rsidRDefault="00A6279B" w:rsidP="00A6279B">
      <w:pPr>
        <w:pStyle w:val="SingleTxtG"/>
      </w:pPr>
      <w:r>
        <w:t>64.</w:t>
      </w:r>
      <w:r>
        <w:tab/>
      </w:r>
      <w:r w:rsidRPr="00FF45DB">
        <w:t>Reconociendo que la violencia es causa destacada de la mortalidad y la morbilidad de los niños, especialmente en la adolescencia, el Comité subraya la necesidad de crear un entorno que proteja al niño de la violencia y fomente su participación en los cambios de actitud y comportamiento en el hogar, en la escuela y en los espacios públicos; de apoyar a los padres y cuidadores para que practiquen una crianza saludable; y de poner en cuestión actitudes que perpetúen la tolerancia de la violencia en todas sus formas, así como su condonación, en particular regulando las descripciones de violencia que aparecen</w:t>
      </w:r>
      <w:r>
        <w:t xml:space="preserve"> en los medios de comunicación.</w:t>
      </w:r>
    </w:p>
    <w:p w:rsidR="00A6279B" w:rsidRPr="00FF45DB" w:rsidRDefault="00A6279B" w:rsidP="00A6279B">
      <w:pPr>
        <w:pStyle w:val="SingleTxtG"/>
      </w:pPr>
      <w:r>
        <w:t>65.</w:t>
      </w:r>
      <w:r>
        <w:tab/>
      </w:r>
      <w:r w:rsidRPr="00FF45DB">
        <w:t>Los Estados han de proteger a los niños de los disolventes, el alcohol, el tabaco y las sustancias ilícitas, reunir más pruebas pertinentes del consumo infantil de esas sustancias y adoptar medidas para reducirlo. Se recomienda reglamentar la publicidad y la venta de sustancias perjudiciales para la salud de los niños y la promoción de esos artículos en los lugares donde se reúnen los niños, así como en los medios de comunicación y las publicaciones a las que tienen acceso los niños.</w:t>
      </w:r>
    </w:p>
    <w:p w:rsidR="00A6279B" w:rsidRPr="00FF45DB" w:rsidRDefault="00A6279B" w:rsidP="00A6279B">
      <w:pPr>
        <w:pStyle w:val="SingleTxtG"/>
      </w:pPr>
      <w:r>
        <w:t>66.</w:t>
      </w:r>
      <w:r>
        <w:tab/>
      </w:r>
      <w:r w:rsidRPr="00FF45DB">
        <w:t>El Comité alienta a los Estados partes que todavía no lo hayan hecho a que ratifiquen las convenciones internacionales de fiscalización de drogas</w:t>
      </w:r>
      <w:r>
        <w:rPr>
          <w:rStyle w:val="FootnoteReference"/>
        </w:rPr>
        <w:footnoteReference w:id="18"/>
      </w:r>
      <w:r w:rsidRPr="00FF45DB">
        <w:t xml:space="preserve"> y el Convenio Marco de la OMS para el Control del Tabaco. El Comité subraya la importancia de adoptar un enfoque basado en derechos para hacer frente al consumo de sustancias y recomienda que, cuando proceda, se empleen estrategias de reducción del daño a fin de reducir al mínimo la repercusión negativa en la salud del uso indebido de sustancias.</w:t>
      </w:r>
    </w:p>
    <w:p w:rsidR="00A6279B" w:rsidRPr="00FF45DB" w:rsidRDefault="00A6279B" w:rsidP="00A6279B">
      <w:pPr>
        <w:pStyle w:val="H23G"/>
      </w:pPr>
      <w:r w:rsidRPr="00FF45DB">
        <w:tab/>
        <w:t>b)</w:t>
      </w:r>
      <w:r w:rsidRPr="00FF45DB">
        <w:tab/>
        <w:t>Orientación a los padres</w:t>
      </w:r>
    </w:p>
    <w:p w:rsidR="00A6279B" w:rsidRPr="00FF45DB" w:rsidRDefault="00A6279B" w:rsidP="00A6279B">
      <w:pPr>
        <w:pStyle w:val="SingleTxtG"/>
      </w:pPr>
      <w:r>
        <w:t>67.</w:t>
      </w:r>
      <w:r>
        <w:tab/>
      </w:r>
      <w:r w:rsidRPr="00FF45DB">
        <w:t>Los padres son la fuente más importante de diagnóstico y atención primaria precoces en el caso de los niños de corta edad, y el factor protector más importante contra las conductas de alto riesgo entre los adolescentes, como el consumo de sustancias y las relaciones sexuales de riesgo. También desempeñan una función central en la promoción del desarrollo del niño en condiciones sanas, la protección de los niños frente a las lesiones causadas por accidentes, lesiones y violencia, y la mitigación de los efectos negativos de las conductas de riesgo. Los procesos de socialización de los niños, que son esenciales para que entiendan el mundo en el que crecen y se adapten a él, se ven muy influidos por sus padres, la familia ampliada y otros cuidadores. Los Estados han de adoptar intervenciones con base empírica en pro del buen ejercicio de la paternidad, como educación en técnicas de paternidad, grupos de apoyo y asesoramiento familiar, en particular en el caso de las familias cuyos hijos sufren problemas de salud y p</w:t>
      </w:r>
      <w:r>
        <w:t>roblemas sociales de otro tipo.</w:t>
      </w:r>
    </w:p>
    <w:p w:rsidR="00A6279B" w:rsidRPr="00FF45DB" w:rsidRDefault="00A6279B" w:rsidP="00A6279B">
      <w:pPr>
        <w:pStyle w:val="SingleTxtG"/>
      </w:pPr>
      <w:r>
        <w:t>68.</w:t>
      </w:r>
      <w:r>
        <w:tab/>
      </w:r>
      <w:r w:rsidRPr="00FF45DB">
        <w:t>En vista de las repercusiones del castigo corporal en la salud infantil, en particular lesiones letales y no letales, además de las consecuencias psicológicas y emocionales, el Comité recuerda a los Estados su obligación de adoptar todas las medidas legislativas, administrativas, sociales y educativas apropiadas para eliminar el castigo corporal y otras formas crueles o degradantes de castigo en todos los entornos, incluido el hogar</w:t>
      </w:r>
      <w:r>
        <w:rPr>
          <w:rStyle w:val="FootnoteReference"/>
        </w:rPr>
        <w:footnoteReference w:id="19"/>
      </w:r>
      <w:r w:rsidRPr="00FF45DB">
        <w:t>.</w:t>
      </w:r>
    </w:p>
    <w:p w:rsidR="00A6279B" w:rsidRPr="00FF45DB" w:rsidRDefault="00A6279B" w:rsidP="00A6279B">
      <w:pPr>
        <w:pStyle w:val="H23G"/>
      </w:pPr>
      <w:r w:rsidRPr="00FF45DB">
        <w:tab/>
        <w:t>c)</w:t>
      </w:r>
      <w:r w:rsidRPr="00FF45DB">
        <w:tab/>
        <w:t>Planificación de la familia</w:t>
      </w:r>
    </w:p>
    <w:p w:rsidR="00A6279B" w:rsidRPr="00FF45DB" w:rsidRDefault="00A6279B" w:rsidP="00A6279B">
      <w:pPr>
        <w:pStyle w:val="SingleTxtG"/>
      </w:pPr>
      <w:r>
        <w:t>69.</w:t>
      </w:r>
      <w:r>
        <w:tab/>
      </w:r>
      <w:r w:rsidRPr="00FF45DB">
        <w:t>Los servicios de planificación familiar, que deben situarse en el marco general de los servicios de salud sexual y reproductiva, han de comprender la educación en materia de sexualidad, incluido el asesoramiento. Puede entenderse que forman parte de la serie ininterrumpida de servicios descritos en el artículo 24, párrafo 2 d), y que deben pensarse para que todas las parejas y personas adopten decisiones en materia de salud sexual y reproductiva en condiciones de libertad y responsabilidad, en particular por lo que se refiere al número de hijos que desean tener, los intervalos entre los partos y el momento adecuado para tenerlos, y para que dispongan de información y medios para ello. Debe prestarse atención a garantizar a las mujeres casadas y solteras y a los adolescentes varones el acceso confidencial y universal a los bienes y servicios. Los Estados deben velar por que no se prive a los adolescentes de ninguna información o servicios en materia de salud sexual y reproductiva como consecuencia de objeciones de conciencia de los proveedores.</w:t>
      </w:r>
    </w:p>
    <w:p w:rsidR="00A6279B" w:rsidRPr="00FF45DB" w:rsidRDefault="00A6279B" w:rsidP="00A6279B">
      <w:pPr>
        <w:pStyle w:val="SingleTxtG"/>
      </w:pPr>
      <w:r>
        <w:t>70.</w:t>
      </w:r>
      <w:r>
        <w:tab/>
      </w:r>
      <w:r w:rsidRPr="00FF45DB">
        <w:t xml:space="preserve">Los métodos anticonceptivos a corto plazo, como los preservativos, los métodos hormonales y los anticonceptivos de emergencia, deben estar a disposición inmediata de los adolescentes sexualmente activos. También deben facilitarse métodos anticonceptivos permanentes y a largo plazo. El Comité recomienda que los Estados garanticen el acceso al aborto en condiciones de seguridad y a servicios posteriores al aborto, independientemente </w:t>
      </w:r>
      <w:r>
        <w:t>de si el aborto es en sí legal.</w:t>
      </w:r>
    </w:p>
    <w:p w:rsidR="00A6279B" w:rsidRPr="00FF45DB" w:rsidRDefault="00A6279B" w:rsidP="00A6279B">
      <w:pPr>
        <w:pStyle w:val="HChG"/>
      </w:pPr>
      <w:bookmarkStart w:id="19" w:name="_Toc208909873"/>
      <w:r w:rsidRPr="00FF45DB">
        <w:tab/>
        <w:t>IV.</w:t>
      </w:r>
      <w:r w:rsidRPr="00FF45DB">
        <w:tab/>
        <w:t>Obligaciones</w:t>
      </w:r>
      <w:bookmarkEnd w:id="19"/>
      <w:r w:rsidRPr="00FF45DB">
        <w:t xml:space="preserve"> </w:t>
      </w:r>
      <w:bookmarkStart w:id="20" w:name="__RefHeading__26_503802003"/>
      <w:bookmarkEnd w:id="20"/>
      <w:r w:rsidRPr="00FF45DB">
        <w:t>y responsabilidades</w:t>
      </w:r>
    </w:p>
    <w:p w:rsidR="00A6279B" w:rsidRPr="00FF45DB" w:rsidRDefault="00A6279B" w:rsidP="00A6279B">
      <w:pPr>
        <w:pStyle w:val="H1G"/>
      </w:pPr>
      <w:bookmarkStart w:id="21" w:name="__RefHeading__28_503802003"/>
      <w:bookmarkStart w:id="22" w:name="_Toc208909874"/>
      <w:bookmarkEnd w:id="21"/>
      <w:r w:rsidRPr="00FF45DB">
        <w:tab/>
        <w:t>A.</w:t>
      </w:r>
      <w:r w:rsidRPr="00FF45DB">
        <w:tab/>
        <w:t>Obligaciones de los Estados partes de respetar, proteger y hacer efectivo el derecho</w:t>
      </w:r>
      <w:bookmarkEnd w:id="22"/>
    </w:p>
    <w:p w:rsidR="00A6279B" w:rsidRPr="00FF45DB" w:rsidRDefault="00A6279B" w:rsidP="00A6279B">
      <w:pPr>
        <w:pStyle w:val="SingleTxtG"/>
      </w:pPr>
      <w:r>
        <w:t>71.</w:t>
      </w:r>
      <w:r>
        <w:tab/>
      </w:r>
      <w:r w:rsidRPr="00FF45DB">
        <w:t>Los Estados tienen tres tipos de obligación con respecto a los derechos humanos, incluido el derecho del niño a la salud: respetar las libertades y derechos, proteger esas libertades y derechos de terceros o de amenazas sociales o ambientales y hacer efectivos los derechos mediante facilitación o concesión directa. De conformidad con el artículo 4 de la Convención, los Estados partes harán efectivo el derecho del niño a la salud al máximo de los recursos de que dispongan y, cuando sea necesario, en el marco de la cooperación internacional.</w:t>
      </w:r>
      <w:bookmarkStart w:id="23" w:name="__RefHeading__30_503802003"/>
      <w:bookmarkEnd w:id="23"/>
    </w:p>
    <w:p w:rsidR="00A6279B" w:rsidRPr="00FF45DB" w:rsidRDefault="00A6279B" w:rsidP="00A6279B">
      <w:pPr>
        <w:pStyle w:val="SingleTxtG"/>
      </w:pPr>
      <w:r>
        <w:t>72.</w:t>
      </w:r>
      <w:r>
        <w:tab/>
      </w:r>
      <w:r w:rsidRPr="00FF45DB">
        <w:t>Todos los Estados, con independencia de su nivel de desarrollo, deben adoptar de inmediato medidas para cumplir estas obligaciones con carácter prioritario y sin imponer discriminación alguna. Cuando pueda demostrarse que los recursos disponibles son insuficientes, los Estados deberán adoptar medidas selectivas para proceder lo más expedita y eficazmente posible en pro de la plena realización del derecho del niño a la salud. Independientemente de los recursos disponibles, los Estados tienen la obligación de no adoptar medidas retrógradas que puedan entorpecer el disfrute por el</w:t>
      </w:r>
      <w:r>
        <w:t xml:space="preserve"> niño de su derecho a la salud.</w:t>
      </w:r>
    </w:p>
    <w:p w:rsidR="00A6279B" w:rsidRPr="00FF45DB" w:rsidRDefault="00A6279B" w:rsidP="00A6279B">
      <w:pPr>
        <w:pStyle w:val="SingleTxtG"/>
      </w:pPr>
      <w:r>
        <w:t>73.</w:t>
      </w:r>
      <w:r>
        <w:tab/>
      </w:r>
      <w:r w:rsidRPr="00FF45DB">
        <w:t>Las obligaciones centrales, de conformidad con el derecho del niño a la salud, son:</w:t>
      </w:r>
    </w:p>
    <w:p w:rsidR="00A6279B" w:rsidRPr="00FF45DB" w:rsidRDefault="00A6279B" w:rsidP="00A6279B">
      <w:pPr>
        <w:pStyle w:val="SingleTxtG"/>
      </w:pPr>
      <w:r>
        <w:tab/>
        <w:t>a)</w:t>
      </w:r>
      <w:r>
        <w:tab/>
      </w:r>
      <w:r w:rsidRPr="00FF45DB">
        <w:t xml:space="preserve">Revisar el entorno jurídico y normativo nacional y subnacional y, cuando proceda, enmendar las leyes y políticas; </w:t>
      </w:r>
    </w:p>
    <w:p w:rsidR="00A6279B" w:rsidRPr="00FF45DB" w:rsidRDefault="00A6279B" w:rsidP="00A6279B">
      <w:pPr>
        <w:pStyle w:val="SingleTxtG"/>
      </w:pPr>
      <w:r>
        <w:tab/>
        <w:t>b)</w:t>
      </w:r>
      <w:r>
        <w:tab/>
      </w:r>
      <w:r w:rsidRPr="00FF45DB">
        <w:t>Garantizar la cobertura universal de servicios de calidad de atención primaria de salud, en particular en la esfera de la prevención, la promoción de la salud, los servicios de atención y tratamiento y los medicamentos básicos;</w:t>
      </w:r>
    </w:p>
    <w:p w:rsidR="00A6279B" w:rsidRPr="00FF45DB" w:rsidRDefault="00A6279B" w:rsidP="00A6279B">
      <w:pPr>
        <w:pStyle w:val="SingleTxtG"/>
      </w:pPr>
      <w:r>
        <w:tab/>
        <w:t>c)</w:t>
      </w:r>
      <w:r>
        <w:tab/>
      </w:r>
      <w:r w:rsidRPr="00FF45DB">
        <w:t xml:space="preserve">Dar respuesta adecuada a los factores subyacentes que determinan la salud del niño; y </w:t>
      </w:r>
    </w:p>
    <w:p w:rsidR="00A6279B" w:rsidRPr="00FF45DB" w:rsidRDefault="00A6279B" w:rsidP="00A6279B">
      <w:pPr>
        <w:pStyle w:val="SingleTxtG"/>
      </w:pPr>
      <w:r>
        <w:tab/>
        <w:t>d)</w:t>
      </w:r>
      <w:r>
        <w:tab/>
      </w:r>
      <w:r w:rsidRPr="00FF45DB">
        <w:t>Elaborar, ejecutar, supervisar y evaluar políticas y planes de acción presupuestados que conformen un enfoque basado en los derechos humanos para hacer efectivo el derecho del niño a la salud.</w:t>
      </w:r>
    </w:p>
    <w:p w:rsidR="00A6279B" w:rsidRPr="00FF45DB" w:rsidRDefault="00A6279B" w:rsidP="00A6279B">
      <w:pPr>
        <w:pStyle w:val="SingleTxtG"/>
      </w:pPr>
      <w:r>
        <w:t>74.</w:t>
      </w:r>
      <w:r>
        <w:tab/>
      </w:r>
      <w:r w:rsidRPr="00FF45DB">
        <w:t>Los Estados deben demostrar su voluntad de cumplimiento progresivo de todas las obligaciones previstas en el artículo 24, dándoles prioridad incluso en el contexto de situaciones de crisis económica o emergencia. Para ello es preciso planificar, diseñar, financiar y aplicar de forma sostenible la salud del niño y las políticas, programas y servicios conexos.</w:t>
      </w:r>
    </w:p>
    <w:p w:rsidR="00A6279B" w:rsidRPr="00FF45DB" w:rsidRDefault="00A6279B" w:rsidP="00A6279B">
      <w:pPr>
        <w:pStyle w:val="H1G"/>
      </w:pPr>
      <w:r w:rsidRPr="00FF45DB">
        <w:tab/>
        <w:t>B.</w:t>
      </w:r>
      <w:r w:rsidRPr="00FF45DB">
        <w:tab/>
        <w:t>Responsabilidades de los agentes no estatales</w:t>
      </w:r>
    </w:p>
    <w:p w:rsidR="00A6279B" w:rsidRPr="00FF45DB" w:rsidRDefault="00A6279B" w:rsidP="00A6279B">
      <w:pPr>
        <w:pStyle w:val="SingleTxtG"/>
      </w:pPr>
      <w:r>
        <w:t>75.</w:t>
      </w:r>
      <w:r>
        <w:tab/>
      </w:r>
      <w:r w:rsidRPr="00FF45DB">
        <w:t>El Estado es responsable de la realización del derecho del niño a la salud, independientemente de si delega la prestación de servicios en agentes no estatales. Aparte del Estado, una amplia gama de agentes no estatales que ofrecen información y servicios en relación con la salud infantil y los factores subyacentes que la determinan tienen responsabilidades concretas y ejercen influencia al respecto.</w:t>
      </w:r>
    </w:p>
    <w:p w:rsidR="00A6279B" w:rsidRPr="00FF45DB" w:rsidRDefault="00A6279B" w:rsidP="00A6279B">
      <w:pPr>
        <w:pStyle w:val="SingleTxtG"/>
      </w:pPr>
      <w:r>
        <w:t>76.</w:t>
      </w:r>
      <w:r>
        <w:tab/>
      </w:r>
      <w:r w:rsidRPr="00FF45DB">
        <w:t>Entre las obligaciones de los Estados cabe mencionar el deber de promover el conocimiento por los agentes no estatales de sus responsabilidades y velar por que todos ellos reconozcan, respeten y hagan efectivas sus responsabilidades ante el niño, aplicando, cuando sea necesario, procedimientos de dilig</w:t>
      </w:r>
      <w:r>
        <w:t>encia debida.</w:t>
      </w:r>
    </w:p>
    <w:p w:rsidR="00A6279B" w:rsidRPr="00FF45DB" w:rsidRDefault="00A6279B" w:rsidP="00A6279B">
      <w:pPr>
        <w:pStyle w:val="SingleTxtG"/>
      </w:pPr>
      <w:r>
        <w:t>77.</w:t>
      </w:r>
      <w:r>
        <w:tab/>
      </w:r>
      <w:r w:rsidRPr="00FF45DB">
        <w:t>El Comité exhorta a todos los agentes no estatales dedicados a la promoción de la salud y la prestación de servicios sanitarios, especialmente los del sector privado, entre ellos la industria farmacéutica y de la tecnología sanitaria, los medios de comunicación y los proveedores de servicios sanitarios, a que actúen respetando lo dispuesto en la Convención y velen por que también lo respete todo asociado que preste servicios en su nombre. Esos asociados constan de organizaciones internacionales, bancos, instituciones financieras regionales, alianzas mundiales, el sector privado (fundaciones y fondos privados), donantes y cualquier otra entidad que aporte servicios o apoyo financiero en aras de la salud del niño, particularmente en situaciones de emergencia humanitaria o en situac</w:t>
      </w:r>
      <w:r>
        <w:t>iones políticamente inestables.</w:t>
      </w:r>
    </w:p>
    <w:p w:rsidR="00A6279B" w:rsidRPr="00FF45DB" w:rsidRDefault="00A6279B" w:rsidP="00A6279B">
      <w:pPr>
        <w:pStyle w:val="H23G"/>
      </w:pPr>
      <w:r w:rsidRPr="00FF45DB">
        <w:tab/>
        <w:t>1.</w:t>
      </w:r>
      <w:r w:rsidRPr="00FF45DB">
        <w:tab/>
        <w:t>Responsabilidades de los padres y otros cuidadores</w:t>
      </w:r>
    </w:p>
    <w:p w:rsidR="00A6279B" w:rsidRPr="00FF45DB" w:rsidRDefault="00A6279B" w:rsidP="00A6279B">
      <w:pPr>
        <w:pStyle w:val="SingleTxtG"/>
      </w:pPr>
      <w:r>
        <w:t>78.</w:t>
      </w:r>
      <w:r>
        <w:tab/>
      </w:r>
      <w:r w:rsidRPr="00FF45DB">
        <w:t>Las responsabilidades de los padres y otros cuidadores se mencionan expresamente en varias disposiciones de la Convención. Los padres deben cumplir sus responsabilidades actuando siempre en el interés superior del niño, de ser preciso con apoyo del Estado. Teniendo en cuenta la capacidad en desarrollo del niño, los padres y cuidadores deben cuidar y proteger al niño y ayudarlo a crecer y desarrollarse de manera saludable. Aunque en el artículo 24, párrafo 2 f), no se alude expresamente a cuidadores distintos de los padres, el Comité entiende que toda mención de los padres también se refiere a ellos.</w:t>
      </w:r>
    </w:p>
    <w:p w:rsidR="00A6279B" w:rsidRPr="00FF45DB" w:rsidRDefault="00A6279B" w:rsidP="00A6279B">
      <w:pPr>
        <w:pStyle w:val="H23G"/>
      </w:pPr>
      <w:r w:rsidRPr="00FF45DB">
        <w:tab/>
        <w:t>2.</w:t>
      </w:r>
      <w:r w:rsidRPr="00FF45DB">
        <w:tab/>
        <w:t>Proveedores de servicios no estatales y otros agentes no estatales</w:t>
      </w:r>
    </w:p>
    <w:p w:rsidR="00A6279B" w:rsidRPr="00FF45DB" w:rsidRDefault="00A6279B" w:rsidP="00A6279B">
      <w:pPr>
        <w:pStyle w:val="H23G"/>
      </w:pPr>
      <w:r w:rsidRPr="00FF45DB">
        <w:tab/>
        <w:t>a)</w:t>
      </w:r>
      <w:r w:rsidRPr="00FF45DB">
        <w:tab/>
        <w:t>Proveedores de servicios no estatales</w:t>
      </w:r>
    </w:p>
    <w:p w:rsidR="00A6279B" w:rsidRPr="00FF45DB" w:rsidRDefault="00A6279B" w:rsidP="00A6279B">
      <w:pPr>
        <w:pStyle w:val="SingleTxtG"/>
      </w:pPr>
      <w:r>
        <w:t>79.</w:t>
      </w:r>
      <w:r>
        <w:tab/>
      </w:r>
      <w:r w:rsidRPr="00FF45DB">
        <w:t>Todos los proveedores de servicios sanitarios, incluidos los agentes no estatales, deben incorporar y aplicar en el diseño, la prestación y la evaluación de sus programas y servicios todas las disposiciones pertinentes de la Convención, así como los criterios de disponibilidad, accesibilidad, aceptabilidad y calidad descritos en el capítulo VI, sección E, de la presente observación general.</w:t>
      </w:r>
    </w:p>
    <w:p w:rsidR="00A6279B" w:rsidRPr="00FF45DB" w:rsidRDefault="00A6279B" w:rsidP="00A6279B">
      <w:pPr>
        <w:pStyle w:val="H23G"/>
      </w:pPr>
      <w:r w:rsidRPr="00FF45DB">
        <w:tab/>
        <w:t>b)</w:t>
      </w:r>
      <w:r w:rsidRPr="00FF45DB">
        <w:tab/>
        <w:t xml:space="preserve">Sector privado </w:t>
      </w:r>
    </w:p>
    <w:p w:rsidR="00A6279B" w:rsidRPr="00FF45DB" w:rsidRDefault="00A6279B" w:rsidP="00A6279B">
      <w:pPr>
        <w:pStyle w:val="SingleTxtG"/>
      </w:pPr>
      <w:r>
        <w:t>80.</w:t>
      </w:r>
      <w:r>
        <w:tab/>
      </w:r>
      <w:r w:rsidRPr="00FF45DB">
        <w:t>Todas las empresas comerciales tienen la obligación de ejercer la diligencia debida en el ámbito de los derechos humanos, incluidos todos los derechos consagrados en la Convención. Los Estados deben imponer a las empresas la obligación de ejercer la diligencia debida en relación con los derechos del niño. Con ello, las empresas comerciales determinarán, prevendrán y mitigarán sus efectos negativos en el derecho del niño a la salud, en particular en el marco de sus relaciones comerciales y de todo tipo de operación de alcance mundial. Se debe alentar y, cuando proceda, obligar a las grandes empresas comerciales a que pongan en conocimiento del público su labor encaminada a abordar sus repercusiones en los derechos del niño.</w:t>
      </w:r>
    </w:p>
    <w:p w:rsidR="00A6279B" w:rsidRPr="00FF45DB" w:rsidRDefault="00A6279B" w:rsidP="00A6279B">
      <w:pPr>
        <w:pStyle w:val="SingleTxtG"/>
      </w:pPr>
      <w:r>
        <w:t>81.</w:t>
      </w:r>
      <w:r>
        <w:tab/>
      </w:r>
      <w:r w:rsidRPr="00FF45DB">
        <w:t>Entre otras responsabilidades y en todos los contextos, las empresas privadas deberán abstenerse de contratar niños en trabajos peligrosos, velando por que se respete la edad mínima para el trabajo infantil; cumplir el Código Internacional para la Comercialización de Sucedáneos de la Leche Materna y las subsiguientes resoluciones pertinentes de la Asamblea Mundial de la Salud; limitar la publicidad de los alimentos energéticos con bajo contenido en micronutrientes y de las bebidas con alto contenido en cafeína u otras sustancias de posibles efectos nocivos para el niño; y abstenerse de anunciar, comercializar y vender a los niños tabaco, alcohol y otras sustancias tóxicas o de h</w:t>
      </w:r>
      <w:r>
        <w:t>acer uso de imágenes de niños.</w:t>
      </w:r>
    </w:p>
    <w:p w:rsidR="00A6279B" w:rsidRPr="00FF45DB" w:rsidRDefault="00A6279B" w:rsidP="00A6279B">
      <w:pPr>
        <w:pStyle w:val="SingleTxtG"/>
      </w:pPr>
      <w:r>
        <w:t>82.</w:t>
      </w:r>
      <w:r>
        <w:tab/>
      </w:r>
      <w:r w:rsidRPr="00FF45DB">
        <w:t>El Comité reconoce el profundo efecto del sector farmacéutico en la salud de los niños y exhorta a las empresas farmacéuticas a que adopten medidas encaminadas a aumentar el acceso de los niños a los medicamentos prestando especial atención a las Directrices sobre derechos humanos para las empresas farmacéuticas en relación con el acceso a los medicamentos</w:t>
      </w:r>
      <w:r>
        <w:rPr>
          <w:rStyle w:val="FootnoteReference"/>
        </w:rPr>
        <w:footnoteReference w:id="20"/>
      </w:r>
      <w:r w:rsidRPr="00FF45DB">
        <w:t>. A la vez, los Estados deben velar por que las empresas farmacéuticas vigilen el uso y se abstengan de promover la receta y el uso excesivos de medicamentos por lo que se refiere a los niños. Los derechos de propiedad intelectual no deben ejercerse de manera que la población pobre no pueda permitirse la adquisición de medicamentos o bienes necesarios.</w:t>
      </w:r>
    </w:p>
    <w:p w:rsidR="00A6279B" w:rsidRPr="00FF45DB" w:rsidRDefault="00A6279B" w:rsidP="00A6279B">
      <w:pPr>
        <w:pStyle w:val="SingleTxtG"/>
      </w:pPr>
      <w:r>
        <w:t>83.</w:t>
      </w:r>
      <w:r>
        <w:tab/>
      </w:r>
      <w:r w:rsidRPr="00FF45DB">
        <w:t>Las empresas privadas de seguros sanitarios deben velar por no discriminar a las embarazadas, los niños o las madres por motivos que estén prohibidos y por promover la igualdad mediante alianzas con planes estatales de seguro médico basados en el principio de solidaridad, garantizando que la incapacidad de pago no restr</w:t>
      </w:r>
      <w:r>
        <w:t>inge el acceso a los servicios.</w:t>
      </w:r>
    </w:p>
    <w:p w:rsidR="00A6279B" w:rsidRPr="00FF45DB" w:rsidRDefault="00A6279B" w:rsidP="00A6279B">
      <w:pPr>
        <w:pStyle w:val="H23G"/>
      </w:pPr>
      <w:r w:rsidRPr="00FF45DB">
        <w:tab/>
        <w:t>c)</w:t>
      </w:r>
      <w:r w:rsidRPr="00FF45DB">
        <w:tab/>
        <w:t>Medios de comunicación y medios sociales</w:t>
      </w:r>
    </w:p>
    <w:p w:rsidR="00A6279B" w:rsidRPr="00FF45DB" w:rsidRDefault="00A6279B" w:rsidP="00A6279B">
      <w:pPr>
        <w:pStyle w:val="SingleTxtG"/>
      </w:pPr>
      <w:r>
        <w:t>84.</w:t>
      </w:r>
      <w:r>
        <w:tab/>
      </w:r>
      <w:r w:rsidRPr="00FF45DB">
        <w:t>En el artículo 17 de la Convención se exponen las responsabilidades de los medios de comunicación, que en el ámbito de la salud pueden ampliarse para dar cabida a acciones como promover la salud y los estilos de vida saludables en la infancia; ofrecer espacios de publicidad gratuitos para la promoción de la salud; velar por la privacidad y confidencialidad de los niños y adolescentes; promover el acceso a la información; no producir programas de comunicación ni materiales que perjudiquen al niño y a la salud en general; y no perpetuar los estigmas relacionados con la salud.</w:t>
      </w:r>
    </w:p>
    <w:p w:rsidR="00A6279B" w:rsidRPr="00FF45DB" w:rsidRDefault="00A6279B" w:rsidP="00A6279B">
      <w:pPr>
        <w:pStyle w:val="H23G"/>
      </w:pPr>
      <w:r w:rsidRPr="00FF45DB">
        <w:tab/>
        <w:t>d)</w:t>
      </w:r>
      <w:r w:rsidRPr="00FF45DB">
        <w:tab/>
        <w:t>Investigadores</w:t>
      </w:r>
    </w:p>
    <w:p w:rsidR="00A6279B" w:rsidRPr="00FF45DB" w:rsidRDefault="00A6279B" w:rsidP="00A6279B">
      <w:pPr>
        <w:pStyle w:val="SingleTxtG"/>
      </w:pPr>
      <w:r>
        <w:t>85.</w:t>
      </w:r>
      <w:r>
        <w:tab/>
      </w:r>
      <w:r w:rsidRPr="00FF45DB">
        <w:t>El Comité subraya la responsabilidad de las entidades dedicadas a investigaciones relacionadas con los niños, con inclusión de académicos, empresas privadas y otras instancias, a efectos de respetar los principios y disposiciones de la Convención y las Pautas Éticas Internacionales para la Investigación Biomédica en Seres Humanos</w:t>
      </w:r>
      <w:r w:rsidRPr="004218E1">
        <w:rPr>
          <w:rStyle w:val="FootnoteReference"/>
        </w:rPr>
        <w:footnoteReference w:id="21"/>
      </w:r>
      <w:r w:rsidRPr="00FF45DB">
        <w:t>. El Comité recuerda a los investigadores que el interés superior del niño siempre prevalecerá sobre el interés de la sociedad en general o el adelanto científico.</w:t>
      </w:r>
      <w:bookmarkStart w:id="24" w:name="__RefHeading__32_503802003"/>
      <w:bookmarkStart w:id="25" w:name="__RefHeading__40_503802003"/>
      <w:bookmarkEnd w:id="24"/>
      <w:bookmarkEnd w:id="25"/>
    </w:p>
    <w:p w:rsidR="00A6279B" w:rsidRPr="00FF45DB" w:rsidRDefault="00A6279B" w:rsidP="00A6279B">
      <w:pPr>
        <w:pStyle w:val="HChG"/>
      </w:pPr>
      <w:r>
        <w:tab/>
        <w:t>V.</w:t>
      </w:r>
      <w:r>
        <w:tab/>
        <w:t>Cooperación internacional</w:t>
      </w:r>
    </w:p>
    <w:p w:rsidR="00A6279B" w:rsidRPr="00FF45DB" w:rsidRDefault="00A6279B" w:rsidP="00A6279B">
      <w:pPr>
        <w:pStyle w:val="SingleTxtG"/>
      </w:pPr>
      <w:r>
        <w:t>86.</w:t>
      </w:r>
      <w:r>
        <w:tab/>
      </w:r>
      <w:r w:rsidRPr="00FF45DB">
        <w:t xml:space="preserve">Los Estados partes en la Convención tienen la obligación no solo de hacer efectivo en su jurisdicción el derecho del niño a la salud, sino también de contribuir al logro de ese objetivo a nivel mundial mediante la cooperación internacional. El artículo 24, párrafo 4, exige a los Estados y a los organismos interestatales que presten atención especial a las prioridades en materia de salud infantil en los segmentos más pobres de la población </w:t>
      </w:r>
      <w:r>
        <w:t>y en los Estados en desarrollo.</w:t>
      </w:r>
    </w:p>
    <w:p w:rsidR="00A6279B" w:rsidRPr="00FF45DB" w:rsidRDefault="00A6279B" w:rsidP="00A6279B">
      <w:pPr>
        <w:pStyle w:val="SingleTxtG"/>
      </w:pPr>
      <w:r>
        <w:t>87.</w:t>
      </w:r>
      <w:r>
        <w:tab/>
      </w:r>
      <w:r w:rsidRPr="00FF45DB">
        <w:t>Todas las actividades internacionales y los programas de Estados donantes y receptores relacionados de forma directa o indirecta con la salud del niño se regirán por la Convención, que exige a los Estados asociados determinar los principales problemas de salud que afectan a los niños, las embarazadas y las madres en los países receptores y abordarlos de conformidad con las prioridades y principios establecidos en el artículo 24. La cooperación internacional debe dar apoyo a los sistemas y planes nacionales de salud dirigidos por Estados.</w:t>
      </w:r>
    </w:p>
    <w:p w:rsidR="00A6279B" w:rsidRPr="00FF45DB" w:rsidRDefault="00A6279B" w:rsidP="00A6279B">
      <w:pPr>
        <w:pStyle w:val="SingleTxtG"/>
      </w:pPr>
      <w:r>
        <w:t>88.</w:t>
      </w:r>
      <w:r>
        <w:tab/>
      </w:r>
      <w:r w:rsidRPr="00FF45DB">
        <w:t>Los Estados tienen la responsabilidad individual y colectiva de cooperar a fin de proporcionar socorro en casos de desastre y asistencia humanitaria en momentos de emergencia, en particular por conducto de mecanismos de las Naciones Unidas. En estos casos, los Estados deben plantearse la posibilidad de dar prioridad a la labor orientada a la realización del derecho del niño a la salud, en particular mediante ayuda médica internacional apropiada; la distribución y gestión de recursos como el agua potable y salubre, los alimentos y los suministros médicos; y ayuda financiera a los niño</w:t>
      </w:r>
      <w:r>
        <w:t>s más vulnerables o marginados.</w:t>
      </w:r>
    </w:p>
    <w:p w:rsidR="00A6279B" w:rsidRPr="00FF45DB" w:rsidRDefault="00A6279B" w:rsidP="00A6279B">
      <w:pPr>
        <w:pStyle w:val="SingleTxtG"/>
      </w:pPr>
      <w:r>
        <w:t>89.</w:t>
      </w:r>
      <w:r>
        <w:tab/>
      </w:r>
      <w:r w:rsidRPr="00FF45DB">
        <w:t>El Comité recuerda a los Estados que deben cumplir la meta de destinar el 0,7% de su ingreso nacional bruto a la asistencia internacional para el desarrollo, pues, en los Estados con recursos escasos, los recursos financieros tienen consecuencias importantes para la realización del derecho del niño a la salud. Para garantizar la máxima repercusión posible, se insta a los Estados y los organismos interestatales a que apliquen los Principios de París sobre la eficacia de la ayuda y los principios del Programa de Acción de</w:t>
      </w:r>
      <w:r>
        <w:t xml:space="preserve"> Accra.</w:t>
      </w:r>
    </w:p>
    <w:p w:rsidR="00A6279B" w:rsidRPr="00FF45DB" w:rsidRDefault="00A6279B" w:rsidP="00A6279B">
      <w:pPr>
        <w:pStyle w:val="HChG"/>
      </w:pPr>
      <w:bookmarkStart w:id="26" w:name="_Toc208909889"/>
      <w:r w:rsidRPr="00FF45DB">
        <w:tab/>
        <w:t>VI.</w:t>
      </w:r>
      <w:r w:rsidRPr="00FF45DB">
        <w:tab/>
        <w:t xml:space="preserve">Marco de aplicación y rendición de </w:t>
      </w:r>
      <w:bookmarkEnd w:id="26"/>
      <w:r w:rsidRPr="00FF45DB">
        <w:t>cuentas</w:t>
      </w:r>
    </w:p>
    <w:p w:rsidR="00A6279B" w:rsidRPr="00FF45DB" w:rsidRDefault="00A6279B" w:rsidP="00A6279B">
      <w:pPr>
        <w:pStyle w:val="SingleTxtG"/>
      </w:pPr>
      <w:r>
        <w:t>90.</w:t>
      </w:r>
      <w:r>
        <w:tab/>
      </w:r>
      <w:r w:rsidRPr="00FF45DB">
        <w:t>La rendición de cuentas ocupa un lugar central en el disfrute por el niño de su derecho a la salud. El Comité recuerda a los Estados partes su obligación de velar por que las autoridades gubernamentales competentes y los proveedores de servicios pertinentes rindan cuentas del mantenimiento de las normas más rigurosas posibles en relación con la salud del niño y la atención sanitaria que se le dis</w:t>
      </w:r>
      <w:r>
        <w:t>pensa hasta que cumple 18 años.</w:t>
      </w:r>
    </w:p>
    <w:p w:rsidR="00A6279B" w:rsidRPr="00FF45DB" w:rsidRDefault="00A6279B" w:rsidP="00A6279B">
      <w:pPr>
        <w:pStyle w:val="SingleTxtG"/>
      </w:pPr>
      <w:r>
        <w:t>91.</w:t>
      </w:r>
      <w:r>
        <w:tab/>
      </w:r>
      <w:r w:rsidRPr="00FF45DB">
        <w:t>Los Estados han de ofrecer un entorno que facilite a todas las instancias protectoras el cumplimiento de sus obligaciones y responsabilidades en relación con el derecho del niño a la salud y un marco reglamentario dentro del cual todos los agentes deban operar y puedan ser objeto de seguimiento, en particular movilizando apoyo político y financiero para las cuestiones relacionadas con la salud del niño y fomentando la capacidad de las instancias protectoras de cumplimiento de sus obligaciones y la capacidad de los niños de reivindicación de su derecho a la salud.</w:t>
      </w:r>
    </w:p>
    <w:p w:rsidR="00A6279B" w:rsidRPr="00FF45DB" w:rsidRDefault="00A6279B" w:rsidP="00A6279B">
      <w:pPr>
        <w:pStyle w:val="SingleTxtG"/>
      </w:pPr>
      <w:r>
        <w:t>92.</w:t>
      </w:r>
      <w:r>
        <w:tab/>
      </w:r>
      <w:r w:rsidRPr="00FF45DB">
        <w:t>Con la participación activa del gobierno, el parlamento, las comunidades, la sociedad civil y los niños, los mecanismos nacionales de rendición de cuentas deben ser eficaces y transparentes y encaminarse a conseguir que todos los agentes sean responsables de sus actos. También deben, entre otras cosas, prestar atención a los factores estructurales que afectan a la salud del niño, como las leyes, políticas y presupuestos. El seguimiento participativo de los recursos financieros y de su impacto en la salud infantil es esencial para los mecanismos estatales de rendición de cuentas.</w:t>
      </w:r>
    </w:p>
    <w:p w:rsidR="00A6279B" w:rsidRPr="00FF45DB" w:rsidRDefault="00A6279B" w:rsidP="00A6279B">
      <w:pPr>
        <w:pStyle w:val="H1G"/>
      </w:pPr>
      <w:bookmarkStart w:id="27" w:name="__RefHeading__50_503802003"/>
      <w:bookmarkStart w:id="28" w:name="_Toc208909890"/>
      <w:bookmarkEnd w:id="27"/>
      <w:r w:rsidRPr="00FF45DB">
        <w:tab/>
        <w:t>A.</w:t>
      </w:r>
      <w:r w:rsidRPr="00FF45DB">
        <w:tab/>
        <w:t xml:space="preserve">Promoción del conocimiento del </w:t>
      </w:r>
      <w:bookmarkEnd w:id="28"/>
      <w:r w:rsidRPr="00FF45DB">
        <w:t>derecho del niño a la salud (art</w:t>
      </w:r>
      <w:r>
        <w:t>ículo </w:t>
      </w:r>
      <w:r w:rsidRPr="00FF45DB">
        <w:t>42)</w:t>
      </w:r>
    </w:p>
    <w:p w:rsidR="00A6279B" w:rsidRPr="00FF45DB" w:rsidRDefault="00A6279B" w:rsidP="00A6279B">
      <w:pPr>
        <w:pStyle w:val="SingleTxtG"/>
      </w:pPr>
      <w:r>
        <w:t>93.</w:t>
      </w:r>
      <w:r>
        <w:tab/>
      </w:r>
      <w:r w:rsidRPr="00FF45DB">
        <w:t>El Comité alienta a los Estados a que adopten y apliquen una estrategia amplia de educación de los niños, sus cuidadores, los responsables de formular políticas, los políticos y los profesionales que se ocupan de los niños con respecto al derecho del niño a la salud y la manera en que pueden contribuir a su realización.</w:t>
      </w:r>
    </w:p>
    <w:p w:rsidR="00A6279B" w:rsidRPr="00FF45DB" w:rsidRDefault="00A6279B" w:rsidP="00A6279B">
      <w:pPr>
        <w:pStyle w:val="H1G"/>
      </w:pPr>
      <w:r w:rsidRPr="00FF45DB">
        <w:tab/>
        <w:t>B.</w:t>
      </w:r>
      <w:r w:rsidRPr="00FF45DB">
        <w:tab/>
        <w:t>Medidas legislativas</w:t>
      </w:r>
    </w:p>
    <w:p w:rsidR="00A6279B" w:rsidRPr="00FF45DB" w:rsidRDefault="00A6279B" w:rsidP="00A6279B">
      <w:pPr>
        <w:pStyle w:val="SingleTxtG"/>
      </w:pPr>
      <w:r>
        <w:t>94.</w:t>
      </w:r>
      <w:r>
        <w:tab/>
      </w:r>
      <w:r w:rsidRPr="00FF45DB">
        <w:t>La Convención exige que los Estados partes adopten todas las medidas legislativas, administrativas y de otro tipo apropiadas para que el niño pueda ejercer sin discriminación su derecho a la salud. Las leyes nacionales deben imponer al Estado la obligación reglamentaria de aportar los servicios, programas, recursos humanos e infraestructura necesarios para realizar el derecho del niño a la salud y otorgar, también por ley, el derecho a servicios esenciales en materia de salud y servicios conexos, de calidad y siempre en función de las necesidades del niño, para embarazadas y niños, independientemente de su capacidad de pago. Deben revisarse las leyes para determinar todo posible efecto discriminatorio o impedimento a la realización del derecho del niño a la salud y, cuando proceda, derogarlo. De ser necesario, los organismos y donantes internacionales han de aportar ayuda para el desarrollo y asistencia técnica para esas reformas jurídicas.</w:t>
      </w:r>
    </w:p>
    <w:p w:rsidR="00A6279B" w:rsidRPr="00FF45DB" w:rsidRDefault="00A6279B" w:rsidP="00A6279B">
      <w:pPr>
        <w:pStyle w:val="SingleTxtG"/>
      </w:pPr>
      <w:r>
        <w:t>95.</w:t>
      </w:r>
      <w:r>
        <w:tab/>
      </w:r>
      <w:r w:rsidRPr="00FF45DB">
        <w:t>La legislación debe cumplir otras funciones diversas en la realización del derecho del niño a la salud definiendo el alcance del derecho y reconociendo a los niños como titulares de derechos; aclarando las funciones y responsabilidades de todas las instancias protectoras; especificando qué servicios tienen derecho a exigir los niños, las embarazadas y las madres; y regulando los servicios y medicamentos para asegurar que sean de calidad y no resulten perjudiciales. Los Estados deben velar por la existencia de salvaguardas legislativas y de otro tipo para proteger y promover la labor de los defensores de los derechos humanos que se ocupan del derecho del niño a la salud.</w:t>
      </w:r>
    </w:p>
    <w:p w:rsidR="00A6279B" w:rsidRPr="00FF45DB" w:rsidRDefault="00A6279B" w:rsidP="00A6279B">
      <w:pPr>
        <w:pStyle w:val="H1G"/>
      </w:pPr>
      <w:bookmarkStart w:id="29" w:name="__RefHeading__52_503802003"/>
      <w:bookmarkStart w:id="30" w:name="_Toc208909891"/>
      <w:bookmarkEnd w:id="29"/>
      <w:r w:rsidRPr="00FF45DB">
        <w:tab/>
        <w:t>C.</w:t>
      </w:r>
      <w:r w:rsidRPr="00FF45DB">
        <w:tab/>
        <w:t>Gobernanza y coordinación</w:t>
      </w:r>
      <w:bookmarkEnd w:id="30"/>
    </w:p>
    <w:p w:rsidR="00A6279B" w:rsidRPr="00FF45DB" w:rsidRDefault="00A6279B" w:rsidP="00A6279B">
      <w:pPr>
        <w:pStyle w:val="SingleTxtG"/>
      </w:pPr>
      <w:r>
        <w:t>96.</w:t>
      </w:r>
      <w:r>
        <w:tab/>
      </w:r>
      <w:r w:rsidRPr="00FF45DB">
        <w:t>Se alienta a los Estados a que ratifiquen y apliquen los instrumentos de derechos humanos internacionales y regionales relacionados con la salud del niño y a que, al respecto, presenten información sobre todos los aspectos de la salud infantil.</w:t>
      </w:r>
    </w:p>
    <w:p w:rsidR="00A6279B" w:rsidRPr="00FF45DB" w:rsidRDefault="00A6279B" w:rsidP="00A6279B">
      <w:pPr>
        <w:pStyle w:val="SingleTxtG"/>
      </w:pPr>
      <w:r>
        <w:t>97.</w:t>
      </w:r>
      <w:r>
        <w:tab/>
      </w:r>
      <w:r w:rsidRPr="00FF45DB">
        <w:t>La sostenibilidad de las políticas y las prácticas relativas a la salud del niño exige un plan nacional a largo plazo respaldado y consolidado como prioridad nacional. El Comité recomienda a los Estados que establezcan y utilicen un marco integral y cohesionado para la coordinación nacional en materia de salud infantil, basado en los principios de la Convención, a fin de facilitar la cooperación entre los ministerios gubernamentales y los distintos estamentos del gobierno, así como la interacción con los interesados de la sociedad civil, incluidos los niños. En vista del alto número de organismos gubernamentales, ramas legislativas y ministerios que se ocupan en distintos niveles de las políticas y servicios relacionados con la salud infantil, el Comité recomienda que se aclaren en el marco jurídico y reglamentario las funciones y respo</w:t>
      </w:r>
      <w:r>
        <w:t>nsabilidades de cada instancia.</w:t>
      </w:r>
    </w:p>
    <w:p w:rsidR="00A6279B" w:rsidRPr="00FF45DB" w:rsidRDefault="00A6279B" w:rsidP="00A6279B">
      <w:pPr>
        <w:pStyle w:val="SingleTxtG"/>
      </w:pPr>
      <w:r>
        <w:t>98.</w:t>
      </w:r>
      <w:r>
        <w:tab/>
      </w:r>
      <w:r w:rsidRPr="00FF45DB">
        <w:t>Debe prestarse especial atención a la determinación de los grupos de niños marginados y desfavorecidos, así como de los niños en peligro de sufrir cualquier forma de violencia y discriminación, y al establecimiento de prioridades entre ellos. Todas las actividades deben consignarse enteramente en el presupuesto nacional, donde se indicará su financiación y se les dará visibilidad.</w:t>
      </w:r>
    </w:p>
    <w:p w:rsidR="00A6279B" w:rsidRPr="00FF45DB" w:rsidRDefault="00A6279B" w:rsidP="00A6279B">
      <w:pPr>
        <w:pStyle w:val="SingleTxtG"/>
      </w:pPr>
      <w:r>
        <w:t>99.</w:t>
      </w:r>
      <w:r>
        <w:tab/>
      </w:r>
      <w:r w:rsidRPr="00FF45DB">
        <w:t>Ha de aplicarse una estrategia de incorporación de la salud del niño en todas las políticas que ponga de relieve los vínculos entre la salud infantil y los elementos subyacentes que la determinan. Debe hacerse todo lo posible por eliminar los estrangulamientos que obstaculizan la transparencia, la coordinación, la asociación y la rendición de cuentas en la prestación de servicios que afectan a la salud del niño.</w:t>
      </w:r>
    </w:p>
    <w:p w:rsidR="00A6279B" w:rsidRPr="00FF45DB" w:rsidRDefault="00A6279B" w:rsidP="00A6279B">
      <w:pPr>
        <w:pStyle w:val="SingleTxtG"/>
      </w:pPr>
      <w:r>
        <w:t>100.</w:t>
      </w:r>
      <w:r>
        <w:tab/>
      </w:r>
      <w:r w:rsidRPr="00FF45DB">
        <w:t xml:space="preserve">Aunque es necesaria la descentralización para atender las necesidades concretas de cada localidad y sector, ello no reduce la responsabilidad directa del gobierno central o nacional a efectos de cumplir sus obligaciones con respecto a todos los niños de su jurisdicción. Las decisiones en materia de asignación a los distintos niveles de servicios y esferas geográficas han de obedecer a los elementos centrales del enfoque en materia de atención primaria de salud. </w:t>
      </w:r>
    </w:p>
    <w:p w:rsidR="00A6279B" w:rsidRPr="00FF45DB" w:rsidRDefault="00A6279B" w:rsidP="00A6279B">
      <w:pPr>
        <w:pStyle w:val="SingleTxtG"/>
      </w:pPr>
      <w:r>
        <w:t>101.</w:t>
      </w:r>
      <w:r>
        <w:tab/>
      </w:r>
      <w:r w:rsidRPr="00FF45DB">
        <w:t>Los Estados deben implicar a todos los sectores de la sociedad, en particular a los niños, en la realización del derecho del niño a la salud. El Comité recomienda que esa participación incluya la creación de condiciones propicias al crecimiento, desarrollo y sostenibilidad permanentes de las organizaciones de la sociedad civil, incluidos los grupos populares y comunitarios; la facilitación efectiva de su contribución a la preparación, aplicación y evaluación de políticas y servicios centrados en la salud infantil; y la prestación de apoyo financiero suficien</w:t>
      </w:r>
      <w:r>
        <w:t>te o asistencia para obtenerlo.</w:t>
      </w:r>
    </w:p>
    <w:p w:rsidR="00A6279B" w:rsidRPr="00FF45DB" w:rsidRDefault="00A6279B" w:rsidP="00A6279B">
      <w:pPr>
        <w:pStyle w:val="H23G"/>
      </w:pPr>
      <w:bookmarkStart w:id="31" w:name="__RefHeading__54_503802003"/>
      <w:bookmarkStart w:id="32" w:name="_Toc208909892"/>
      <w:bookmarkEnd w:id="31"/>
      <w:r w:rsidRPr="00FF45DB">
        <w:tab/>
        <w:t>1.</w:t>
      </w:r>
      <w:r w:rsidRPr="00FF45DB">
        <w:tab/>
        <w:t>Papel de los parlamentos en la rendición de cuentas nacional</w:t>
      </w:r>
      <w:bookmarkEnd w:id="32"/>
    </w:p>
    <w:p w:rsidR="00A6279B" w:rsidRPr="00FF45DB" w:rsidRDefault="00A6279B" w:rsidP="00A6279B">
      <w:pPr>
        <w:pStyle w:val="SingleTxtG"/>
      </w:pPr>
      <w:r>
        <w:t>102.</w:t>
      </w:r>
      <w:r>
        <w:tab/>
      </w:r>
      <w:r w:rsidRPr="00FF45DB">
        <w:t>En todo lo relacionado con la salud del niño, los parlamentos son responsables de legislar velando por la transparencia y la inclusión y de fomentar el diálogo público constante y la cultura de rendición de cuentas. Deben ofrecer una plataforma pública para notificar y examinar la actuación y promover la participación pública en mecanismos independientes de revisión. También deben exigir cuentas al poder ejecutivo en cuanto a la aplicación de las recomendaciones planteadas en revisiones independientes y velar por que, a escala nacional, los resultados de esas revisiones sirvan de base a ulteriores planes, leyes, presupuestos y nuevas medidas de rendición de cuentas.</w:t>
      </w:r>
    </w:p>
    <w:p w:rsidR="00A6279B" w:rsidRPr="00FF45DB" w:rsidRDefault="00A6279B" w:rsidP="00A6279B">
      <w:pPr>
        <w:pStyle w:val="H23G"/>
      </w:pPr>
      <w:bookmarkStart w:id="33" w:name="__RefHeading__56_503802003"/>
      <w:bookmarkStart w:id="34" w:name="_Toc208909893"/>
      <w:bookmarkEnd w:id="33"/>
      <w:r w:rsidRPr="00FF45DB">
        <w:tab/>
        <w:t>2.</w:t>
      </w:r>
      <w:r w:rsidRPr="00FF45DB">
        <w:tab/>
        <w:t>Papel de las instituciones nacionales de derechos humanos en la rendic</w:t>
      </w:r>
      <w:r>
        <w:t>ión de cuentas </w:t>
      </w:r>
      <w:r w:rsidRPr="00FF45DB">
        <w:t>nacional</w:t>
      </w:r>
      <w:bookmarkEnd w:id="34"/>
    </w:p>
    <w:p w:rsidR="00A6279B" w:rsidRPr="00FF45DB" w:rsidRDefault="00A6279B" w:rsidP="00A6279B">
      <w:pPr>
        <w:pStyle w:val="SingleTxtG"/>
      </w:pPr>
      <w:r>
        <w:t>103.</w:t>
      </w:r>
      <w:r>
        <w:tab/>
      </w:r>
      <w:r w:rsidRPr="00FF45DB">
        <w:t>Las instituciones nacionales de derechos humanos cumplen un importante papel en el examen y la promoción de la rendición de cuentas, la concesión de reparaciones a los niños cuando se viola su derecho a la salud y la defensa del cambio estructural orientado a la realización de ese derecho. El Comité evoca su Observación general Nº 2 y recuerda a los Estados que el mandato de los comisionados o defensores del niño debe incorporar el derecho a la salud, y que los titulares de este mandato han de estar provistos de recursos suficientes y ser independientes del Gobierno</w:t>
      </w:r>
      <w:r>
        <w:rPr>
          <w:rStyle w:val="FootnoteReference"/>
        </w:rPr>
        <w:footnoteReference w:id="22"/>
      </w:r>
      <w:r w:rsidRPr="00FF45DB">
        <w:t>.</w:t>
      </w:r>
    </w:p>
    <w:p w:rsidR="00A6279B" w:rsidRPr="00FF45DB" w:rsidRDefault="00A6279B" w:rsidP="00A6279B">
      <w:pPr>
        <w:pStyle w:val="H1G"/>
      </w:pPr>
      <w:r w:rsidRPr="00FF45DB">
        <w:tab/>
        <w:t>D.</w:t>
      </w:r>
      <w:r w:rsidRPr="00FF45DB">
        <w:tab/>
        <w:t>Inversión en la salud del niño</w:t>
      </w:r>
    </w:p>
    <w:p w:rsidR="00A6279B" w:rsidRPr="00FF45DB" w:rsidRDefault="00A6279B" w:rsidP="00A6279B">
      <w:pPr>
        <w:pStyle w:val="SingleTxtG"/>
      </w:pPr>
      <w:r>
        <w:t>104.</w:t>
      </w:r>
      <w:r>
        <w:tab/>
      </w:r>
      <w:r w:rsidRPr="00FF45DB">
        <w:t>Al adoptar decisiones sobre la asignación y el gasto presupuestario, los Estados deben esforzarse por garantizar la disponibilidad, accesibilidad, aceptabilidad y calidad de los servicios esenciales de atención sanitaria para todos los niños, sin discriminación.</w:t>
      </w:r>
    </w:p>
    <w:p w:rsidR="00A6279B" w:rsidRPr="00FF45DB" w:rsidRDefault="00A6279B" w:rsidP="00A6279B">
      <w:pPr>
        <w:pStyle w:val="SingleTxtG"/>
      </w:pPr>
      <w:r>
        <w:t>105.</w:t>
      </w:r>
      <w:r>
        <w:tab/>
      </w:r>
      <w:r w:rsidRPr="00FF45DB">
        <w:t xml:space="preserve">Los Estados deben evaluar constantemente las repercusiones de las decisiones sobre política macroeconómica en el derecho del niño a la salud, especialmente en lo referente a los niños en situaciones vulnerables, frenar toda decisión que pueda poner en peligro los derechos del niño y aplicar el principio del </w:t>
      </w:r>
      <w:r>
        <w:t>"</w:t>
      </w:r>
      <w:r w:rsidRPr="00FF45DB">
        <w:t>interés superior</w:t>
      </w:r>
      <w:r>
        <w:t>"</w:t>
      </w:r>
      <w:r w:rsidRPr="00FF45DB">
        <w:t xml:space="preserve"> al adoptar esas decisiones. Los Estados también deben tener presentes las obligaciones derivadas del artículo 24 en todos los aspectos de sus negociaciones con las instituciones financieras internacionales y otros donantes para velar por que el derecho del niño a la salud se tenga debidamente en cuenta en el marco d</w:t>
      </w:r>
      <w:r>
        <w:t>e la cooperación internacional.</w:t>
      </w:r>
    </w:p>
    <w:p w:rsidR="00A6279B" w:rsidRPr="00FF45DB" w:rsidRDefault="00A6279B" w:rsidP="00A6279B">
      <w:pPr>
        <w:pStyle w:val="SingleTxtG"/>
      </w:pPr>
      <w:r>
        <w:t>106.</w:t>
      </w:r>
      <w:r>
        <w:tab/>
      </w:r>
      <w:r w:rsidRPr="00FF45DB">
        <w:t>El Comité recomienda a los Estados partes que:</w:t>
      </w:r>
    </w:p>
    <w:p w:rsidR="00A6279B" w:rsidRPr="00FF45DB" w:rsidRDefault="00A6279B" w:rsidP="00A6279B">
      <w:pPr>
        <w:pStyle w:val="SingleTxtG"/>
      </w:pPr>
      <w:r>
        <w:tab/>
      </w:r>
      <w:r w:rsidRPr="00FF45DB">
        <w:t>a)</w:t>
      </w:r>
      <w:r w:rsidRPr="00FF45DB">
        <w:tab/>
        <w:t>Legislen la asignación de una parte determinada del gasto público a la salud del niño y creen un mecanismo de acompañamiento que permita una evaluación sistemática e independiente de dicho gasto;</w:t>
      </w:r>
    </w:p>
    <w:p w:rsidR="00A6279B" w:rsidRPr="00FF45DB" w:rsidRDefault="00A6279B" w:rsidP="00A6279B">
      <w:pPr>
        <w:pStyle w:val="SingleTxtG"/>
      </w:pPr>
      <w:r>
        <w:tab/>
      </w:r>
      <w:r w:rsidRPr="00FF45DB">
        <w:t>b)</w:t>
      </w:r>
      <w:r w:rsidRPr="00FF45DB">
        <w:tab/>
        <w:t>Cumplan el gasto mínimo en salud por habitante recomendado por la Organización Mundial de la Salud y den prioridad a la salud del niño en las asignaciones presupuestarias;</w:t>
      </w:r>
    </w:p>
    <w:p w:rsidR="00A6279B" w:rsidRPr="00FF45DB" w:rsidRDefault="00A6279B" w:rsidP="00A6279B">
      <w:pPr>
        <w:pStyle w:val="SingleTxtG"/>
      </w:pPr>
      <w:r>
        <w:tab/>
      </w:r>
      <w:r w:rsidRPr="00FF45DB">
        <w:t>c)</w:t>
      </w:r>
      <w:r w:rsidRPr="00FF45DB">
        <w:tab/>
        <w:t>Aseguren la visibilidad de la inversión en la infancia en el presupuesto estatal mediante una recopilación detallada de los recursos qu</w:t>
      </w:r>
      <w:r>
        <w:t>e se le asignan y se gastan; y</w:t>
      </w:r>
    </w:p>
    <w:p w:rsidR="00A6279B" w:rsidRPr="00FF45DB" w:rsidRDefault="00A6279B" w:rsidP="00A6279B">
      <w:pPr>
        <w:pStyle w:val="SingleTxtG"/>
      </w:pPr>
      <w:r>
        <w:tab/>
      </w:r>
      <w:r w:rsidRPr="00FF45DB">
        <w:t>d)</w:t>
      </w:r>
      <w:r w:rsidRPr="00FF45DB">
        <w:tab/>
        <w:t>Pongan en marcha un sistema de seguimiento y análisis presupuestario basado en los derechos, así como evaluaciones del impacto infantil relativas a la forma en que las inversiones, especialmente en el sector de la salud, pueden redundar en el interés superior del niño.</w:t>
      </w:r>
    </w:p>
    <w:p w:rsidR="00A6279B" w:rsidRPr="00FF45DB" w:rsidRDefault="00A6279B" w:rsidP="00A6279B">
      <w:pPr>
        <w:pStyle w:val="SingleTxtG"/>
      </w:pPr>
      <w:r>
        <w:t>107.</w:t>
      </w:r>
      <w:r>
        <w:tab/>
      </w:r>
      <w:r w:rsidRPr="00FF45DB">
        <w:t xml:space="preserve">El Comité subraya la importancia de los instrumentos de evaluación del uso de los recursos y reconoce la necesidad de elaborar indicadores mensurables que sirvan a los Estados partes para supervisar y evaluar los progresos en el ejercicio por los </w:t>
      </w:r>
      <w:r>
        <w:t>niños de su derecho a la salud.</w:t>
      </w:r>
    </w:p>
    <w:p w:rsidR="00A6279B" w:rsidRPr="00FF45DB" w:rsidRDefault="00A6279B" w:rsidP="00A6279B">
      <w:pPr>
        <w:pStyle w:val="H1G"/>
      </w:pPr>
      <w:bookmarkStart w:id="35" w:name="__RefHeading__58_503802003"/>
      <w:bookmarkStart w:id="36" w:name="_Toc208909894"/>
      <w:bookmarkEnd w:id="35"/>
      <w:r w:rsidRPr="00FF45DB">
        <w:tab/>
        <w:t>E.</w:t>
      </w:r>
      <w:r w:rsidRPr="00FF45DB">
        <w:tab/>
        <w:t>El ciclo de acción</w:t>
      </w:r>
      <w:bookmarkEnd w:id="36"/>
    </w:p>
    <w:p w:rsidR="00A6279B" w:rsidRPr="00FF45DB" w:rsidRDefault="00A6279B" w:rsidP="00A6279B">
      <w:pPr>
        <w:pStyle w:val="SingleTxtG"/>
      </w:pPr>
      <w:r>
        <w:t>108.</w:t>
      </w:r>
      <w:r>
        <w:tab/>
      </w:r>
      <w:r w:rsidRPr="00FF45DB">
        <w:t>El cumplimiento por los Estados partes de las obligaciones que les incumben en virtud del artículo 24 exige la adopción de un proceso cíclico de planificación, aplicación, seguimiento y evaluación que sirva de base a la planificación ulterior, una aplicación modificada y una labor renovada de seguimiento y evaluación. Los Estados deben velar por la participación significativa de los niños e incorporar mecanismos de comunicación de los resultados para facilitar los ajustes necesarios durante el ciclo.</w:t>
      </w:r>
    </w:p>
    <w:p w:rsidR="00A6279B" w:rsidRPr="00FF45DB" w:rsidRDefault="00A6279B" w:rsidP="00A6279B">
      <w:pPr>
        <w:pStyle w:val="SingleTxtG"/>
      </w:pPr>
      <w:r>
        <w:t>109.</w:t>
      </w:r>
      <w:r>
        <w:tab/>
      </w:r>
      <w:r w:rsidRPr="00FF45DB">
        <w:t>La disponibilidad de datos pertinentes y fiables ocupa un lugar central en la elaboración, la aplicación y el seguimiento de políticas, programas y servicios encaminados a realizar el derecho del niño a la salud, lo cual debe incluir datos debidamente desglosados durante la trayectoria vital del niño, prestando especial atención a los grupos vulnerables; datos sobre los problemas sanitarios prioritarios, en particular sobre las causas de mortalidad y de morbilidad, nuevas o descuidadas hasta ahora; y datos sobre los principales factores determinantes de la salud infantil. Para disponer de información estratégica hacen falta datos procedentes de sistemas ordinarios de información sobre la salud, estudios especiales e investigaciones. Esos datos, que han de ser tanto cuantitativos como cualitativos, deben reunirse, analizarse y emplearse para fundamentar las políticas y programas nacionales y subnacionale</w:t>
      </w:r>
      <w:r>
        <w:t>s.</w:t>
      </w:r>
    </w:p>
    <w:p w:rsidR="00A6279B" w:rsidRPr="00FF45DB" w:rsidRDefault="00A6279B" w:rsidP="00A6279B">
      <w:pPr>
        <w:pStyle w:val="H23G"/>
      </w:pPr>
      <w:bookmarkStart w:id="37" w:name="__RefHeading__60_503802003"/>
      <w:bookmarkStart w:id="38" w:name="_Toc208909895"/>
      <w:bookmarkEnd w:id="37"/>
      <w:r w:rsidRPr="00FF45DB">
        <w:tab/>
        <w:t>1.</w:t>
      </w:r>
      <w:r w:rsidRPr="00FF45DB">
        <w:tab/>
        <w:t>Planificación</w:t>
      </w:r>
      <w:bookmarkEnd w:id="38"/>
    </w:p>
    <w:p w:rsidR="00A6279B" w:rsidRPr="00FF45DB" w:rsidRDefault="00A6279B" w:rsidP="00A6279B">
      <w:pPr>
        <w:pStyle w:val="SingleTxtG"/>
      </w:pPr>
      <w:r>
        <w:t>110.</w:t>
      </w:r>
      <w:r>
        <w:tab/>
      </w:r>
      <w:r w:rsidRPr="00FF45DB">
        <w:t>El Comité observa que, para fundamentar la puesta en práctica, el seguimiento y la evaluación de las actividades de cumplimiento de las obliga</w:t>
      </w:r>
      <w:r>
        <w:t>ciones previstas en el artículo </w:t>
      </w:r>
      <w:r w:rsidRPr="00FF45DB">
        <w:t>24, los Estados deben efectuar análisis de la situación de los problemas surgidos, sus distintos aspectos y la infraestructura de que se dispone para prestar servicios. Mediante el análisis debe evaluarse la capacidad institucional y la disponibilidad de recursos humanos, financieros y técnicos. Sobre la base de los resultados del análisis ha de elaborarse una estrategia en la que participen todos los interesados, las instancias estata</w:t>
      </w:r>
      <w:r>
        <w:t>les y no estatales y los niños.</w:t>
      </w:r>
    </w:p>
    <w:p w:rsidR="00A6279B" w:rsidRPr="00FF45DB" w:rsidRDefault="00A6279B" w:rsidP="00A6279B">
      <w:pPr>
        <w:pStyle w:val="SingleTxtG"/>
      </w:pPr>
      <w:r>
        <w:t>111.</w:t>
      </w:r>
      <w:r>
        <w:tab/>
      </w:r>
      <w:r w:rsidRPr="00FF45DB">
        <w:t xml:space="preserve">Gracias al análisis de la situación se tendrá una idea clara de las prioridades y estrategias nacionales y subnacionales con fines de aplicación. Deberán establecerse parámetros y objetivos, planes de acción presupuestados y estrategias operacionales, así como un marco para el seguimiento y la evaluación de las políticas, programas y servicios y la promoción de la rendición de cuentas con respecto a la salud infantil. De ese modo se pondrán de relieve maneras de construir y fortalecer estructuras y sistemas existentes que sean </w:t>
      </w:r>
      <w:r>
        <w:t>consonantes con la Convención.</w:t>
      </w:r>
    </w:p>
    <w:p w:rsidR="00A6279B" w:rsidRPr="00FF45DB" w:rsidRDefault="00A6279B" w:rsidP="00A6279B">
      <w:pPr>
        <w:pStyle w:val="H23G"/>
      </w:pPr>
      <w:bookmarkStart w:id="39" w:name="__RefHeading__62_503802003"/>
      <w:bookmarkStart w:id="40" w:name="_Toc208909896"/>
      <w:bookmarkEnd w:id="39"/>
      <w:r w:rsidRPr="00FF45DB">
        <w:tab/>
        <w:t>2.</w:t>
      </w:r>
      <w:r w:rsidRPr="00FF45DB">
        <w:tab/>
        <w:t>Criterios para determinar los resultados y la aplicación</w:t>
      </w:r>
      <w:bookmarkEnd w:id="40"/>
    </w:p>
    <w:p w:rsidR="00A6279B" w:rsidRPr="00FF45DB" w:rsidRDefault="00A6279B" w:rsidP="00A6279B">
      <w:pPr>
        <w:pStyle w:val="SingleTxtG"/>
      </w:pPr>
      <w:r>
        <w:t>112.</w:t>
      </w:r>
      <w:r>
        <w:tab/>
      </w:r>
      <w:r w:rsidRPr="00FF45DB">
        <w:t>Los Estados deben velar por que todos los servicios y programas relacionados con la salud infantil cumplan los criterios de disponibilidad, accesibilidad, aceptabilidad y calidad.</w:t>
      </w:r>
    </w:p>
    <w:p w:rsidR="00A6279B" w:rsidRPr="00FF45DB" w:rsidRDefault="00A6279B" w:rsidP="00A6279B">
      <w:pPr>
        <w:pStyle w:val="H23G"/>
      </w:pPr>
      <w:bookmarkStart w:id="41" w:name="_Toc208909897"/>
      <w:r w:rsidRPr="00FF45DB">
        <w:tab/>
        <w:t>a)</w:t>
      </w:r>
      <w:r w:rsidRPr="00FF45DB">
        <w:tab/>
        <w:t>Disponibilidad</w:t>
      </w:r>
      <w:bookmarkEnd w:id="41"/>
    </w:p>
    <w:p w:rsidR="00A6279B" w:rsidRPr="00FF45DB" w:rsidRDefault="00A6279B" w:rsidP="00A6279B">
      <w:pPr>
        <w:pStyle w:val="SingleTxtG"/>
      </w:pPr>
      <w:r>
        <w:t>113.</w:t>
      </w:r>
      <w:r>
        <w:tab/>
      </w:r>
      <w:r w:rsidRPr="00FF45DB">
        <w:t>Los Estados deben velar por el funcionamiento en cantidad suficiente de instalaciones, bienes, servicios y programas de salud infantil. El Estado ha de asegurarse de que dispone en su territorio de hospitales, clínicas, profesionales de la salud, equipos e instalaciones móviles, trabajadores sanitarios comunitarios, equipos y medicamentos esenciales suficientes para proporcionar atención sanitaria a todos los niños, las embarazadas y las madres. La suficiencia debe medirse en función de la necesidad, prestando especial atención a las poblaciones insuficientemente dotadas de ser</w:t>
      </w:r>
      <w:r>
        <w:t>vicios y las de acceso difícil.</w:t>
      </w:r>
    </w:p>
    <w:p w:rsidR="00A6279B" w:rsidRPr="00FF45DB" w:rsidRDefault="00A6279B" w:rsidP="00A6279B">
      <w:pPr>
        <w:pStyle w:val="H23G"/>
      </w:pPr>
      <w:bookmarkStart w:id="42" w:name="_Toc208909898"/>
      <w:r w:rsidRPr="00FF45DB">
        <w:tab/>
        <w:t>b)</w:t>
      </w:r>
      <w:r w:rsidRPr="00FF45DB">
        <w:tab/>
        <w:t>Accesibilidad</w:t>
      </w:r>
      <w:bookmarkEnd w:id="42"/>
    </w:p>
    <w:p w:rsidR="00A6279B" w:rsidRPr="00FF45DB" w:rsidRDefault="00A6279B" w:rsidP="00A6279B">
      <w:pPr>
        <w:pStyle w:val="SingleTxtG"/>
        <w:rPr>
          <w:rFonts w:eastAsia="Batang"/>
        </w:rPr>
      </w:pPr>
      <w:r>
        <w:t>114.</w:t>
      </w:r>
      <w:r>
        <w:tab/>
      </w:r>
      <w:r w:rsidRPr="00FF45DB">
        <w:t>El elemento de accesibilidad presenta cuatro dimensiones:</w:t>
      </w:r>
    </w:p>
    <w:p w:rsidR="00A6279B" w:rsidRPr="00FF45DB" w:rsidRDefault="00A6279B" w:rsidP="00A6279B">
      <w:pPr>
        <w:pStyle w:val="SingleTxtG"/>
        <w:rPr>
          <w:rFonts w:eastAsia="font278"/>
        </w:rPr>
      </w:pPr>
      <w:r>
        <w:rPr>
          <w:i/>
        </w:rPr>
        <w:tab/>
      </w:r>
      <w:r>
        <w:t>a)</w:t>
      </w:r>
      <w:r>
        <w:tab/>
      </w:r>
      <w:r w:rsidRPr="00FF45DB">
        <w:rPr>
          <w:i/>
        </w:rPr>
        <w:t>No discriminación</w:t>
      </w:r>
      <w:r w:rsidR="004218E1">
        <w:rPr>
          <w:i/>
        </w:rPr>
        <w:t>.</w:t>
      </w:r>
      <w:r w:rsidRPr="00FF45DB">
        <w:t xml:space="preserve"> </w:t>
      </w:r>
      <w:r w:rsidR="004218E1" w:rsidRPr="00FF45DB">
        <w:t xml:space="preserve">Los </w:t>
      </w:r>
      <w:r w:rsidRPr="00FF45DB">
        <w:t xml:space="preserve">servicios de atención de la salud y servicios conexos, los equipos y los suministros deben estar al alcance de todos los niños, embarazadas y madres, en la ley y en la práctica, sin </w:t>
      </w:r>
      <w:r>
        <w:t>discriminación de ningún tipo.</w:t>
      </w:r>
    </w:p>
    <w:p w:rsidR="00A6279B" w:rsidRPr="00FF45DB" w:rsidRDefault="00A6279B" w:rsidP="00A6279B">
      <w:pPr>
        <w:pStyle w:val="SingleTxtG"/>
        <w:rPr>
          <w:rFonts w:eastAsia="font278"/>
        </w:rPr>
      </w:pPr>
      <w:r>
        <w:tab/>
        <w:t>b)</w:t>
      </w:r>
      <w:r>
        <w:tab/>
      </w:r>
      <w:r w:rsidRPr="00FF45DB">
        <w:rPr>
          <w:i/>
        </w:rPr>
        <w:t>Accesibilidad física</w:t>
      </w:r>
      <w:r w:rsidR="004218E1">
        <w:rPr>
          <w:i/>
        </w:rPr>
        <w:t>.</w:t>
      </w:r>
      <w:r w:rsidRPr="00FF45DB">
        <w:t xml:space="preserve"> </w:t>
      </w:r>
      <w:r w:rsidR="004218E1" w:rsidRPr="00FF45DB">
        <w:t xml:space="preserve">Las </w:t>
      </w:r>
      <w:r w:rsidRPr="00FF45DB">
        <w:t xml:space="preserve">instalaciones de atención de la salud deben estar en un radio accesible para todos los niños, embarazadas y madres. Puede que la accesibilidad física obligue a prestar un mayor grado de atención a las necesidades de los niños y mujeres con discapacidad. El Comité alienta a los Estados a que den prioridad a la implantación de instalaciones y servicios en zonas insuficientemente atendidas y a que inviertan en enfoques de atención móvil, tecnologías innovadoras y trabajadores sanitarios comunitarios debidamente capacitados y provistos de apoyo con el objeto de prestar servicios a los grupos de </w:t>
      </w:r>
      <w:r>
        <w:t>niños especialmente vulnerables.</w:t>
      </w:r>
    </w:p>
    <w:p w:rsidR="00A6279B" w:rsidRPr="00FF45DB" w:rsidRDefault="00A6279B" w:rsidP="00A6279B">
      <w:pPr>
        <w:pStyle w:val="SingleTxtG"/>
        <w:rPr>
          <w:rFonts w:eastAsia="font278"/>
        </w:rPr>
      </w:pPr>
      <w:r>
        <w:tab/>
        <w:t>c)</w:t>
      </w:r>
      <w:r>
        <w:tab/>
      </w:r>
      <w:r w:rsidRPr="00FF45DB">
        <w:rPr>
          <w:i/>
        </w:rPr>
        <w:t>Accesibilidad económica/asequibilidad</w:t>
      </w:r>
      <w:r w:rsidR="004218E1">
        <w:rPr>
          <w:i/>
        </w:rPr>
        <w:t>.</w:t>
      </w:r>
      <w:r w:rsidRPr="00FF45DB">
        <w:t xml:space="preserve"> </w:t>
      </w:r>
      <w:r w:rsidR="004218E1" w:rsidRPr="00FF45DB">
        <w:t xml:space="preserve">La </w:t>
      </w:r>
      <w:r w:rsidRPr="00FF45DB">
        <w:t>falta de capacidad para pagar los servicios, suministros o medicamentos no debe traducirse en una denegación de acceso. El Comité exhorta a los Estados a que supriman las tasas de usuario y apliquen sistemas de financiación de la salud que no discriminen a las mujeres y los niños cuando no pueden pagar. Deben implantarse mecanismos de mancomunación de riesgos, como recaudaciones de impuestos y seguros, sobre la base de contribuciones equit</w:t>
      </w:r>
      <w:r>
        <w:t>ativas en función de los medios.</w:t>
      </w:r>
    </w:p>
    <w:p w:rsidR="00A6279B" w:rsidRPr="00FF45DB" w:rsidRDefault="00A6279B" w:rsidP="00A6279B">
      <w:pPr>
        <w:pStyle w:val="SingleTxtG"/>
        <w:rPr>
          <w:rFonts w:eastAsia="font278"/>
        </w:rPr>
      </w:pPr>
      <w:r>
        <w:tab/>
        <w:t>d)</w:t>
      </w:r>
      <w:r>
        <w:tab/>
      </w:r>
      <w:r w:rsidRPr="00FF45DB">
        <w:rPr>
          <w:i/>
        </w:rPr>
        <w:t>Accesibilidad de la información</w:t>
      </w:r>
      <w:r w:rsidR="004218E1">
        <w:rPr>
          <w:i/>
        </w:rPr>
        <w:t>.</w:t>
      </w:r>
      <w:r w:rsidRPr="00FF45DB">
        <w:t xml:space="preserve"> </w:t>
      </w:r>
      <w:r w:rsidR="004218E1" w:rsidRPr="00FF45DB">
        <w:t xml:space="preserve">Debe </w:t>
      </w:r>
      <w:r w:rsidRPr="00FF45DB">
        <w:t>proporcionarse a los niños y sus cuidadores información sobre promoción de la salud, estado de salud y opciones de tratamiento en un idioma y un formato que sean accesibles y claramente inteligibles.</w:t>
      </w:r>
      <w:bookmarkStart w:id="43" w:name="_Toc208909899"/>
    </w:p>
    <w:p w:rsidR="00A6279B" w:rsidRPr="00FF45DB" w:rsidRDefault="00A6279B" w:rsidP="00A6279B">
      <w:pPr>
        <w:pStyle w:val="H23G"/>
      </w:pPr>
      <w:r w:rsidRPr="00FF45DB">
        <w:tab/>
        <w:t>c)</w:t>
      </w:r>
      <w:r w:rsidRPr="00FF45DB">
        <w:tab/>
        <w:t>Aceptabilidad</w:t>
      </w:r>
      <w:bookmarkEnd w:id="43"/>
    </w:p>
    <w:p w:rsidR="00A6279B" w:rsidRPr="00FF45DB" w:rsidRDefault="00A6279B" w:rsidP="00A6279B">
      <w:pPr>
        <w:pStyle w:val="SingleTxtG"/>
        <w:rPr>
          <w:rFonts w:eastAsia="Batang"/>
        </w:rPr>
      </w:pPr>
      <w:r>
        <w:t>115.</w:t>
      </w:r>
      <w:r>
        <w:tab/>
      </w:r>
      <w:r w:rsidRPr="00FF45DB">
        <w:t>En el contexto del derecho del niño a la salud, el Comité entiende por aceptabilidad la obligación de que todas las instalaciones, bienes y servicios relacionados con la salud se diseñen y usen de una forma que tenga plenamente en cuenta y respete la ética médica, así como las necesidades, expectativas, cultura e idioma de los niños, prestando especial atención, cuando proceda, a determinados grupos.</w:t>
      </w:r>
      <w:bookmarkStart w:id="44" w:name="_Toc208909900"/>
    </w:p>
    <w:p w:rsidR="00A6279B" w:rsidRPr="00FF45DB" w:rsidRDefault="00A6279B" w:rsidP="00A6279B">
      <w:pPr>
        <w:pStyle w:val="H23G"/>
      </w:pPr>
      <w:r w:rsidRPr="00FF45DB">
        <w:tab/>
        <w:t>d)</w:t>
      </w:r>
      <w:r w:rsidRPr="00FF45DB">
        <w:tab/>
        <w:t>Calidad</w:t>
      </w:r>
      <w:bookmarkEnd w:id="44"/>
    </w:p>
    <w:p w:rsidR="00A6279B" w:rsidRPr="00FF45DB" w:rsidRDefault="00A6279B" w:rsidP="00A6279B">
      <w:pPr>
        <w:pStyle w:val="SingleTxtG"/>
        <w:rPr>
          <w:rFonts w:eastAsia="Batang"/>
        </w:rPr>
      </w:pPr>
      <w:r>
        <w:t>116.</w:t>
      </w:r>
      <w:r>
        <w:tab/>
      </w:r>
      <w:r w:rsidRPr="00FF45DB">
        <w:t>Las instalaciones, bienes y servicios relacionados con la salud deben ser adecuados desde el punto de vista científico y médico y de calidad. Para garantizar la calidad es preciso, entre otras cosas, que</w:t>
      </w:r>
      <w:r>
        <w:t>:</w:t>
      </w:r>
      <w:r w:rsidRPr="00FF45DB">
        <w:t xml:space="preserve"> a) los tratamientos, intervenciones y medicamentos se basen en las mejores pruebas disponibles; b) el personal médico esté debidamente facultado y disponga de capacitación adecuada en salud materna e infantil, así como en los principios y disposiciones de la Convención; c) el equipo hospitalario esté científicamente aprobado y sea adecuado para los niños; d) los medicamentos estén científicamente aprobados y no caducados, estén destinados a los niños (cuando sea necesario) y sean objeto de seguimiento por si se producen reacciones adversas; y e) se evalúe periódicamente la calidad de la atención dispensada en las instituciones sanitarias.</w:t>
      </w:r>
    </w:p>
    <w:p w:rsidR="00A6279B" w:rsidRPr="00FF45DB" w:rsidRDefault="00A6279B" w:rsidP="00A6279B">
      <w:pPr>
        <w:pStyle w:val="H23G"/>
        <w:rPr>
          <w:rFonts w:eastAsia="Batang"/>
        </w:rPr>
      </w:pPr>
      <w:bookmarkStart w:id="45" w:name="__RefHeading__64_503802003"/>
      <w:bookmarkStart w:id="46" w:name="_Toc208909901"/>
      <w:bookmarkEnd w:id="45"/>
      <w:r w:rsidRPr="00FF45DB">
        <w:tab/>
        <w:t>3.</w:t>
      </w:r>
      <w:r w:rsidRPr="00FF45DB">
        <w:tab/>
        <w:t>Seguimiento y evaluación</w:t>
      </w:r>
      <w:bookmarkEnd w:id="46"/>
    </w:p>
    <w:p w:rsidR="00A6279B" w:rsidRPr="00FF45DB" w:rsidRDefault="00A6279B" w:rsidP="00A6279B">
      <w:pPr>
        <w:pStyle w:val="SingleTxtG"/>
        <w:rPr>
          <w:rFonts w:eastAsia="Batang"/>
        </w:rPr>
      </w:pPr>
      <w:r>
        <w:t>117.</w:t>
      </w:r>
      <w:r>
        <w:tab/>
      </w:r>
      <w:r w:rsidRPr="00FF45DB">
        <w:t>Debe establecerse con fines de seguimiento y evaluación un conjunto de indicadores estructurados y debidamente desglosados en función de los requisitos antes indicados a título de criterios para determinar los resultados. Los datos deben emplearse para volver a diseñar y mejorar las políticas, programas y servicios de apoyo a la realización del derecho del niño a la salud. Los sistemas de información sobre salud deben aportar datos fiables, transparentes y coherentes al tiempo que se protege el derecho de la persona a la intimidad.</w:t>
      </w:r>
      <w:r>
        <w:t xml:space="preserve"> </w:t>
      </w:r>
      <w:r w:rsidRPr="00FF45DB">
        <w:t>Los Estados deben revisar regularmente su sistema de información sobre salud, en particular el registro civil y la vigilancia de la morbilidad, con miras a su mejora.</w:t>
      </w:r>
    </w:p>
    <w:p w:rsidR="00A6279B" w:rsidRPr="00FF45DB" w:rsidRDefault="00A6279B" w:rsidP="00A6279B">
      <w:pPr>
        <w:pStyle w:val="SingleTxtG"/>
        <w:rPr>
          <w:rFonts w:eastAsia="Batang"/>
        </w:rPr>
      </w:pPr>
      <w:r>
        <w:t>118.</w:t>
      </w:r>
      <w:r>
        <w:tab/>
      </w:r>
      <w:r w:rsidRPr="00FF45DB">
        <w:t>Los mecanismos nacionales de rendición de cuentas han de encargarse del seguimiento y la revisión y actuar en función de sus constataciones. Se entiende por seguimiento aportar datos sobre el estado de salud de los niños y revisar a intervalos razonables la calidad de los servicios sanitarios dispensados a los niños, así como las sumas gastadas al respecto, el lugar donde se gastaron, el concepto de gasto y los niños a los que se destinaron los gastos. Para ello se recurrirá al seguimiento habitual y a evaluaciones periódicas en profundidad. Se entiende por revisión el análisis de los datos y la celebración de consultas con los niños, las familias, otros cuidadores y la sociedad civil para determinar si la salud infantil ha mejorado y si el Gobierno y otras instancias han cumplido sus compromisos. Se entiende por actuar hacer uso de las pruebas reunidas en el marco de estos procesos para repetir y ampliar lo que funciona y reparar</w:t>
      </w:r>
      <w:r>
        <w:t xml:space="preserve"> y reformar lo que no funciona.</w:t>
      </w:r>
    </w:p>
    <w:p w:rsidR="00A6279B" w:rsidRPr="00FF45DB" w:rsidRDefault="00A6279B" w:rsidP="00A6279B">
      <w:pPr>
        <w:pStyle w:val="H1G"/>
        <w:rPr>
          <w:rFonts w:eastAsia="Batang"/>
        </w:rPr>
      </w:pPr>
      <w:bookmarkStart w:id="47" w:name="__RefHeading__68_503802003"/>
      <w:bookmarkStart w:id="48" w:name="_Toc208909903"/>
      <w:bookmarkEnd w:id="47"/>
      <w:r w:rsidRPr="00FF45DB">
        <w:tab/>
        <w:t>F.</w:t>
      </w:r>
      <w:r w:rsidRPr="00FF45DB">
        <w:tab/>
      </w:r>
      <w:bookmarkEnd w:id="48"/>
      <w:r w:rsidRPr="00FF45DB">
        <w:t>Reparaciones por violación del derecho del niño a la salud</w:t>
      </w:r>
    </w:p>
    <w:p w:rsidR="00A6279B" w:rsidRPr="00FF45DB" w:rsidRDefault="00A6279B" w:rsidP="00A6279B">
      <w:pPr>
        <w:pStyle w:val="SingleTxtG"/>
        <w:rPr>
          <w:rFonts w:eastAsia="Batang"/>
        </w:rPr>
      </w:pPr>
      <w:r>
        <w:t>119.</w:t>
      </w:r>
      <w:r>
        <w:tab/>
      </w:r>
      <w:r w:rsidRPr="00FF45DB">
        <w:t>El Comité alienta encarecidamente a los Estados a que establezcan mecanismos de presentación de denuncias funcionales y accesibles de ámbito comunitario que permitan a los niños solicitar y obtener reparación cuando se viole o ponga en peligro su derecho a la salud. Los Estados también deben ofrecer derechos amplios legitimados jurídicamente, incluidas demandas colectivas.</w:t>
      </w:r>
    </w:p>
    <w:p w:rsidR="00A6279B" w:rsidRPr="00FF45DB" w:rsidRDefault="00A6279B" w:rsidP="00A6279B">
      <w:pPr>
        <w:pStyle w:val="SingleTxtG"/>
        <w:rPr>
          <w:rFonts w:eastAsia="Batang"/>
        </w:rPr>
      </w:pPr>
      <w:r>
        <w:t>120.</w:t>
      </w:r>
      <w:r>
        <w:tab/>
      </w:r>
      <w:r w:rsidRPr="00FF45DB">
        <w:t>Los Estados han de garantizar y facilitar a los niños individuales y sus cuidadores el acceso a los tribunales y adoptar medidas para eliminar todo obstáculo al acceso a las reparaciones por violación del derecho del niño a la salud. Las instituciones nacionales de derechos humanos, los defensores del niño, las asociaciones de profesionales de la salud y las asociaciones de consumidores pueden cumplir imp</w:t>
      </w:r>
      <w:r>
        <w:t>ortantes funciones al respecto.</w:t>
      </w:r>
    </w:p>
    <w:p w:rsidR="00A6279B" w:rsidRPr="00FF45DB" w:rsidRDefault="00A6279B" w:rsidP="008A6CB1">
      <w:pPr>
        <w:pStyle w:val="HChG"/>
        <w:rPr>
          <w:rFonts w:eastAsia="Batang"/>
        </w:rPr>
      </w:pPr>
      <w:r w:rsidRPr="00FF45DB">
        <w:tab/>
        <w:t>VII.</w:t>
      </w:r>
      <w:r w:rsidRPr="00FF45DB">
        <w:tab/>
        <w:t>Difusión</w:t>
      </w:r>
    </w:p>
    <w:p w:rsidR="006F35EE" w:rsidRDefault="00A6279B" w:rsidP="008A6CB1">
      <w:pPr>
        <w:pStyle w:val="SingleTxtG"/>
        <w:keepNext/>
        <w:keepLines/>
      </w:pPr>
      <w:r>
        <w:t>121.</w:t>
      </w:r>
      <w:r>
        <w:tab/>
      </w:r>
      <w:r w:rsidRPr="00FF45DB">
        <w:t>El Comité recomienda que los Estados den amplia difusión a la presente observación general, en el parlamento y en todo el aparato gubernamental, con inclusión de ministerios, departamentos y los órganos municipales y locales que se ocupan de asuntos relativos a la salud del niño.</w:t>
      </w:r>
    </w:p>
    <w:p w:rsidR="00381C24" w:rsidRPr="00A6279B" w:rsidRDefault="00A6279B" w:rsidP="00A6279B">
      <w:pPr>
        <w:pStyle w:val="SingleTxtG"/>
        <w:spacing w:before="240"/>
        <w:jc w:val="center"/>
        <w:rPr>
          <w:u w:val="single"/>
        </w:rPr>
      </w:pPr>
      <w:r>
        <w:rPr>
          <w:u w:val="single"/>
        </w:rPr>
        <w:tab/>
      </w:r>
      <w:r>
        <w:rPr>
          <w:u w:val="single"/>
        </w:rPr>
        <w:tab/>
      </w:r>
      <w:r>
        <w:rPr>
          <w:u w:val="single"/>
        </w:rPr>
        <w:tab/>
      </w:r>
    </w:p>
    <w:sectPr w:rsidR="00381C24" w:rsidRPr="00A6279B" w:rsidSect="00F6490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EDF" w:rsidRDefault="000A7EDF">
      <w:r>
        <w:separator/>
      </w:r>
    </w:p>
  </w:endnote>
  <w:endnote w:type="continuationSeparator" w:id="0">
    <w:p w:rsidR="000A7EDF" w:rsidRDefault="000A7E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ont278">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900" w:rsidRPr="00F64900" w:rsidRDefault="00F64900" w:rsidP="00F64900">
    <w:pPr>
      <w:pStyle w:val="Footer"/>
      <w:tabs>
        <w:tab w:val="right" w:pos="9638"/>
      </w:tabs>
    </w:pPr>
    <w:r w:rsidRPr="00F64900">
      <w:rPr>
        <w:b/>
        <w:sz w:val="18"/>
      </w:rPr>
      <w:fldChar w:fldCharType="begin"/>
    </w:r>
    <w:r w:rsidRPr="00F64900">
      <w:rPr>
        <w:b/>
        <w:sz w:val="18"/>
      </w:rPr>
      <w:instrText xml:space="preserve"> PAGE  \* MERGEFORMAT </w:instrText>
    </w:r>
    <w:r w:rsidRPr="00F64900">
      <w:rPr>
        <w:b/>
        <w:sz w:val="18"/>
      </w:rPr>
      <w:fldChar w:fldCharType="separate"/>
    </w:r>
    <w:r w:rsidR="00D621A5">
      <w:rPr>
        <w:b/>
        <w:noProof/>
        <w:sz w:val="18"/>
      </w:rPr>
      <w:t>2</w:t>
    </w:r>
    <w:r w:rsidRPr="00F64900">
      <w:rPr>
        <w:b/>
        <w:sz w:val="18"/>
      </w:rPr>
      <w:fldChar w:fldCharType="end"/>
    </w:r>
    <w:r>
      <w:rPr>
        <w:b/>
        <w:sz w:val="18"/>
      </w:rPr>
      <w:tab/>
    </w:r>
    <w:r>
      <w:t>GE.13-42817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900" w:rsidRPr="00F64900" w:rsidRDefault="00F64900" w:rsidP="00F64900">
    <w:pPr>
      <w:pStyle w:val="Footer"/>
      <w:tabs>
        <w:tab w:val="right" w:pos="9638"/>
      </w:tabs>
      <w:rPr>
        <w:b/>
        <w:sz w:val="18"/>
      </w:rPr>
    </w:pPr>
    <w:r>
      <w:t>GE.13-42817</w:t>
    </w:r>
    <w:r>
      <w:tab/>
    </w:r>
    <w:r w:rsidRPr="00F64900">
      <w:rPr>
        <w:b/>
        <w:sz w:val="18"/>
      </w:rPr>
      <w:fldChar w:fldCharType="begin"/>
    </w:r>
    <w:r w:rsidRPr="00F64900">
      <w:rPr>
        <w:b/>
        <w:sz w:val="18"/>
      </w:rPr>
      <w:instrText xml:space="preserve"> PAGE  \* MERGEFORMAT </w:instrText>
    </w:r>
    <w:r w:rsidRPr="00F64900">
      <w:rPr>
        <w:b/>
        <w:sz w:val="18"/>
      </w:rPr>
      <w:fldChar w:fldCharType="separate"/>
    </w:r>
    <w:r w:rsidR="00D621A5">
      <w:rPr>
        <w:b/>
        <w:noProof/>
        <w:sz w:val="18"/>
      </w:rPr>
      <w:t>3</w:t>
    </w:r>
    <w:r w:rsidRPr="00F649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860" w:rsidRPr="00F64900" w:rsidRDefault="00F64900" w:rsidP="008675EF">
    <w:pPr>
      <w:pStyle w:val="Footer"/>
      <w:rPr>
        <w:sz w:val="20"/>
      </w:rPr>
    </w:pPr>
    <w:r>
      <w:rPr>
        <w:sz w:val="20"/>
      </w:rPr>
      <w:t>GE.</w:t>
    </w:r>
    <w:r w:rsidR="0074186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13-42817  (S)</w:t>
    </w:r>
    <w:r w:rsidR="005006E6">
      <w:rPr>
        <w:sz w:val="20"/>
      </w:rPr>
      <w:t xml:space="preserve">    270513    290513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EDF" w:rsidRPr="001075E9" w:rsidRDefault="000A7EDF" w:rsidP="001075E9">
      <w:pPr>
        <w:tabs>
          <w:tab w:val="right" w:pos="2155"/>
        </w:tabs>
        <w:spacing w:after="80" w:line="240" w:lineRule="auto"/>
        <w:ind w:left="680"/>
        <w:rPr>
          <w:u w:val="single"/>
        </w:rPr>
      </w:pPr>
      <w:r>
        <w:rPr>
          <w:u w:val="single"/>
        </w:rPr>
        <w:tab/>
      </w:r>
    </w:p>
  </w:footnote>
  <w:footnote w:type="continuationSeparator" w:id="0">
    <w:p w:rsidR="000A7EDF" w:rsidRDefault="000A7EDF">
      <w:r>
        <w:continuationSeparator/>
      </w:r>
    </w:p>
  </w:footnote>
  <w:footnote w:id="1">
    <w:p w:rsidR="00CC0698" w:rsidRPr="00552E31" w:rsidRDefault="00CC0698" w:rsidP="00CC0698">
      <w:pPr>
        <w:pStyle w:val="FootnoteText"/>
        <w:rPr>
          <w:sz w:val="20"/>
        </w:rPr>
      </w:pPr>
      <w:r>
        <w:tab/>
      </w:r>
      <w:r w:rsidRPr="00552E31">
        <w:rPr>
          <w:rStyle w:val="FootnoteReference"/>
          <w:sz w:val="20"/>
          <w:vertAlign w:val="baseline"/>
        </w:rPr>
        <w:t>*</w:t>
      </w:r>
      <w:r w:rsidRPr="00552E31">
        <w:tab/>
      </w:r>
      <w:r w:rsidRPr="003C04F4">
        <w:t>Aprobada por el Comité en su 62º período de sesiones (14 de enero a 1 de febrero de 2013).</w:t>
      </w:r>
    </w:p>
  </w:footnote>
  <w:footnote w:id="2">
    <w:p w:rsidR="00CC0698" w:rsidRPr="007F0C1F" w:rsidRDefault="00CC0698" w:rsidP="00CC0698">
      <w:pPr>
        <w:pStyle w:val="FootnoteText"/>
      </w:pPr>
      <w:r>
        <w:rPr>
          <w:rStyle w:val="FootnoteText"/>
        </w:rPr>
        <w:tab/>
      </w:r>
      <w:r w:rsidRPr="008049BB">
        <w:rPr>
          <w:vertAlign w:val="superscript"/>
        </w:rPr>
        <w:footnoteRef/>
      </w:r>
      <w:r>
        <w:rPr>
          <w:rStyle w:val="FootnoteText"/>
        </w:rPr>
        <w:tab/>
        <w:t xml:space="preserve">El artículo 24, párrafo 3, queda excluido, pues actualmente se está preparando una observación general sobre las prácticas perjudiciales. </w:t>
      </w:r>
    </w:p>
  </w:footnote>
  <w:footnote w:id="3">
    <w:p w:rsidR="00CC0698" w:rsidRPr="000A39EB" w:rsidRDefault="00CC0698" w:rsidP="00CC0698">
      <w:pPr>
        <w:pStyle w:val="FootnoteText"/>
      </w:pPr>
      <w:r>
        <w:rPr>
          <w:rStyle w:val="FootnoteText"/>
        </w:rPr>
        <w:tab/>
      </w:r>
      <w:r w:rsidRPr="008049BB">
        <w:rPr>
          <w:vertAlign w:val="superscript"/>
        </w:rPr>
        <w:footnoteRef/>
      </w:r>
      <w:r>
        <w:rPr>
          <w:rStyle w:val="FootnoteText"/>
        </w:rPr>
        <w:tab/>
        <w:t xml:space="preserve">Preámbulo a la Constitución de la Organización Mundial de la Salud (OMS), aprobada por la Conferencia Sanitaria Internacional, Nueva York, 22 de julio de 1946. </w:t>
      </w:r>
    </w:p>
  </w:footnote>
  <w:footnote w:id="4">
    <w:p w:rsidR="00CC0698" w:rsidRPr="000A39EB" w:rsidRDefault="00CC0698" w:rsidP="00CC0698">
      <w:pPr>
        <w:pStyle w:val="FootnoteText"/>
      </w:pPr>
      <w:r>
        <w:rPr>
          <w:rStyle w:val="FootnoteText"/>
        </w:rPr>
        <w:tab/>
      </w:r>
      <w:r w:rsidRPr="008049BB">
        <w:rPr>
          <w:vertAlign w:val="superscript"/>
        </w:rPr>
        <w:footnoteRef/>
      </w:r>
      <w:r>
        <w:rPr>
          <w:rStyle w:val="FootnoteText"/>
        </w:rPr>
        <w:tab/>
      </w:r>
      <w:r>
        <w:rPr>
          <w:rStyle w:val="FootnoteText"/>
          <w:color w:val="000000"/>
        </w:rPr>
        <w:t>Declaración de Alma-Ata, Conferencia Internacional sobre Atención Primaria de Salud, Alma-Ata, 6 a 12 de septiembre de 1978.</w:t>
      </w:r>
    </w:p>
  </w:footnote>
  <w:footnote w:id="5">
    <w:p w:rsidR="00CC0698" w:rsidRPr="000A39EB" w:rsidRDefault="00CC0698" w:rsidP="00CC0698">
      <w:pPr>
        <w:pStyle w:val="FootnoteText"/>
      </w:pPr>
      <w:r>
        <w:rPr>
          <w:rStyle w:val="FootnoteText"/>
        </w:rPr>
        <w:tab/>
      </w:r>
      <w:r w:rsidRPr="008049BB">
        <w:rPr>
          <w:vertAlign w:val="superscript"/>
        </w:rPr>
        <w:footnoteRef/>
      </w:r>
      <w:r>
        <w:rPr>
          <w:rStyle w:val="FootnoteText"/>
        </w:rPr>
        <w:tab/>
        <w:t>Asamblea Mundial de la Salud, Atención primaria de salud, incluido el fortalecimiento de los sistemas de salud, documento A62/8.</w:t>
      </w:r>
    </w:p>
  </w:footnote>
  <w:footnote w:id="6">
    <w:p w:rsidR="00CC0698" w:rsidRPr="00517D9B" w:rsidRDefault="00CC0698" w:rsidP="00CC0698">
      <w:pPr>
        <w:pStyle w:val="FootnoteText"/>
      </w:pPr>
      <w:r>
        <w:rPr>
          <w:rStyle w:val="FootnoteText"/>
        </w:rPr>
        <w:tab/>
      </w:r>
      <w:r w:rsidRPr="00E00F70">
        <w:rPr>
          <w:vertAlign w:val="superscript"/>
        </w:rPr>
        <w:footnoteRef/>
      </w:r>
      <w:r>
        <w:rPr>
          <w:rStyle w:val="FootnoteText"/>
        </w:rPr>
        <w:tab/>
        <w:t xml:space="preserve">Observación general Nº 4 (2003) sobre la salud y el desarrollo de los adolescentes en el contexto de la Convención sobre los Derechos del Niño, </w:t>
      </w:r>
      <w:r>
        <w:rPr>
          <w:rStyle w:val="FootnoteText"/>
          <w:i/>
        </w:rPr>
        <w:t>Documentos Oficiales de la Asamblea General, quincuagésimo noveno período de sesiones, Suplemento Nº 41</w:t>
      </w:r>
      <w:r>
        <w:rPr>
          <w:rStyle w:val="FootnoteText"/>
        </w:rPr>
        <w:t xml:space="preserve"> (A/59/41), anexo X, párr. 6. </w:t>
      </w:r>
    </w:p>
  </w:footnote>
  <w:footnote w:id="7">
    <w:p w:rsidR="00CC0698" w:rsidRPr="000A39EB" w:rsidRDefault="00CC0698" w:rsidP="00CC0698">
      <w:pPr>
        <w:pStyle w:val="FootnoteText"/>
        <w:rPr>
          <w:highlight w:val="yellow"/>
        </w:rPr>
      </w:pPr>
      <w:r>
        <w:rPr>
          <w:rStyle w:val="FootnoteText"/>
        </w:rPr>
        <w:tab/>
      </w:r>
      <w:r w:rsidRPr="00E00F70">
        <w:rPr>
          <w:vertAlign w:val="superscript"/>
        </w:rPr>
        <w:footnoteRef/>
      </w:r>
      <w:r>
        <w:rPr>
          <w:rStyle w:val="FootnoteText"/>
        </w:rPr>
        <w:tab/>
        <w:t xml:space="preserve">Observación general Nº 3 (2003) sobre el VIH/SIDA y los derechos del niño, </w:t>
      </w:r>
      <w:r>
        <w:rPr>
          <w:rStyle w:val="FootnoteText"/>
          <w:i/>
        </w:rPr>
        <w:t>Documentos Oficiales de la Asamblea General, quincuagésimo noveno período de sesiones, Suplemento Nº 41</w:t>
      </w:r>
      <w:r>
        <w:rPr>
          <w:rStyle w:val="FootnoteText"/>
        </w:rPr>
        <w:t xml:space="preserve"> (A/59/41), anexo IX. </w:t>
      </w:r>
    </w:p>
  </w:footnote>
  <w:footnote w:id="8">
    <w:p w:rsidR="00CC0698" w:rsidRPr="000A39EB" w:rsidRDefault="00CC0698" w:rsidP="00CC0698">
      <w:pPr>
        <w:pStyle w:val="FootnoteText"/>
        <w:rPr>
          <w:highlight w:val="yellow"/>
        </w:rPr>
      </w:pPr>
      <w:r>
        <w:rPr>
          <w:rStyle w:val="FootnoteText"/>
        </w:rPr>
        <w:tab/>
      </w:r>
      <w:r w:rsidRPr="00E00F70">
        <w:rPr>
          <w:vertAlign w:val="superscript"/>
        </w:rPr>
        <w:footnoteRef/>
      </w:r>
      <w:r>
        <w:rPr>
          <w:rStyle w:val="FootnoteText"/>
        </w:rPr>
        <w:tab/>
        <w:t xml:space="preserve">Observación general Nº 4 (2003) sobre la salud y el desarrollo de los adolescentes en el contexto de la Convención, </w:t>
      </w:r>
      <w:r>
        <w:rPr>
          <w:rStyle w:val="FootnoteText"/>
          <w:i/>
        </w:rPr>
        <w:t>Documentos Oficiales de la Asamblea General, quincuagésimo noveno período de sesiones, Suplemento Nº 41</w:t>
      </w:r>
      <w:r>
        <w:rPr>
          <w:rStyle w:val="FootnoteText"/>
        </w:rPr>
        <w:t xml:space="preserve"> (A/59/41), anexo X, párr. 10. </w:t>
      </w:r>
    </w:p>
  </w:footnote>
  <w:footnote w:id="9">
    <w:p w:rsidR="00CC0698" w:rsidRPr="000A39EB" w:rsidRDefault="00CC0698" w:rsidP="00CC0698">
      <w:pPr>
        <w:pStyle w:val="FootnoteText"/>
        <w:rPr>
          <w:highlight w:val="yellow"/>
        </w:rPr>
      </w:pPr>
      <w:r>
        <w:rPr>
          <w:rStyle w:val="FootnoteText"/>
        </w:rPr>
        <w:tab/>
      </w:r>
      <w:r w:rsidRPr="00473052">
        <w:rPr>
          <w:rStyle w:val="FootnoteReference"/>
        </w:rPr>
        <w:footnoteRef/>
      </w:r>
      <w:r>
        <w:rPr>
          <w:rStyle w:val="FootnoteText"/>
        </w:rPr>
        <w:tab/>
        <w:t xml:space="preserve">Véase la Observación general Nº 13 (2011) sobre el derecho del niño a no ser objeto de ninguna forma de violencia, </w:t>
      </w:r>
      <w:r>
        <w:rPr>
          <w:rStyle w:val="FootnoteText"/>
          <w:i/>
        </w:rPr>
        <w:t>Documentos Oficiales de la Asamblea General, sexagésimo séptimo período de sesiones, Suplemento Nº 41</w:t>
      </w:r>
      <w:r>
        <w:rPr>
          <w:rStyle w:val="FootnoteText"/>
        </w:rPr>
        <w:t xml:space="preserve"> (A/67/41), anexo V.</w:t>
      </w:r>
    </w:p>
  </w:footnote>
  <w:footnote w:id="10">
    <w:p w:rsidR="00CC0698" w:rsidRPr="00B96034" w:rsidRDefault="00CC0698" w:rsidP="00CC0698">
      <w:pPr>
        <w:pStyle w:val="FootnoteText"/>
      </w:pPr>
      <w:r>
        <w:rPr>
          <w:rStyle w:val="FootnoteText"/>
        </w:rPr>
        <w:tab/>
      </w:r>
      <w:r w:rsidRPr="00473052">
        <w:rPr>
          <w:vertAlign w:val="superscript"/>
        </w:rPr>
        <w:footnoteRef/>
      </w:r>
      <w:r>
        <w:rPr>
          <w:rStyle w:val="FootnoteText"/>
        </w:rPr>
        <w:tab/>
        <w:t xml:space="preserve">Véase Comité para la Eliminación de la Discriminación contra la Mujer, Recomendación general Nº 24 (1999) sobre la mujer y la salud, </w:t>
      </w:r>
      <w:r>
        <w:rPr>
          <w:rStyle w:val="FootnoteText"/>
          <w:i/>
        </w:rPr>
        <w:t>Documentos Oficiales de la Asamblea General, quincuagésimo cuarto período de sesiones, Suplemento Nº 38</w:t>
      </w:r>
      <w:r>
        <w:rPr>
          <w:rStyle w:val="FootnoteText"/>
        </w:rPr>
        <w:t xml:space="preserve"> (A/54/38/Rev.1), cap. I, secc. A. </w:t>
      </w:r>
    </w:p>
  </w:footnote>
  <w:footnote w:id="11">
    <w:p w:rsidR="00CC0698" w:rsidRPr="000A39EB" w:rsidRDefault="00CC0698" w:rsidP="00CC0698">
      <w:pPr>
        <w:pStyle w:val="FootnoteText"/>
      </w:pPr>
      <w:r>
        <w:rPr>
          <w:rStyle w:val="FootnoteText"/>
        </w:rPr>
        <w:tab/>
      </w:r>
      <w:r w:rsidRPr="00473052">
        <w:rPr>
          <w:vertAlign w:val="superscript"/>
        </w:rPr>
        <w:footnoteRef/>
      </w:r>
      <w:r>
        <w:rPr>
          <w:rStyle w:val="FootnoteText"/>
        </w:rPr>
        <w:tab/>
        <w:t xml:space="preserve">Véase la Observación general Nº 12 (2009) sobre el derecho del niño a ser escuchado, </w:t>
      </w:r>
      <w:r>
        <w:rPr>
          <w:rStyle w:val="FootnoteText"/>
          <w:i/>
        </w:rPr>
        <w:t>Documentos Oficiales de la Asamblea General, sexagésimo quinto período de sesiones, Suplemento Nº 41</w:t>
      </w:r>
      <w:r>
        <w:rPr>
          <w:rStyle w:val="FootnoteText"/>
        </w:rPr>
        <w:t xml:space="preserve"> (A/65/41), anexo IV.</w:t>
      </w:r>
    </w:p>
  </w:footnote>
  <w:footnote w:id="12">
    <w:p w:rsidR="00CC0698" w:rsidRPr="000A39EB" w:rsidRDefault="00CC0698" w:rsidP="00CC0698">
      <w:pPr>
        <w:pStyle w:val="FootnoteText"/>
      </w:pPr>
      <w:r>
        <w:rPr>
          <w:rStyle w:val="FootnoteText"/>
        </w:rPr>
        <w:tab/>
      </w:r>
      <w:r w:rsidRPr="000E1C3D">
        <w:rPr>
          <w:vertAlign w:val="superscript"/>
        </w:rPr>
        <w:footnoteRef/>
      </w:r>
      <w:r>
        <w:rPr>
          <w:rStyle w:val="FootnoteText"/>
        </w:rPr>
        <w:tab/>
        <w:t xml:space="preserve">Alianza para la Salud de la Madre, el Recién Nacido y el Niño, </w:t>
      </w:r>
      <w:r>
        <w:rPr>
          <w:rStyle w:val="FootnoteText"/>
          <w:i/>
        </w:rPr>
        <w:t>Examen mundial de las intervenciones fundamentales relacionadas con la salud reproductiva de la madre, el recién nacido y el niño</w:t>
      </w:r>
      <w:r>
        <w:rPr>
          <w:rStyle w:val="FootnoteText"/>
        </w:rPr>
        <w:t xml:space="preserve"> (Ginebra, 2011).</w:t>
      </w:r>
    </w:p>
  </w:footnote>
  <w:footnote w:id="13">
    <w:p w:rsidR="00CC0698" w:rsidRPr="000A39EB" w:rsidRDefault="00CC0698" w:rsidP="00CC0698">
      <w:pPr>
        <w:pStyle w:val="FootnoteText"/>
      </w:pPr>
      <w:r>
        <w:rPr>
          <w:rStyle w:val="FootnoteText"/>
        </w:rPr>
        <w:tab/>
      </w:r>
      <w:r w:rsidRPr="000E1C3D">
        <w:rPr>
          <w:vertAlign w:val="superscript"/>
        </w:rPr>
        <w:footnoteRef/>
      </w:r>
      <w:r>
        <w:rPr>
          <w:rStyle w:val="FootnoteText"/>
        </w:rPr>
        <w:tab/>
        <w:t>Resolución WHA65.4, aprobada el 25 de mayo de 2012 por la 65ª Asamblea Mundial de la Salud.</w:t>
      </w:r>
    </w:p>
  </w:footnote>
  <w:footnote w:id="14">
    <w:p w:rsidR="00A6279B" w:rsidRDefault="00A6279B" w:rsidP="00A6279B">
      <w:pPr>
        <w:pStyle w:val="FootnoteText"/>
        <w:widowControl w:val="0"/>
        <w:tabs>
          <w:tab w:val="clear" w:pos="1021"/>
          <w:tab w:val="right" w:pos="1020"/>
        </w:tabs>
        <w:suppressAutoHyphens/>
      </w:pPr>
      <w:r>
        <w:tab/>
      </w:r>
      <w:r>
        <w:rPr>
          <w:rStyle w:val="FootnoteReference"/>
        </w:rPr>
        <w:footnoteRef/>
      </w:r>
      <w:r>
        <w:tab/>
      </w:r>
      <w:r w:rsidRPr="00522AF6">
        <w:t xml:space="preserve">Véase Pacto Internacional de Derechos Económicos, Sociales y Culturales, art. 11, y Comité de Derechos Económicos, Sociales y Culturales, Observación general Nº 12 (1999) sobre el derecho a una alimentación adecuada, </w:t>
      </w:r>
      <w:r w:rsidRPr="00522AF6">
        <w:rPr>
          <w:i/>
        </w:rPr>
        <w:t xml:space="preserve">Documentos Oficiales del Consejo Económico y Social, 2011, Suplemento </w:t>
      </w:r>
      <w:r>
        <w:rPr>
          <w:i/>
        </w:rPr>
        <w:t>Nº</w:t>
      </w:r>
      <w:r w:rsidRPr="00522AF6">
        <w:rPr>
          <w:i/>
        </w:rPr>
        <w:t xml:space="preserve"> 2</w:t>
      </w:r>
      <w:r w:rsidRPr="00522AF6">
        <w:t xml:space="preserve"> (E/2000/22), anexo V.</w:t>
      </w:r>
    </w:p>
  </w:footnote>
  <w:footnote w:id="15">
    <w:p w:rsidR="00A6279B" w:rsidRDefault="00A6279B" w:rsidP="00A6279B">
      <w:pPr>
        <w:pStyle w:val="FootnoteText"/>
        <w:widowControl w:val="0"/>
        <w:tabs>
          <w:tab w:val="clear" w:pos="1021"/>
          <w:tab w:val="right" w:pos="1020"/>
        </w:tabs>
        <w:suppressAutoHyphens/>
      </w:pPr>
      <w:r>
        <w:tab/>
      </w:r>
      <w:r>
        <w:rPr>
          <w:rStyle w:val="FootnoteReference"/>
        </w:rPr>
        <w:footnoteRef/>
      </w:r>
      <w:r>
        <w:tab/>
      </w:r>
      <w:r w:rsidRPr="00522AF6">
        <w:t xml:space="preserve">Véase OMS y Fondo de las Naciones Unidas para la Infancia (UNICEF), </w:t>
      </w:r>
      <w:r w:rsidRPr="00522AF6">
        <w:rPr>
          <w:i/>
        </w:rPr>
        <w:t>Estrategia Mundial para la Alimentación del Lactante y del Niño Pequeño</w:t>
      </w:r>
      <w:r w:rsidRPr="00522AF6">
        <w:t xml:space="preserve"> (Ginebra, 2003).</w:t>
      </w:r>
    </w:p>
  </w:footnote>
  <w:footnote w:id="16">
    <w:p w:rsidR="00A6279B" w:rsidRDefault="00A6279B" w:rsidP="00A6279B">
      <w:pPr>
        <w:pStyle w:val="FootnoteText"/>
        <w:widowControl w:val="0"/>
        <w:tabs>
          <w:tab w:val="clear" w:pos="1021"/>
          <w:tab w:val="right" w:pos="1020"/>
        </w:tabs>
        <w:suppressAutoHyphens/>
      </w:pPr>
      <w:r>
        <w:tab/>
      </w:r>
      <w:r>
        <w:rPr>
          <w:rStyle w:val="FootnoteReference"/>
        </w:rPr>
        <w:footnoteRef/>
      </w:r>
      <w:r>
        <w:tab/>
      </w:r>
      <w:r w:rsidRPr="00522AF6">
        <w:t>Resolución 64/292 de la Asamblea General, relativa al derecho humano al agua y el saneamiento.</w:t>
      </w:r>
    </w:p>
  </w:footnote>
  <w:footnote w:id="17">
    <w:p w:rsidR="00A6279B" w:rsidRDefault="00A6279B" w:rsidP="00A6279B">
      <w:pPr>
        <w:pStyle w:val="FootnoteText"/>
        <w:widowControl w:val="0"/>
        <w:tabs>
          <w:tab w:val="clear" w:pos="1021"/>
          <w:tab w:val="right" w:pos="1020"/>
        </w:tabs>
        <w:suppressAutoHyphens/>
      </w:pPr>
      <w:r>
        <w:tab/>
      </w:r>
      <w:r>
        <w:rPr>
          <w:rStyle w:val="FootnoteReference"/>
        </w:rPr>
        <w:footnoteRef/>
      </w:r>
      <w:r>
        <w:tab/>
      </w:r>
      <w:r w:rsidRPr="00522AF6">
        <w:t xml:space="preserve">UNICEF/OMS, iniciativa </w:t>
      </w:r>
      <w:r>
        <w:t>"</w:t>
      </w:r>
      <w:r w:rsidRPr="00522AF6">
        <w:t>Hospitales amigos del niño</w:t>
      </w:r>
      <w:r>
        <w:t>"</w:t>
      </w:r>
      <w:r w:rsidRPr="00522AF6">
        <w:t xml:space="preserve"> (1991).</w:t>
      </w:r>
    </w:p>
  </w:footnote>
  <w:footnote w:id="18">
    <w:p w:rsidR="00A6279B" w:rsidRDefault="00A6279B" w:rsidP="00A6279B">
      <w:pPr>
        <w:pStyle w:val="FootnoteText"/>
        <w:widowControl w:val="0"/>
        <w:tabs>
          <w:tab w:val="clear" w:pos="1021"/>
          <w:tab w:val="right" w:pos="1020"/>
        </w:tabs>
        <w:suppressAutoHyphens/>
      </w:pPr>
      <w:r>
        <w:tab/>
      </w:r>
      <w:r>
        <w:rPr>
          <w:rStyle w:val="FootnoteReference"/>
        </w:rPr>
        <w:footnoteRef/>
      </w:r>
      <w:r>
        <w:tab/>
      </w:r>
      <w:r w:rsidRPr="005C3723">
        <w:t>Convención Única de las Naciones Unidas sobre Estupefacientes de 1961; Convenio sobre Sustancias Sicotrópicas de 1971; Convención de las Naciones Unidas contra el Tráfico Ilícito de Estupefacientes y Sustancias Sicotrópicas de 1988.</w:t>
      </w:r>
    </w:p>
  </w:footnote>
  <w:footnote w:id="19">
    <w:p w:rsidR="00A6279B" w:rsidRDefault="00A6279B" w:rsidP="00A6279B">
      <w:pPr>
        <w:pStyle w:val="FootnoteText"/>
        <w:widowControl w:val="0"/>
        <w:tabs>
          <w:tab w:val="clear" w:pos="1021"/>
          <w:tab w:val="right" w:pos="1020"/>
        </w:tabs>
        <w:suppressAutoHyphens/>
      </w:pPr>
      <w:r>
        <w:tab/>
      </w:r>
      <w:r>
        <w:rPr>
          <w:rStyle w:val="FootnoteReference"/>
        </w:rPr>
        <w:footnoteRef/>
      </w:r>
      <w:r>
        <w:tab/>
      </w:r>
      <w:r w:rsidRPr="005C3723">
        <w:t xml:space="preserve">Observación general Nº 8 (2006) sobre el derecho del niño a la protección contra los castigos corporales y otras formas de castigo crueles o degradantes, </w:t>
      </w:r>
      <w:r w:rsidRPr="005C3723">
        <w:rPr>
          <w:i/>
        </w:rPr>
        <w:t xml:space="preserve">Documentos Oficiales de la Asamblea General, sexagésimo tercer período de sesiones, Suplemento </w:t>
      </w:r>
      <w:r>
        <w:rPr>
          <w:i/>
        </w:rPr>
        <w:t>Nº</w:t>
      </w:r>
      <w:r w:rsidRPr="005C3723">
        <w:rPr>
          <w:i/>
        </w:rPr>
        <w:t xml:space="preserve"> 41</w:t>
      </w:r>
      <w:r w:rsidRPr="005C3723">
        <w:t xml:space="preserve"> (A/63/41), anexo II.</w:t>
      </w:r>
    </w:p>
  </w:footnote>
  <w:footnote w:id="20">
    <w:p w:rsidR="00A6279B" w:rsidRDefault="00A6279B" w:rsidP="00A6279B">
      <w:pPr>
        <w:pStyle w:val="FootnoteText"/>
        <w:widowControl w:val="0"/>
        <w:tabs>
          <w:tab w:val="clear" w:pos="1021"/>
          <w:tab w:val="right" w:pos="1020"/>
        </w:tabs>
        <w:suppressAutoHyphens/>
      </w:pPr>
      <w:r>
        <w:tab/>
      </w:r>
      <w:r>
        <w:rPr>
          <w:rStyle w:val="FootnoteReference"/>
        </w:rPr>
        <w:footnoteRef/>
      </w:r>
      <w:r>
        <w:tab/>
      </w:r>
      <w:r w:rsidRPr="005C3723">
        <w:t>Véase también la resolución 15/22 del Consejo de Derechos Humanos sobre el derecho de toda persona al disfrute del más alto nivel posible de salud física y mental.</w:t>
      </w:r>
    </w:p>
  </w:footnote>
  <w:footnote w:id="21">
    <w:p w:rsidR="00A6279B" w:rsidRPr="00614825" w:rsidRDefault="00A6279B" w:rsidP="00A6279B">
      <w:pPr>
        <w:pStyle w:val="FootnoteText"/>
        <w:widowControl w:val="0"/>
        <w:tabs>
          <w:tab w:val="clear" w:pos="1021"/>
          <w:tab w:val="right" w:pos="1020"/>
        </w:tabs>
        <w:rPr>
          <w:lang w:val="en-US"/>
        </w:rPr>
      </w:pPr>
      <w:r>
        <w:rPr/>
        <w:tab/>
      </w:r>
      <w:r>
        <w:rPr>
          <w:rStyle w:val="FootnoteReference"/>
        </w:rPr>
        <w:footnoteRef/>
      </w:r>
      <w:r w:rsidRPr="00614825">
        <w:rPr>
          <w:lang w:val="en-US"/>
        </w:rPr>
        <w:tab/>
        <w:t>Council for International Organizations of Medical Sciences/OMS, Ginebra, 1993.</w:t>
      </w:r>
    </w:p>
  </w:footnote>
  <w:footnote w:id="22">
    <w:p w:rsidR="00A6279B" w:rsidRDefault="00A6279B" w:rsidP="00A6279B">
      <w:pPr>
        <w:pStyle w:val="FootnoteText"/>
        <w:widowControl w:val="0"/>
        <w:tabs>
          <w:tab w:val="clear" w:pos="1021"/>
          <w:tab w:val="right" w:pos="1020"/>
        </w:tabs>
        <w:suppressAutoHyphens/>
      </w:pPr>
      <w:r w:rsidRPr="00BC5DEE">
        <w:rPr>
          <w:lang w:val="en-GB"/>
        </w:rPr>
        <w:tab/>
      </w:r>
      <w:r>
        <w:rPr>
          <w:rStyle w:val="FootnoteReference"/>
        </w:rPr>
        <w:footnoteRef/>
      </w:r>
      <w:r>
        <w:tab/>
      </w:r>
      <w:r w:rsidRPr="00BC5DEE">
        <w:t xml:space="preserve">Véase la Observación general Nº 2 (2002) sobre el papel de las instituciones nacionales independientes de derechos humanos en la promoción y protección de los derechos del niño, </w:t>
      </w:r>
      <w:r w:rsidRPr="00BC5DEE">
        <w:rPr>
          <w:i/>
        </w:rPr>
        <w:t xml:space="preserve">Documentos Oficiales de la Asamblea General, quincuagésimo noveno período de sesiones, Suplemento </w:t>
      </w:r>
      <w:r>
        <w:rPr>
          <w:i/>
        </w:rPr>
        <w:t>Nº</w:t>
      </w:r>
      <w:r w:rsidRPr="00BC5DEE">
        <w:rPr>
          <w:i/>
        </w:rPr>
        <w:t xml:space="preserve"> 41</w:t>
      </w:r>
      <w:r w:rsidRPr="00BC5DEE">
        <w:t xml:space="preserve"> (A/59/41), anexo VIII.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900" w:rsidRPr="00F64900" w:rsidRDefault="00F64900">
    <w:pPr>
      <w:pStyle w:val="Header"/>
    </w:pPr>
    <w:r>
      <w:t>CRC/C/GC/15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900" w:rsidRPr="00F64900" w:rsidRDefault="00F64900" w:rsidP="00F64900">
    <w:pPr>
      <w:pStyle w:val="Header"/>
      <w:jc w:val="right"/>
    </w:pPr>
    <w:r>
      <w:t>CRC/C/GC/15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1860"/>
    <w:rsid w:val="00002131"/>
    <w:rsid w:val="00033EE1"/>
    <w:rsid w:val="00047484"/>
    <w:rsid w:val="0005455D"/>
    <w:rsid w:val="00056631"/>
    <w:rsid w:val="000A7EDF"/>
    <w:rsid w:val="000B57E7"/>
    <w:rsid w:val="000C012D"/>
    <w:rsid w:val="000F09DF"/>
    <w:rsid w:val="000F61B2"/>
    <w:rsid w:val="001075E9"/>
    <w:rsid w:val="00107F26"/>
    <w:rsid w:val="001256EA"/>
    <w:rsid w:val="00154916"/>
    <w:rsid w:val="00161852"/>
    <w:rsid w:val="00180183"/>
    <w:rsid w:val="0018649F"/>
    <w:rsid w:val="00196389"/>
    <w:rsid w:val="001B512E"/>
    <w:rsid w:val="001B5FFA"/>
    <w:rsid w:val="001C7A89"/>
    <w:rsid w:val="00220F72"/>
    <w:rsid w:val="00240004"/>
    <w:rsid w:val="00260ADA"/>
    <w:rsid w:val="002931F6"/>
    <w:rsid w:val="002A2EFC"/>
    <w:rsid w:val="002C0E18"/>
    <w:rsid w:val="002D5AAC"/>
    <w:rsid w:val="00301299"/>
    <w:rsid w:val="00322004"/>
    <w:rsid w:val="003402C2"/>
    <w:rsid w:val="00381C24"/>
    <w:rsid w:val="003958D0"/>
    <w:rsid w:val="003B00E5"/>
    <w:rsid w:val="00414A16"/>
    <w:rsid w:val="004218E1"/>
    <w:rsid w:val="00427F10"/>
    <w:rsid w:val="00454E07"/>
    <w:rsid w:val="004D45DB"/>
    <w:rsid w:val="004F384D"/>
    <w:rsid w:val="005006E6"/>
    <w:rsid w:val="0050108D"/>
    <w:rsid w:val="00536DF4"/>
    <w:rsid w:val="005511E3"/>
    <w:rsid w:val="00572E19"/>
    <w:rsid w:val="005C43E4"/>
    <w:rsid w:val="005D7179"/>
    <w:rsid w:val="005F0B42"/>
    <w:rsid w:val="005F2AD1"/>
    <w:rsid w:val="006B3A76"/>
    <w:rsid w:val="006C56D3"/>
    <w:rsid w:val="006F35EE"/>
    <w:rsid w:val="006F7B0F"/>
    <w:rsid w:val="007021FF"/>
    <w:rsid w:val="00741860"/>
    <w:rsid w:val="00757357"/>
    <w:rsid w:val="007602FF"/>
    <w:rsid w:val="007A059A"/>
    <w:rsid w:val="007E16A7"/>
    <w:rsid w:val="007F4281"/>
    <w:rsid w:val="008136D8"/>
    <w:rsid w:val="00834B71"/>
    <w:rsid w:val="008607F0"/>
    <w:rsid w:val="0086445C"/>
    <w:rsid w:val="00867322"/>
    <w:rsid w:val="008675EF"/>
    <w:rsid w:val="008A08D7"/>
    <w:rsid w:val="008A6CB1"/>
    <w:rsid w:val="008C2B1A"/>
    <w:rsid w:val="008C76ED"/>
    <w:rsid w:val="008E1429"/>
    <w:rsid w:val="00906890"/>
    <w:rsid w:val="00951972"/>
    <w:rsid w:val="009C646E"/>
    <w:rsid w:val="00A43957"/>
    <w:rsid w:val="00A6279B"/>
    <w:rsid w:val="00A62C30"/>
    <w:rsid w:val="00A70294"/>
    <w:rsid w:val="00A917B3"/>
    <w:rsid w:val="00A97C80"/>
    <w:rsid w:val="00AB4B51"/>
    <w:rsid w:val="00AE0CB8"/>
    <w:rsid w:val="00B10CC7"/>
    <w:rsid w:val="00B62458"/>
    <w:rsid w:val="00B8687E"/>
    <w:rsid w:val="00BD33EE"/>
    <w:rsid w:val="00C60F0C"/>
    <w:rsid w:val="00C67843"/>
    <w:rsid w:val="00C805C9"/>
    <w:rsid w:val="00C82E25"/>
    <w:rsid w:val="00CA07FE"/>
    <w:rsid w:val="00CA1679"/>
    <w:rsid w:val="00CC0698"/>
    <w:rsid w:val="00CF6E64"/>
    <w:rsid w:val="00D15EAE"/>
    <w:rsid w:val="00D318C7"/>
    <w:rsid w:val="00D33D63"/>
    <w:rsid w:val="00D621A5"/>
    <w:rsid w:val="00D83653"/>
    <w:rsid w:val="00D90138"/>
    <w:rsid w:val="00DD299D"/>
    <w:rsid w:val="00DF63E3"/>
    <w:rsid w:val="00E23796"/>
    <w:rsid w:val="00E73F76"/>
    <w:rsid w:val="00EF1360"/>
    <w:rsid w:val="00EF3220"/>
    <w:rsid w:val="00F23FB6"/>
    <w:rsid w:val="00F323C5"/>
    <w:rsid w:val="00F64900"/>
    <w:rsid w:val="00F80811"/>
    <w:rsid w:val="00F94155"/>
    <w:rsid w:val="00FB2D3D"/>
    <w:rsid w:val="00FC32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CC0698"/>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27</Pages>
  <Words>13532</Words>
  <Characters>71996</Characters>
  <Application>Microsoft Office Outlook</Application>
  <DocSecurity>4</DocSecurity>
  <Lines>1107</Lines>
  <Paragraphs>266</Paragraphs>
  <ScaleCrop>false</ScaleCrop>
  <HeadingPairs>
    <vt:vector size="2" baseType="variant">
      <vt:variant>
        <vt:lpstr>Título</vt:lpstr>
      </vt:variant>
      <vt:variant>
        <vt:i4>1</vt:i4>
      </vt:variant>
    </vt:vector>
  </HeadingPairs>
  <TitlesOfParts>
    <vt:vector size="1" baseType="lpstr">
      <vt:lpstr>CRC/C/GC/15</vt:lpstr>
    </vt:vector>
  </TitlesOfParts>
  <Company/>
  <LinksUpToDate>false</LinksUpToDate>
  <CharactersWithSpaces>85262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CRC/C/GC/15</dc:title>
  <dc:subject>13-42817 (FINAL)</dc:subject>
  <dc:creator>Ruth</dc:creator>
  <cp:keywords/>
  <dc:description/>
  <cp:lastModifiedBy>Ruth</cp:lastModifiedBy>
  <cp:revision>2</cp:revision>
  <cp:lastPrinted>2013-05-29T08:14:00Z</cp:lastPrinted>
  <dcterms:created xsi:type="dcterms:W3CDTF">2013-05-29T11:14:00Z</dcterms:created>
  <dcterms:modified xsi:type="dcterms:W3CDTF">2013-05-29T11:14:00Z</dcterms:modified>
</cp:coreProperties>
</file>