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B616AFF" w14:textId="77777777" w:rsidTr="00C01462">
        <w:trPr>
          <w:cantSplit/>
          <w:trHeight w:hRule="exact" w:val="851"/>
        </w:trPr>
        <w:tc>
          <w:tcPr>
            <w:tcW w:w="1276" w:type="dxa"/>
            <w:tcBorders>
              <w:bottom w:val="single" w:sz="4" w:space="0" w:color="auto"/>
            </w:tcBorders>
            <w:vAlign w:val="bottom"/>
          </w:tcPr>
          <w:p w14:paraId="2CC74421" w14:textId="77777777" w:rsidR="00307688" w:rsidRPr="007233F9" w:rsidRDefault="00307688" w:rsidP="007233F9">
            <w:pPr>
              <w:pStyle w:val="SingleTxtG"/>
            </w:pPr>
          </w:p>
        </w:tc>
        <w:tc>
          <w:tcPr>
            <w:tcW w:w="2268" w:type="dxa"/>
            <w:tcBorders>
              <w:bottom w:val="single" w:sz="4" w:space="0" w:color="auto"/>
            </w:tcBorders>
            <w:vAlign w:val="bottom"/>
          </w:tcPr>
          <w:p w14:paraId="738D656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770758" w14:textId="77777777" w:rsidR="00307688" w:rsidRPr="002E51B7" w:rsidRDefault="000F6182" w:rsidP="000F6182">
            <w:pPr>
              <w:suppressAutoHyphens w:val="0"/>
              <w:spacing w:after="20"/>
              <w:jc w:val="right"/>
            </w:pPr>
            <w:r w:rsidRPr="000F6182">
              <w:rPr>
                <w:sz w:val="40"/>
              </w:rPr>
              <w:t>CERD</w:t>
            </w:r>
            <w:r>
              <w:t>/C/BHR/Q/8-14</w:t>
            </w:r>
          </w:p>
        </w:tc>
      </w:tr>
      <w:tr w:rsidR="00307688" w14:paraId="1BB3CE29" w14:textId="77777777" w:rsidTr="00C01462">
        <w:trPr>
          <w:cantSplit/>
          <w:trHeight w:hRule="exact" w:val="2835"/>
        </w:trPr>
        <w:tc>
          <w:tcPr>
            <w:tcW w:w="1276" w:type="dxa"/>
            <w:tcBorders>
              <w:top w:val="single" w:sz="4" w:space="0" w:color="auto"/>
              <w:bottom w:val="single" w:sz="12" w:space="0" w:color="auto"/>
            </w:tcBorders>
          </w:tcPr>
          <w:p w14:paraId="6352A308" w14:textId="77777777" w:rsidR="00307688" w:rsidRDefault="00307688" w:rsidP="00C01462">
            <w:pPr>
              <w:spacing w:before="120"/>
              <w:jc w:val="center"/>
            </w:pPr>
            <w:r>
              <w:rPr>
                <w:noProof/>
                <w:lang w:eastAsia="en-GB"/>
              </w:rPr>
              <w:drawing>
                <wp:inline distT="0" distB="0" distL="0" distR="0" wp14:anchorId="45C8A6ED" wp14:editId="3DB8B51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9D0A80" w14:textId="5A336912" w:rsidR="00307688" w:rsidRDefault="00307688" w:rsidP="00F951D5">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14A8A4F2" w14:textId="77777777" w:rsidR="00307688" w:rsidRDefault="000F6182" w:rsidP="000F6182">
            <w:pPr>
              <w:spacing w:before="240"/>
            </w:pPr>
            <w:r>
              <w:t>Distr.: General</w:t>
            </w:r>
          </w:p>
          <w:p w14:paraId="24CCA697" w14:textId="77777777" w:rsidR="000F6182" w:rsidRDefault="000F6182" w:rsidP="000F6182">
            <w:pPr>
              <w:suppressAutoHyphens w:val="0"/>
            </w:pPr>
            <w:r>
              <w:t>28 September 2021</w:t>
            </w:r>
          </w:p>
          <w:p w14:paraId="5A1FBE0E" w14:textId="77777777" w:rsidR="000F6182" w:rsidRDefault="000F6182" w:rsidP="000F6182">
            <w:pPr>
              <w:suppressAutoHyphens w:val="0"/>
            </w:pPr>
          </w:p>
          <w:p w14:paraId="595DF3CB" w14:textId="77777777" w:rsidR="000F6182" w:rsidRDefault="000F6182" w:rsidP="000F6182">
            <w:pPr>
              <w:suppressAutoHyphens w:val="0"/>
            </w:pPr>
            <w:r>
              <w:t>Original: English</w:t>
            </w:r>
          </w:p>
          <w:p w14:paraId="0ECAF8B4" w14:textId="51708501" w:rsidR="000F6182" w:rsidRDefault="000F6182" w:rsidP="000F6182">
            <w:pPr>
              <w:suppressAutoHyphens w:val="0"/>
            </w:pPr>
            <w:r w:rsidRPr="00BA49D7">
              <w:t>Arabic, English, French and Spanish only</w:t>
            </w:r>
          </w:p>
        </w:tc>
      </w:tr>
    </w:tbl>
    <w:p w14:paraId="4A1CFC81" w14:textId="77777777" w:rsidR="000F6182" w:rsidRDefault="000F6182" w:rsidP="000F6182">
      <w:pPr>
        <w:spacing w:before="120"/>
        <w:rPr>
          <w:b/>
          <w:bCs/>
          <w:sz w:val="24"/>
          <w:szCs w:val="24"/>
        </w:rPr>
      </w:pPr>
      <w:r>
        <w:rPr>
          <w:b/>
          <w:bCs/>
          <w:sz w:val="24"/>
          <w:szCs w:val="24"/>
          <w:lang w:val="en-US"/>
        </w:rPr>
        <w:t>Committee on the Elimination of Racial Discrimination</w:t>
      </w:r>
    </w:p>
    <w:p w14:paraId="550FC3C5" w14:textId="77777777" w:rsidR="000F6182" w:rsidRDefault="000F6182" w:rsidP="000F6182">
      <w:pPr>
        <w:rPr>
          <w:b/>
          <w:bCs/>
        </w:rPr>
      </w:pPr>
      <w:r>
        <w:rPr>
          <w:rFonts w:eastAsia="Arial Unicode MS" w:cs="Arial Unicode MS"/>
          <w:b/>
          <w:bCs/>
          <w:lang w:val="en-US"/>
        </w:rPr>
        <w:t>105</w:t>
      </w:r>
      <w:r w:rsidRPr="00960972">
        <w:rPr>
          <w:rFonts w:eastAsia="Arial Unicode MS" w:cs="Arial Unicode MS"/>
          <w:b/>
          <w:bCs/>
          <w:lang w:val="en-US"/>
        </w:rPr>
        <w:t>th</w:t>
      </w:r>
      <w:r>
        <w:rPr>
          <w:rFonts w:eastAsia="Arial Unicode MS" w:cs="Arial Unicode MS"/>
          <w:b/>
          <w:bCs/>
          <w:lang w:val="en-US"/>
        </w:rPr>
        <w:t xml:space="preserve"> session</w:t>
      </w:r>
    </w:p>
    <w:p w14:paraId="58D62D6A" w14:textId="5F9461D2" w:rsidR="000F6182" w:rsidRDefault="000F6182" w:rsidP="000F6182">
      <w:r>
        <w:rPr>
          <w:rFonts w:eastAsia="Arial Unicode MS" w:cs="Arial Unicode MS"/>
        </w:rPr>
        <w:t>15 November–3 December 2021</w:t>
      </w:r>
    </w:p>
    <w:p w14:paraId="2B9914F9" w14:textId="77777777" w:rsidR="000F6182" w:rsidRDefault="000F6182" w:rsidP="000F6182">
      <w:pPr>
        <w:rPr>
          <w:rFonts w:eastAsia="Arial Unicode MS" w:cs="Arial Unicode MS"/>
          <w:lang w:val="en-US"/>
        </w:rPr>
      </w:pPr>
      <w:r>
        <w:rPr>
          <w:rFonts w:eastAsia="Arial Unicode MS" w:cs="Arial Unicode MS"/>
          <w:lang w:val="en-US"/>
        </w:rPr>
        <w:t>Item 4 of the provisional agenda</w:t>
      </w:r>
    </w:p>
    <w:p w14:paraId="2AC669A7" w14:textId="4AF2297A" w:rsidR="000F6182" w:rsidRDefault="000F6182" w:rsidP="000F6182">
      <w:pPr>
        <w:rPr>
          <w:b/>
          <w:bCs/>
          <w:lang w:val="en-US"/>
        </w:rPr>
      </w:pPr>
      <w:r>
        <w:rPr>
          <w:b/>
        </w:rPr>
        <w:t>Consideration of reports, comments and information submitted</w:t>
      </w:r>
      <w:r>
        <w:rPr>
          <w:b/>
        </w:rPr>
        <w:br/>
        <w:t>by States parties under article 9 of the Convention</w:t>
      </w:r>
    </w:p>
    <w:p w14:paraId="18CFF34D" w14:textId="77777777" w:rsidR="000F6182" w:rsidRDefault="000F6182" w:rsidP="000F6182">
      <w:pPr>
        <w:pStyle w:val="HChG"/>
      </w:pPr>
      <w:r>
        <w:rPr>
          <w:rFonts w:eastAsia="Arial Unicode MS" w:cs="Arial Unicode MS"/>
        </w:rPr>
        <w:tab/>
      </w:r>
      <w:r>
        <w:rPr>
          <w:rFonts w:eastAsia="Arial Unicode MS" w:cs="Arial Unicode MS"/>
        </w:rPr>
        <w:tab/>
        <w:t>List of themes in relation to the combined eighth to fourteenth periodic reports of Bahrain</w:t>
      </w:r>
    </w:p>
    <w:p w14:paraId="7CB59D52" w14:textId="77777777" w:rsidR="000F6182" w:rsidRDefault="000F6182" w:rsidP="000F6182">
      <w:pPr>
        <w:pStyle w:val="H1G"/>
      </w:pPr>
      <w:r>
        <w:rPr>
          <w:rFonts w:eastAsia="Arial Unicode MS" w:cs="Arial Unicode MS"/>
        </w:rPr>
        <w:tab/>
      </w:r>
      <w:r>
        <w:rPr>
          <w:rFonts w:eastAsia="Arial Unicode MS" w:cs="Arial Unicode MS"/>
        </w:rPr>
        <w:tab/>
        <w:t>Note by the Country Rapporteur</w:t>
      </w:r>
      <w:r w:rsidRPr="000F6182">
        <w:rPr>
          <w:rStyle w:val="FootnoteReference"/>
          <w:rFonts w:eastAsia="Arial Unicode MS"/>
          <w:b w:val="0"/>
          <w:bCs/>
          <w:sz w:val="20"/>
          <w:vertAlign w:val="baseline"/>
        </w:rPr>
        <w:footnoteReference w:customMarkFollows="1" w:id="1"/>
        <w:t>*</w:t>
      </w:r>
    </w:p>
    <w:p w14:paraId="5E615683" w14:textId="7D71C185"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1.</w:t>
      </w:r>
      <w:r>
        <w:rPr>
          <w:color w:val="000000" w:themeColor="text1"/>
        </w:rPr>
        <w:tab/>
      </w:r>
      <w:r w:rsidR="000F6182">
        <w:t>The Committee on the Elimination of Racial Discrimination decided at its seventy-sixth session (A/65/18, para.</w:t>
      </w:r>
      <w:r w:rsidR="00552C8F">
        <w:t xml:space="preserve"> </w:t>
      </w:r>
      <w:r w:rsidR="000F6182">
        <w:t>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5740C604" w14:textId="18940525" w:rsidR="000F6182" w:rsidRDefault="000F6182" w:rsidP="000F6182">
      <w:pPr>
        <w:pStyle w:val="H23G"/>
      </w:pPr>
      <w:r>
        <w:rPr>
          <w:rFonts w:eastAsia="Arial Unicode MS" w:cs="Arial Unicode MS"/>
        </w:rPr>
        <w:tab/>
      </w:r>
      <w:r>
        <w:rPr>
          <w:rFonts w:eastAsia="Arial Unicode MS" w:cs="Arial Unicode MS"/>
        </w:rPr>
        <w:tab/>
        <w:t xml:space="preserve">The Convention in domestic law and the institutional and policy framework for its implementation (arts. </w:t>
      </w:r>
      <w:r>
        <w:rPr>
          <w:rFonts w:eastAsia="Arial Unicode MS" w:cs="Arial Unicode MS"/>
          <w:u w:color="FF0000"/>
        </w:rPr>
        <w:t>1</w:t>
      </w:r>
      <w:r>
        <w:rPr>
          <w:rFonts w:eastAsia="Arial Unicode MS" w:cs="Arial Unicode MS"/>
        </w:rPr>
        <w:t>, 2</w:t>
      </w:r>
      <w:r>
        <w:rPr>
          <w:rFonts w:eastAsia="Arial Unicode MS" w:cs="Arial Unicode MS"/>
          <w:u w:color="FF0000"/>
        </w:rPr>
        <w:t xml:space="preserve"> </w:t>
      </w:r>
      <w:r>
        <w:rPr>
          <w:rFonts w:eastAsia="Arial Unicode MS" w:cs="Arial Unicode MS"/>
        </w:rPr>
        <w:t xml:space="preserve">and </w:t>
      </w:r>
      <w:r>
        <w:rPr>
          <w:rFonts w:eastAsia="Arial Unicode MS" w:cs="Arial Unicode MS"/>
          <w:u w:color="FF0000"/>
        </w:rPr>
        <w:t>4</w:t>
      </w:r>
      <w:r>
        <w:rPr>
          <w:rFonts w:eastAsia="Arial Unicode MS" w:cs="Arial Unicode MS"/>
        </w:rPr>
        <w:t>)</w:t>
      </w:r>
    </w:p>
    <w:p w14:paraId="6AF96CE7" w14:textId="29B770DE"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2.</w:t>
      </w:r>
      <w:r>
        <w:rPr>
          <w:color w:val="000000" w:themeColor="text1"/>
        </w:rPr>
        <w:tab/>
      </w:r>
      <w:r w:rsidR="000F6182">
        <w:t>E</w:t>
      </w:r>
      <w:r w:rsidR="000F6182" w:rsidRPr="00795066">
        <w:t xml:space="preserve">xamples of cases where the Convention has been invoked by domestic courts; </w:t>
      </w:r>
      <w:r w:rsidR="000F6182">
        <w:t>u</w:t>
      </w:r>
      <w:r w:rsidR="000F6182" w:rsidRPr="00C17730">
        <w:t>pdated</w:t>
      </w:r>
      <w:r w:rsidR="000F6182" w:rsidRPr="00795066">
        <w:t xml:space="preserve"> information on measures taken to increase the visibility of the Convention among the population</w:t>
      </w:r>
      <w:r w:rsidR="000F6182">
        <w:t>,</w:t>
      </w:r>
      <w:r w:rsidR="000F6182" w:rsidRPr="00795066">
        <w:t xml:space="preserve"> and </w:t>
      </w:r>
      <w:r w:rsidR="000F6182">
        <w:t>on their</w:t>
      </w:r>
      <w:r w:rsidR="000F6182" w:rsidRPr="00795066">
        <w:t xml:space="preserve"> impact (</w:t>
      </w:r>
      <w:r w:rsidR="000F6182">
        <w:t>CERD/C/BHR/QPR/8-14</w:t>
      </w:r>
      <w:r w:rsidR="000F6182" w:rsidRPr="00795066">
        <w:t xml:space="preserve">, para. </w:t>
      </w:r>
      <w:r w:rsidR="000F6182">
        <w:rPr>
          <w:u w:color="FF0000"/>
          <w:lang w:val="es-ES_tradnl"/>
        </w:rPr>
        <w:t>2</w:t>
      </w:r>
      <w:r w:rsidR="000F6182">
        <w:rPr>
          <w:lang w:val="es-ES_tradnl"/>
        </w:rPr>
        <w:t xml:space="preserve">; CERD/C/BHR/8-14, paras. </w:t>
      </w:r>
      <w:r w:rsidR="000F6182">
        <w:rPr>
          <w:u w:color="FF0000"/>
        </w:rPr>
        <w:t>2–8</w:t>
      </w:r>
      <w:r w:rsidR="000F6182">
        <w:t>).</w:t>
      </w:r>
    </w:p>
    <w:p w14:paraId="7DD3D7DE" w14:textId="054E58F5"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3.</w:t>
      </w:r>
      <w:r>
        <w:rPr>
          <w:color w:val="000000" w:themeColor="text1"/>
        </w:rPr>
        <w:tab/>
      </w:r>
      <w:r w:rsidR="000F6182">
        <w:t xml:space="preserve">Information on the ethnic </w:t>
      </w:r>
      <w:r w:rsidR="000F6182" w:rsidRPr="00E5704F">
        <w:t xml:space="preserve">composition </w:t>
      </w:r>
      <w:r w:rsidR="000F6182">
        <w:t xml:space="preserve">of the State party, including non-citizens, such as asylum seekers, refugees, stateless persons and migrants </w:t>
      </w:r>
      <w:r w:rsidR="000F6182" w:rsidRPr="00795066">
        <w:t>(</w:t>
      </w:r>
      <w:r w:rsidR="000F6182">
        <w:t>CERD/C/BHR/QPR/8-14</w:t>
      </w:r>
      <w:r w:rsidR="000F6182" w:rsidRPr="00795066">
        <w:t>, para.</w:t>
      </w:r>
      <w:r w:rsidR="00552C8F">
        <w:t xml:space="preserve"> </w:t>
      </w:r>
      <w:r w:rsidR="000F6182">
        <w:rPr>
          <w:u w:color="FF0000"/>
          <w:lang w:val="es-ES_tradnl"/>
        </w:rPr>
        <w:t>3</w:t>
      </w:r>
      <w:r w:rsidR="000F6182">
        <w:rPr>
          <w:lang w:val="es-ES_tradnl"/>
        </w:rPr>
        <w:t>; CERD/C/BHR/8-14, paras. 9</w:t>
      </w:r>
      <w:r w:rsidR="000F6182">
        <w:rPr>
          <w:u w:color="FF0000"/>
        </w:rPr>
        <w:t>–10</w:t>
      </w:r>
      <w:r w:rsidR="000F6182">
        <w:t>).</w:t>
      </w:r>
    </w:p>
    <w:p w14:paraId="430D6CE3" w14:textId="3337F8BE"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4.</w:t>
      </w:r>
      <w:r>
        <w:rPr>
          <w:color w:val="000000" w:themeColor="text1"/>
        </w:rPr>
        <w:tab/>
      </w:r>
      <w:r w:rsidR="000F6182">
        <w:t>Updated information on the status of the bill on combating discrimination, hatred and sectarianism, annexed to note No. 118/604/215 sent to the Deputy Prime Minister on 11</w:t>
      </w:r>
      <w:r w:rsidR="00552C8F">
        <w:t xml:space="preserve"> </w:t>
      </w:r>
      <w:r w:rsidR="000F6182">
        <w:t xml:space="preserve">November 2015, and on measures taken to include direct and indirect racial discrimination based on all grounds as stipulated in article 1 (1) of the Convention in the anti-discrimination bill </w:t>
      </w:r>
      <w:r w:rsidR="000F6182" w:rsidRPr="00C17730">
        <w:t>(</w:t>
      </w:r>
      <w:r w:rsidR="000F6182">
        <w:t>CERD/C/BHR/QPR/8-14</w:t>
      </w:r>
      <w:r w:rsidR="000F6182" w:rsidRPr="00C17730">
        <w:t>, para. 4; CERD/C/BHR/8-14, paras. 11</w:t>
      </w:r>
      <w:r w:rsidR="000F6182">
        <w:t>–</w:t>
      </w:r>
      <w:r w:rsidR="000F6182" w:rsidRPr="00C17730">
        <w:t>12</w:t>
      </w:r>
      <w:r w:rsidR="000F6182">
        <w:t>).</w:t>
      </w:r>
    </w:p>
    <w:p w14:paraId="75172970" w14:textId="0DACA4B9"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5.</w:t>
      </w:r>
      <w:r>
        <w:rPr>
          <w:color w:val="000000" w:themeColor="text1"/>
        </w:rPr>
        <w:tab/>
      </w:r>
      <w:r w:rsidR="000F6182">
        <w:t xml:space="preserve">Updated information on individual complaints of racial discrimination made to the National Institute for Human Rights, and on their outcomes </w:t>
      </w:r>
      <w:r w:rsidR="000F6182" w:rsidRPr="00795066">
        <w:t>(</w:t>
      </w:r>
      <w:r w:rsidR="000F6182">
        <w:t>CERD/C/BHR/QPR/8-14</w:t>
      </w:r>
      <w:r w:rsidR="000F6182" w:rsidRPr="00795066">
        <w:t>, para.</w:t>
      </w:r>
      <w:r w:rsidR="00552C8F">
        <w:t xml:space="preserve"> </w:t>
      </w:r>
      <w:r w:rsidR="000F6182">
        <w:rPr>
          <w:u w:color="FF0000"/>
          <w:lang w:val="es-ES_tradnl"/>
        </w:rPr>
        <w:t>6</w:t>
      </w:r>
      <w:r w:rsidR="000F6182">
        <w:rPr>
          <w:lang w:val="es-ES_tradnl"/>
        </w:rPr>
        <w:t>; CERD/C/BHR/8-14, paras. 42–45</w:t>
      </w:r>
      <w:r w:rsidR="000F6182">
        <w:t>).</w:t>
      </w:r>
    </w:p>
    <w:p w14:paraId="149D99E3" w14:textId="51503922"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6.</w:t>
      </w:r>
      <w:r>
        <w:rPr>
          <w:color w:val="000000" w:themeColor="text1"/>
        </w:rPr>
        <w:tab/>
      </w:r>
      <w:r w:rsidR="000F6182">
        <w:t xml:space="preserve">Information on special measures for the advancement of groups and individuals protected under the Convention, and on their impact </w:t>
      </w:r>
      <w:r w:rsidR="000F6182" w:rsidRPr="00795066">
        <w:t>(</w:t>
      </w:r>
      <w:r w:rsidR="000F6182">
        <w:t>CERD/C/BHR/QPR/8-14</w:t>
      </w:r>
      <w:r w:rsidR="000F6182" w:rsidRPr="00795066">
        <w:t>, para.</w:t>
      </w:r>
      <w:r w:rsidR="00552C8F">
        <w:t xml:space="preserve"> </w:t>
      </w:r>
      <w:r w:rsidR="000F6182">
        <w:rPr>
          <w:u w:color="FF0000"/>
          <w:lang w:val="es-ES_tradnl"/>
        </w:rPr>
        <w:t>7</w:t>
      </w:r>
      <w:r w:rsidR="000F6182">
        <w:rPr>
          <w:lang w:val="es-ES_tradnl"/>
        </w:rPr>
        <w:t>; CERD/C/BHR/8-14, paras. 46–48</w:t>
      </w:r>
      <w:r w:rsidR="000F6182">
        <w:t>).</w:t>
      </w:r>
    </w:p>
    <w:p w14:paraId="7D255807" w14:textId="1A1C78BA"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lastRenderedPageBreak/>
        <w:t>7.</w:t>
      </w:r>
      <w:r>
        <w:rPr>
          <w:color w:val="000000" w:themeColor="text1"/>
        </w:rPr>
        <w:tab/>
      </w:r>
      <w:r w:rsidR="000F6182">
        <w:t xml:space="preserve">Measures taken to ensure an open space for civil society and human rights defenders working to combat racial discrimination </w:t>
      </w:r>
      <w:r w:rsidR="000F6182" w:rsidRPr="00795066">
        <w:t>(</w:t>
      </w:r>
      <w:r w:rsidR="000F6182">
        <w:t>CERD/C/BHR/QPR/8-14</w:t>
      </w:r>
      <w:r w:rsidR="000F6182" w:rsidRPr="00795066">
        <w:t xml:space="preserve">, para. </w:t>
      </w:r>
      <w:r w:rsidR="000F6182">
        <w:rPr>
          <w:u w:color="FF0000"/>
          <w:lang w:val="es-ES_tradnl"/>
        </w:rPr>
        <w:t>8</w:t>
      </w:r>
      <w:r w:rsidR="000F6182">
        <w:rPr>
          <w:lang w:val="es-ES_tradnl"/>
        </w:rPr>
        <w:t>; CERD/C/BHR/8-14, paras. 46–48</w:t>
      </w:r>
      <w:r w:rsidR="000F6182">
        <w:t>).</w:t>
      </w:r>
    </w:p>
    <w:p w14:paraId="1CAEF816" w14:textId="4C66AD8B"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8.</w:t>
      </w:r>
      <w:r>
        <w:rPr>
          <w:color w:val="000000" w:themeColor="text1"/>
        </w:rPr>
        <w:tab/>
      </w:r>
      <w:r w:rsidR="000F6182">
        <w:t xml:space="preserve">Examples of cases where </w:t>
      </w:r>
      <w:r w:rsidR="000F6182">
        <w:rPr>
          <w:lang w:val="pt-PT"/>
        </w:rPr>
        <w:t xml:space="preserve">racial motives </w:t>
      </w:r>
      <w:r w:rsidR="000F6182">
        <w:t xml:space="preserve">were considered an aggravating circumstance under domestic penal legislation </w:t>
      </w:r>
      <w:r w:rsidR="000F6182" w:rsidRPr="00795066">
        <w:t>(</w:t>
      </w:r>
      <w:r w:rsidR="000F6182">
        <w:t>CERD/C/BHR/QPR/8-14</w:t>
      </w:r>
      <w:r w:rsidR="000F6182" w:rsidRPr="00795066">
        <w:t xml:space="preserve">, para. </w:t>
      </w:r>
      <w:r w:rsidR="000F6182">
        <w:rPr>
          <w:u w:color="FF0000"/>
          <w:lang w:val="es-ES_tradnl"/>
        </w:rPr>
        <w:t>11</w:t>
      </w:r>
      <w:r w:rsidR="000F6182">
        <w:rPr>
          <w:lang w:val="es-ES_tradnl"/>
        </w:rPr>
        <w:t>; CERD/C/BHR/8-14, para. 60</w:t>
      </w:r>
      <w:r w:rsidR="000F6182">
        <w:t>).</w:t>
      </w:r>
    </w:p>
    <w:p w14:paraId="7F701B10" w14:textId="63D70EFB"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9.</w:t>
      </w:r>
      <w:r>
        <w:rPr>
          <w:color w:val="000000" w:themeColor="text1"/>
        </w:rPr>
        <w:tab/>
      </w:r>
      <w:r w:rsidR="000F6182">
        <w:t xml:space="preserve">Updated information on any cases or decisions taken by national courts on acts of racial discrimination, in particular those offences referred to in article 4 (a) and (b) of the Convention; statistical data, disaggregated by sex, age and ethnic or national origin, on complaints filed, including to the police, the National Institute for Human Rights, the Office of the Ombudsman and the Special Investigations Unit, as well as on prosecutions launched and sentences handed down for acts prohibited under article 4 of the Convention and on compensation provided to the victims </w:t>
      </w:r>
      <w:r w:rsidR="000F6182" w:rsidRPr="00795066">
        <w:t>(</w:t>
      </w:r>
      <w:r w:rsidR="000F6182">
        <w:t>CERD/C/BHR/QPR/8-14</w:t>
      </w:r>
      <w:r w:rsidR="000F6182" w:rsidRPr="00795066">
        <w:t xml:space="preserve">, para. </w:t>
      </w:r>
      <w:r w:rsidR="000F6182">
        <w:rPr>
          <w:u w:color="FF0000"/>
          <w:lang w:val="es-ES_tradnl"/>
        </w:rPr>
        <w:t>12</w:t>
      </w:r>
      <w:r w:rsidR="000F6182">
        <w:rPr>
          <w:lang w:val="es-ES_tradnl"/>
        </w:rPr>
        <w:t>; CERD/C/BHR/8-14, paras. 61–63</w:t>
      </w:r>
      <w:r w:rsidR="000F6182">
        <w:t>).</w:t>
      </w:r>
    </w:p>
    <w:p w14:paraId="0ACB2210" w14:textId="77777777" w:rsidR="000F6182" w:rsidRDefault="000F6182" w:rsidP="0003674D">
      <w:pPr>
        <w:pStyle w:val="H23G"/>
      </w:pPr>
      <w:r>
        <w:tab/>
      </w:r>
      <w:r>
        <w:tab/>
        <w:t xml:space="preserve">Situation of ethnic </w:t>
      </w:r>
      <w:r w:rsidRPr="0003674D">
        <w:t>minorities</w:t>
      </w:r>
      <w:r>
        <w:t xml:space="preserve"> (art. 5)</w:t>
      </w:r>
    </w:p>
    <w:p w14:paraId="2DE66CFF" w14:textId="2FFEFA5A"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10.</w:t>
      </w:r>
      <w:r>
        <w:rPr>
          <w:color w:val="000000" w:themeColor="text1"/>
        </w:rPr>
        <w:tab/>
      </w:r>
      <w:r w:rsidR="000F6182">
        <w:t>Further detailed information on the enjoyment of the rights set out in article</w:t>
      </w:r>
      <w:r w:rsidR="00552C8F">
        <w:t xml:space="preserve"> </w:t>
      </w:r>
      <w:r w:rsidR="000F6182">
        <w:t xml:space="preserve">5 of the Convention by ethnic or ethno-religious minorities, migrants and non-citizens </w:t>
      </w:r>
      <w:r w:rsidR="000F6182" w:rsidRPr="00795066">
        <w:t>(</w:t>
      </w:r>
      <w:r w:rsidR="000F6182">
        <w:t>CERD/C/BHR/QPR/8-14</w:t>
      </w:r>
      <w:r w:rsidR="000F6182" w:rsidRPr="00795066">
        <w:t xml:space="preserve">, para. </w:t>
      </w:r>
      <w:r w:rsidR="000F6182">
        <w:rPr>
          <w:u w:color="FF0000"/>
          <w:lang w:val="es-ES_tradnl"/>
        </w:rPr>
        <w:t>13</w:t>
      </w:r>
      <w:r w:rsidR="000F6182">
        <w:rPr>
          <w:lang w:val="es-ES_tradnl"/>
        </w:rPr>
        <w:t>; CERD/C/BHR/8-14, paras. 64–66</w:t>
      </w:r>
      <w:r w:rsidR="000F6182">
        <w:t>).</w:t>
      </w:r>
    </w:p>
    <w:p w14:paraId="7BF03A6A" w14:textId="3FEADBCC"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11.</w:t>
      </w:r>
      <w:r>
        <w:rPr>
          <w:color w:val="000000" w:themeColor="text1"/>
        </w:rPr>
        <w:tab/>
      </w:r>
      <w:r w:rsidR="000F6182">
        <w:t>Information on the impact of the amendments to the Citizenship Act and to the Family Code, promulgated in Act No.</w:t>
      </w:r>
      <w:r w:rsidR="00552C8F">
        <w:t xml:space="preserve"> </w:t>
      </w:r>
      <w:r w:rsidR="000F6182">
        <w:t xml:space="preserve">19 of 19 July 2017 on the children of Bahraini women married to non-Bahraini men </w:t>
      </w:r>
      <w:r w:rsidR="000F6182" w:rsidRPr="00795066">
        <w:t>(</w:t>
      </w:r>
      <w:r w:rsidR="000F6182">
        <w:t>CERD/C/BHR/QPR/8-14</w:t>
      </w:r>
      <w:r w:rsidR="000F6182" w:rsidRPr="00795066">
        <w:t xml:space="preserve">, para. </w:t>
      </w:r>
      <w:r w:rsidR="000F6182">
        <w:rPr>
          <w:u w:color="FF0000"/>
          <w:lang w:val="es-ES_tradnl"/>
        </w:rPr>
        <w:t>14</w:t>
      </w:r>
      <w:r w:rsidR="000F6182">
        <w:rPr>
          <w:lang w:val="es-ES_tradnl"/>
        </w:rPr>
        <w:t>; CERD/C/BHR/8-14, paras. 69–70</w:t>
      </w:r>
      <w:r w:rsidR="000F6182">
        <w:t>).</w:t>
      </w:r>
    </w:p>
    <w:p w14:paraId="49FDF529" w14:textId="77096EC1"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12.</w:t>
      </w:r>
      <w:r>
        <w:rPr>
          <w:color w:val="000000" w:themeColor="text1"/>
        </w:rPr>
        <w:tab/>
      </w:r>
      <w:r w:rsidR="000F6182">
        <w:t xml:space="preserve">Information on the naturalization of the Bidoon </w:t>
      </w:r>
      <w:r w:rsidR="000F6182" w:rsidRPr="00C17730">
        <w:t>(</w:t>
      </w:r>
      <w:r w:rsidR="000F6182">
        <w:t>CERD/C/BHR/QPR/8-14</w:t>
      </w:r>
      <w:r w:rsidR="000F6182" w:rsidRPr="00C17730">
        <w:t>, para. 15; CERD/C/BHR/8-14, para. 92</w:t>
      </w:r>
      <w:r w:rsidR="000F6182">
        <w:t>).</w:t>
      </w:r>
    </w:p>
    <w:p w14:paraId="2EB2FB17" w14:textId="2E6F1871" w:rsidR="000F6182" w:rsidRDefault="00D370BD" w:rsidP="00D370BD">
      <w:pPr>
        <w:pStyle w:val="SingleTxtG"/>
        <w:tabs>
          <w:tab w:val="left" w:pos="2835"/>
        </w:tabs>
        <w:kinsoku w:val="0"/>
        <w:overflowPunct w:val="0"/>
        <w:autoSpaceDE w:val="0"/>
        <w:autoSpaceDN w:val="0"/>
        <w:adjustRightInd w:val="0"/>
        <w:snapToGrid w:val="0"/>
      </w:pPr>
      <w:r>
        <w:rPr>
          <w:color w:val="000000" w:themeColor="text1"/>
        </w:rPr>
        <w:t>13.</w:t>
      </w:r>
      <w:r>
        <w:rPr>
          <w:color w:val="000000" w:themeColor="text1"/>
        </w:rPr>
        <w:tab/>
      </w:r>
      <w:r w:rsidR="000F6182">
        <w:t xml:space="preserve">Updated information on educational initiatives to combat prejudice and increase tolerance and coexistence, including in schools </w:t>
      </w:r>
      <w:r w:rsidR="000F6182" w:rsidRPr="00C17730">
        <w:t>(</w:t>
      </w:r>
      <w:r w:rsidR="000F6182">
        <w:t>CERD/C/BHR/QPR/8-14</w:t>
      </w:r>
      <w:r w:rsidR="000F6182" w:rsidRPr="00C17730">
        <w:t>, para. 18; CERD/C/BHR/8-14, para</w:t>
      </w:r>
      <w:r w:rsidR="000F6182">
        <w:t>s</w:t>
      </w:r>
      <w:r w:rsidR="000F6182" w:rsidRPr="00C17730">
        <w:t>. 95</w:t>
      </w:r>
      <w:r w:rsidR="000F6182">
        <w:t>–</w:t>
      </w:r>
      <w:r w:rsidR="000F6182" w:rsidRPr="00C17730">
        <w:t>106</w:t>
      </w:r>
      <w:r w:rsidR="000F6182">
        <w:t>).</w:t>
      </w:r>
    </w:p>
    <w:p w14:paraId="01DB8078" w14:textId="77777777" w:rsidR="000F6182" w:rsidRDefault="000F6182"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F618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C8973" w14:textId="77777777" w:rsidR="00D72B62" w:rsidRPr="00A0297D" w:rsidRDefault="00D72B62" w:rsidP="00A0297D">
      <w:pPr>
        <w:pStyle w:val="Footer"/>
      </w:pPr>
    </w:p>
  </w:endnote>
  <w:endnote w:type="continuationSeparator" w:id="0">
    <w:p w14:paraId="3C9E817B" w14:textId="77777777" w:rsidR="00D72B62" w:rsidRPr="00A0297D" w:rsidRDefault="00D72B6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CDBF6" w14:textId="5350C6CA" w:rsidR="000F6182" w:rsidRDefault="000F6182" w:rsidP="000F6182">
    <w:pPr>
      <w:pStyle w:val="Footer"/>
      <w:tabs>
        <w:tab w:val="right" w:pos="9638"/>
      </w:tabs>
    </w:pPr>
    <w:r w:rsidRPr="000F6182">
      <w:rPr>
        <w:b/>
        <w:bCs/>
        <w:sz w:val="18"/>
      </w:rPr>
      <w:fldChar w:fldCharType="begin"/>
    </w:r>
    <w:r w:rsidRPr="000F6182">
      <w:rPr>
        <w:b/>
        <w:bCs/>
        <w:sz w:val="18"/>
      </w:rPr>
      <w:instrText xml:space="preserve"> PAGE  \* MERGEFORMAT </w:instrText>
    </w:r>
    <w:r w:rsidRPr="000F6182">
      <w:rPr>
        <w:b/>
        <w:bCs/>
        <w:sz w:val="18"/>
      </w:rPr>
      <w:fldChar w:fldCharType="separate"/>
    </w:r>
    <w:r w:rsidR="00EB767A">
      <w:rPr>
        <w:b/>
        <w:bCs/>
        <w:noProof/>
        <w:sz w:val="18"/>
      </w:rPr>
      <w:t>2</w:t>
    </w:r>
    <w:r w:rsidRPr="000F618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4AA25" w14:textId="77777777" w:rsidR="000F6182" w:rsidRDefault="000F6182" w:rsidP="000F6182">
    <w:pPr>
      <w:pStyle w:val="Footer"/>
      <w:tabs>
        <w:tab w:val="right" w:pos="9638"/>
      </w:tabs>
    </w:pPr>
    <w:r>
      <w:t>GE.21-13246</w:t>
    </w:r>
    <w:r>
      <w:tab/>
    </w:r>
    <w:r w:rsidRPr="000F6182">
      <w:rPr>
        <w:b/>
        <w:bCs/>
        <w:sz w:val="18"/>
      </w:rPr>
      <w:fldChar w:fldCharType="begin"/>
    </w:r>
    <w:r w:rsidRPr="000F6182">
      <w:rPr>
        <w:b/>
        <w:bCs/>
        <w:sz w:val="18"/>
      </w:rPr>
      <w:instrText xml:space="preserve"> PAGE  \* MERGEFORMAT </w:instrText>
    </w:r>
    <w:r w:rsidRPr="000F6182">
      <w:rPr>
        <w:b/>
        <w:bCs/>
        <w:sz w:val="18"/>
      </w:rPr>
      <w:fldChar w:fldCharType="separate"/>
    </w:r>
    <w:r w:rsidRPr="000F6182">
      <w:rPr>
        <w:b/>
        <w:bCs/>
        <w:noProof/>
        <w:sz w:val="18"/>
      </w:rPr>
      <w:t>3</w:t>
    </w:r>
    <w:r w:rsidRPr="000F61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8ADCD" w14:textId="3CCA5646" w:rsidR="00D370BD" w:rsidRDefault="00D370BD" w:rsidP="00D370BD">
    <w:pPr>
      <w:pStyle w:val="Footer"/>
    </w:pPr>
    <w:r w:rsidRPr="0027112F">
      <w:rPr>
        <w:noProof/>
        <w:lang w:val="en-US"/>
      </w:rPr>
      <w:drawing>
        <wp:anchor distT="0" distB="0" distL="114300" distR="114300" simplePos="0" relativeHeight="251659264" behindDoc="0" locked="1" layoutInCell="1" allowOverlap="1" wp14:anchorId="619514BF" wp14:editId="2F49C9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5C9B44" w14:textId="6AF48DA9" w:rsidR="00D370BD" w:rsidRPr="00D370BD" w:rsidRDefault="00D370BD" w:rsidP="00D370BD">
    <w:pPr>
      <w:pStyle w:val="Footer"/>
      <w:ind w:right="1134"/>
      <w:rPr>
        <w:sz w:val="20"/>
      </w:rPr>
    </w:pPr>
    <w:r>
      <w:rPr>
        <w:sz w:val="20"/>
      </w:rPr>
      <w:t>GE.21-13731(E)</w:t>
    </w:r>
    <w:r>
      <w:rPr>
        <w:noProof/>
        <w:sz w:val="20"/>
      </w:rPr>
      <w:drawing>
        <wp:anchor distT="0" distB="0" distL="114300" distR="114300" simplePos="0" relativeHeight="251660288" behindDoc="0" locked="0" layoutInCell="1" allowOverlap="1" wp14:anchorId="185B1567" wp14:editId="57D3FCE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213F2" w14:textId="77777777" w:rsidR="00D72B62" w:rsidRPr="00A0297D" w:rsidRDefault="00D72B62" w:rsidP="00A0297D">
      <w:pPr>
        <w:tabs>
          <w:tab w:val="right" w:pos="2155"/>
        </w:tabs>
        <w:spacing w:after="80" w:line="240" w:lineRule="auto"/>
        <w:ind w:left="680"/>
      </w:pPr>
      <w:r>
        <w:rPr>
          <w:u w:val="single"/>
        </w:rPr>
        <w:tab/>
      </w:r>
    </w:p>
  </w:footnote>
  <w:footnote w:type="continuationSeparator" w:id="0">
    <w:p w14:paraId="59EDE608" w14:textId="77777777" w:rsidR="00D72B62" w:rsidRPr="00A0297D" w:rsidRDefault="00D72B62" w:rsidP="00A0297D">
      <w:pPr>
        <w:tabs>
          <w:tab w:val="right" w:pos="2155"/>
        </w:tabs>
        <w:spacing w:after="80" w:line="240" w:lineRule="auto"/>
        <w:ind w:left="680"/>
      </w:pPr>
      <w:r>
        <w:rPr>
          <w:u w:val="single"/>
        </w:rPr>
        <w:tab/>
      </w:r>
    </w:p>
  </w:footnote>
  <w:footnote w:id="1">
    <w:p w14:paraId="6B637E42" w14:textId="77777777" w:rsidR="000F6182" w:rsidRPr="00857BB3" w:rsidRDefault="000F6182" w:rsidP="000F6182">
      <w:pPr>
        <w:pStyle w:val="FootnoteText"/>
      </w:pPr>
      <w:r w:rsidRPr="000F6182">
        <w:rPr>
          <w:rStyle w:val="FootnoteReference"/>
          <w:vertAlign w:val="baseline"/>
        </w:rPr>
        <w:tab/>
      </w:r>
      <w:r w:rsidRPr="000F6182">
        <w:rPr>
          <w:rStyle w:val="FootnoteReference"/>
          <w:sz w:val="20"/>
          <w:vertAlign w:val="baseline"/>
        </w:rPr>
        <w:t>*</w:t>
      </w:r>
      <w:r w:rsidRPr="000F6182">
        <w:rPr>
          <w:rStyle w:val="FootnoteReference"/>
          <w:sz w:val="20"/>
          <w:vertAlign w:val="baseline"/>
        </w:rPr>
        <w:tab/>
      </w:r>
      <w:r>
        <w:rPr>
          <w:color w:val="000000"/>
          <w:shd w:val="clear" w:color="auto" w:fill="FFFFFF"/>
          <w:lang w:val="en-US"/>
        </w:rPr>
        <w:t>Agreement was reached to publish the present document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F3B4D" w14:textId="77777777" w:rsidR="000F6182" w:rsidRDefault="000F6182" w:rsidP="000F6182">
    <w:pPr>
      <w:pStyle w:val="Header"/>
    </w:pPr>
    <w:r>
      <w:t>CERD/C/BHR/Q/8-14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38EED" w14:textId="77777777" w:rsidR="000F6182" w:rsidRDefault="000F6182" w:rsidP="000F6182">
    <w:pPr>
      <w:pStyle w:val="Header"/>
      <w:jc w:val="right"/>
    </w:pPr>
    <w:r>
      <w:t>CERD/C/BHR/Q/8-14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F24911"/>
    <w:multiLevelType w:val="hybridMultilevel"/>
    <w:tmpl w:val="B6F690AA"/>
    <w:lvl w:ilvl="0" w:tplc="0809000F">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B62"/>
    <w:rsid w:val="00021C97"/>
    <w:rsid w:val="0003674D"/>
    <w:rsid w:val="00046E92"/>
    <w:rsid w:val="000F6182"/>
    <w:rsid w:val="001C3218"/>
    <w:rsid w:val="00247E2C"/>
    <w:rsid w:val="002D6C53"/>
    <w:rsid w:val="002E65DC"/>
    <w:rsid w:val="002F5595"/>
    <w:rsid w:val="00307688"/>
    <w:rsid w:val="00334F6A"/>
    <w:rsid w:val="00342AC8"/>
    <w:rsid w:val="003B4550"/>
    <w:rsid w:val="00461253"/>
    <w:rsid w:val="005038AD"/>
    <w:rsid w:val="005042C2"/>
    <w:rsid w:val="00552C8F"/>
    <w:rsid w:val="00557F19"/>
    <w:rsid w:val="00671529"/>
    <w:rsid w:val="007233F9"/>
    <w:rsid w:val="007268F9"/>
    <w:rsid w:val="00735147"/>
    <w:rsid w:val="007C2427"/>
    <w:rsid w:val="007C52B0"/>
    <w:rsid w:val="00883988"/>
    <w:rsid w:val="008E0F96"/>
    <w:rsid w:val="009411B4"/>
    <w:rsid w:val="009D0139"/>
    <w:rsid w:val="009F5CDC"/>
    <w:rsid w:val="00A0297D"/>
    <w:rsid w:val="00A775CF"/>
    <w:rsid w:val="00A8196B"/>
    <w:rsid w:val="00B06045"/>
    <w:rsid w:val="00B65189"/>
    <w:rsid w:val="00C01462"/>
    <w:rsid w:val="00C35A27"/>
    <w:rsid w:val="00CB1FB9"/>
    <w:rsid w:val="00CD3E31"/>
    <w:rsid w:val="00D370BD"/>
    <w:rsid w:val="00D70FE1"/>
    <w:rsid w:val="00D72B62"/>
    <w:rsid w:val="00DA7116"/>
    <w:rsid w:val="00DE532E"/>
    <w:rsid w:val="00E02C2B"/>
    <w:rsid w:val="00EB767A"/>
    <w:rsid w:val="00ED6C48"/>
    <w:rsid w:val="00F65F5D"/>
    <w:rsid w:val="00F86A3A"/>
    <w:rsid w:val="00F951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7A93D57"/>
  <w15:docId w15:val="{2B19372F-B1CE-4F69-B3CE-54B486352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0F618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7C48F-4CF2-4C4B-A0C5-A5148AB6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647</Words>
  <Characters>3769</Characters>
  <Application>Microsoft Office Word</Application>
  <DocSecurity>0</DocSecurity>
  <Lines>76</Lines>
  <Paragraphs>29</Paragraphs>
  <ScaleCrop>false</ScaleCrop>
  <HeadingPairs>
    <vt:vector size="2" baseType="variant">
      <vt:variant>
        <vt:lpstr>Title</vt:lpstr>
      </vt:variant>
      <vt:variant>
        <vt:i4>1</vt:i4>
      </vt:variant>
    </vt:vector>
  </HeadingPairs>
  <TitlesOfParts>
    <vt:vector size="1" baseType="lpstr">
      <vt:lpstr>CERD/C/BHR/Q/8-14</vt:lpstr>
    </vt:vector>
  </TitlesOfParts>
  <Company>DCM</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CERD/C/BHR/Q/8-14</dc:title>
  <dc:subject>2113731</dc:subject>
  <dc:creator>pae</dc:creator>
  <cp:keywords/>
  <dc:description>formatted text</dc:description>
  <cp:lastModifiedBy>Don MARTIN</cp:lastModifiedBy>
  <cp:revision>2</cp:revision>
  <dcterms:created xsi:type="dcterms:W3CDTF">2021-09-28T11:12:00Z</dcterms:created>
  <dcterms:modified xsi:type="dcterms:W3CDTF">2021-09-28T11:12:00Z</dcterms:modified>
</cp:coreProperties>
</file>