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Borders>
          <w:bottom w:val="single" w:sz="24" w:space="0" w:color="auto"/>
        </w:tblBorders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1560"/>
        <w:gridCol w:w="4876"/>
        <w:gridCol w:w="306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bottom w:val="single" w:sz="4" w:space="0" w:color="auto"/>
            </w:tcBorders>
          </w:tcPr>
          <w:p w:rsidR="00000000" w:rsidRDefault="00000000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rPr>
                <w:rFonts w:ascii="Arial" w:hAnsi="Arial" w:cs="Arial"/>
                <w:b/>
                <w:bCs/>
                <w:sz w:val="28"/>
              </w:rPr>
            </w:pPr>
            <w:r>
              <w:rPr>
                <w:rFonts w:ascii="Arial" w:hAnsi="Arial" w:cs="Arial"/>
                <w:b/>
                <w:bCs/>
                <w:sz w:val="28"/>
              </w:rPr>
              <w:t>NATIONS UNIES</w:t>
            </w:r>
          </w:p>
        </w:tc>
        <w:tc>
          <w:tcPr>
            <w:tcW w:w="4876" w:type="dxa"/>
            <w:tcBorders>
              <w:bottom w:val="single" w:sz="4" w:space="0" w:color="auto"/>
            </w:tcBorders>
          </w:tcPr>
          <w:p w:rsidR="00000000" w:rsidRDefault="00000000">
            <w:pPr>
              <w:ind w:hanging="1"/>
              <w:rPr>
                <w:b/>
              </w:rPr>
            </w:pPr>
          </w:p>
        </w:tc>
        <w:tc>
          <w:tcPr>
            <w:tcW w:w="3062" w:type="dxa"/>
            <w:tcBorders>
              <w:bottom w:val="single" w:sz="4" w:space="0" w:color="auto"/>
            </w:tcBorders>
          </w:tcPr>
          <w:p w:rsidR="00000000" w:rsidRDefault="00000000">
            <w:pPr>
              <w:spacing w:after="240"/>
              <w:ind w:left="284"/>
              <w:rPr>
                <w:b/>
                <w:bCs/>
                <w:sz w:val="72"/>
              </w:rPr>
            </w:pPr>
            <w:r>
              <w:rPr>
                <w:rFonts w:ascii="Arial" w:hAnsi="Arial"/>
                <w:b/>
                <w:bCs/>
                <w:sz w:val="72"/>
              </w:rPr>
              <w:t>CERD</w:t>
            </w:r>
          </w:p>
        </w:tc>
      </w:tr>
      <w:bookmarkStart w:id="0" w:name="_MON_992770417"/>
      <w:bookmarkStart w:id="1" w:name="_MON_992770666"/>
      <w:bookmarkStart w:id="2" w:name="_MON_992770737"/>
      <w:bookmarkStart w:id="3" w:name="_MON_992770869"/>
      <w:bookmarkEnd w:id="0"/>
      <w:bookmarkEnd w:id="1"/>
      <w:bookmarkEnd w:id="2"/>
      <w:bookmarkEnd w:id="3"/>
      <w:tr w:rsidR="00000000">
        <w:tblPrEx>
          <w:tblCellMar>
            <w:top w:w="0" w:type="dxa"/>
            <w:bottom w:w="0" w:type="dxa"/>
          </w:tblCellMar>
        </w:tblPrEx>
        <w:trPr>
          <w:trHeight w:hRule="exact" w:val="2552"/>
        </w:trPr>
        <w:tc>
          <w:tcPr>
            <w:tcW w:w="1560" w:type="dxa"/>
            <w:tcMar>
              <w:top w:w="227" w:type="dxa"/>
            </w:tcMar>
          </w:tcPr>
          <w:p w:rsidR="00000000" w:rsidRDefault="00000000">
            <w:pPr>
              <w:spacing w:after="58"/>
              <w:ind w:hanging="1"/>
              <w:rPr>
                <w:rFonts w:ascii="Courier New" w:hAnsi="Courier New"/>
                <w:sz w:val="20"/>
              </w:rPr>
            </w:pPr>
            <w:r>
              <w:rPr>
                <w:sz w:val="20"/>
              </w:rPr>
              <w:object w:dxaOrig="1123" w:dyaOrig="10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54.75pt" o:ole="" fillcolor="window">
                  <v:imagedata r:id="rId7" o:title="" croptop="-46f" cropbottom="-46f" cropleft="-1312f" cropright="-1312f"/>
                </v:shape>
                <o:OLEObject Type="Embed" ProgID="Word.Picture.8" ShapeID="_x0000_i1025" DrawAspect="Content" ObjectID="_1395477058" r:id="rId8"/>
              </w:object>
            </w:r>
          </w:p>
        </w:tc>
        <w:tc>
          <w:tcPr>
            <w:tcW w:w="4876" w:type="dxa"/>
            <w:tcMar>
              <w:top w:w="227" w:type="dxa"/>
            </w:tcMar>
          </w:tcPr>
          <w:p w:rsidR="00000000" w:rsidRDefault="00000000">
            <w:pPr>
              <w:spacing w:after="58"/>
              <w:ind w:hanging="1"/>
              <w:rPr>
                <w:rFonts w:ascii="Courier New" w:hAnsi="Courier New"/>
                <w:sz w:val="20"/>
              </w:rPr>
            </w:pPr>
            <w:r>
              <w:rPr>
                <w:rFonts w:ascii="Arial" w:hAnsi="Arial"/>
                <w:b/>
                <w:sz w:val="32"/>
              </w:rPr>
              <w:t>Convention internationale</w:t>
            </w:r>
            <w:r>
              <w:rPr>
                <w:rFonts w:ascii="Arial" w:hAnsi="Arial"/>
                <w:b/>
                <w:sz w:val="32"/>
              </w:rPr>
              <w:br/>
              <w:t>sur l’élimination</w:t>
            </w:r>
            <w:r>
              <w:rPr>
                <w:rFonts w:ascii="Arial" w:hAnsi="Arial"/>
                <w:b/>
                <w:sz w:val="32"/>
              </w:rPr>
              <w:br/>
              <w:t xml:space="preserve">de toutes les formes </w:t>
            </w:r>
            <w:r>
              <w:rPr>
                <w:rFonts w:ascii="Arial" w:hAnsi="Arial"/>
                <w:b/>
                <w:sz w:val="32"/>
              </w:rPr>
              <w:br/>
              <w:t>de discrimination raciale</w:t>
            </w:r>
          </w:p>
        </w:tc>
        <w:tc>
          <w:tcPr>
            <w:tcW w:w="3062" w:type="dxa"/>
            <w:tcMar>
              <w:top w:w="227" w:type="dxa"/>
            </w:tcMar>
          </w:tcPr>
          <w:p w:rsidR="00000000" w:rsidRDefault="00000000">
            <w:pPr>
              <w:spacing w:after="240"/>
            </w:pPr>
            <w:r>
              <w:t>Distr.</w:t>
            </w:r>
            <w:r>
              <w:br/>
              <w:t>GÉNÉRALE</w:t>
            </w:r>
          </w:p>
          <w:p w:rsidR="00000000" w:rsidRDefault="00000000">
            <w:pPr>
              <w:spacing w:after="240"/>
              <w:rPr>
                <w:lang w:val="en-US"/>
              </w:rPr>
            </w:pPr>
            <w:r>
              <w:rPr>
                <w:lang w:val="en-US"/>
              </w:rPr>
              <w:t>CERD/C/GMB/CO/14</w:t>
            </w:r>
            <w:r>
              <w:rPr>
                <w:lang w:val="en-US"/>
              </w:rPr>
              <w:br/>
              <w:t>16 juin 2009</w:t>
            </w:r>
          </w:p>
          <w:p w:rsidR="00000000" w:rsidRDefault="00000000">
            <w:pPr>
              <w:spacing w:after="240"/>
            </w:pPr>
            <w:r>
              <w:t>FRANÇAIS</w:t>
            </w:r>
            <w:r>
              <w:br/>
              <w:t>Original: ANGLAIS</w:t>
            </w:r>
          </w:p>
          <w:p w:rsidR="00000000" w:rsidRDefault="00000000">
            <w:pPr>
              <w:spacing w:after="240"/>
            </w:pPr>
          </w:p>
        </w:tc>
      </w:tr>
    </w:tbl>
    <w:p w:rsidR="00000000" w:rsidRDefault="00000000">
      <w:pPr>
        <w:spacing w:before="120" w:after="360"/>
      </w:pPr>
      <w:r>
        <w:t>COMITÉ POUR L’ÉLIMINATION</w:t>
      </w:r>
      <w:r>
        <w:br/>
        <w:t>DE LA DISCRIMINATION RACIALE</w:t>
      </w:r>
      <w:r>
        <w:br/>
        <w:t>Soixante</w:t>
      </w:r>
      <w:r>
        <w:noBreakHyphen/>
        <w:t>quatorzième session</w:t>
      </w:r>
      <w:r>
        <w:br/>
        <w:t>16 février</w:t>
      </w:r>
      <w:r>
        <w:noBreakHyphen/>
        <w:t>6 mars 2009</w:t>
      </w:r>
    </w:p>
    <w:p w:rsidR="00000000" w:rsidRDefault="00000000">
      <w:pPr>
        <w:spacing w:after="240"/>
        <w:jc w:val="center"/>
        <w:rPr>
          <w:b/>
          <w:bCs/>
        </w:rPr>
      </w:pPr>
      <w:r>
        <w:rPr>
          <w:b/>
          <w:bCs/>
        </w:rPr>
        <w:t>EXAMEN DES RAPPORTS PRÉSENTÉS PAR LES ÉTATS PARTIES</w:t>
      </w:r>
      <w:r>
        <w:rPr>
          <w:b/>
          <w:bCs/>
        </w:rPr>
        <w:br/>
        <w:t>CONFORMÉMENT À L’ARTICLE 9 DE LA CONVENTION</w:t>
      </w:r>
    </w:p>
    <w:p w:rsidR="00000000" w:rsidRDefault="00000000">
      <w:pPr>
        <w:spacing w:after="240"/>
        <w:jc w:val="center"/>
        <w:rPr>
          <w:b/>
          <w:bCs/>
        </w:rPr>
      </w:pPr>
      <w:r>
        <w:rPr>
          <w:b/>
          <w:bCs/>
        </w:rPr>
        <w:t>Observations finales du Comité pour l’élimination</w:t>
      </w:r>
      <w:r>
        <w:rPr>
          <w:b/>
          <w:bCs/>
        </w:rPr>
        <w:br/>
        <w:t>de la discrimination raciale</w:t>
      </w:r>
    </w:p>
    <w:p w:rsidR="00000000" w:rsidRDefault="00000000">
      <w:pPr>
        <w:spacing w:after="240"/>
        <w:jc w:val="center"/>
        <w:rPr>
          <w:b/>
          <w:bCs/>
        </w:rPr>
      </w:pPr>
      <w:r>
        <w:rPr>
          <w:b/>
          <w:bCs/>
        </w:rPr>
        <w:t>GAMBIE</w:t>
      </w:r>
    </w:p>
    <w:p w:rsidR="00000000" w:rsidRDefault="00000000">
      <w:pPr>
        <w:spacing w:after="240"/>
      </w:pPr>
      <w:r>
        <w:t>1.</w:t>
      </w:r>
      <w:r>
        <w:tab/>
        <w:t>À sa 1922</w:t>
      </w:r>
      <w:r>
        <w:rPr>
          <w:vertAlign w:val="superscript"/>
        </w:rPr>
        <w:t>e</w:t>
      </w:r>
      <w:r>
        <w:t xml:space="preserve"> séance (CERD/C/SR.1922), tenue le 27 février 2009, le Comité a examiné la situation de la Gambie concernant l’application de la Convention. En l’absence des deuxième à quatorzième rapports périodiques de l’État partie qui auraient dû lui être soumis, il a adopté, à sa 1930</w:t>
      </w:r>
      <w:r>
        <w:rPr>
          <w:vertAlign w:val="superscript"/>
        </w:rPr>
        <w:t xml:space="preserve">e </w:t>
      </w:r>
      <w:r>
        <w:t>séance (CERD/C/SR.1930), le 5 mars 2009, les observations finales ci</w:t>
      </w:r>
      <w:r>
        <w:noBreakHyphen/>
        <w:t>après.</w:t>
      </w:r>
    </w:p>
    <w:p w:rsidR="00000000" w:rsidRDefault="00000000">
      <w:pPr>
        <w:spacing w:after="240"/>
      </w:pPr>
      <w:r>
        <w:t>2.</w:t>
      </w:r>
      <w:r>
        <w:tab/>
        <w:t>Le Comité regrette que l’État partie ne lui ait pas soumis de rapport depuis 1980 malgré les nombreux rappels qui lui ont été adressés. Le 5 mars 2008, à sa soixante-douzième session, il a transmis à l’État partie une liste de points à traiter à laquelle celui-ci devait répondre avant le 30 septembre 2008. Il regrette que l’État partie n’ait répondu ni à la liste des points à traiter ni à son invitation à participer à l’examen de la situation de la Gambie concernant l’application de la Convention.</w:t>
      </w:r>
    </w:p>
    <w:p w:rsidR="00000000" w:rsidRDefault="00000000">
      <w:pPr>
        <w:spacing w:after="240"/>
      </w:pPr>
      <w:r>
        <w:t>3.</w:t>
      </w:r>
      <w:r>
        <w:tab/>
        <w:t>Le Comité rappelle que la présentation de rapports constitue une obligation des États parties en vertu du paragraphe 1 de l’article 9 de la Convention et que le non</w:t>
      </w:r>
      <w:r>
        <w:noBreakHyphen/>
        <w:t>respect de cette disposition entrave gravement le bon fonctionnement du système mis en place aux fins de surveiller l’application de la Convention à l’échelon national.</w:t>
      </w:r>
    </w:p>
    <w:p w:rsidR="00000000" w:rsidRDefault="00000000">
      <w:pPr>
        <w:spacing w:after="240"/>
      </w:pPr>
      <w:r>
        <w:t>4.</w:t>
      </w:r>
      <w:r>
        <w:tab/>
        <w:t>Le Comité demande à l’État partie d’établir et de soumettre sans plus attendre les rapports que celui</w:t>
      </w:r>
      <w:r>
        <w:noBreakHyphen/>
        <w:t xml:space="preserve">ci aurait déjà dû lui présenter au titre de la Convention. </w:t>
      </w:r>
    </w:p>
    <w:p w:rsidR="00000000" w:rsidRDefault="00000000">
      <w:pPr>
        <w:spacing w:after="360"/>
        <w:jc w:val="center"/>
      </w:pPr>
      <w:r>
        <w:t>-----</w:t>
      </w:r>
    </w:p>
    <w:sectPr w:rsidR="00000000">
      <w:headerReference w:type="even" r:id="rId9"/>
      <w:headerReference w:type="default" r:id="rId10"/>
      <w:footerReference w:type="first" r:id="rId11"/>
      <w:endnotePr>
        <w:numFmt w:val="decimal"/>
      </w:endnotePr>
      <w:pgSz w:w="11907" w:h="16840" w:code="9"/>
      <w:pgMar w:top="1134" w:right="850" w:bottom="1984" w:left="1701" w:header="850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spacing w:before="240"/>
    </w:pPr>
    <w:r>
      <w:t>GE.09</w:t>
    </w:r>
    <w:r>
      <w:noBreakHyphen/>
      <w:t>43084 (F)    030709    060709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>CERD/C/GMB/14</w:t>
    </w:r>
  </w:p>
  <w:p w:rsidR="00000000" w:rsidRDefault="00000000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000000" w:rsidRDefault="0000000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4320"/>
        <w:tab w:val="clear" w:pos="8640"/>
        <w:tab w:val="left" w:pos="7087"/>
      </w:tabs>
      <w:rPr>
        <w:lang w:val="en-US"/>
      </w:rPr>
    </w:pPr>
    <w:r>
      <w:tab/>
    </w:r>
    <w:r>
      <w:rPr>
        <w:lang w:val="en-US"/>
      </w:rPr>
      <w:t>CERD/C/GMB/14</w:t>
    </w:r>
  </w:p>
  <w:p w:rsidR="00000000" w:rsidRDefault="00000000">
    <w:pPr>
      <w:pStyle w:val="Header"/>
      <w:tabs>
        <w:tab w:val="clear" w:pos="4320"/>
        <w:tab w:val="clear" w:pos="8640"/>
        <w:tab w:val="left" w:pos="7087"/>
      </w:tabs>
    </w:pPr>
    <w:r>
      <w:rPr>
        <w:lang w:val="en-US"/>
      </w:rPr>
      <w:tab/>
    </w: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</w:t>
    </w:r>
    <w:r>
      <w:fldChar w:fldCharType="end"/>
    </w:r>
  </w:p>
  <w:p w:rsidR="00000000" w:rsidRDefault="00000000">
    <w:pPr>
      <w:pStyle w:val="Header"/>
      <w:tabs>
        <w:tab w:val="clear" w:pos="4320"/>
        <w:tab w:val="clear" w:pos="8640"/>
        <w:tab w:val="left" w:pos="7087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E3B2C61A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243A09C4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4F71550D"/>
    <w:multiLevelType w:val="singleLevel"/>
    <w:tmpl w:val="2354CE3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7CF349BD"/>
    <w:multiLevelType w:val="singleLevel"/>
    <w:tmpl w:val="1AEC463A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3"/>
  </w:num>
  <w:num w:numId="5">
    <w:abstractNumId w:val="0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1"/>
  </w:num>
  <w:num w:numId="11">
    <w:abstractNumId w:val="1"/>
  </w:num>
  <w:num w:numId="12">
    <w:abstractNumId w:val="3"/>
  </w:num>
  <w:num w:numId="13">
    <w:abstractNumId w:val="1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1"/>
  </w:num>
  <w:num w:numId="26">
    <w:abstractNumId w:val="1"/>
  </w:num>
  <w:num w:numId="27">
    <w:abstractNumId w:val="0"/>
  </w:num>
  <w:num w:numId="28">
    <w:abstractNumId w:val="1"/>
  </w:num>
  <w:num w:numId="29">
    <w:abstractNumId w:val="1"/>
  </w:num>
  <w:num w:numId="30">
    <w:abstractNumId w:val="1"/>
  </w:num>
  <w:num w:numId="31">
    <w:abstractNumId w:val="0"/>
  </w:num>
  <w:num w:numId="32">
    <w:abstractNumId w:val="0"/>
  </w:num>
  <w:num w:numId="33">
    <w:abstractNumId w:val="3"/>
  </w:num>
  <w:num w:numId="34">
    <w:abstractNumId w:val="0"/>
  </w:num>
  <w:num w:numId="35">
    <w:abstractNumId w:val="3"/>
  </w:num>
  <w:num w:numId="36">
    <w:abstractNumId w:val="3"/>
  </w:num>
  <w:num w:numId="37">
    <w:abstractNumId w:val="0"/>
  </w:num>
  <w:num w:numId="38">
    <w:abstractNumId w:val="3"/>
  </w:num>
  <w:num w:numId="39">
    <w:abstractNumId w:val="0"/>
  </w:num>
  <w:num w:numId="40">
    <w:abstractNumId w:val="0"/>
  </w:num>
  <w:num w:numId="41">
    <w:abstractNumId w:val="0"/>
  </w:num>
  <w:num w:numId="42">
    <w:abstractNumId w:val="3"/>
  </w:num>
  <w:num w:numId="43">
    <w:abstractNumId w:val="0"/>
  </w:num>
  <w:num w:numId="44">
    <w:abstractNumId w:val="3"/>
  </w:num>
  <w:num w:numId="45">
    <w:abstractNumId w:val="0"/>
  </w:num>
  <w:num w:numId="46">
    <w:abstractNumId w:val="0"/>
  </w:num>
  <w:num w:numId="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fr-FR" w:vendorID="9" w:dllVersion="512" w:checkStyle="1"/>
  <w:attachedTemplate r:id="rId1"/>
  <w:doNotTrackMoves/>
  <w:defaultTabStop w:val="567"/>
  <w:hyphenationZone w:val="425"/>
  <w:evenAndOddHeaders/>
  <w:drawingGridHorizontalSpacing w:val="120"/>
  <w:drawingGridVerticalSpacing w:val="107"/>
  <w:displayHorizontalDrawingGridEvery w:val="0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lang w:eastAsia="fr-FR"/>
    </w:rPr>
  </w:style>
  <w:style w:type="paragraph" w:styleId="Heading1">
    <w:name w:val="heading 1"/>
    <w:basedOn w:val="Normal"/>
    <w:next w:val="Normal"/>
    <w:qFormat/>
    <w:pPr>
      <w:keepNext/>
      <w:spacing w:after="240"/>
      <w:outlineLvl w:val="0"/>
    </w:pPr>
    <w:rPr>
      <w:b/>
      <w:bCs/>
      <w:lang w:eastAsia="en-US"/>
    </w:rPr>
  </w:style>
  <w:style w:type="paragraph" w:styleId="Heading2">
    <w:name w:val="heading 2"/>
    <w:basedOn w:val="Normal"/>
    <w:next w:val="Normal"/>
    <w:qFormat/>
    <w:pPr>
      <w:keepNext/>
      <w:spacing w:after="240"/>
      <w:outlineLvl w:val="1"/>
    </w:pPr>
    <w:rPr>
      <w:b/>
      <w:lang w:eastAsia="en-US"/>
    </w:rPr>
  </w:style>
  <w:style w:type="paragraph" w:styleId="Heading3">
    <w:name w:val="heading 3"/>
    <w:basedOn w:val="Normal"/>
    <w:next w:val="Normal"/>
    <w:qFormat/>
    <w:pPr>
      <w:keepNext/>
      <w:spacing w:after="240"/>
      <w:outlineLvl w:val="2"/>
    </w:pPr>
    <w:rPr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semiHidden/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</Pages>
  <Words>272</Words>
  <Characters>1553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CERD/C/GMB/14</vt:lpstr>
    </vt:vector>
  </TitlesOfParts>
  <Company>ONU</Company>
  <LinksUpToDate>false</LinksUpToDate>
  <CharactersWithSpaces>1907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CERD/C/GMB/14</dc:title>
  <dc:subject>Final</dc:subject>
  <dc:creator>NM</dc:creator>
  <cp:keywords/>
  <dc:description/>
  <cp:lastModifiedBy>csd</cp:lastModifiedBy>
  <cp:revision>2</cp:revision>
  <cp:lastPrinted>2009-07-06T07:48:00Z</cp:lastPrinted>
  <dcterms:created xsi:type="dcterms:W3CDTF">2009-07-14T14:23:00Z</dcterms:created>
  <dcterms:modified xsi:type="dcterms:W3CDTF">2009-07-14T14:23:00Z</dcterms:modified>
</cp:coreProperties>
</file>