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3D90743" w14:textId="77777777" w:rsidTr="005E3B5B">
        <w:trPr>
          <w:trHeight w:hRule="exact" w:val="851"/>
        </w:trPr>
        <w:tc>
          <w:tcPr>
            <w:tcW w:w="1280" w:type="dxa"/>
            <w:tcBorders>
              <w:bottom w:val="single" w:sz="4" w:space="0" w:color="auto"/>
            </w:tcBorders>
          </w:tcPr>
          <w:p w14:paraId="4A66F7B2" w14:textId="77777777" w:rsidR="002D5AAC" w:rsidRDefault="002D5AAC" w:rsidP="005E3B5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B394A58"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FE5F447" w14:textId="59431EB5" w:rsidR="002D5AAC" w:rsidRPr="004F1CA0" w:rsidRDefault="004F1CA0" w:rsidP="004F1CA0">
            <w:pPr>
              <w:jc w:val="right"/>
            </w:pPr>
            <w:r w:rsidRPr="004F1CA0">
              <w:rPr>
                <w:sz w:val="40"/>
              </w:rPr>
              <w:t>CRC</w:t>
            </w:r>
            <w:r>
              <w:t>/C/94/D/89/2019</w:t>
            </w:r>
            <w:r w:rsidR="00E15324" w:rsidRPr="00E15324">
              <w:rPr>
                <w:rStyle w:val="Refdenotaalpie"/>
                <w:sz w:val="20"/>
                <w:vertAlign w:val="baseline"/>
              </w:rPr>
              <w:footnoteReference w:customMarkFollows="1" w:id="1"/>
              <w:t>*</w:t>
            </w:r>
          </w:p>
        </w:tc>
      </w:tr>
      <w:tr w:rsidR="002D5AAC" w14:paraId="5D8FA278" w14:textId="77777777" w:rsidTr="005E3B5B">
        <w:trPr>
          <w:trHeight w:hRule="exact" w:val="2835"/>
        </w:trPr>
        <w:tc>
          <w:tcPr>
            <w:tcW w:w="1280" w:type="dxa"/>
            <w:tcBorders>
              <w:top w:val="single" w:sz="4" w:space="0" w:color="auto"/>
              <w:bottom w:val="single" w:sz="12" w:space="0" w:color="auto"/>
            </w:tcBorders>
          </w:tcPr>
          <w:p w14:paraId="37F8430C" w14:textId="77777777" w:rsidR="002D5AAC" w:rsidRDefault="007D431B" w:rsidP="007F3812">
            <w:pPr>
              <w:spacing w:before="120"/>
              <w:jc w:val="center"/>
            </w:pPr>
            <w:r>
              <w:rPr>
                <w:noProof/>
                <w:lang w:val="en-GB" w:eastAsia="en-GB"/>
              </w:rPr>
              <w:drawing>
                <wp:inline distT="0" distB="0" distL="0" distR="0" wp14:anchorId="3DF3CB6C" wp14:editId="4CCFB57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A30F58E"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83DF131" w14:textId="79E971E5" w:rsidR="002F4E66" w:rsidRDefault="005E3B5B" w:rsidP="007F3812">
            <w:pPr>
              <w:spacing w:before="240"/>
            </w:pPr>
            <w:r>
              <w:t>Distr.</w:t>
            </w:r>
            <w:r w:rsidR="00C6526B">
              <w:t>:</w:t>
            </w:r>
            <w:r>
              <w:t xml:space="preserve"> </w:t>
            </w:r>
            <w:r w:rsidR="005E1057">
              <w:t>g</w:t>
            </w:r>
            <w:r w:rsidR="00C6526B">
              <w:t>eneral</w:t>
            </w:r>
          </w:p>
          <w:p w14:paraId="3938D012" w14:textId="7B87D25F" w:rsidR="005E3B5B" w:rsidRDefault="002F1F12" w:rsidP="005E3B5B">
            <w:pPr>
              <w:spacing w:line="240" w:lineRule="exact"/>
            </w:pPr>
            <w:r>
              <w:t>21</w:t>
            </w:r>
            <w:r w:rsidR="00C6526B" w:rsidRPr="000D0253">
              <w:t xml:space="preserve"> </w:t>
            </w:r>
            <w:r w:rsidR="005E3B5B" w:rsidRPr="000D0253">
              <w:t xml:space="preserve">de </w:t>
            </w:r>
            <w:r w:rsidR="00C04D93">
              <w:t>diciembre</w:t>
            </w:r>
            <w:r w:rsidR="00C6526B">
              <w:t xml:space="preserve"> </w:t>
            </w:r>
            <w:r w:rsidR="005E3B5B">
              <w:t>de 202</w:t>
            </w:r>
            <w:r w:rsidR="00305ACD">
              <w:t>3</w:t>
            </w:r>
          </w:p>
          <w:p w14:paraId="23644AF8" w14:textId="77777777" w:rsidR="000D0253" w:rsidRDefault="000D0253" w:rsidP="005E3B5B">
            <w:pPr>
              <w:spacing w:line="240" w:lineRule="exact"/>
            </w:pPr>
          </w:p>
          <w:p w14:paraId="399328C3" w14:textId="715DC3BE" w:rsidR="005E3B5B" w:rsidRDefault="005E3B5B" w:rsidP="002F1F12">
            <w:pPr>
              <w:spacing w:line="240" w:lineRule="exact"/>
            </w:pPr>
            <w:r>
              <w:t xml:space="preserve">Original: </w:t>
            </w:r>
            <w:r w:rsidR="0084541A">
              <w:t>español</w:t>
            </w:r>
          </w:p>
        </w:tc>
      </w:tr>
    </w:tbl>
    <w:p w14:paraId="6A58C96E" w14:textId="77777777" w:rsidR="005E3B5B" w:rsidRPr="005E3B5B" w:rsidRDefault="005E3B5B" w:rsidP="005E3B5B">
      <w:pPr>
        <w:spacing w:before="120"/>
        <w:rPr>
          <w:b/>
          <w:bCs/>
          <w:sz w:val="24"/>
          <w:szCs w:val="24"/>
          <w:lang w:val="es-ES_tradnl"/>
        </w:rPr>
      </w:pPr>
      <w:r w:rsidRPr="005E3B5B">
        <w:rPr>
          <w:b/>
          <w:bCs/>
          <w:sz w:val="24"/>
          <w:szCs w:val="24"/>
          <w:lang w:val="es-ES_tradnl"/>
        </w:rPr>
        <w:t>Comité de los Derechos del Niño</w:t>
      </w:r>
    </w:p>
    <w:p w14:paraId="0AD78F6D" w14:textId="1B0C2588" w:rsidR="005E3B5B" w:rsidRPr="005E3B5B" w:rsidRDefault="005E3B5B" w:rsidP="00591D3C">
      <w:pPr>
        <w:pStyle w:val="HChG"/>
        <w:rPr>
          <w:lang w:val="es-ES_tradnl"/>
        </w:rPr>
      </w:pPr>
      <w:r>
        <w:rPr>
          <w:lang w:val="es-ES_tradnl"/>
        </w:rPr>
        <w:tab/>
      </w:r>
      <w:r w:rsidRPr="005E3B5B">
        <w:rPr>
          <w:lang w:val="es-ES_tradnl"/>
        </w:rPr>
        <w:tab/>
      </w:r>
      <w:r w:rsidR="00C6526B">
        <w:rPr>
          <w:lang w:val="es-ES_tradnl"/>
        </w:rPr>
        <w:t xml:space="preserve">Dictamen aprobado por el Comité en </w:t>
      </w:r>
      <w:r w:rsidR="002914C2">
        <w:rPr>
          <w:lang w:val="es-ES_tradnl"/>
        </w:rPr>
        <w:t>virtud</w:t>
      </w:r>
      <w:r w:rsidR="00C6526B">
        <w:rPr>
          <w:lang w:val="es-ES_tradnl"/>
        </w:rPr>
        <w:t xml:space="preserve"> </w:t>
      </w:r>
      <w:r w:rsidR="002914C2">
        <w:rPr>
          <w:lang w:val="es-ES_tradnl"/>
        </w:rPr>
        <w:t>d</w:t>
      </w:r>
      <w:r w:rsidR="00C6526B">
        <w:rPr>
          <w:lang w:val="es-ES_tradnl"/>
        </w:rPr>
        <w:t>el Protocolo Facultativo de la Convención sobre los Derechos del Niño relativo a un procedimiento de comunicaciones</w:t>
      </w:r>
      <w:r w:rsidR="008A5003">
        <w:rPr>
          <w:lang w:val="es-ES_tradnl"/>
        </w:rPr>
        <w:t>,</w:t>
      </w:r>
      <w:r w:rsidR="00C6526B">
        <w:rPr>
          <w:lang w:val="es-ES_tradnl"/>
        </w:rPr>
        <w:t xml:space="preserve"> respecto de</w:t>
      </w:r>
      <w:r w:rsidR="002F1F12">
        <w:rPr>
          <w:lang w:val="es-ES_tradnl"/>
        </w:rPr>
        <w:t> </w:t>
      </w:r>
      <w:r w:rsidR="00C6526B">
        <w:rPr>
          <w:lang w:val="es-ES_tradnl"/>
        </w:rPr>
        <w:t>la c</w:t>
      </w:r>
      <w:r w:rsidRPr="005E3B5B">
        <w:rPr>
          <w:lang w:val="es-ES_tradnl"/>
        </w:rPr>
        <w:t xml:space="preserve">omunicación núm. </w:t>
      </w:r>
      <w:r w:rsidR="00305ACD">
        <w:rPr>
          <w:lang w:val="es-ES_tradnl"/>
        </w:rPr>
        <w:t>8</w:t>
      </w:r>
      <w:r w:rsidR="00015011">
        <w:rPr>
          <w:lang w:val="es-ES_tradnl"/>
        </w:rPr>
        <w:t>9</w:t>
      </w:r>
      <w:r w:rsidRPr="005E3B5B">
        <w:rPr>
          <w:lang w:val="es-ES_tradnl"/>
        </w:rPr>
        <w:t>/20</w:t>
      </w:r>
      <w:r w:rsidR="00305ACD">
        <w:rPr>
          <w:lang w:val="es-ES_tradnl"/>
        </w:rPr>
        <w:t>19</w:t>
      </w:r>
      <w:r w:rsidR="00C6526B" w:rsidRPr="00115B06">
        <w:rPr>
          <w:rStyle w:val="Refdenotaalpie"/>
          <w:b w:val="0"/>
          <w:sz w:val="20"/>
          <w:vertAlign w:val="baseline"/>
          <w:lang w:val="es-ES_tradnl"/>
        </w:rPr>
        <w:footnoteReference w:customMarkFollows="1" w:id="2"/>
        <w:t>*</w:t>
      </w:r>
      <w:r w:rsidR="00210B4C" w:rsidRPr="00210B4C">
        <w:rPr>
          <w:b w:val="0"/>
          <w:sz w:val="20"/>
          <w:lang w:val="es-ES_tradnl"/>
        </w:rPr>
        <w:t>*</w:t>
      </w:r>
      <w:r w:rsidR="009A2669" w:rsidRPr="00591D3C">
        <w:rPr>
          <w:b w:val="0"/>
          <w:vertAlign w:val="superscript"/>
          <w:lang w:val="es-ES_tradnl"/>
        </w:rPr>
        <w:t>,</w:t>
      </w:r>
      <w:r w:rsidR="00A3755E" w:rsidRPr="002F1F12">
        <w:rPr>
          <w:b w:val="0"/>
          <w:sz w:val="20"/>
          <w:vertAlign w:val="superscript"/>
          <w:lang w:val="es-ES_tradnl"/>
        </w:rPr>
        <w:t xml:space="preserve"> </w:t>
      </w:r>
      <w:r w:rsidR="00C6526B" w:rsidRPr="00115B06">
        <w:rPr>
          <w:rStyle w:val="Refdenotaalpie"/>
          <w:b w:val="0"/>
          <w:sz w:val="20"/>
          <w:vertAlign w:val="baseline"/>
          <w:lang w:val="es-ES_tradnl"/>
        </w:rPr>
        <w:footnoteReference w:customMarkFollows="1" w:id="3"/>
        <w:t>*</w:t>
      </w:r>
      <w:r w:rsidR="00210B4C" w:rsidRPr="00210B4C">
        <w:rPr>
          <w:b w:val="0"/>
          <w:sz w:val="20"/>
          <w:lang w:val="es-ES_tradnl"/>
        </w:rPr>
        <w:t>*</w:t>
      </w:r>
      <w:r w:rsidR="00C6526B" w:rsidRPr="00115B06">
        <w:rPr>
          <w:rStyle w:val="Refdenotaalpie"/>
          <w:b w:val="0"/>
          <w:sz w:val="20"/>
          <w:vertAlign w:val="baseline"/>
          <w:lang w:val="es-ES_tradnl"/>
        </w:rPr>
        <w:t>*</w:t>
      </w:r>
      <w:r w:rsidR="001126E4" w:rsidRPr="00591D3C">
        <w:rPr>
          <w:b w:val="0"/>
          <w:bCs/>
          <w:vertAlign w:val="superscript"/>
          <w:lang w:val="es-ES_tradnl"/>
        </w:rPr>
        <w:t>,</w:t>
      </w:r>
      <w:r w:rsidR="00A3755E">
        <w:rPr>
          <w:b w:val="0"/>
          <w:sz w:val="20"/>
          <w:vertAlign w:val="superscript"/>
          <w:lang w:val="es-ES_tradnl"/>
        </w:rPr>
        <w:t xml:space="preserve"> </w:t>
      </w:r>
      <w:r w:rsidR="00245D67" w:rsidRPr="005739BC">
        <w:rPr>
          <w:rStyle w:val="Refdenotaalpie"/>
          <w:b w:val="0"/>
          <w:bCs/>
          <w:sz w:val="20"/>
          <w:vertAlign w:val="baseline"/>
        </w:rPr>
        <w:footnoteReference w:customMarkFollows="1" w:id="4"/>
        <w:t>***</w:t>
      </w:r>
      <w:r w:rsidR="00210B4C" w:rsidRPr="00210B4C">
        <w:rPr>
          <w:b w:val="0"/>
          <w:bCs/>
          <w:sz w:val="20"/>
        </w:rPr>
        <w:t>*</w:t>
      </w:r>
    </w:p>
    <w:tbl>
      <w:tblPr>
        <w:tblStyle w:val="Tablaconcuadrcula"/>
        <w:tblW w:w="0" w:type="auto"/>
        <w:tblInd w:w="1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1"/>
        <w:gridCol w:w="3886"/>
      </w:tblGrid>
      <w:tr w:rsidR="008A30BA" w:rsidRPr="008A30BA" w14:paraId="1A0734E7" w14:textId="77777777" w:rsidTr="008070B1">
        <w:tc>
          <w:tcPr>
            <w:tcW w:w="2931" w:type="dxa"/>
            <w:tcMar>
              <w:left w:w="0" w:type="dxa"/>
              <w:right w:w="0" w:type="dxa"/>
            </w:tcMar>
          </w:tcPr>
          <w:p w14:paraId="6B2B4DBA" w14:textId="77777777" w:rsidR="008A30BA" w:rsidRPr="008A30BA" w:rsidRDefault="008A30BA" w:rsidP="00917824">
            <w:pPr>
              <w:pStyle w:val="SingleTxtG"/>
              <w:tabs>
                <w:tab w:val="clear" w:pos="1701"/>
                <w:tab w:val="clear" w:pos="2268"/>
                <w:tab w:val="clear" w:pos="2835"/>
              </w:tabs>
              <w:ind w:left="0" w:right="0"/>
              <w:jc w:val="left"/>
              <w:rPr>
                <w:lang w:val="es-ES_tradnl"/>
              </w:rPr>
            </w:pPr>
            <w:r w:rsidRPr="008A30BA">
              <w:rPr>
                <w:i/>
                <w:iCs/>
                <w:lang w:val="es-ES_tradnl"/>
              </w:rPr>
              <w:t>Comunicación presentada por:</w:t>
            </w:r>
          </w:p>
        </w:tc>
        <w:tc>
          <w:tcPr>
            <w:tcW w:w="3886" w:type="dxa"/>
            <w:tcMar>
              <w:left w:w="0" w:type="dxa"/>
              <w:right w:w="0" w:type="dxa"/>
            </w:tcMar>
            <w:vAlign w:val="bottom"/>
          </w:tcPr>
          <w:p w14:paraId="7751D938" w14:textId="4E94683C" w:rsidR="008A30BA" w:rsidRPr="008A30BA" w:rsidRDefault="00C35153" w:rsidP="008070B1">
            <w:pPr>
              <w:pStyle w:val="SingleTxtG"/>
              <w:ind w:left="0" w:right="0"/>
              <w:jc w:val="left"/>
            </w:pPr>
            <w:r w:rsidRPr="008A30BA">
              <w:t>D</w:t>
            </w:r>
            <w:r>
              <w:t>.</w:t>
            </w:r>
            <w:r w:rsidRPr="008A30BA">
              <w:t xml:space="preserve"> E</w:t>
            </w:r>
            <w:r>
              <w:t>.</w:t>
            </w:r>
            <w:r w:rsidRPr="008A30BA">
              <w:t xml:space="preserve"> P</w:t>
            </w:r>
            <w:r>
              <w:t>.</w:t>
            </w:r>
            <w:r w:rsidRPr="008A30BA">
              <w:t xml:space="preserve"> </w:t>
            </w:r>
            <w:r w:rsidR="008A30BA" w:rsidRPr="008A30BA">
              <w:t>(representado por la Defensoría de Casación de la Provincia de Buenos Aires)</w:t>
            </w:r>
          </w:p>
        </w:tc>
      </w:tr>
      <w:tr w:rsidR="008A30BA" w:rsidRPr="008A30BA" w14:paraId="1D75B8A8" w14:textId="77777777" w:rsidTr="008070B1">
        <w:tc>
          <w:tcPr>
            <w:tcW w:w="2931" w:type="dxa"/>
            <w:tcMar>
              <w:left w:w="0" w:type="dxa"/>
              <w:right w:w="0" w:type="dxa"/>
            </w:tcMar>
          </w:tcPr>
          <w:p w14:paraId="218549A0" w14:textId="77777777" w:rsidR="008A30BA" w:rsidRPr="008A30BA" w:rsidRDefault="008A30BA" w:rsidP="00917824">
            <w:pPr>
              <w:pStyle w:val="SingleTxtG"/>
              <w:tabs>
                <w:tab w:val="clear" w:pos="1701"/>
                <w:tab w:val="clear" w:pos="2268"/>
                <w:tab w:val="clear" w:pos="2835"/>
              </w:tabs>
              <w:ind w:left="0" w:right="0"/>
              <w:jc w:val="left"/>
              <w:rPr>
                <w:lang w:val="es-ES_tradnl"/>
              </w:rPr>
            </w:pPr>
            <w:r w:rsidRPr="008A30BA">
              <w:rPr>
                <w:i/>
                <w:iCs/>
                <w:lang w:val="es-ES_tradnl"/>
              </w:rPr>
              <w:t>Presunta víctima:</w:t>
            </w:r>
          </w:p>
        </w:tc>
        <w:tc>
          <w:tcPr>
            <w:tcW w:w="3886" w:type="dxa"/>
            <w:tcMar>
              <w:left w:w="0" w:type="dxa"/>
              <w:right w:w="0" w:type="dxa"/>
            </w:tcMar>
            <w:vAlign w:val="bottom"/>
          </w:tcPr>
          <w:p w14:paraId="11665273" w14:textId="77777777" w:rsidR="008A30BA" w:rsidRPr="008A30BA" w:rsidRDefault="008A30BA" w:rsidP="008070B1">
            <w:pPr>
              <w:pStyle w:val="SingleTxtG"/>
              <w:ind w:left="0" w:right="0"/>
              <w:jc w:val="left"/>
            </w:pPr>
            <w:r w:rsidRPr="008A30BA">
              <w:t>El autor</w:t>
            </w:r>
          </w:p>
        </w:tc>
      </w:tr>
      <w:tr w:rsidR="008A30BA" w:rsidRPr="008A30BA" w14:paraId="04652040" w14:textId="77777777" w:rsidTr="008070B1">
        <w:tc>
          <w:tcPr>
            <w:tcW w:w="2931" w:type="dxa"/>
            <w:tcMar>
              <w:left w:w="0" w:type="dxa"/>
              <w:right w:w="0" w:type="dxa"/>
            </w:tcMar>
          </w:tcPr>
          <w:p w14:paraId="4839C552" w14:textId="77777777" w:rsidR="008A30BA" w:rsidRPr="008A30BA" w:rsidRDefault="008A30BA" w:rsidP="00917824">
            <w:pPr>
              <w:pStyle w:val="SingleTxtG"/>
              <w:tabs>
                <w:tab w:val="clear" w:pos="1701"/>
                <w:tab w:val="clear" w:pos="2268"/>
                <w:tab w:val="clear" w:pos="2835"/>
              </w:tabs>
              <w:ind w:left="0" w:right="0"/>
              <w:jc w:val="left"/>
              <w:rPr>
                <w:lang w:val="es-ES_tradnl"/>
              </w:rPr>
            </w:pPr>
            <w:r w:rsidRPr="008A30BA">
              <w:rPr>
                <w:i/>
                <w:iCs/>
                <w:lang w:val="es-ES_tradnl"/>
              </w:rPr>
              <w:t>Estado parte:</w:t>
            </w:r>
          </w:p>
        </w:tc>
        <w:tc>
          <w:tcPr>
            <w:tcW w:w="3886" w:type="dxa"/>
            <w:tcMar>
              <w:left w:w="0" w:type="dxa"/>
              <w:right w:w="0" w:type="dxa"/>
            </w:tcMar>
            <w:vAlign w:val="bottom"/>
          </w:tcPr>
          <w:p w14:paraId="6B53AEC8" w14:textId="77777777" w:rsidR="008A30BA" w:rsidRPr="008A30BA" w:rsidRDefault="008A30BA" w:rsidP="008070B1">
            <w:pPr>
              <w:pStyle w:val="SingleTxtG"/>
              <w:ind w:left="0" w:right="0"/>
              <w:jc w:val="left"/>
            </w:pPr>
            <w:r w:rsidRPr="008A30BA">
              <w:t>Argentina</w:t>
            </w:r>
          </w:p>
        </w:tc>
      </w:tr>
      <w:tr w:rsidR="008A30BA" w:rsidRPr="008A30BA" w14:paraId="64F5EE5B" w14:textId="77777777" w:rsidTr="008070B1">
        <w:tc>
          <w:tcPr>
            <w:tcW w:w="2931" w:type="dxa"/>
            <w:tcMar>
              <w:left w:w="0" w:type="dxa"/>
              <w:right w:w="0" w:type="dxa"/>
            </w:tcMar>
          </w:tcPr>
          <w:p w14:paraId="3692F8D0" w14:textId="77777777" w:rsidR="008A30BA" w:rsidRPr="008A30BA" w:rsidRDefault="008A30BA" w:rsidP="00917824">
            <w:pPr>
              <w:pStyle w:val="SingleTxtG"/>
              <w:tabs>
                <w:tab w:val="clear" w:pos="1701"/>
                <w:tab w:val="clear" w:pos="2268"/>
                <w:tab w:val="clear" w:pos="2835"/>
              </w:tabs>
              <w:ind w:left="0" w:right="0"/>
              <w:jc w:val="left"/>
              <w:rPr>
                <w:lang w:val="es-ES_tradnl"/>
              </w:rPr>
            </w:pPr>
            <w:r w:rsidRPr="008A30BA">
              <w:rPr>
                <w:i/>
                <w:iCs/>
                <w:lang w:val="es-ES_tradnl"/>
              </w:rPr>
              <w:t>Fecha de la comunicación:</w:t>
            </w:r>
          </w:p>
        </w:tc>
        <w:tc>
          <w:tcPr>
            <w:tcW w:w="3886" w:type="dxa"/>
            <w:tcMar>
              <w:left w:w="0" w:type="dxa"/>
              <w:right w:w="0" w:type="dxa"/>
            </w:tcMar>
            <w:vAlign w:val="bottom"/>
          </w:tcPr>
          <w:p w14:paraId="3F601AEE" w14:textId="77777777" w:rsidR="008A30BA" w:rsidRPr="008A30BA" w:rsidRDefault="008A30BA" w:rsidP="008070B1">
            <w:pPr>
              <w:pStyle w:val="SingleTxtG"/>
              <w:ind w:left="0" w:right="0"/>
              <w:jc w:val="left"/>
            </w:pPr>
            <w:r w:rsidRPr="008A30BA">
              <w:t>1 de marzo de 2019 (presentación inicial)</w:t>
            </w:r>
          </w:p>
        </w:tc>
      </w:tr>
      <w:tr w:rsidR="008A30BA" w:rsidRPr="008A30BA" w14:paraId="3B601565" w14:textId="77777777" w:rsidTr="008070B1">
        <w:tc>
          <w:tcPr>
            <w:tcW w:w="2931" w:type="dxa"/>
            <w:tcMar>
              <w:left w:w="0" w:type="dxa"/>
              <w:right w:w="0" w:type="dxa"/>
            </w:tcMar>
          </w:tcPr>
          <w:p w14:paraId="6CC23172" w14:textId="722EF405" w:rsidR="008A30BA" w:rsidRPr="008A30BA" w:rsidRDefault="00917824" w:rsidP="00917824">
            <w:pPr>
              <w:pStyle w:val="SingleTxtG"/>
              <w:tabs>
                <w:tab w:val="clear" w:pos="1701"/>
                <w:tab w:val="clear" w:pos="2268"/>
                <w:tab w:val="clear" w:pos="2835"/>
              </w:tabs>
              <w:ind w:left="0" w:right="0"/>
              <w:jc w:val="left"/>
              <w:rPr>
                <w:lang w:val="es-ES_tradnl"/>
              </w:rPr>
            </w:pPr>
            <w:r w:rsidRPr="008A30BA">
              <w:rPr>
                <w:i/>
                <w:iCs/>
                <w:lang w:val="es-ES_tradnl"/>
              </w:rPr>
              <w:t xml:space="preserve">Fecha de aprobación </w:t>
            </w:r>
            <w:r>
              <w:rPr>
                <w:i/>
                <w:iCs/>
                <w:lang w:val="es-ES_tradnl"/>
              </w:rPr>
              <w:br/>
            </w:r>
            <w:r w:rsidR="008A30BA" w:rsidRPr="008A30BA">
              <w:rPr>
                <w:i/>
                <w:iCs/>
                <w:lang w:val="es-ES_tradnl"/>
              </w:rPr>
              <w:t>del dictamen:</w:t>
            </w:r>
          </w:p>
        </w:tc>
        <w:tc>
          <w:tcPr>
            <w:tcW w:w="3886" w:type="dxa"/>
            <w:tcMar>
              <w:left w:w="0" w:type="dxa"/>
              <w:right w:w="0" w:type="dxa"/>
            </w:tcMar>
            <w:vAlign w:val="bottom"/>
          </w:tcPr>
          <w:p w14:paraId="70EFD234" w14:textId="2E6F9E5D" w:rsidR="008A30BA" w:rsidRPr="008A30BA" w:rsidRDefault="00C6526B" w:rsidP="008070B1">
            <w:pPr>
              <w:pStyle w:val="SingleTxtG"/>
              <w:ind w:left="0" w:right="0"/>
              <w:jc w:val="left"/>
            </w:pPr>
            <w:r>
              <w:t>19</w:t>
            </w:r>
            <w:r w:rsidRPr="008A30BA">
              <w:t xml:space="preserve"> </w:t>
            </w:r>
            <w:r w:rsidR="008A30BA" w:rsidRPr="008A30BA">
              <w:t>de septiembre de 2023</w:t>
            </w:r>
          </w:p>
        </w:tc>
      </w:tr>
      <w:tr w:rsidR="008A30BA" w:rsidRPr="008A30BA" w14:paraId="0DC80FED" w14:textId="77777777" w:rsidTr="008070B1">
        <w:tc>
          <w:tcPr>
            <w:tcW w:w="2931" w:type="dxa"/>
            <w:tcMar>
              <w:left w:w="0" w:type="dxa"/>
              <w:right w:w="0" w:type="dxa"/>
            </w:tcMar>
          </w:tcPr>
          <w:p w14:paraId="70218AF2" w14:textId="77777777" w:rsidR="008A30BA" w:rsidRPr="008A30BA" w:rsidRDefault="008A30BA" w:rsidP="00917824">
            <w:pPr>
              <w:pStyle w:val="SingleTxtG"/>
              <w:tabs>
                <w:tab w:val="clear" w:pos="1701"/>
                <w:tab w:val="clear" w:pos="2268"/>
                <w:tab w:val="clear" w:pos="2835"/>
              </w:tabs>
              <w:ind w:left="0" w:right="0"/>
              <w:jc w:val="left"/>
              <w:rPr>
                <w:i/>
                <w:iCs/>
                <w:lang w:val="es-ES_tradnl"/>
              </w:rPr>
            </w:pPr>
            <w:r w:rsidRPr="008A30BA">
              <w:rPr>
                <w:i/>
                <w:iCs/>
                <w:lang w:val="es-ES_tradnl"/>
              </w:rPr>
              <w:t>Asunto:</w:t>
            </w:r>
          </w:p>
        </w:tc>
        <w:tc>
          <w:tcPr>
            <w:tcW w:w="3886" w:type="dxa"/>
            <w:tcMar>
              <w:left w:w="0" w:type="dxa"/>
              <w:right w:w="0" w:type="dxa"/>
            </w:tcMar>
            <w:vAlign w:val="bottom"/>
          </w:tcPr>
          <w:p w14:paraId="51DC5C26" w14:textId="77777777" w:rsidR="008A30BA" w:rsidRPr="008A30BA" w:rsidRDefault="008A30BA" w:rsidP="008070B1">
            <w:pPr>
              <w:pStyle w:val="SingleTxtG"/>
              <w:ind w:left="0" w:right="0"/>
              <w:jc w:val="left"/>
            </w:pPr>
            <w:r w:rsidRPr="008A30BA">
              <w:t>Condena penal del autor sin tener en cuenta que era un niño a la hora de establecer la duración de la pena, sin promover su resocialización y sin garantizar el tratamiento diferenciado requerido durante la ejecución de la pena</w:t>
            </w:r>
          </w:p>
        </w:tc>
      </w:tr>
      <w:tr w:rsidR="008A30BA" w:rsidRPr="008A30BA" w14:paraId="5A227B85" w14:textId="77777777" w:rsidTr="008070B1">
        <w:tc>
          <w:tcPr>
            <w:tcW w:w="2931" w:type="dxa"/>
            <w:tcMar>
              <w:left w:w="0" w:type="dxa"/>
              <w:right w:w="0" w:type="dxa"/>
            </w:tcMar>
          </w:tcPr>
          <w:p w14:paraId="4F179CB6" w14:textId="77777777" w:rsidR="008A30BA" w:rsidRPr="008A30BA" w:rsidRDefault="008A30BA" w:rsidP="00917824">
            <w:pPr>
              <w:pStyle w:val="SingleTxtG"/>
              <w:tabs>
                <w:tab w:val="clear" w:pos="1701"/>
                <w:tab w:val="clear" w:pos="2268"/>
                <w:tab w:val="clear" w:pos="2835"/>
              </w:tabs>
              <w:ind w:left="0" w:right="0"/>
              <w:jc w:val="left"/>
              <w:rPr>
                <w:lang w:val="es-ES_tradnl"/>
              </w:rPr>
            </w:pPr>
            <w:r w:rsidRPr="008A30BA">
              <w:rPr>
                <w:i/>
                <w:iCs/>
                <w:lang w:val="es-ES_tradnl"/>
              </w:rPr>
              <w:t>Cuestiones de procedimiento:</w:t>
            </w:r>
          </w:p>
        </w:tc>
        <w:tc>
          <w:tcPr>
            <w:tcW w:w="3886" w:type="dxa"/>
            <w:tcMar>
              <w:left w:w="0" w:type="dxa"/>
              <w:right w:w="0" w:type="dxa"/>
            </w:tcMar>
            <w:vAlign w:val="bottom"/>
          </w:tcPr>
          <w:p w14:paraId="57E3D300" w14:textId="0B1B2417" w:rsidR="008A30BA" w:rsidRPr="008A30BA" w:rsidRDefault="008A30BA" w:rsidP="008070B1">
            <w:pPr>
              <w:pStyle w:val="SingleTxtG"/>
              <w:ind w:left="0" w:right="0"/>
              <w:jc w:val="left"/>
            </w:pPr>
            <w:r w:rsidRPr="008A30BA">
              <w:t>Agotamiento de</w:t>
            </w:r>
            <w:r w:rsidR="00B57941">
              <w:t xml:space="preserve"> los</w:t>
            </w:r>
            <w:r w:rsidRPr="008A30BA">
              <w:t xml:space="preserve"> recursos internos; admisibilidad</w:t>
            </w:r>
            <w:r w:rsidR="00B27C00">
              <w:t>,</w:t>
            </w:r>
            <w:r w:rsidRPr="008A30BA">
              <w:t xml:space="preserve"> comunicación manifiestamente infundada</w:t>
            </w:r>
          </w:p>
        </w:tc>
      </w:tr>
      <w:tr w:rsidR="008A30BA" w:rsidRPr="008A30BA" w14:paraId="688C798D" w14:textId="77777777" w:rsidTr="008070B1">
        <w:tc>
          <w:tcPr>
            <w:tcW w:w="2931" w:type="dxa"/>
            <w:tcMar>
              <w:left w:w="0" w:type="dxa"/>
              <w:right w:w="0" w:type="dxa"/>
            </w:tcMar>
          </w:tcPr>
          <w:p w14:paraId="77E972F5" w14:textId="77777777" w:rsidR="008A30BA" w:rsidRPr="008A30BA" w:rsidRDefault="008A30BA" w:rsidP="00917824">
            <w:pPr>
              <w:pStyle w:val="SingleTxtG"/>
              <w:tabs>
                <w:tab w:val="clear" w:pos="1701"/>
                <w:tab w:val="clear" w:pos="2268"/>
                <w:tab w:val="clear" w:pos="2835"/>
              </w:tabs>
              <w:ind w:left="0" w:right="0"/>
              <w:jc w:val="left"/>
              <w:rPr>
                <w:lang w:val="es-ES_tradnl"/>
              </w:rPr>
            </w:pPr>
            <w:r w:rsidRPr="008A30BA">
              <w:rPr>
                <w:i/>
                <w:iCs/>
                <w:lang w:val="es-ES_tradnl"/>
              </w:rPr>
              <w:t>Cuestiones de fondo:</w:t>
            </w:r>
          </w:p>
        </w:tc>
        <w:tc>
          <w:tcPr>
            <w:tcW w:w="3886" w:type="dxa"/>
            <w:tcMar>
              <w:left w:w="0" w:type="dxa"/>
              <w:right w:w="0" w:type="dxa"/>
            </w:tcMar>
            <w:vAlign w:val="bottom"/>
          </w:tcPr>
          <w:p w14:paraId="51EC1272" w14:textId="77777777" w:rsidR="008A30BA" w:rsidRPr="008A30BA" w:rsidRDefault="008A30BA" w:rsidP="008070B1">
            <w:pPr>
              <w:pStyle w:val="SingleTxtG"/>
              <w:ind w:left="0" w:right="0"/>
              <w:jc w:val="left"/>
            </w:pPr>
            <w:r w:rsidRPr="008A30BA">
              <w:t>Interés superior del niño; condiciones de detención; privación de libertad</w:t>
            </w:r>
          </w:p>
        </w:tc>
      </w:tr>
      <w:tr w:rsidR="008A30BA" w:rsidRPr="008A30BA" w14:paraId="296AA2C2" w14:textId="77777777" w:rsidTr="008070B1">
        <w:tc>
          <w:tcPr>
            <w:tcW w:w="2931" w:type="dxa"/>
            <w:tcMar>
              <w:left w:w="0" w:type="dxa"/>
              <w:right w:w="0" w:type="dxa"/>
            </w:tcMar>
          </w:tcPr>
          <w:p w14:paraId="702003C4" w14:textId="77777777" w:rsidR="008A30BA" w:rsidRPr="008A30BA" w:rsidRDefault="008A30BA" w:rsidP="00917824">
            <w:pPr>
              <w:pStyle w:val="SingleTxtG"/>
              <w:tabs>
                <w:tab w:val="clear" w:pos="1701"/>
                <w:tab w:val="clear" w:pos="2268"/>
                <w:tab w:val="clear" w:pos="2835"/>
              </w:tabs>
              <w:ind w:left="0" w:right="0"/>
              <w:jc w:val="left"/>
              <w:rPr>
                <w:lang w:val="es-ES_tradnl"/>
              </w:rPr>
            </w:pPr>
            <w:r w:rsidRPr="008A30BA">
              <w:rPr>
                <w:i/>
                <w:iCs/>
                <w:lang w:val="es-ES_tradnl"/>
              </w:rPr>
              <w:t>Artículos de la Convención:</w:t>
            </w:r>
          </w:p>
        </w:tc>
        <w:tc>
          <w:tcPr>
            <w:tcW w:w="3886" w:type="dxa"/>
            <w:tcMar>
              <w:left w:w="0" w:type="dxa"/>
              <w:right w:w="0" w:type="dxa"/>
            </w:tcMar>
            <w:vAlign w:val="bottom"/>
          </w:tcPr>
          <w:p w14:paraId="173D6579" w14:textId="725A5E55" w:rsidR="008A30BA" w:rsidRPr="008A30BA" w:rsidRDefault="008A30BA" w:rsidP="008070B1">
            <w:pPr>
              <w:pStyle w:val="SingleTxtG"/>
              <w:ind w:left="0" w:right="0"/>
              <w:jc w:val="left"/>
            </w:pPr>
            <w:r w:rsidRPr="008A30BA">
              <w:t>3; 4; 25; 37 b)</w:t>
            </w:r>
            <w:r w:rsidR="00417E3B">
              <w:t xml:space="preserve"> y </w:t>
            </w:r>
            <w:r w:rsidRPr="008A30BA">
              <w:t>c)</w:t>
            </w:r>
            <w:r w:rsidR="00417E3B">
              <w:t>,</w:t>
            </w:r>
            <w:r w:rsidRPr="008A30BA">
              <w:t xml:space="preserve"> y 40</w:t>
            </w:r>
          </w:p>
        </w:tc>
      </w:tr>
      <w:tr w:rsidR="008A30BA" w:rsidRPr="008A30BA" w14:paraId="500F63AD" w14:textId="77777777" w:rsidTr="008070B1">
        <w:tc>
          <w:tcPr>
            <w:tcW w:w="2931" w:type="dxa"/>
            <w:tcMar>
              <w:left w:w="0" w:type="dxa"/>
              <w:right w:w="0" w:type="dxa"/>
            </w:tcMar>
          </w:tcPr>
          <w:p w14:paraId="034399AD" w14:textId="2031C84A" w:rsidR="008A30BA" w:rsidRPr="008A30BA" w:rsidRDefault="00917824" w:rsidP="00917824">
            <w:pPr>
              <w:pStyle w:val="SingleTxtG"/>
              <w:tabs>
                <w:tab w:val="clear" w:pos="1701"/>
                <w:tab w:val="clear" w:pos="2268"/>
                <w:tab w:val="clear" w:pos="2835"/>
              </w:tabs>
              <w:ind w:left="0" w:right="0"/>
              <w:jc w:val="left"/>
              <w:rPr>
                <w:lang w:val="es-ES_tradnl"/>
              </w:rPr>
            </w:pPr>
            <w:r w:rsidRPr="008A30BA">
              <w:rPr>
                <w:i/>
                <w:iCs/>
                <w:lang w:val="es-ES_tradnl"/>
              </w:rPr>
              <w:t>Artículos del Protocolo</w:t>
            </w:r>
            <w:r>
              <w:rPr>
                <w:i/>
                <w:iCs/>
                <w:lang w:val="es-ES_tradnl"/>
              </w:rPr>
              <w:br/>
            </w:r>
            <w:r w:rsidR="008A30BA" w:rsidRPr="008A30BA">
              <w:rPr>
                <w:i/>
                <w:iCs/>
                <w:lang w:val="es-ES_tradnl"/>
              </w:rPr>
              <w:t>Facultativo:</w:t>
            </w:r>
          </w:p>
        </w:tc>
        <w:tc>
          <w:tcPr>
            <w:tcW w:w="3886" w:type="dxa"/>
            <w:tcMar>
              <w:left w:w="0" w:type="dxa"/>
              <w:right w:w="0" w:type="dxa"/>
            </w:tcMar>
            <w:vAlign w:val="bottom"/>
          </w:tcPr>
          <w:p w14:paraId="536B224A" w14:textId="685DEADD" w:rsidR="008A30BA" w:rsidRPr="008A30BA" w:rsidRDefault="008A30BA" w:rsidP="008070B1">
            <w:pPr>
              <w:pStyle w:val="SingleTxtG"/>
              <w:ind w:left="0" w:right="0"/>
              <w:jc w:val="left"/>
            </w:pPr>
            <w:r w:rsidRPr="008A30BA">
              <w:t xml:space="preserve">7 c), </w:t>
            </w:r>
            <w:r w:rsidR="007F6106">
              <w:t>e</w:t>
            </w:r>
            <w:r w:rsidRPr="008A30BA">
              <w:t xml:space="preserve">) y </w:t>
            </w:r>
            <w:r w:rsidR="007F6106">
              <w:t>g</w:t>
            </w:r>
            <w:r w:rsidRPr="008A30BA">
              <w:t>)</w:t>
            </w:r>
            <w:r w:rsidR="00EA3DFC">
              <w:t>,</w:t>
            </w:r>
            <w:r w:rsidRPr="008A30BA">
              <w:t xml:space="preserve"> y 20</w:t>
            </w:r>
          </w:p>
        </w:tc>
      </w:tr>
    </w:tbl>
    <w:p w14:paraId="6D07CBB5" w14:textId="14A9A28A" w:rsidR="005E3B5B" w:rsidRPr="005E3B5B" w:rsidRDefault="001A4EF2" w:rsidP="00BE3CBD">
      <w:pPr>
        <w:pStyle w:val="SingleTxtG"/>
        <w:keepNext/>
        <w:keepLines/>
        <w:spacing w:before="120"/>
        <w:rPr>
          <w:lang w:val="es-ES_tradnl"/>
        </w:rPr>
      </w:pPr>
      <w:r>
        <w:rPr>
          <w:lang w:val="es-ES_tradnl"/>
        </w:rPr>
        <w:lastRenderedPageBreak/>
        <w:t>1.1</w:t>
      </w:r>
      <w:r w:rsidR="005E3B5B" w:rsidRPr="005E3B5B">
        <w:rPr>
          <w:lang w:val="es-ES_tradnl"/>
        </w:rPr>
        <w:tab/>
      </w:r>
      <w:r w:rsidR="00E3540B">
        <w:rPr>
          <w:lang w:val="es-ES_tradnl"/>
        </w:rPr>
        <w:t xml:space="preserve">El autor de la comunicación es </w:t>
      </w:r>
      <w:r w:rsidR="00C35153">
        <w:rPr>
          <w:lang w:val="es-ES_tradnl"/>
        </w:rPr>
        <w:t>D. E. P.</w:t>
      </w:r>
      <w:r w:rsidR="00E3540B">
        <w:rPr>
          <w:lang w:val="es-ES_tradnl"/>
        </w:rPr>
        <w:t xml:space="preserve">, nacional de </w:t>
      </w:r>
      <w:r w:rsidR="00FD6350">
        <w:rPr>
          <w:lang w:val="es-ES_tradnl"/>
        </w:rPr>
        <w:t xml:space="preserve">la </w:t>
      </w:r>
      <w:r w:rsidR="00E3540B">
        <w:rPr>
          <w:lang w:val="es-ES_tradnl"/>
        </w:rPr>
        <w:t>Argentina, nacido el 17 de noviembre de 1990.</w:t>
      </w:r>
      <w:r w:rsidR="005E3B5B" w:rsidRPr="005E3B5B">
        <w:rPr>
          <w:lang w:val="es-ES_tradnl"/>
        </w:rPr>
        <w:t xml:space="preserve"> </w:t>
      </w:r>
      <w:r w:rsidR="00FE48EE">
        <w:rPr>
          <w:lang w:val="es-ES_tradnl"/>
        </w:rPr>
        <w:t>El autor afirma</w:t>
      </w:r>
      <w:r w:rsidR="00FE48EE" w:rsidRPr="005E3B5B">
        <w:rPr>
          <w:lang w:val="es-ES_tradnl"/>
        </w:rPr>
        <w:t xml:space="preserve"> </w:t>
      </w:r>
      <w:r w:rsidR="005E3B5B" w:rsidRPr="005E3B5B">
        <w:rPr>
          <w:lang w:val="es-ES_tradnl"/>
        </w:rPr>
        <w:t xml:space="preserve">que </w:t>
      </w:r>
      <w:r w:rsidR="00CD75AD">
        <w:rPr>
          <w:lang w:val="es-ES_tradnl"/>
        </w:rPr>
        <w:t xml:space="preserve">el Estado parte ha violado los derechos que </w:t>
      </w:r>
      <w:r w:rsidR="00E3540B">
        <w:rPr>
          <w:lang w:val="es-ES_tradnl"/>
        </w:rPr>
        <w:t>l</w:t>
      </w:r>
      <w:r w:rsidR="00653D9D">
        <w:rPr>
          <w:lang w:val="es-ES_tradnl"/>
        </w:rPr>
        <w:t>o</w:t>
      </w:r>
      <w:r w:rsidR="00E3540B">
        <w:rPr>
          <w:lang w:val="es-ES_tradnl"/>
        </w:rPr>
        <w:t xml:space="preserve"> </w:t>
      </w:r>
      <w:r w:rsidR="00CD75AD">
        <w:rPr>
          <w:lang w:val="es-ES_tradnl"/>
        </w:rPr>
        <w:t xml:space="preserve">asisten </w:t>
      </w:r>
      <w:r w:rsidR="007E279B">
        <w:rPr>
          <w:lang w:val="es-ES_tradnl"/>
        </w:rPr>
        <w:t xml:space="preserve">en virtud </w:t>
      </w:r>
      <w:r w:rsidR="005E3B5B" w:rsidRPr="005E3B5B">
        <w:rPr>
          <w:lang w:val="es-ES_tradnl"/>
        </w:rPr>
        <w:t xml:space="preserve">de los artículos 3, </w:t>
      </w:r>
      <w:r w:rsidR="00E3540B">
        <w:rPr>
          <w:lang w:val="es-ES_tradnl"/>
        </w:rPr>
        <w:t>4</w:t>
      </w:r>
      <w:r w:rsidR="005E3B5B" w:rsidRPr="005E3B5B">
        <w:rPr>
          <w:lang w:val="es-ES_tradnl"/>
        </w:rPr>
        <w:t xml:space="preserve">, </w:t>
      </w:r>
      <w:r w:rsidR="00E3540B">
        <w:rPr>
          <w:lang w:val="es-ES_tradnl"/>
        </w:rPr>
        <w:t>25, 37</w:t>
      </w:r>
      <w:r w:rsidR="002F1F12">
        <w:rPr>
          <w:lang w:val="es-ES_tradnl"/>
        </w:rPr>
        <w:t xml:space="preserve"> </w:t>
      </w:r>
      <w:r w:rsidR="00B43B81">
        <w:rPr>
          <w:lang w:val="es-ES_tradnl"/>
        </w:rPr>
        <w:t>b) y c)</w:t>
      </w:r>
      <w:r w:rsidR="005E3B5B" w:rsidRPr="005E3B5B">
        <w:rPr>
          <w:lang w:val="es-ES_tradnl"/>
        </w:rPr>
        <w:t xml:space="preserve"> y</w:t>
      </w:r>
      <w:r w:rsidR="00B43B81">
        <w:rPr>
          <w:lang w:val="es-ES_tradnl"/>
        </w:rPr>
        <w:t xml:space="preserve"> </w:t>
      </w:r>
      <w:r w:rsidR="00E3540B">
        <w:rPr>
          <w:lang w:val="es-ES_tradnl"/>
        </w:rPr>
        <w:t>40</w:t>
      </w:r>
      <w:r w:rsidR="00F35DCA" w:rsidRPr="005E3B5B">
        <w:rPr>
          <w:lang w:val="es-ES_tradnl"/>
        </w:rPr>
        <w:t xml:space="preserve"> </w:t>
      </w:r>
      <w:r w:rsidR="005E3B5B" w:rsidRPr="005E3B5B">
        <w:rPr>
          <w:lang w:val="es-ES_tradnl"/>
        </w:rPr>
        <w:t xml:space="preserve">de la Convención. </w:t>
      </w:r>
      <w:r w:rsidR="00E3540B">
        <w:rPr>
          <w:lang w:val="es-ES_tradnl"/>
        </w:rPr>
        <w:t>El autor se encuentra representado</w:t>
      </w:r>
      <w:r w:rsidR="009B0E0C">
        <w:rPr>
          <w:lang w:val="es-ES_tradnl"/>
        </w:rPr>
        <w:t xml:space="preserve"> legalmente</w:t>
      </w:r>
      <w:r w:rsidR="00E3540B">
        <w:rPr>
          <w:lang w:val="es-ES_tradnl"/>
        </w:rPr>
        <w:t xml:space="preserve">. </w:t>
      </w:r>
      <w:r w:rsidR="005E3B5B" w:rsidRPr="005E3B5B">
        <w:rPr>
          <w:lang w:val="es-ES_tradnl"/>
        </w:rPr>
        <w:t xml:space="preserve">El Protocolo Facultativo entró en vigor para el Estado parte el </w:t>
      </w:r>
      <w:r w:rsidR="0053035E" w:rsidRPr="0053035E">
        <w:t>14</w:t>
      </w:r>
      <w:r w:rsidR="002F1F12">
        <w:t> </w:t>
      </w:r>
      <w:r w:rsidR="0053035E" w:rsidRPr="0053035E">
        <w:t>de julio de 2015</w:t>
      </w:r>
      <w:r w:rsidR="00E3540B">
        <w:rPr>
          <w:lang w:val="es-ES_tradnl"/>
        </w:rPr>
        <w:t>.</w:t>
      </w:r>
    </w:p>
    <w:p w14:paraId="14007DA9" w14:textId="000A0BE0" w:rsidR="002E0E92" w:rsidRDefault="005E3B5B" w:rsidP="005E3B5B">
      <w:pPr>
        <w:pStyle w:val="SingleTxtG"/>
      </w:pPr>
      <w:r w:rsidRPr="005E3B5B">
        <w:rPr>
          <w:lang w:val="es-ES_tradnl"/>
        </w:rPr>
        <w:t>1.2</w:t>
      </w:r>
      <w:r w:rsidRPr="005E3B5B">
        <w:rPr>
          <w:lang w:val="es-ES_tradnl"/>
        </w:rPr>
        <w:tab/>
      </w:r>
      <w:r w:rsidR="008A2537" w:rsidRPr="00572F40">
        <w:t>El examen de la comunicación fue suspendido</w:t>
      </w:r>
      <w:r w:rsidR="00C35153">
        <w:t>, a pedido de las partes,</w:t>
      </w:r>
      <w:r w:rsidR="008A2537" w:rsidRPr="00572F40">
        <w:t xml:space="preserve"> entre el 10 de marzo de </w:t>
      </w:r>
      <w:r w:rsidR="00F91EA5" w:rsidRPr="00572F40">
        <w:t>202</w:t>
      </w:r>
      <w:r w:rsidR="00F91EA5">
        <w:t>0</w:t>
      </w:r>
      <w:r w:rsidR="00F91EA5" w:rsidRPr="00572F40">
        <w:t xml:space="preserve"> </w:t>
      </w:r>
      <w:r w:rsidR="008A2537" w:rsidRPr="00572F40">
        <w:t xml:space="preserve">y el </w:t>
      </w:r>
      <w:r w:rsidR="002F1F12" w:rsidRPr="00572F40">
        <w:t>30</w:t>
      </w:r>
      <w:r w:rsidR="002F1F12">
        <w:t xml:space="preserve"> </w:t>
      </w:r>
      <w:r w:rsidR="008A2537" w:rsidRPr="00572F40">
        <w:t>de septiembre de 2022, en virtud de u</w:t>
      </w:r>
      <w:r w:rsidR="001A4EF2" w:rsidRPr="00572F40">
        <w:t>n</w:t>
      </w:r>
      <w:r w:rsidR="008A2537" w:rsidRPr="00572F40">
        <w:t xml:space="preserve"> procedimiento de solución amistosa </w:t>
      </w:r>
      <w:r w:rsidR="00C35153">
        <w:t xml:space="preserve">entre ellas </w:t>
      </w:r>
      <w:r w:rsidR="008A2537" w:rsidRPr="00572F40">
        <w:t xml:space="preserve">a nivel interno que concluyó sin </w:t>
      </w:r>
      <w:r w:rsidR="002B5F6D" w:rsidRPr="00572F40">
        <w:t xml:space="preserve">llegar a un </w:t>
      </w:r>
      <w:r w:rsidR="008A2537" w:rsidRPr="00572F40">
        <w:t>acuerdo.</w:t>
      </w:r>
    </w:p>
    <w:p w14:paraId="3DC6B57A" w14:textId="25A3EAD6" w:rsidR="005E3B5B" w:rsidRPr="005E3B5B" w:rsidRDefault="005E3B5B" w:rsidP="005E3B5B">
      <w:pPr>
        <w:pStyle w:val="H23G"/>
        <w:rPr>
          <w:lang w:val="es-ES_tradnl"/>
        </w:rPr>
      </w:pPr>
      <w:r>
        <w:rPr>
          <w:lang w:val="es-ES_tradnl"/>
        </w:rPr>
        <w:tab/>
      </w:r>
      <w:r w:rsidRPr="005E3B5B">
        <w:rPr>
          <w:lang w:val="es-ES_tradnl"/>
        </w:rPr>
        <w:tab/>
        <w:t xml:space="preserve">Hechos expuestos por </w:t>
      </w:r>
      <w:r w:rsidR="00CA5D91">
        <w:rPr>
          <w:lang w:val="es-ES_tradnl"/>
        </w:rPr>
        <w:t>el autor</w:t>
      </w:r>
    </w:p>
    <w:p w14:paraId="7756EECF" w14:textId="4111C402" w:rsidR="00E94E3A" w:rsidRDefault="005E3B5B" w:rsidP="0032673D">
      <w:pPr>
        <w:pStyle w:val="SingleTxtG"/>
        <w:rPr>
          <w:lang w:val="es-ES_tradnl"/>
        </w:rPr>
      </w:pPr>
      <w:r w:rsidRPr="005E3B5B">
        <w:rPr>
          <w:lang w:val="es-ES_tradnl"/>
        </w:rPr>
        <w:t>2.1</w:t>
      </w:r>
      <w:r w:rsidRPr="005E3B5B">
        <w:rPr>
          <w:lang w:val="es-ES_tradnl"/>
        </w:rPr>
        <w:tab/>
      </w:r>
      <w:r w:rsidR="001774D3">
        <w:rPr>
          <w:lang w:val="es-ES_tradnl"/>
        </w:rPr>
        <w:t xml:space="preserve">El </w:t>
      </w:r>
      <w:r w:rsidR="00E94E3A">
        <w:rPr>
          <w:lang w:val="es-ES_tradnl"/>
        </w:rPr>
        <w:t xml:space="preserve">23 de abril de 2010, la Cámara de Apelación y Garantías </w:t>
      </w:r>
      <w:r w:rsidR="00734690">
        <w:rPr>
          <w:lang w:val="es-ES_tradnl"/>
        </w:rPr>
        <w:t xml:space="preserve">en lo Penal </w:t>
      </w:r>
      <w:r w:rsidR="00E94E3A">
        <w:rPr>
          <w:lang w:val="es-ES_tradnl"/>
        </w:rPr>
        <w:t xml:space="preserve">del Departamento Judicial de La Matanza condenó </w:t>
      </w:r>
      <w:r w:rsidR="00187CA8">
        <w:rPr>
          <w:lang w:val="es-ES_tradnl"/>
        </w:rPr>
        <w:t xml:space="preserve">a </w:t>
      </w:r>
      <w:r w:rsidR="00187CA8" w:rsidRPr="00187CA8">
        <w:rPr>
          <w:lang w:val="es-ES_tradnl"/>
        </w:rPr>
        <w:t>D. E. P.</w:t>
      </w:r>
      <w:r w:rsidR="00C35153">
        <w:rPr>
          <w:lang w:val="es-ES_tradnl"/>
        </w:rPr>
        <w:t xml:space="preserve"> </w:t>
      </w:r>
      <w:r w:rsidR="00E94E3A">
        <w:rPr>
          <w:lang w:val="es-ES_tradnl"/>
        </w:rPr>
        <w:t xml:space="preserve">a la pena de </w:t>
      </w:r>
      <w:r w:rsidR="004A5366">
        <w:rPr>
          <w:lang w:val="es-ES_tradnl"/>
        </w:rPr>
        <w:t>15</w:t>
      </w:r>
      <w:r w:rsidR="002F1F12">
        <w:rPr>
          <w:lang w:val="es-ES_tradnl"/>
        </w:rPr>
        <w:t xml:space="preserve"> </w:t>
      </w:r>
      <w:r w:rsidR="00E94E3A">
        <w:rPr>
          <w:lang w:val="es-ES_tradnl"/>
        </w:rPr>
        <w:t xml:space="preserve">años de prisión </w:t>
      </w:r>
      <w:r w:rsidR="00E463F1">
        <w:rPr>
          <w:lang w:val="es-ES_tradnl"/>
        </w:rPr>
        <w:t>tras declararlo</w:t>
      </w:r>
      <w:r w:rsidR="00E94E3A">
        <w:rPr>
          <w:lang w:val="es-ES_tradnl"/>
        </w:rPr>
        <w:t xml:space="preserve"> autor del delito de homicidio </w:t>
      </w:r>
      <w:r w:rsidR="00B10070">
        <w:rPr>
          <w:lang w:val="es-ES_tradnl"/>
        </w:rPr>
        <w:t xml:space="preserve">calificado </w:t>
      </w:r>
      <w:proofErr w:type="spellStart"/>
      <w:r w:rsidR="00E94E3A" w:rsidRPr="00201340">
        <w:rPr>
          <w:i/>
          <w:iCs/>
          <w:lang w:val="es-ES_tradnl"/>
        </w:rPr>
        <w:t>criminis</w:t>
      </w:r>
      <w:proofErr w:type="spellEnd"/>
      <w:r w:rsidR="00E94E3A" w:rsidRPr="00201340">
        <w:rPr>
          <w:i/>
          <w:iCs/>
          <w:lang w:val="es-ES_tradnl"/>
        </w:rPr>
        <w:t xml:space="preserve"> </w:t>
      </w:r>
      <w:proofErr w:type="spellStart"/>
      <w:r w:rsidR="00E94E3A" w:rsidRPr="00201340">
        <w:rPr>
          <w:i/>
          <w:iCs/>
          <w:lang w:val="es-ES_tradnl"/>
        </w:rPr>
        <w:t>causae</w:t>
      </w:r>
      <w:proofErr w:type="spellEnd"/>
      <w:r w:rsidR="00E94E3A">
        <w:rPr>
          <w:rStyle w:val="Refdenotaalpie"/>
          <w:lang w:val="es-ES_tradnl"/>
        </w:rPr>
        <w:footnoteReference w:id="5"/>
      </w:r>
      <w:r w:rsidR="00F76746">
        <w:rPr>
          <w:lang w:val="es-ES_tradnl"/>
        </w:rPr>
        <w:t xml:space="preserve">. </w:t>
      </w:r>
      <w:r w:rsidR="007E291E">
        <w:rPr>
          <w:lang w:val="es-ES_tradnl"/>
        </w:rPr>
        <w:t xml:space="preserve">El delito fue cometido el 26 de enero de 2008, cuando el autor tenía 17 años y </w:t>
      </w:r>
      <w:r w:rsidR="00BB1DE0">
        <w:rPr>
          <w:lang w:val="es-ES_tradnl"/>
        </w:rPr>
        <w:t xml:space="preserve">2 </w:t>
      </w:r>
      <w:r w:rsidR="007E291E">
        <w:rPr>
          <w:lang w:val="es-ES_tradnl"/>
        </w:rPr>
        <w:t xml:space="preserve">meses de edad. </w:t>
      </w:r>
      <w:r w:rsidR="00F76746">
        <w:rPr>
          <w:lang w:val="es-ES_tradnl"/>
        </w:rPr>
        <w:t xml:space="preserve">Al determinar la pena, </w:t>
      </w:r>
      <w:r w:rsidR="007E291E">
        <w:rPr>
          <w:lang w:val="es-ES_tradnl"/>
        </w:rPr>
        <w:t xml:space="preserve">la Cámara </w:t>
      </w:r>
      <w:r w:rsidR="00F76746">
        <w:rPr>
          <w:lang w:val="es-ES_tradnl"/>
        </w:rPr>
        <w:t xml:space="preserve">consideró que concurrían </w:t>
      </w:r>
      <w:r w:rsidR="00E33A79">
        <w:rPr>
          <w:lang w:val="es-ES_tradnl"/>
        </w:rPr>
        <w:t xml:space="preserve">circunstancias </w:t>
      </w:r>
      <w:r w:rsidR="00F76746">
        <w:rPr>
          <w:lang w:val="es-ES_tradnl"/>
        </w:rPr>
        <w:t xml:space="preserve">agravantes por el estado de indefensión de la víctima y por el </w:t>
      </w:r>
      <w:r w:rsidR="00E463F1">
        <w:rPr>
          <w:lang w:val="es-ES_tradnl"/>
        </w:rPr>
        <w:t>“</w:t>
      </w:r>
      <w:r w:rsidR="00F76746">
        <w:rPr>
          <w:lang w:val="es-ES_tradnl"/>
        </w:rPr>
        <w:t>manifiesto desprecio del autor por la vida ajena</w:t>
      </w:r>
      <w:r w:rsidR="00E463F1">
        <w:rPr>
          <w:lang w:val="es-ES_tradnl"/>
        </w:rPr>
        <w:t>”</w:t>
      </w:r>
      <w:r w:rsidR="00F76746">
        <w:rPr>
          <w:lang w:val="es-ES_tradnl"/>
        </w:rPr>
        <w:t xml:space="preserve">; y </w:t>
      </w:r>
      <w:r w:rsidR="007E291E">
        <w:rPr>
          <w:lang w:val="es-ES_tradnl"/>
        </w:rPr>
        <w:t>una atenuante</w:t>
      </w:r>
      <w:r w:rsidR="00F76746">
        <w:rPr>
          <w:lang w:val="es-ES_tradnl"/>
        </w:rPr>
        <w:t xml:space="preserve"> por el cambio de personalidad favorable </w:t>
      </w:r>
      <w:r w:rsidR="007E291E">
        <w:rPr>
          <w:lang w:val="es-ES_tradnl"/>
        </w:rPr>
        <w:t>evidenciado</w:t>
      </w:r>
      <w:r w:rsidR="00F76746">
        <w:rPr>
          <w:lang w:val="es-ES_tradnl"/>
        </w:rPr>
        <w:t xml:space="preserve"> desde el momento en que fue institucionalizado</w:t>
      </w:r>
      <w:r w:rsidR="007E291E">
        <w:rPr>
          <w:lang w:val="es-ES_tradnl"/>
        </w:rPr>
        <w:t xml:space="preserve"> hasta el momento de </w:t>
      </w:r>
      <w:r w:rsidR="00E463F1">
        <w:rPr>
          <w:lang w:val="es-ES_tradnl"/>
        </w:rPr>
        <w:t xml:space="preserve">dictarse </w:t>
      </w:r>
      <w:r w:rsidR="007E291E">
        <w:rPr>
          <w:lang w:val="es-ES_tradnl"/>
        </w:rPr>
        <w:t>la sentencia</w:t>
      </w:r>
      <w:r w:rsidR="00F76746">
        <w:rPr>
          <w:rStyle w:val="Refdenotaalpie"/>
          <w:lang w:val="es-ES_tradnl"/>
        </w:rPr>
        <w:footnoteReference w:id="6"/>
      </w:r>
      <w:r w:rsidR="00052A7B">
        <w:rPr>
          <w:lang w:val="es-ES_tradnl"/>
        </w:rPr>
        <w:t>.</w:t>
      </w:r>
      <w:r w:rsidR="00E64618">
        <w:rPr>
          <w:lang w:val="es-ES_tradnl"/>
        </w:rPr>
        <w:t xml:space="preserve"> </w:t>
      </w:r>
      <w:r w:rsidR="0032673D">
        <w:rPr>
          <w:lang w:val="es-ES_tradnl"/>
        </w:rPr>
        <w:t>La Cámara ordenó el traslado del autor a una unidad penitenciaria</w:t>
      </w:r>
      <w:r w:rsidR="007E291E">
        <w:rPr>
          <w:lang w:val="es-ES_tradnl"/>
        </w:rPr>
        <w:t xml:space="preserve"> para adultos</w:t>
      </w:r>
      <w:r w:rsidR="0032673D">
        <w:rPr>
          <w:lang w:val="es-ES_tradnl"/>
        </w:rPr>
        <w:t xml:space="preserve">. </w:t>
      </w:r>
      <w:r w:rsidR="00D566EC">
        <w:rPr>
          <w:lang w:val="es-ES_tradnl"/>
        </w:rPr>
        <w:t xml:space="preserve">El autor interpuso recurso de casación contra la sentencia </w:t>
      </w:r>
      <w:r w:rsidR="000D7896">
        <w:rPr>
          <w:lang w:val="es-ES_tradnl"/>
        </w:rPr>
        <w:t xml:space="preserve">condenatoria </w:t>
      </w:r>
      <w:r w:rsidR="00D566EC">
        <w:rPr>
          <w:lang w:val="es-ES_tradnl"/>
        </w:rPr>
        <w:t>denunciando</w:t>
      </w:r>
      <w:r w:rsidR="00D860E0">
        <w:rPr>
          <w:lang w:val="es-ES_tradnl"/>
        </w:rPr>
        <w:t>, entre otros,</w:t>
      </w:r>
      <w:r w:rsidR="00D566EC">
        <w:rPr>
          <w:lang w:val="es-ES_tradnl"/>
        </w:rPr>
        <w:t xml:space="preserve"> arbitrariedad en la fundamentación de la </w:t>
      </w:r>
      <w:r w:rsidR="007E291E">
        <w:rPr>
          <w:lang w:val="es-ES_tradnl"/>
        </w:rPr>
        <w:t>necesidad de una pena privativa de la libertad</w:t>
      </w:r>
      <w:r w:rsidR="00D860E0">
        <w:rPr>
          <w:lang w:val="es-ES_tradnl"/>
        </w:rPr>
        <w:t>,</w:t>
      </w:r>
      <w:r w:rsidR="007E291E">
        <w:rPr>
          <w:lang w:val="es-ES_tradnl"/>
        </w:rPr>
        <w:t xml:space="preserve"> </w:t>
      </w:r>
      <w:r w:rsidR="00D860E0">
        <w:rPr>
          <w:lang w:val="es-ES_tradnl"/>
        </w:rPr>
        <w:t xml:space="preserve">así como </w:t>
      </w:r>
      <w:r w:rsidR="007E291E">
        <w:rPr>
          <w:lang w:val="es-ES_tradnl"/>
        </w:rPr>
        <w:t>en la determinación de la pena</w:t>
      </w:r>
      <w:r w:rsidR="00D860E0">
        <w:rPr>
          <w:lang w:val="es-ES_tradnl"/>
        </w:rPr>
        <w:t>, en violación de los artículos 37 y 40 de la Convención</w:t>
      </w:r>
      <w:r w:rsidR="00D566EC">
        <w:rPr>
          <w:lang w:val="es-ES_tradnl"/>
        </w:rPr>
        <w:t>.</w:t>
      </w:r>
      <w:r w:rsidR="007F2BC5">
        <w:rPr>
          <w:lang w:val="es-ES_tradnl"/>
        </w:rPr>
        <w:t xml:space="preserve"> En particular, el autor resaltó que, a pesar de reconocer expresamente la favorable evolución en su tratamiento tutelar, la sentencia ponderó la gravedad del hecho como el fundamento de la necesidad de la pena, desconociendo la finalidad que esta debe cumplir en materia de responsabilidad penal juvenil en virtud de los artículos 37 y 40 de la Convención.</w:t>
      </w:r>
    </w:p>
    <w:p w14:paraId="25A305E0" w14:textId="028275FF" w:rsidR="001A6C9C" w:rsidRDefault="00734690" w:rsidP="0032673D">
      <w:pPr>
        <w:pStyle w:val="SingleTxtG"/>
        <w:rPr>
          <w:lang w:val="es-ES_tradnl"/>
        </w:rPr>
      </w:pPr>
      <w:r>
        <w:rPr>
          <w:lang w:val="es-ES_tradnl"/>
        </w:rPr>
        <w:t>2.2</w:t>
      </w:r>
      <w:r>
        <w:rPr>
          <w:lang w:val="es-ES_tradnl"/>
        </w:rPr>
        <w:tab/>
        <w:t xml:space="preserve">El 13 de abril de 2011, la Sala III del Tribunal de Casación rechazó el recurso </w:t>
      </w:r>
      <w:r w:rsidR="00E463F1">
        <w:rPr>
          <w:lang w:val="es-ES_tradnl"/>
        </w:rPr>
        <w:t xml:space="preserve">del autor </w:t>
      </w:r>
      <w:r>
        <w:rPr>
          <w:lang w:val="es-ES_tradnl"/>
        </w:rPr>
        <w:t xml:space="preserve">en lo relativo </w:t>
      </w:r>
      <w:r w:rsidR="00E463F1">
        <w:rPr>
          <w:lang w:val="es-ES_tradnl"/>
        </w:rPr>
        <w:t>a su queja basada en la arbitrariedad en la</w:t>
      </w:r>
      <w:r>
        <w:rPr>
          <w:lang w:val="es-ES_tradnl"/>
        </w:rPr>
        <w:t xml:space="preserve"> fundamentación de la necesidad de la pena</w:t>
      </w:r>
      <w:r w:rsidR="00E463F1">
        <w:rPr>
          <w:lang w:val="es-ES_tradnl"/>
        </w:rPr>
        <w:t>,</w:t>
      </w:r>
      <w:r>
        <w:rPr>
          <w:lang w:val="es-ES_tradnl"/>
        </w:rPr>
        <w:t xml:space="preserve"> </w:t>
      </w:r>
      <w:r w:rsidR="00E463F1">
        <w:rPr>
          <w:lang w:val="es-ES_tradnl"/>
        </w:rPr>
        <w:t>p</w:t>
      </w:r>
      <w:r>
        <w:rPr>
          <w:lang w:val="es-ES_tradnl"/>
        </w:rPr>
        <w:t>e</w:t>
      </w:r>
      <w:r w:rsidR="00E463F1">
        <w:rPr>
          <w:lang w:val="es-ES_tradnl"/>
        </w:rPr>
        <w:t>ro</w:t>
      </w:r>
      <w:r>
        <w:rPr>
          <w:lang w:val="es-ES_tradnl"/>
        </w:rPr>
        <w:t xml:space="preserve"> hizo lugar parcialmente a</w:t>
      </w:r>
      <w:r w:rsidR="00E463F1">
        <w:rPr>
          <w:lang w:val="es-ES_tradnl"/>
        </w:rPr>
        <w:t xml:space="preserve"> su queja relativa </w:t>
      </w:r>
      <w:r>
        <w:rPr>
          <w:lang w:val="es-ES_tradnl"/>
        </w:rPr>
        <w:t xml:space="preserve">a la </w:t>
      </w:r>
      <w:r w:rsidR="00E463F1">
        <w:rPr>
          <w:lang w:val="es-ES_tradnl"/>
        </w:rPr>
        <w:t xml:space="preserve">arbitrariedad en la </w:t>
      </w:r>
      <w:r>
        <w:rPr>
          <w:lang w:val="es-ES_tradnl"/>
        </w:rPr>
        <w:t xml:space="preserve">determinación de la pena. </w:t>
      </w:r>
      <w:r w:rsidR="00EC533A">
        <w:rPr>
          <w:lang w:val="es-ES_tradnl"/>
        </w:rPr>
        <w:t>El Tribunal consideró</w:t>
      </w:r>
      <w:r>
        <w:rPr>
          <w:lang w:val="es-ES_tradnl"/>
        </w:rPr>
        <w:t xml:space="preserve"> que </w:t>
      </w:r>
      <w:r w:rsidR="00490BB3">
        <w:rPr>
          <w:lang w:val="es-ES_tradnl"/>
        </w:rPr>
        <w:t xml:space="preserve">no procedía </w:t>
      </w:r>
      <w:r>
        <w:rPr>
          <w:lang w:val="es-ES_tradnl"/>
        </w:rPr>
        <w:t xml:space="preserve">el agravante </w:t>
      </w:r>
      <w:r w:rsidR="00F87838">
        <w:rPr>
          <w:lang w:val="es-ES_tradnl"/>
        </w:rPr>
        <w:t>de</w:t>
      </w:r>
      <w:r w:rsidR="003A5688">
        <w:rPr>
          <w:lang w:val="es-ES_tradnl"/>
        </w:rPr>
        <w:t xml:space="preserve"> manifiesto desprecio por la vida</w:t>
      </w:r>
      <w:r w:rsidR="00E463F1">
        <w:rPr>
          <w:lang w:val="es-ES_tradnl"/>
        </w:rPr>
        <w:t xml:space="preserve"> ajena</w:t>
      </w:r>
      <w:r w:rsidR="00F87838">
        <w:rPr>
          <w:lang w:val="es-ES_tradnl"/>
        </w:rPr>
        <w:t xml:space="preserve"> </w:t>
      </w:r>
      <w:r w:rsidR="00E463F1">
        <w:rPr>
          <w:lang w:val="es-ES_tradnl"/>
        </w:rPr>
        <w:t>porque</w:t>
      </w:r>
      <w:r w:rsidR="00490BB3">
        <w:rPr>
          <w:lang w:val="es-ES_tradnl"/>
        </w:rPr>
        <w:t xml:space="preserve"> ya se encontraba incorporado </w:t>
      </w:r>
      <w:r w:rsidR="00490BB3" w:rsidRPr="00731DBA">
        <w:rPr>
          <w:lang w:val="es-ES_tradnl"/>
        </w:rPr>
        <w:t xml:space="preserve">dentro de la calificación </w:t>
      </w:r>
      <w:proofErr w:type="spellStart"/>
      <w:r w:rsidR="00490BB3" w:rsidRPr="00731DBA">
        <w:rPr>
          <w:i/>
          <w:iCs/>
          <w:lang w:val="es-ES_tradnl"/>
        </w:rPr>
        <w:t>criminis</w:t>
      </w:r>
      <w:proofErr w:type="spellEnd"/>
      <w:r w:rsidR="00490BB3" w:rsidRPr="00731DBA">
        <w:rPr>
          <w:i/>
          <w:iCs/>
          <w:lang w:val="es-ES_tradnl"/>
        </w:rPr>
        <w:t xml:space="preserve"> </w:t>
      </w:r>
      <w:proofErr w:type="spellStart"/>
      <w:r w:rsidR="00490BB3" w:rsidRPr="00731DBA">
        <w:rPr>
          <w:i/>
          <w:iCs/>
          <w:lang w:val="es-ES_tradnl"/>
        </w:rPr>
        <w:t>causae</w:t>
      </w:r>
      <w:proofErr w:type="spellEnd"/>
      <w:r w:rsidR="00596787" w:rsidRPr="00731DBA">
        <w:rPr>
          <w:iCs/>
          <w:lang w:val="es-ES_tradnl"/>
        </w:rPr>
        <w:t>,</w:t>
      </w:r>
      <w:r w:rsidR="001A6C9C" w:rsidRPr="00731DBA">
        <w:rPr>
          <w:lang w:val="es-ES_tradnl"/>
        </w:rPr>
        <w:t xml:space="preserve"> </w:t>
      </w:r>
      <w:r w:rsidR="00EC533A" w:rsidRPr="00731DBA">
        <w:rPr>
          <w:lang w:val="es-ES_tradnl"/>
        </w:rPr>
        <w:t>e incorporó una nueva</w:t>
      </w:r>
      <w:r w:rsidR="001A6C9C" w:rsidRPr="00731DBA">
        <w:rPr>
          <w:lang w:val="es-ES_tradnl"/>
        </w:rPr>
        <w:t xml:space="preserve"> atenuante </w:t>
      </w:r>
      <w:r w:rsidR="00EC533A" w:rsidRPr="00731DBA">
        <w:rPr>
          <w:lang w:val="es-ES_tradnl"/>
        </w:rPr>
        <w:t xml:space="preserve">por </w:t>
      </w:r>
      <w:r w:rsidR="001A6C9C" w:rsidRPr="00731DBA">
        <w:rPr>
          <w:lang w:val="es-ES_tradnl"/>
        </w:rPr>
        <w:t xml:space="preserve">el cambio de personalidad favorable </w:t>
      </w:r>
      <w:r w:rsidR="00EC533A" w:rsidRPr="00731DBA">
        <w:rPr>
          <w:lang w:val="es-ES_tradnl"/>
        </w:rPr>
        <w:t xml:space="preserve">del autor </w:t>
      </w:r>
      <w:r w:rsidR="001A6C9C" w:rsidRPr="00731DBA">
        <w:rPr>
          <w:lang w:val="es-ES_tradnl"/>
        </w:rPr>
        <w:t>demostrado durante el curso de la audiencia</w:t>
      </w:r>
      <w:r w:rsidR="00490BB3" w:rsidRPr="00731DBA">
        <w:rPr>
          <w:lang w:val="es-ES_tradnl"/>
        </w:rPr>
        <w:t>.</w:t>
      </w:r>
      <w:r w:rsidR="00D566EC" w:rsidRPr="00731DBA">
        <w:rPr>
          <w:lang w:val="es-ES_tradnl"/>
        </w:rPr>
        <w:t xml:space="preserve"> </w:t>
      </w:r>
      <w:r w:rsidR="000D7896" w:rsidRPr="00731DBA">
        <w:rPr>
          <w:lang w:val="es-ES_tradnl"/>
        </w:rPr>
        <w:t>En consecuencia, el Tribunal redujo</w:t>
      </w:r>
      <w:r w:rsidR="000D7896">
        <w:rPr>
          <w:lang w:val="es-ES_tradnl"/>
        </w:rPr>
        <w:t xml:space="preserve"> la pena del autor a </w:t>
      </w:r>
      <w:r w:rsidR="004A5366">
        <w:rPr>
          <w:lang w:val="es-ES_tradnl"/>
        </w:rPr>
        <w:t xml:space="preserve">13 </w:t>
      </w:r>
      <w:r w:rsidR="000D7896">
        <w:rPr>
          <w:lang w:val="es-ES_tradnl"/>
        </w:rPr>
        <w:t xml:space="preserve">años y </w:t>
      </w:r>
      <w:r w:rsidR="004A5366">
        <w:rPr>
          <w:lang w:val="es-ES_tradnl"/>
        </w:rPr>
        <w:t xml:space="preserve">6 </w:t>
      </w:r>
      <w:r w:rsidR="000D7896">
        <w:rPr>
          <w:lang w:val="es-ES_tradnl"/>
        </w:rPr>
        <w:t xml:space="preserve">meses de prisión. </w:t>
      </w:r>
      <w:r w:rsidR="00D566EC">
        <w:rPr>
          <w:lang w:val="es-ES_tradnl"/>
        </w:rPr>
        <w:t>El autor interpuso recurso de inaplicabilidad de ley contra la sentencia del Tribunal de Casación ante la Suprema Corte de la Provincia de Buenos Aires. Denunció</w:t>
      </w:r>
      <w:r w:rsidR="00EE4211">
        <w:rPr>
          <w:lang w:val="es-ES_tradnl"/>
        </w:rPr>
        <w:t>, entre otros,</w:t>
      </w:r>
      <w:r w:rsidR="00D566EC">
        <w:rPr>
          <w:lang w:val="es-ES_tradnl"/>
        </w:rPr>
        <w:t xml:space="preserve"> la arbitrariedad de la decisión por </w:t>
      </w:r>
      <w:r w:rsidR="00EE4211">
        <w:rPr>
          <w:lang w:val="es-ES_tradnl"/>
        </w:rPr>
        <w:t>los mismos motivos enunciados en la apelación contra la sentencia de primera instancia.</w:t>
      </w:r>
    </w:p>
    <w:p w14:paraId="51E81C30" w14:textId="41AF454A" w:rsidR="00D566EC" w:rsidRDefault="001A6C9C" w:rsidP="00D566EC">
      <w:pPr>
        <w:pStyle w:val="SingleTxtG"/>
      </w:pPr>
      <w:r>
        <w:rPr>
          <w:lang w:val="es-ES_tradnl"/>
        </w:rPr>
        <w:t>2.3</w:t>
      </w:r>
      <w:r>
        <w:rPr>
          <w:lang w:val="es-ES_tradnl"/>
        </w:rPr>
        <w:tab/>
      </w:r>
      <w:r w:rsidR="00CE0BE5">
        <w:rPr>
          <w:lang w:val="es-ES_tradnl"/>
        </w:rPr>
        <w:t xml:space="preserve">El 4 de abril de 2012, la Suprema Corte de la Provincia </w:t>
      </w:r>
      <w:r w:rsidR="000D7896">
        <w:rPr>
          <w:lang w:val="es-ES_tradnl"/>
        </w:rPr>
        <w:t xml:space="preserve">de Buenos Aires </w:t>
      </w:r>
      <w:r w:rsidR="00CE0BE5">
        <w:rPr>
          <w:lang w:val="es-ES_tradnl"/>
        </w:rPr>
        <w:t>rechazó el recurso</w:t>
      </w:r>
      <w:r w:rsidR="00EE4211">
        <w:rPr>
          <w:lang w:val="es-ES_tradnl"/>
        </w:rPr>
        <w:t xml:space="preserve"> de inaplicabilidad de ley</w:t>
      </w:r>
      <w:r w:rsidR="00CE0BE5">
        <w:rPr>
          <w:lang w:val="es-ES_tradnl"/>
        </w:rPr>
        <w:t xml:space="preserve">. </w:t>
      </w:r>
      <w:r w:rsidR="000D7896">
        <w:rPr>
          <w:lang w:val="es-ES_tradnl"/>
        </w:rPr>
        <w:t>L</w:t>
      </w:r>
      <w:r w:rsidR="00CE0BE5">
        <w:rPr>
          <w:lang w:val="es-ES_tradnl"/>
        </w:rPr>
        <w:t>a Suprema Corte estimó que</w:t>
      </w:r>
      <w:r w:rsidR="00C52D62">
        <w:rPr>
          <w:lang w:val="es-ES_tradnl"/>
        </w:rPr>
        <w:t>, para imponer la sanción privativa de libertad,</w:t>
      </w:r>
      <w:r w:rsidR="00CE0BE5">
        <w:rPr>
          <w:lang w:val="es-ES_tradnl"/>
        </w:rPr>
        <w:t xml:space="preserve"> </w:t>
      </w:r>
      <w:r w:rsidR="00C52D62">
        <w:rPr>
          <w:lang w:val="es-ES_tradnl"/>
        </w:rPr>
        <w:t>los jueces ponderaron</w:t>
      </w:r>
      <w:r w:rsidR="00605147">
        <w:rPr>
          <w:lang w:val="es-ES_tradnl"/>
        </w:rPr>
        <w:t xml:space="preserve"> </w:t>
      </w:r>
      <w:r w:rsidR="00331580">
        <w:rPr>
          <w:lang w:val="es-ES_tradnl"/>
        </w:rPr>
        <w:t>la modalidad del hecho, los antecedentes del autor, el resultado del tratamiento tutelar y la impre</w:t>
      </w:r>
      <w:r w:rsidR="00605147">
        <w:rPr>
          <w:lang w:val="es-ES_tradnl"/>
        </w:rPr>
        <w:t xml:space="preserve">sión directa recogida por el juez, según lo dispone </w:t>
      </w:r>
      <w:r w:rsidR="00C52D62">
        <w:rPr>
          <w:lang w:val="es-ES_tradnl"/>
        </w:rPr>
        <w:t xml:space="preserve">el artículo 4 de la Ley </w:t>
      </w:r>
      <w:r w:rsidR="00380BF1">
        <w:rPr>
          <w:lang w:val="es-ES_tradnl"/>
        </w:rPr>
        <w:t>núm.</w:t>
      </w:r>
      <w:r w:rsidR="002F1F12">
        <w:rPr>
          <w:lang w:val="es-ES_tradnl"/>
        </w:rPr>
        <w:t xml:space="preserve"> </w:t>
      </w:r>
      <w:r w:rsidR="00C52D62">
        <w:rPr>
          <w:lang w:val="es-ES_tradnl"/>
        </w:rPr>
        <w:t>22.278</w:t>
      </w:r>
      <w:r w:rsidR="00C52D62">
        <w:rPr>
          <w:rStyle w:val="Refdenotaalpie"/>
          <w:lang w:val="es-ES_tradnl"/>
        </w:rPr>
        <w:footnoteReference w:id="7"/>
      </w:r>
      <w:r w:rsidR="00052A7B">
        <w:rPr>
          <w:lang w:val="es-ES_tradnl"/>
        </w:rPr>
        <w:t>.</w:t>
      </w:r>
      <w:r w:rsidR="00CA5663">
        <w:t xml:space="preserve"> La Suprema Corte agregó que</w:t>
      </w:r>
      <w:r w:rsidR="004952C6">
        <w:t xml:space="preserve"> la discrepancia </w:t>
      </w:r>
      <w:r w:rsidR="004952C6">
        <w:lastRenderedPageBreak/>
        <w:t>del autor con el fallo del Tribunal de Casación versa</w:t>
      </w:r>
      <w:r w:rsidR="0013773B">
        <w:t>ba</w:t>
      </w:r>
      <w:r w:rsidR="004952C6">
        <w:t xml:space="preserve"> sobre la incidencia que </w:t>
      </w:r>
      <w:r w:rsidR="00C52D62">
        <w:t>descartar</w:t>
      </w:r>
      <w:r w:rsidR="004952C6">
        <w:t xml:space="preserve"> una agravante y </w:t>
      </w:r>
      <w:r w:rsidR="00C52D62">
        <w:t>ponderar</w:t>
      </w:r>
      <w:r w:rsidR="004952C6">
        <w:t xml:space="preserve"> la nueva atenuante debieron tener en la determinación de la sanción, lo que se </w:t>
      </w:r>
      <w:r w:rsidR="0013773B">
        <w:t xml:space="preserve">encontraba </w:t>
      </w:r>
      <w:r w:rsidR="004952C6">
        <w:t>fuera de la competencia de la Corte en el ámbito del recurso extraordinario intentado.</w:t>
      </w:r>
      <w:r w:rsidR="00D566EC">
        <w:t xml:space="preserve"> </w:t>
      </w:r>
      <w:r w:rsidR="004952C6">
        <w:t xml:space="preserve">El autor interpuso recurso extraordinario federal </w:t>
      </w:r>
      <w:r w:rsidR="00C52D62">
        <w:t>contra</w:t>
      </w:r>
      <w:r w:rsidR="004952C6">
        <w:t xml:space="preserve"> la sentencia de la Suprema Corte de la Provincia de Buenos Aires por considerar que se vulneraron los artículos</w:t>
      </w:r>
      <w:r w:rsidR="002F1F12">
        <w:t xml:space="preserve"> </w:t>
      </w:r>
      <w:r w:rsidR="004952C6">
        <w:t xml:space="preserve">37 y 40 de la Convención. La Suprema Corte de la Provincia </w:t>
      </w:r>
      <w:r w:rsidR="00B44F8F">
        <w:t xml:space="preserve">de Buenos Aires </w:t>
      </w:r>
      <w:r w:rsidR="004952C6">
        <w:t xml:space="preserve">denegó el recurso el 31 de julio de 2013. Ante ello el autor interpuso recurso de queja por denegatoria de recurso extraordinario federal ante </w:t>
      </w:r>
      <w:r w:rsidR="00685D31">
        <w:t xml:space="preserve">la Corte Suprema de Justicia de la Nación. </w:t>
      </w:r>
    </w:p>
    <w:p w14:paraId="4FECC593" w14:textId="5AF173CD" w:rsidR="008C4272" w:rsidRDefault="00D566EC" w:rsidP="0032673D">
      <w:pPr>
        <w:pStyle w:val="SingleTxtG"/>
      </w:pPr>
      <w:r>
        <w:t>2.</w:t>
      </w:r>
      <w:r w:rsidR="002F5703">
        <w:t>4</w:t>
      </w:r>
      <w:r>
        <w:tab/>
      </w:r>
      <w:r w:rsidR="00685D31">
        <w:t xml:space="preserve">El 6 de marzo de 2018, la Corte Suprema </w:t>
      </w:r>
      <w:r w:rsidR="0013773B">
        <w:t xml:space="preserve">de Justicia de la Nación </w:t>
      </w:r>
      <w:r w:rsidR="00685D31">
        <w:t xml:space="preserve">declaró </w:t>
      </w:r>
      <w:r w:rsidR="00195A10">
        <w:t xml:space="preserve">parcialmente admisible la queja y el recurso extraordinario </w:t>
      </w:r>
      <w:r w:rsidR="0013773B">
        <w:t xml:space="preserve">del autor </w:t>
      </w:r>
      <w:r w:rsidR="00195A10">
        <w:t xml:space="preserve">y confirmó la sentencia de la Suprema Corte de la Provincia </w:t>
      </w:r>
      <w:r w:rsidR="00BD7845">
        <w:t xml:space="preserve">de Buenos Aires </w:t>
      </w:r>
      <w:r w:rsidR="00195A10">
        <w:t xml:space="preserve">remitiéndose a su decisión en </w:t>
      </w:r>
      <w:r w:rsidR="003759CB">
        <w:t xml:space="preserve">un caso </w:t>
      </w:r>
      <w:r w:rsidR="00195A10">
        <w:t>precedente</w:t>
      </w:r>
      <w:r w:rsidR="00195A10" w:rsidRPr="00195A10">
        <w:rPr>
          <w:rStyle w:val="Refdenotaalpie"/>
        </w:rPr>
        <w:footnoteReference w:id="8"/>
      </w:r>
      <w:r w:rsidR="00195A10">
        <w:t>. En dicho precedente, la Corte Suprema descartó que en el proceso de determinación de la pena impuesta “no se hubieran observado debidamente los estándares vigentes en la materia en función de las singulares características del hecho y la situación concreta del menor imputado”</w:t>
      </w:r>
      <w:r w:rsidR="00423AAC">
        <w:rPr>
          <w:rStyle w:val="Refdenotaalpie"/>
        </w:rPr>
        <w:footnoteReference w:id="9"/>
      </w:r>
      <w:r w:rsidR="00195A10">
        <w:t xml:space="preserve">. </w:t>
      </w:r>
      <w:r w:rsidR="006B409F">
        <w:t xml:space="preserve">También entendió que, </w:t>
      </w:r>
    </w:p>
    <w:p w14:paraId="1FDE79DA" w14:textId="565CC487" w:rsidR="008C4272" w:rsidRDefault="006B409F" w:rsidP="00591D3C">
      <w:pPr>
        <w:pStyle w:val="SingleTxtG"/>
        <w:ind w:left="1701"/>
      </w:pPr>
      <w:r>
        <w:t xml:space="preserve">al no haberse establecido legislativamente los presupuestos para que el juez decida sobre </w:t>
      </w:r>
      <w:r w:rsidR="00326531">
        <w:t>“</w:t>
      </w:r>
      <w:r>
        <w:t>la posibilidad de la puesta en libertad</w:t>
      </w:r>
      <w:r w:rsidR="00326531">
        <w:t>”</w:t>
      </w:r>
      <w:r>
        <w:t xml:space="preserve"> en el caso que llegara a considerarse que la privación de libertad no continuara siendo necesaria, cabe concluir que el contralor judicial de la sanción privativa de la libertad impuesta a C.</w:t>
      </w:r>
      <w:r w:rsidR="00201340">
        <w:t xml:space="preserve"> </w:t>
      </w:r>
      <w:r>
        <w:t>J.</w:t>
      </w:r>
      <w:r w:rsidR="00201340">
        <w:t xml:space="preserve"> </w:t>
      </w:r>
      <w:r>
        <w:t>A., a cargo del magistrado correspondiente, no podrá tener este alcance</w:t>
      </w:r>
      <w:r>
        <w:rPr>
          <w:rStyle w:val="Refdenotaalpie"/>
        </w:rPr>
        <w:footnoteReference w:id="10"/>
      </w:r>
      <w:r>
        <w:t>.</w:t>
      </w:r>
    </w:p>
    <w:p w14:paraId="31384705" w14:textId="6A9A4AE5" w:rsidR="00C77529" w:rsidRDefault="00195A10" w:rsidP="0032673D">
      <w:pPr>
        <w:pStyle w:val="SingleTxtG"/>
      </w:pPr>
      <w:r>
        <w:t xml:space="preserve">Sin embargo, </w:t>
      </w:r>
      <w:r w:rsidR="00921756">
        <w:t xml:space="preserve">la Corte Suprema </w:t>
      </w:r>
      <w:r>
        <w:t>destacó que</w:t>
      </w:r>
    </w:p>
    <w:p w14:paraId="5E6FBF26" w14:textId="1AF3FB1C" w:rsidR="00A60820" w:rsidRDefault="00995784" w:rsidP="00591D3C">
      <w:pPr>
        <w:pStyle w:val="SingleTxtG"/>
        <w:ind w:left="1701"/>
      </w:pPr>
      <w:r>
        <w:t>[</w:t>
      </w:r>
      <w:r w:rsidR="00423AAC">
        <w:t>e</w:t>
      </w:r>
      <w:r>
        <w:t>]</w:t>
      </w:r>
      <w:r w:rsidR="00423AAC">
        <w:t xml:space="preserve">l principio según el cual la pena privativa de la libertad debe utilizarse durante el período más breve que proceda, contenido en el artículo 37, inc. </w:t>
      </w:r>
      <w:r w:rsidR="006B409F">
        <w:t>b</w:t>
      </w:r>
      <w:r w:rsidR="00423AAC">
        <w:t>, de la Convención sobre los Derechos del Niño, está íntimamente vinculado con el deber de revisar periódicamente las medidas de privación de libertad de los menores infractores, que surge del artículo</w:t>
      </w:r>
      <w:r w:rsidR="002F1F12">
        <w:t xml:space="preserve"> </w:t>
      </w:r>
      <w:r w:rsidR="00423AAC">
        <w:t>25 de la misma Convención.</w:t>
      </w:r>
      <w:r w:rsidR="00641442">
        <w:t xml:space="preserve"> Esto por cuanto </w:t>
      </w:r>
      <w:r w:rsidR="00423AAC" w:rsidRPr="00816D4B">
        <w:t>el segundo precepto constituye el mecanismo para asegurar efectivamente, ya durante la ejecución de esta pena, el principio rector que emana del primero por el que las restricciones a la libertad personal del menor se reducirán a lo estrictamente necesario para promover su reintegración social y que este asuma una función constructiva en la sociedad</w:t>
      </w:r>
      <w:r w:rsidR="00423AAC" w:rsidRPr="00816D4B">
        <w:rPr>
          <w:rStyle w:val="Refdenotaalpie"/>
        </w:rPr>
        <w:footnoteReference w:id="11"/>
      </w:r>
      <w:r w:rsidR="00423AAC" w:rsidRPr="00816D4B">
        <w:t xml:space="preserve">. </w:t>
      </w:r>
    </w:p>
    <w:p w14:paraId="61E253D3" w14:textId="5D0D4527" w:rsidR="00D566EC" w:rsidRDefault="00423AAC" w:rsidP="0032673D">
      <w:pPr>
        <w:pStyle w:val="SingleTxtG"/>
      </w:pPr>
      <w:r w:rsidRPr="00816D4B">
        <w:t xml:space="preserve">La Corte Suprema se refirió </w:t>
      </w:r>
      <w:r w:rsidR="00953A57" w:rsidRPr="00816D4B">
        <w:t xml:space="preserve">también </w:t>
      </w:r>
      <w:r w:rsidRPr="00816D4B">
        <w:t>a</w:t>
      </w:r>
      <w:r w:rsidR="006C319E">
        <w:t>l caso</w:t>
      </w:r>
      <w:r w:rsidRPr="00816D4B">
        <w:t xml:space="preserve"> </w:t>
      </w:r>
      <w:r w:rsidRPr="00816D4B">
        <w:rPr>
          <w:i/>
          <w:iCs/>
        </w:rPr>
        <w:t xml:space="preserve">Mendoza </w:t>
      </w:r>
      <w:r w:rsidR="006C319E">
        <w:rPr>
          <w:i/>
          <w:iCs/>
        </w:rPr>
        <w:t>y o</w:t>
      </w:r>
      <w:r w:rsidR="003155D6">
        <w:rPr>
          <w:i/>
          <w:iCs/>
        </w:rPr>
        <w:t xml:space="preserve">tros </w:t>
      </w:r>
      <w:r w:rsidR="006C319E">
        <w:rPr>
          <w:i/>
          <w:iCs/>
        </w:rPr>
        <w:t>vs</w:t>
      </w:r>
      <w:r w:rsidRPr="00816D4B">
        <w:rPr>
          <w:i/>
          <w:iCs/>
        </w:rPr>
        <w:t>. Argentina</w:t>
      </w:r>
      <w:r w:rsidR="003155D6">
        <w:t xml:space="preserve">, </w:t>
      </w:r>
      <w:r w:rsidR="003155D6" w:rsidRPr="003155D6">
        <w:t>sentencia</w:t>
      </w:r>
      <w:r w:rsidRPr="00816D4B">
        <w:t xml:space="preserve"> de </w:t>
      </w:r>
      <w:r w:rsidR="003155D6">
        <w:t>14</w:t>
      </w:r>
      <w:r w:rsidR="002F1F12">
        <w:t> </w:t>
      </w:r>
      <w:r w:rsidR="003155D6">
        <w:t>de mayo de 2013</w:t>
      </w:r>
      <w:r w:rsidR="00555A18">
        <w:t xml:space="preserve"> de </w:t>
      </w:r>
      <w:r w:rsidRPr="00816D4B">
        <w:t>la Corte Interamericana de Derechos</w:t>
      </w:r>
      <w:r>
        <w:t xml:space="preserve"> Humanos</w:t>
      </w:r>
      <w:r w:rsidR="00052A7B">
        <w:t>,</w:t>
      </w:r>
      <w:r>
        <w:t xml:space="preserve"> que concluyó que la legislación penal juvenil del Estado parte no se ajusta</w:t>
      </w:r>
      <w:r w:rsidR="0013773B">
        <w:t>ba</w:t>
      </w:r>
      <w:r>
        <w:t xml:space="preserve"> a los estándares internacionales</w:t>
      </w:r>
      <w:r w:rsidR="00953A57">
        <w:t xml:space="preserve"> y</w:t>
      </w:r>
      <w:r>
        <w:t xml:space="preserve"> ordenó </w:t>
      </w:r>
      <w:r w:rsidR="0013773B">
        <w:t>la adopción de</w:t>
      </w:r>
      <w:r>
        <w:t xml:space="preserve"> medidas legislativas o de otro carácter que </w:t>
      </w:r>
      <w:r w:rsidR="00394FA4">
        <w:t xml:space="preserve">fueran </w:t>
      </w:r>
      <w:r>
        <w:t xml:space="preserve">necesarias para garantizar la protección del niño en virtud de </w:t>
      </w:r>
      <w:r w:rsidR="00C224C2">
        <w:t>dichos</w:t>
      </w:r>
      <w:r>
        <w:t xml:space="preserve"> estándares</w:t>
      </w:r>
      <w:r w:rsidR="00953A57">
        <w:rPr>
          <w:rStyle w:val="Refdenotaalpie"/>
        </w:rPr>
        <w:footnoteReference w:id="12"/>
      </w:r>
      <w:r w:rsidR="00052A7B">
        <w:t>.</w:t>
      </w:r>
      <w:r w:rsidR="00953A57">
        <w:t xml:space="preserve"> Ante ello, la Corte Suprema requirió al Poder Legislativo que </w:t>
      </w:r>
      <w:r w:rsidR="00D566EC">
        <w:t xml:space="preserve">“en un plazo razonable adecue, en lo pertinente, la legislación penal juvenil a los </w:t>
      </w:r>
      <w:r w:rsidR="00953A57">
        <w:t xml:space="preserve">[mencionados] </w:t>
      </w:r>
      <w:r w:rsidR="00D566EC">
        <w:t>estándares mínimos</w:t>
      </w:r>
      <w:r w:rsidR="00953A57">
        <w:t>”</w:t>
      </w:r>
      <w:r w:rsidR="00D566EC">
        <w:rPr>
          <w:rStyle w:val="Refdenotaalpie"/>
        </w:rPr>
        <w:footnoteReference w:id="13"/>
      </w:r>
      <w:r w:rsidR="00052A7B">
        <w:t>.</w:t>
      </w:r>
    </w:p>
    <w:p w14:paraId="0DB1B1D0" w14:textId="206F6103" w:rsidR="00734690" w:rsidRDefault="00953A57" w:rsidP="0032673D">
      <w:pPr>
        <w:pStyle w:val="SingleTxtG"/>
      </w:pPr>
      <w:r w:rsidRPr="00953A57">
        <w:t>2.</w:t>
      </w:r>
      <w:r w:rsidR="002F5703">
        <w:t>5</w:t>
      </w:r>
      <w:r w:rsidRPr="00953A57">
        <w:tab/>
      </w:r>
      <w:r w:rsidR="00921756">
        <w:t>E</w:t>
      </w:r>
      <w:r w:rsidRPr="00953A57">
        <w:t>l fallo de l</w:t>
      </w:r>
      <w:r>
        <w:t xml:space="preserve">a Corte Suprema </w:t>
      </w:r>
      <w:r w:rsidR="00921756">
        <w:t xml:space="preserve">dejó firme </w:t>
      </w:r>
      <w:r>
        <w:t xml:space="preserve">la </w:t>
      </w:r>
      <w:r w:rsidR="00443452">
        <w:t xml:space="preserve">condena </w:t>
      </w:r>
      <w:r>
        <w:t xml:space="preserve">del autor. El 19 de abril de 2019, la Cámara de Apelación y Garantías en lo Penal de </w:t>
      </w:r>
      <w:r w:rsidR="00D50398">
        <w:t>L</w:t>
      </w:r>
      <w:r>
        <w:t>a Matanza aprobó e</w:t>
      </w:r>
      <w:r w:rsidR="00921756">
        <w:t>l</w:t>
      </w:r>
      <w:r>
        <w:t xml:space="preserve"> cómputo de pena considerando que la sanción de </w:t>
      </w:r>
      <w:r w:rsidR="004A5366">
        <w:t xml:space="preserve">13 </w:t>
      </w:r>
      <w:r>
        <w:t xml:space="preserve">años y </w:t>
      </w:r>
      <w:r w:rsidR="004A5366">
        <w:t xml:space="preserve">6 </w:t>
      </w:r>
      <w:r>
        <w:t>meses de prisión impuesta vencería el 25 de julio de 2021.</w:t>
      </w:r>
    </w:p>
    <w:p w14:paraId="1FC30DD8" w14:textId="19B280B9" w:rsidR="00572F40" w:rsidRDefault="008A30BA" w:rsidP="002F1F12">
      <w:pPr>
        <w:pStyle w:val="H4G"/>
      </w:pPr>
      <w:r>
        <w:tab/>
      </w:r>
      <w:r>
        <w:tab/>
      </w:r>
      <w:r w:rsidR="00572F40">
        <w:t>Hechos ocurridos tras el registro</w:t>
      </w:r>
    </w:p>
    <w:p w14:paraId="3761D03D" w14:textId="2811BD90" w:rsidR="00572F40" w:rsidRPr="00572F40" w:rsidRDefault="0095613C" w:rsidP="0032673D">
      <w:pPr>
        <w:pStyle w:val="SingleTxtG"/>
      </w:pPr>
      <w:r>
        <w:t>2</w:t>
      </w:r>
      <w:r w:rsidR="00572F40">
        <w:t>.</w:t>
      </w:r>
      <w:r>
        <w:t>6</w:t>
      </w:r>
      <w:r w:rsidR="00572F40">
        <w:tab/>
        <w:t xml:space="preserve">El </w:t>
      </w:r>
      <w:r w:rsidR="00755EAD">
        <w:t xml:space="preserve">3 de septiembre de 2021, el </w:t>
      </w:r>
      <w:r w:rsidR="00572F40">
        <w:t xml:space="preserve">autor </w:t>
      </w:r>
      <w:r w:rsidR="00755EAD">
        <w:t>informó al Comité</w:t>
      </w:r>
      <w:r w:rsidR="00EA410D">
        <w:t xml:space="preserve"> de que</w:t>
      </w:r>
      <w:r w:rsidR="00755EAD">
        <w:t xml:space="preserve"> </w:t>
      </w:r>
      <w:r w:rsidR="00572F40">
        <w:t>fue liberado el 29 de diciembre de 2020.</w:t>
      </w:r>
    </w:p>
    <w:p w14:paraId="1D910762" w14:textId="77777777" w:rsidR="005E3B5B" w:rsidRPr="005E3B5B" w:rsidRDefault="005E3B5B" w:rsidP="002F1F12">
      <w:pPr>
        <w:pStyle w:val="H23G"/>
        <w:rPr>
          <w:lang w:val="es-ES_tradnl"/>
        </w:rPr>
      </w:pPr>
      <w:r w:rsidRPr="00953A57">
        <w:lastRenderedPageBreak/>
        <w:tab/>
      </w:r>
      <w:r w:rsidRPr="00953A57">
        <w:tab/>
      </w:r>
      <w:r w:rsidRPr="005E3B5B">
        <w:rPr>
          <w:lang w:val="es-ES_tradnl"/>
        </w:rPr>
        <w:t>Denuncia</w:t>
      </w:r>
    </w:p>
    <w:p w14:paraId="1077FAB2" w14:textId="00C3CB6C" w:rsidR="00953A57" w:rsidRDefault="005E3B5B" w:rsidP="00971470">
      <w:pPr>
        <w:pStyle w:val="SingleTxtG"/>
      </w:pPr>
      <w:r w:rsidRPr="005E3B5B">
        <w:rPr>
          <w:lang w:val="es-ES_tradnl"/>
        </w:rPr>
        <w:t>3.</w:t>
      </w:r>
      <w:r w:rsidR="0095613C">
        <w:rPr>
          <w:lang w:val="es-ES_tradnl"/>
        </w:rPr>
        <w:t>1</w:t>
      </w:r>
      <w:r w:rsidRPr="005E3B5B">
        <w:rPr>
          <w:lang w:val="es-ES_tradnl"/>
        </w:rPr>
        <w:tab/>
      </w:r>
      <w:r w:rsidR="00953A57">
        <w:rPr>
          <w:lang w:val="es-ES_tradnl"/>
        </w:rPr>
        <w:t xml:space="preserve">El autor sostiene </w:t>
      </w:r>
      <w:r w:rsidR="00D703C1">
        <w:rPr>
          <w:lang w:val="es-ES_tradnl"/>
        </w:rPr>
        <w:t xml:space="preserve">que el Estado parte ha violado el artículo 3 de la Convención en </w:t>
      </w:r>
      <w:r w:rsidR="00105AF0">
        <w:rPr>
          <w:lang w:val="es-ES_tradnl"/>
        </w:rPr>
        <w:t xml:space="preserve">cuanto </w:t>
      </w:r>
      <w:r w:rsidR="00684965">
        <w:rPr>
          <w:lang w:val="es-ES_tradnl"/>
        </w:rPr>
        <w:t xml:space="preserve">las decisiones judiciales </w:t>
      </w:r>
      <w:r w:rsidR="00D900C8">
        <w:rPr>
          <w:lang w:val="es-ES_tradnl"/>
        </w:rPr>
        <w:t>recaídas en su contra</w:t>
      </w:r>
      <w:r w:rsidR="0013773B">
        <w:rPr>
          <w:lang w:val="es-ES_tradnl"/>
        </w:rPr>
        <w:t xml:space="preserve"> </w:t>
      </w:r>
      <w:r w:rsidR="00684965">
        <w:rPr>
          <w:lang w:val="es-ES_tradnl"/>
        </w:rPr>
        <w:t xml:space="preserve">fueron contrarias a su interés superior. Por un lado, </w:t>
      </w:r>
      <w:r w:rsidR="00C5217E">
        <w:rPr>
          <w:lang w:val="es-ES_tradnl"/>
        </w:rPr>
        <w:t>l</w:t>
      </w:r>
      <w:r w:rsidR="00D703C1">
        <w:rPr>
          <w:lang w:val="es-ES_tradnl"/>
        </w:rPr>
        <w:t xml:space="preserve">a condena </w:t>
      </w:r>
      <w:r w:rsidR="0013773B">
        <w:rPr>
          <w:lang w:val="es-ES_tradnl"/>
        </w:rPr>
        <w:t>se basó</w:t>
      </w:r>
      <w:r w:rsidR="00D703C1">
        <w:rPr>
          <w:lang w:val="es-ES_tradnl"/>
        </w:rPr>
        <w:t xml:space="preserve"> en la gravedad del hecho y no en un verdadero juicio de la necesidad de la pena. </w:t>
      </w:r>
      <w:r w:rsidR="00684965">
        <w:rPr>
          <w:lang w:val="es-ES_tradnl"/>
        </w:rPr>
        <w:t>Por otro</w:t>
      </w:r>
      <w:r w:rsidR="0013773B">
        <w:rPr>
          <w:lang w:val="es-ES_tradnl"/>
        </w:rPr>
        <w:t xml:space="preserve"> lado</w:t>
      </w:r>
      <w:r w:rsidR="00684965">
        <w:rPr>
          <w:lang w:val="es-ES_tradnl"/>
        </w:rPr>
        <w:t xml:space="preserve">, </w:t>
      </w:r>
      <w:r w:rsidR="00D703C1">
        <w:rPr>
          <w:lang w:val="es-ES_tradnl"/>
        </w:rPr>
        <w:t>en la fase de ejecución de la pena</w:t>
      </w:r>
      <w:r w:rsidR="00684965">
        <w:rPr>
          <w:lang w:val="es-ES_tradnl"/>
        </w:rPr>
        <w:t>,</w:t>
      </w:r>
      <w:r w:rsidR="00D703C1">
        <w:rPr>
          <w:lang w:val="es-ES_tradnl"/>
        </w:rPr>
        <w:t xml:space="preserve"> se le otorgó un tratamiento propio de un adulto.</w:t>
      </w:r>
      <w:r w:rsidR="00684965">
        <w:rPr>
          <w:lang w:val="es-ES_tradnl"/>
        </w:rPr>
        <w:t xml:space="preserve"> </w:t>
      </w:r>
      <w:r w:rsidR="00C5217E">
        <w:rPr>
          <w:lang w:val="es-ES_tradnl"/>
        </w:rPr>
        <w:t>Destaca que</w:t>
      </w:r>
      <w:r w:rsidR="00684965">
        <w:rPr>
          <w:lang w:val="es-ES_tradnl"/>
        </w:rPr>
        <w:t xml:space="preserve"> la Cámara de Apelación y Garantías afirmó que</w:t>
      </w:r>
      <w:r w:rsidR="00C5217E">
        <w:rPr>
          <w:lang w:val="es-ES_tradnl"/>
        </w:rPr>
        <w:t>,</w:t>
      </w:r>
      <w:r w:rsidR="00684965">
        <w:rPr>
          <w:lang w:val="es-ES_tradnl"/>
        </w:rPr>
        <w:t xml:space="preserve"> a pesar </w:t>
      </w:r>
      <w:r w:rsidR="00684965" w:rsidRPr="00D43278">
        <w:rPr>
          <w:lang w:val="es-ES_tradnl"/>
        </w:rPr>
        <w:t xml:space="preserve">del favorable cambio en la personalidad del autor, la imposición de la pena era necesaria dada “la gravedad y seriedad del evento por el cual </w:t>
      </w:r>
      <w:r w:rsidR="00684965" w:rsidRPr="00D43278">
        <w:t>[el autor] ha sido encontrado responsable […] como asimismo la valoración de la modalidad comisiva empleada por [el autor] para ocasionar el resultado”</w:t>
      </w:r>
      <w:r w:rsidR="00684965" w:rsidRPr="00D43278">
        <w:rPr>
          <w:rStyle w:val="Refdenotaalpie"/>
        </w:rPr>
        <w:footnoteReference w:id="14"/>
      </w:r>
      <w:r w:rsidR="00684965" w:rsidRPr="00D43278">
        <w:t xml:space="preserve">. Esta fundamentación fue mantenida a lo largo de las diferentes </w:t>
      </w:r>
      <w:r w:rsidR="0013773B" w:rsidRPr="00D43278">
        <w:t>instancias</w:t>
      </w:r>
      <w:r w:rsidR="00684965" w:rsidRPr="00D43278">
        <w:t>.</w:t>
      </w:r>
      <w:r w:rsidR="00FE0953" w:rsidRPr="00D43278">
        <w:t xml:space="preserve"> El autor sostiene</w:t>
      </w:r>
      <w:r w:rsidR="00FE0953">
        <w:t xml:space="preserve"> que el interés superior del niño exige que los tradicionales objetivos de la justicia penal, a saber, la represión y el castigo, deben ser sustituidos por una justicia especial, enfocada a la restauración del daño y a la rehabilitación y reinserción social del adolescente</w:t>
      </w:r>
      <w:r w:rsidR="001B449D">
        <w:rPr>
          <w:rStyle w:val="Refdenotaalpie"/>
        </w:rPr>
        <w:footnoteReference w:id="15"/>
      </w:r>
      <w:r w:rsidR="00052A7B">
        <w:t>.</w:t>
      </w:r>
    </w:p>
    <w:p w14:paraId="4D5882F5" w14:textId="706C4622" w:rsidR="00FE0953" w:rsidRDefault="00FE0953" w:rsidP="00971470">
      <w:pPr>
        <w:pStyle w:val="SingleTxtG"/>
      </w:pPr>
      <w:r>
        <w:t>3.</w:t>
      </w:r>
      <w:r w:rsidR="0095613C">
        <w:t>2</w:t>
      </w:r>
      <w:r>
        <w:tab/>
        <w:t>El autor alega también que el Estado parte violó el artículo</w:t>
      </w:r>
      <w:r w:rsidR="00F54A95">
        <w:t> </w:t>
      </w:r>
      <w:r>
        <w:t>40 de la Convención</w:t>
      </w:r>
      <w:r w:rsidR="00D900C8">
        <w:t>, que</w:t>
      </w:r>
      <w:r>
        <w:t xml:space="preserve"> establece el fin resocializador de la pena. Sostiene que dicha norma se refiere a la importancia de promover la reintegración del niño para que este asuma una función constructiva en la sociedad. Sin embargo, </w:t>
      </w:r>
      <w:r w:rsidR="009F5E35">
        <w:t xml:space="preserve">en su caso, </w:t>
      </w:r>
      <w:r>
        <w:t xml:space="preserve">la “necesidad de la pena” </w:t>
      </w:r>
      <w:r w:rsidR="009F5E35">
        <w:t>fue</w:t>
      </w:r>
      <w:r>
        <w:t xml:space="preserve"> equiparad</w:t>
      </w:r>
      <w:r w:rsidR="00A87026">
        <w:t>a</w:t>
      </w:r>
      <w:r>
        <w:t xml:space="preserve"> a la “gravedad del hecho”. </w:t>
      </w:r>
      <w:r w:rsidR="00A87026">
        <w:t>Destaca que</w:t>
      </w:r>
      <w:r w:rsidR="009F5E35">
        <w:t>,</w:t>
      </w:r>
      <w:r w:rsidR="00A87026">
        <w:t xml:space="preserve"> s</w:t>
      </w:r>
      <w:r>
        <w:t>egún lo establecido por el Comité</w:t>
      </w:r>
      <w:r w:rsidR="009F5E35">
        <w:t>,</w:t>
      </w:r>
      <w:r>
        <w:t xml:space="preserve"> “</w:t>
      </w:r>
      <w:r w:rsidRPr="00FE0953">
        <w:t xml:space="preserve">[l]a </w:t>
      </w:r>
      <w:r>
        <w:t>aplicación de un método estrictamente punitivo no está en armonía con los principios básicos de la justicia de menores enunciados en el párrafo 1 del artículo 40 de la Convención”</w:t>
      </w:r>
      <w:r>
        <w:rPr>
          <w:rStyle w:val="Refdenotaalpie"/>
        </w:rPr>
        <w:footnoteReference w:id="16"/>
      </w:r>
      <w:r w:rsidR="001B449D">
        <w:t xml:space="preserve">. En esta línea, el juicio de necesidad de </w:t>
      </w:r>
      <w:r w:rsidR="009F5E35">
        <w:t xml:space="preserve">la </w:t>
      </w:r>
      <w:r w:rsidR="001B449D">
        <w:t>pena debe basarse exclusivamente en el pronóstico de evolución del joven. La gravedad del hecho o la culpabilidad solo pueden operar como límites al momento de la imposición de pena, m</w:t>
      </w:r>
      <w:r w:rsidR="009F5E35">
        <w:t>a</w:t>
      </w:r>
      <w:r w:rsidR="001B449D">
        <w:t xml:space="preserve">s no como fundamento de ella. Por ello, imponer una pena de </w:t>
      </w:r>
      <w:r w:rsidR="004A5366">
        <w:t xml:space="preserve">13 </w:t>
      </w:r>
      <w:r w:rsidR="001B449D">
        <w:t xml:space="preserve">años y </w:t>
      </w:r>
      <w:r w:rsidR="004A5366">
        <w:t xml:space="preserve">6 </w:t>
      </w:r>
      <w:r w:rsidR="001B449D">
        <w:t xml:space="preserve">meses de prisión a un niño </w:t>
      </w:r>
      <w:r w:rsidR="001B449D" w:rsidRPr="00A87026">
        <w:t>sin revisarla periódicamente</w:t>
      </w:r>
      <w:r w:rsidR="001B449D">
        <w:t xml:space="preserve"> implica a todas luces imponer un castigo basado exclusivamente en la gravedad del hecho, lo cual no constituye un parámetro válido para determinar la necesidad de pena en </w:t>
      </w:r>
      <w:r w:rsidR="00A87026">
        <w:t>procesos de justicia juvenil</w:t>
      </w:r>
      <w:r w:rsidR="001B449D">
        <w:rPr>
          <w:rStyle w:val="Refdenotaalpie"/>
        </w:rPr>
        <w:footnoteReference w:id="17"/>
      </w:r>
      <w:r w:rsidR="00052A7B">
        <w:t>.</w:t>
      </w:r>
    </w:p>
    <w:p w14:paraId="6AFB80AE" w14:textId="34BF61D3" w:rsidR="001B449D" w:rsidRPr="00FE0953" w:rsidRDefault="001B449D" w:rsidP="002E3937">
      <w:pPr>
        <w:pStyle w:val="SingleTxtG"/>
      </w:pPr>
      <w:r>
        <w:t>3.</w:t>
      </w:r>
      <w:r w:rsidR="0095613C">
        <w:t>3</w:t>
      </w:r>
      <w:r>
        <w:tab/>
        <w:t>El autor también alega que el Estado parte violó el artículo 37</w:t>
      </w:r>
      <w:r w:rsidR="002F1F12">
        <w:t xml:space="preserve"> </w:t>
      </w:r>
      <w:r>
        <w:t xml:space="preserve">b) de la Convención, </w:t>
      </w:r>
      <w:r w:rsidR="00C83BF1">
        <w:t>según el cual</w:t>
      </w:r>
      <w:r>
        <w:t xml:space="preserve"> la detención </w:t>
      </w:r>
      <w:r w:rsidR="00C83BF1">
        <w:t>debe ser</w:t>
      </w:r>
      <w:r>
        <w:t xml:space="preserve"> llevada a cabo como medida de último recurso. </w:t>
      </w:r>
      <w:r w:rsidR="0095692F">
        <w:t xml:space="preserve">Sostiene que ello significa que un Estado debe imponer una pena privativa de la libertad “durante el período más breve que proceda”. En su caso, el autor fue condenado a una pena de prisión que omitió considerar su necesidad en relación con su evolución y que además </w:t>
      </w:r>
      <w:r w:rsidR="00C83BF1">
        <w:t>fue fijada</w:t>
      </w:r>
      <w:r w:rsidR="0095692F">
        <w:t xml:space="preserve"> sin justificar </w:t>
      </w:r>
      <w:r w:rsidR="009F5E35">
        <w:t>en qué medida constituía</w:t>
      </w:r>
      <w:r w:rsidR="0095692F">
        <w:t xml:space="preserve"> </w:t>
      </w:r>
      <w:r w:rsidR="009F5E35">
        <w:t>una medida de</w:t>
      </w:r>
      <w:r w:rsidR="0095692F">
        <w:t xml:space="preserve"> último recurso </w:t>
      </w:r>
      <w:r w:rsidR="003A078E">
        <w:t>ni si se trataba d</w:t>
      </w:r>
      <w:r w:rsidR="0095692F">
        <w:t>el período más breve que proced</w:t>
      </w:r>
      <w:r w:rsidR="003A078E">
        <w:t>ía</w:t>
      </w:r>
      <w:r w:rsidR="0095692F">
        <w:t>.</w:t>
      </w:r>
      <w:r w:rsidR="002E3937">
        <w:t xml:space="preserve"> </w:t>
      </w:r>
      <w:r w:rsidR="009148C2">
        <w:t>E</w:t>
      </w:r>
      <w:r w:rsidR="002E3937">
        <w:t>l autor destaca que, según la Corte Interamericana de Derechos Humanos, “si</w:t>
      </w:r>
      <w:r w:rsidR="003A078E">
        <w:t xml:space="preserve"> </w:t>
      </w:r>
      <w:r w:rsidR="002E3937">
        <w:t xml:space="preserve">las circunstancias han cambiado </w:t>
      </w:r>
      <w:r w:rsidR="002E3937" w:rsidRPr="002E3937">
        <w:t xml:space="preserve">y ya no es necesaria </w:t>
      </w:r>
      <w:r w:rsidR="002E3937">
        <w:t>su</w:t>
      </w:r>
      <w:r w:rsidR="002E3937" w:rsidRPr="002E3937">
        <w:t xml:space="preserve"> reclusión, es deber de los Estados poner a los niños en libertad, aun cuando no hayan cumplido la pena establecida en cada caso concreto. A estos efectos, los Estados deben establecer en su legislación programas de libertad anticipada</w:t>
      </w:r>
      <w:r w:rsidR="002E3937">
        <w:t>”</w:t>
      </w:r>
      <w:r w:rsidR="002E3937">
        <w:rPr>
          <w:rStyle w:val="Refdenotaalpie"/>
        </w:rPr>
        <w:footnoteReference w:id="18"/>
      </w:r>
      <w:r w:rsidR="002E3937">
        <w:t>.</w:t>
      </w:r>
      <w:r w:rsidR="002E3937" w:rsidRPr="002E3937">
        <w:t xml:space="preserve"> </w:t>
      </w:r>
      <w:r w:rsidR="009148C2">
        <w:t xml:space="preserve">Por ende, </w:t>
      </w:r>
      <w:r w:rsidR="00C83BF1">
        <w:t xml:space="preserve">alega que, </w:t>
      </w:r>
      <w:r w:rsidR="009148C2">
        <w:t>al haber</w:t>
      </w:r>
      <w:r w:rsidR="00620E4F">
        <w:t>se</w:t>
      </w:r>
      <w:r w:rsidR="009148C2">
        <w:t xml:space="preserve"> mantenido un monto de pena alto sin supervisarse periódicamente su necesidad, se violó </w:t>
      </w:r>
      <w:r w:rsidR="00C83BF1">
        <w:t>su</w:t>
      </w:r>
      <w:r w:rsidR="009148C2">
        <w:t xml:space="preserve"> derecho a que la pena impuesta sea “durante el período más breve que proceda”</w:t>
      </w:r>
      <w:r w:rsidR="00023110">
        <w:t>, como lo exige el artículo 37</w:t>
      </w:r>
      <w:r w:rsidR="00911C85">
        <w:t xml:space="preserve"> </w:t>
      </w:r>
      <w:r w:rsidR="00023110">
        <w:t>b) de la Convención</w:t>
      </w:r>
      <w:r w:rsidR="009148C2">
        <w:t>.</w:t>
      </w:r>
    </w:p>
    <w:p w14:paraId="7350445A" w14:textId="4D212DFE" w:rsidR="005E3B5B" w:rsidRDefault="0095692F" w:rsidP="005E3B5B">
      <w:pPr>
        <w:pStyle w:val="SingleTxtG"/>
      </w:pPr>
      <w:r>
        <w:rPr>
          <w:lang w:val="es-ES_tradnl"/>
        </w:rPr>
        <w:t>3.</w:t>
      </w:r>
      <w:r w:rsidR="0095613C">
        <w:rPr>
          <w:lang w:val="es-ES_tradnl"/>
        </w:rPr>
        <w:t>4</w:t>
      </w:r>
      <w:r>
        <w:rPr>
          <w:lang w:val="es-ES_tradnl"/>
        </w:rPr>
        <w:tab/>
      </w:r>
      <w:r w:rsidR="006179A0">
        <w:rPr>
          <w:lang w:val="es-ES_tradnl"/>
        </w:rPr>
        <w:t>El autor alega que el Estado parte violó también el artículo 37</w:t>
      </w:r>
      <w:r w:rsidR="00911C85">
        <w:rPr>
          <w:lang w:val="es-ES_tradnl"/>
        </w:rPr>
        <w:t xml:space="preserve"> </w:t>
      </w:r>
      <w:r w:rsidR="006179A0">
        <w:rPr>
          <w:lang w:val="es-ES_tradnl"/>
        </w:rPr>
        <w:t xml:space="preserve">c) de la Convención, que exige que los niños privados de libertad </w:t>
      </w:r>
      <w:r w:rsidR="00C83BF1">
        <w:rPr>
          <w:lang w:val="es-ES_tradnl"/>
        </w:rPr>
        <w:t>se encuentren</w:t>
      </w:r>
      <w:r w:rsidR="006179A0">
        <w:rPr>
          <w:lang w:val="es-ES_tradnl"/>
        </w:rPr>
        <w:t xml:space="preserve"> separados de los adultos. Reitera que con posterioridad a la sentencia de primera instancia que lo condenó, se ordenó su alojamiento en una </w:t>
      </w:r>
      <w:r w:rsidR="00620E4F">
        <w:rPr>
          <w:lang w:val="es-ES_tradnl"/>
        </w:rPr>
        <w:t>u</w:t>
      </w:r>
      <w:r w:rsidR="006179A0">
        <w:rPr>
          <w:lang w:val="es-ES_tradnl"/>
        </w:rPr>
        <w:t xml:space="preserve">nidad </w:t>
      </w:r>
      <w:r w:rsidR="00620E4F">
        <w:rPr>
          <w:lang w:val="es-ES_tradnl"/>
        </w:rPr>
        <w:t>p</w:t>
      </w:r>
      <w:r w:rsidR="006179A0">
        <w:rPr>
          <w:lang w:val="es-ES_tradnl"/>
        </w:rPr>
        <w:t>enitenciaria para adultos. Desde entonces, cumplió su condena bajo un régimen destinado al cumplimiento de penas con una finalidad diferente a la que debería regir respecto de los jóvenes. Según lo establecido por el propio Comité “</w:t>
      </w:r>
      <w:r w:rsidR="006179A0" w:rsidRPr="006179A0">
        <w:t>[e]</w:t>
      </w:r>
      <w:proofErr w:type="spellStart"/>
      <w:r w:rsidR="006179A0" w:rsidRPr="006179A0">
        <w:t>sta</w:t>
      </w:r>
      <w:proofErr w:type="spellEnd"/>
      <w:r w:rsidR="006179A0" w:rsidRPr="006179A0">
        <w:t xml:space="preserve"> norma </w:t>
      </w:r>
      <w:r w:rsidR="006179A0" w:rsidRPr="006179A0">
        <w:lastRenderedPageBreak/>
        <w:t xml:space="preserve">no significa que </w:t>
      </w:r>
      <w:r w:rsidR="006179A0">
        <w:t>un niño internado en un centro para menores deba ser trasladado a una institución para adultos inmediatamente después de cumplir los 18</w:t>
      </w:r>
      <w:r w:rsidR="00911C85">
        <w:t xml:space="preserve"> </w:t>
      </w:r>
      <w:r w:rsidR="006179A0">
        <w:t>años. Debería poder permanecer en el centro de menores si ello coincide con el interés superior del niño y no atenta contra el interés superior de los niños de menor edad internados en el centro”</w:t>
      </w:r>
      <w:r w:rsidR="006E6092">
        <w:rPr>
          <w:rStyle w:val="Refdenotaalpie"/>
        </w:rPr>
        <w:footnoteReference w:id="19"/>
      </w:r>
      <w:r w:rsidR="006179A0">
        <w:t>.</w:t>
      </w:r>
      <w:r w:rsidR="006E6092">
        <w:t xml:space="preserve"> </w:t>
      </w:r>
      <w:r w:rsidR="00C83BF1" w:rsidRPr="00C83BF1">
        <w:t>El autor d</w:t>
      </w:r>
      <w:r w:rsidR="006E6092" w:rsidRPr="00C83BF1">
        <w:t>estaca que no existe en la legislación argentina una norma que regule expresamente la etapa de ejecución de las condenas impuestas a jóvenes, una vez que estos adquieren la mayoría de edad, aplicando entonces la normativa propia de los adultos</w:t>
      </w:r>
      <w:r w:rsidR="006E6092" w:rsidRPr="00C83BF1">
        <w:rPr>
          <w:rStyle w:val="Refdenotaalpie"/>
        </w:rPr>
        <w:footnoteReference w:id="20"/>
      </w:r>
      <w:r w:rsidR="00FE5547">
        <w:t>.</w:t>
      </w:r>
    </w:p>
    <w:p w14:paraId="51C4AAB9" w14:textId="6379FF18" w:rsidR="00583B9B" w:rsidRDefault="00583B9B" w:rsidP="005E3B5B">
      <w:pPr>
        <w:pStyle w:val="SingleTxtG"/>
      </w:pPr>
      <w:r>
        <w:t>3.</w:t>
      </w:r>
      <w:r w:rsidR="0095613C">
        <w:t>5</w:t>
      </w:r>
      <w:r>
        <w:tab/>
        <w:t xml:space="preserve">El autor alega que el Estado parte violó también el deber de revisar </w:t>
      </w:r>
      <w:r w:rsidR="009F5E35">
        <w:t xml:space="preserve">periódicamente </w:t>
      </w:r>
      <w:r>
        <w:t xml:space="preserve">y estudiar la necesidad de la medida o </w:t>
      </w:r>
      <w:r w:rsidRPr="00C32D2E">
        <w:t>pena privativa de libertad en su contra, exigido por el artículo</w:t>
      </w:r>
      <w:r w:rsidR="00911C85">
        <w:t xml:space="preserve"> </w:t>
      </w:r>
      <w:r w:rsidRPr="00C32D2E">
        <w:t xml:space="preserve">25 de la Convención. Sostiene que, según </w:t>
      </w:r>
      <w:r w:rsidR="0044046E" w:rsidRPr="00C32D2E">
        <w:t>dich</w:t>
      </w:r>
      <w:r w:rsidRPr="00C32D2E">
        <w:t xml:space="preserve">a </w:t>
      </w:r>
      <w:r w:rsidR="0044046E" w:rsidRPr="00C32D2E">
        <w:t>disposición</w:t>
      </w:r>
      <w:r w:rsidRPr="00C32D2E">
        <w:t>, el análisis de la necesidad de la pena no puede únicamente limitarse al momento de la imposición y determinación de esta, sino que debe efectuarse y supervisarse periódicamente</w:t>
      </w:r>
      <w:r w:rsidRPr="00DB19EC">
        <w:t xml:space="preserve"> durante toda la fa</w:t>
      </w:r>
      <w:r w:rsidR="00D43278">
        <w:t>se</w:t>
      </w:r>
      <w:r w:rsidRPr="00DB19EC">
        <w:t xml:space="preserve"> de ejecución</w:t>
      </w:r>
      <w:r w:rsidR="00FE5547" w:rsidRPr="00DB19EC">
        <w:t>.</w:t>
      </w:r>
      <w:r w:rsidR="00164B5A" w:rsidRPr="00DB19EC">
        <w:t xml:space="preserve"> En</w:t>
      </w:r>
      <w:r w:rsidR="00164B5A">
        <w:t xml:space="preserve"> efecto, si las circunstancias han cambiado y ya no es necesaria la reclusión, es deber de los Estados ponerlos en libertad </w:t>
      </w:r>
      <w:r w:rsidR="005C68B9">
        <w:t>aun</w:t>
      </w:r>
      <w:r w:rsidR="00164B5A">
        <w:t xml:space="preserve"> cuando no hayan cumplido el período previsto en la pena de privación de libertad establecida para cada caso concreto</w:t>
      </w:r>
      <w:r w:rsidR="00164B5A">
        <w:rPr>
          <w:rStyle w:val="Refdenotaalpie"/>
        </w:rPr>
        <w:footnoteReference w:id="21"/>
      </w:r>
      <w:r w:rsidR="00FE5547">
        <w:t>.</w:t>
      </w:r>
      <w:r w:rsidR="00164B5A">
        <w:t xml:space="preserve"> En el presente caso, durante los más de nueve años que el autor lleva detenido, no se ha revisado su evolución </w:t>
      </w:r>
      <w:r w:rsidR="0044046E">
        <w:t xml:space="preserve">para </w:t>
      </w:r>
      <w:r w:rsidR="00164B5A">
        <w:t xml:space="preserve">poder </w:t>
      </w:r>
      <w:r w:rsidR="0044046E">
        <w:t xml:space="preserve">determinar </w:t>
      </w:r>
      <w:r w:rsidR="00164B5A">
        <w:t>si se mantiene la necesidad de la pena</w:t>
      </w:r>
      <w:r w:rsidR="00847865">
        <w:t xml:space="preserve"> y </w:t>
      </w:r>
      <w:r w:rsidR="00DB19EC">
        <w:t xml:space="preserve">garantizar en todo caso </w:t>
      </w:r>
      <w:r w:rsidR="00847865">
        <w:t>que esta continúe siendo por el período más breve que proceda.</w:t>
      </w:r>
    </w:p>
    <w:p w14:paraId="7045F656" w14:textId="0E8FFBDF" w:rsidR="00E54F94" w:rsidRDefault="00847865" w:rsidP="00E54F94">
      <w:pPr>
        <w:pStyle w:val="SingleTxtG"/>
      </w:pPr>
      <w:r>
        <w:t>3.</w:t>
      </w:r>
      <w:r w:rsidR="0095613C">
        <w:t>6</w:t>
      </w:r>
      <w:r>
        <w:tab/>
        <w:t xml:space="preserve">El autor alega finalmente que el Estado parte ha incumplido su deber de adoptar </w:t>
      </w:r>
      <w:r w:rsidR="0044046E">
        <w:t>normativa</w:t>
      </w:r>
      <w:r>
        <w:t xml:space="preserve"> para dar efectividad a los derechos mencionados, en violación del artículo</w:t>
      </w:r>
      <w:r w:rsidR="00911C85">
        <w:t xml:space="preserve"> </w:t>
      </w:r>
      <w:r>
        <w:t xml:space="preserve">4 de la Convención. Reitera que, en su caso, la propia Corte Suprema reconoció que el juez de la causa se encontraba impedido de efectuar un </w:t>
      </w:r>
      <w:r w:rsidR="0044046E">
        <w:t xml:space="preserve">control </w:t>
      </w:r>
      <w:r>
        <w:t>judicial de la evaluación de la necesidad de la pena para verificar la posibilidad de la puesta en libertad dado que la ley vigente no contempla dicha posibilidad. Recuerda que</w:t>
      </w:r>
      <w:r w:rsidR="001E00F3">
        <w:t>,</w:t>
      </w:r>
      <w:r>
        <w:t xml:space="preserve"> si bien </w:t>
      </w:r>
      <w:r w:rsidR="003C4C6E">
        <w:t>durante los dos primeros años</w:t>
      </w:r>
      <w:r>
        <w:t xml:space="preserve"> </w:t>
      </w:r>
      <w:r w:rsidR="003C4C6E">
        <w:t xml:space="preserve">de detención (entre el 26 de enero de 2008 y el 23 de abril de 2010) estuvo </w:t>
      </w:r>
      <w:r>
        <w:t xml:space="preserve">en el centro </w:t>
      </w:r>
      <w:r w:rsidR="003C4C6E">
        <w:t xml:space="preserve">de detención juvenil </w:t>
      </w:r>
      <w:r w:rsidR="00DA11AD">
        <w:t>“</w:t>
      </w:r>
      <w:r>
        <w:t xml:space="preserve">Nuevo </w:t>
      </w:r>
      <w:r w:rsidR="001E00F3">
        <w:t xml:space="preserve">Dique”, </w:t>
      </w:r>
      <w:r w:rsidR="003C4C6E">
        <w:t>d</w:t>
      </w:r>
      <w:r w:rsidR="001E00F3">
        <w:t xml:space="preserve">esde entonces lleva casi nueve años </w:t>
      </w:r>
      <w:r w:rsidR="001E00F3" w:rsidRPr="00004643">
        <w:t xml:space="preserve">detenido en una </w:t>
      </w:r>
      <w:r w:rsidR="00A0678F" w:rsidRPr="00004643">
        <w:t>u</w:t>
      </w:r>
      <w:r w:rsidR="001E00F3" w:rsidRPr="00004643">
        <w:t xml:space="preserve">nidad </w:t>
      </w:r>
      <w:r w:rsidR="00A0678F" w:rsidRPr="00004643">
        <w:t>p</w:t>
      </w:r>
      <w:r w:rsidR="001E00F3" w:rsidRPr="00004643">
        <w:t>enitenciaria de adultos y con el tratamiento propio de un adulto.</w:t>
      </w:r>
      <w:r w:rsidRPr="00004643">
        <w:t xml:space="preserve"> </w:t>
      </w:r>
      <w:r w:rsidR="0044046E" w:rsidRPr="00004643">
        <w:t>Ello se debe a que</w:t>
      </w:r>
      <w:r w:rsidR="001E00F3" w:rsidRPr="00004643">
        <w:t xml:space="preserve"> continúa rigiendo en el ámbito de la justicia penal juvenil </w:t>
      </w:r>
      <w:r w:rsidR="000D69FA" w:rsidRPr="00004643">
        <w:t xml:space="preserve">la </w:t>
      </w:r>
      <w:r w:rsidR="001E00F3" w:rsidRPr="00004643">
        <w:t>Ley</w:t>
      </w:r>
      <w:r w:rsidR="00380BF1" w:rsidRPr="00591D3C">
        <w:t xml:space="preserve"> núm.</w:t>
      </w:r>
      <w:r w:rsidR="00911C85">
        <w:t xml:space="preserve"> </w:t>
      </w:r>
      <w:r w:rsidR="001E00F3" w:rsidRPr="00004643">
        <w:t>22.278, sancionad</w:t>
      </w:r>
      <w:r w:rsidR="00004643" w:rsidRPr="00004643">
        <w:t>a</w:t>
      </w:r>
      <w:r w:rsidR="001E00F3">
        <w:t xml:space="preserve"> en 1980, </w:t>
      </w:r>
      <w:r w:rsidR="0044046E">
        <w:t xml:space="preserve">a saber, </w:t>
      </w:r>
      <w:r w:rsidR="004A5366">
        <w:t>diez</w:t>
      </w:r>
      <w:r w:rsidR="001E00F3">
        <w:t xml:space="preserve"> años antes de la ratificación de la Convención. Esto significa que, a casi 28</w:t>
      </w:r>
      <w:r w:rsidR="008122D6">
        <w:t> </w:t>
      </w:r>
      <w:r w:rsidR="001E00F3">
        <w:t xml:space="preserve">años de la ratificación, el Estado parte no ha </w:t>
      </w:r>
      <w:r w:rsidR="0044046E">
        <w:t xml:space="preserve">adoptado </w:t>
      </w:r>
      <w:r w:rsidR="001E00F3">
        <w:t>una nueva legislación penal juvenil que se adapte a los estándares mínimos exigidos por la Convención. Destaca que la norma</w:t>
      </w:r>
      <w:r w:rsidR="0044046E">
        <w:t>tiva</w:t>
      </w:r>
      <w:r w:rsidR="001E00F3">
        <w:t xml:space="preserve"> vigente se basa en un modelo “tutelar” para el abordaje de la infancia, que autoriza al juez a “disponer” provisionalmente del niño cuando es imputado, independientemente del real grado de vinculación de este a un hecho delictivo y/o resultado de la causa penal</w:t>
      </w:r>
      <w:r w:rsidR="001E00F3">
        <w:rPr>
          <w:rStyle w:val="Refdenotaalpie"/>
        </w:rPr>
        <w:footnoteReference w:id="22"/>
      </w:r>
      <w:r w:rsidR="00FE5547">
        <w:t>.</w:t>
      </w:r>
      <w:r w:rsidR="001E00F3">
        <w:t xml:space="preserve"> </w:t>
      </w:r>
      <w:r w:rsidR="00B0031C">
        <w:t>El autor destaca que la propia Corte Suprema de Justicia</w:t>
      </w:r>
      <w:r w:rsidR="00B328EE">
        <w:t xml:space="preserve"> de la Nación</w:t>
      </w:r>
      <w:r w:rsidR="00B0031C">
        <w:t>, ya en 2008, requirió al Poder Legislativo que “en un plazo razonable, adecue la legislación a los estándares mínimos que en lo pertinente surgen de los instrumentos internacionales sobre derechos humanos incorporados a la Constitución Nacional”</w:t>
      </w:r>
      <w:r w:rsidR="00B0031C">
        <w:rPr>
          <w:rStyle w:val="Refdenotaalpie"/>
        </w:rPr>
        <w:footnoteReference w:id="23"/>
      </w:r>
      <w:r w:rsidR="00B0031C">
        <w:t xml:space="preserve">. En el mismo sentido, </w:t>
      </w:r>
      <w:r w:rsidR="00E54F94">
        <w:t xml:space="preserve">en 2013, </w:t>
      </w:r>
      <w:r w:rsidR="00B0031C">
        <w:t>la Corte Interamericana de Derechos Humanos, en</w:t>
      </w:r>
      <w:r w:rsidR="001B6165">
        <w:t xml:space="preserve"> el caso</w:t>
      </w:r>
      <w:r w:rsidR="00B0031C">
        <w:t xml:space="preserve"> </w:t>
      </w:r>
      <w:r w:rsidR="00B0031C" w:rsidRPr="00591D3C">
        <w:rPr>
          <w:i/>
          <w:iCs/>
        </w:rPr>
        <w:t xml:space="preserve">Mendoza </w:t>
      </w:r>
      <w:r w:rsidR="001B6165" w:rsidRPr="00591D3C">
        <w:rPr>
          <w:i/>
          <w:iCs/>
        </w:rPr>
        <w:t>y otros vs</w:t>
      </w:r>
      <w:r w:rsidR="00B0031C" w:rsidRPr="00591D3C">
        <w:rPr>
          <w:i/>
          <w:iCs/>
        </w:rPr>
        <w:t>. Argentina</w:t>
      </w:r>
      <w:r w:rsidR="00B0031C">
        <w:t>, consideró que el Estado parte violó el deber de adoptar disposiciones de derecho interno en este sentido</w:t>
      </w:r>
      <w:r w:rsidR="00B328EE">
        <w:t>,</w:t>
      </w:r>
      <w:r w:rsidR="00B0031C">
        <w:t xml:space="preserve"> en violación del artículo 2 de la Convención Americana </w:t>
      </w:r>
      <w:r w:rsidR="007C0005">
        <w:t xml:space="preserve">sobre </w:t>
      </w:r>
      <w:r w:rsidR="00B0031C">
        <w:t>Derechos Humanos</w:t>
      </w:r>
      <w:r w:rsidR="00E54F94">
        <w:t xml:space="preserve">, </w:t>
      </w:r>
      <w:r w:rsidR="0078511E">
        <w:t xml:space="preserve">y </w:t>
      </w:r>
      <w:r w:rsidR="00E54F94">
        <w:t>requiri</w:t>
      </w:r>
      <w:r w:rsidR="0078511E">
        <w:t>ó</w:t>
      </w:r>
      <w:r w:rsidR="00E54F94">
        <w:t xml:space="preserve"> al Estado parte que adecu</w:t>
      </w:r>
      <w:r w:rsidR="00B328EE">
        <w:t>ara</w:t>
      </w:r>
      <w:r w:rsidR="00E54F94">
        <w:t xml:space="preserve"> su</w:t>
      </w:r>
      <w:r w:rsidR="004F6D29">
        <w:t xml:space="preserve"> </w:t>
      </w:r>
      <w:r w:rsidR="00E54F94">
        <w:t>normativa en materia de justicia penal juvenil</w:t>
      </w:r>
      <w:r w:rsidR="00B0031C">
        <w:rPr>
          <w:rStyle w:val="Refdenotaalpie"/>
        </w:rPr>
        <w:footnoteReference w:id="24"/>
      </w:r>
      <w:r w:rsidR="00FE5547">
        <w:t>.</w:t>
      </w:r>
      <w:r w:rsidR="000328E3">
        <w:t xml:space="preserve"> Por su parte, el propio Comité ha recomendado al Estado parte que derogue la Ley </w:t>
      </w:r>
      <w:r w:rsidR="00380BF1">
        <w:t>núm.</w:t>
      </w:r>
      <w:r w:rsidR="00911C85">
        <w:t xml:space="preserve"> </w:t>
      </w:r>
      <w:r w:rsidR="000328E3">
        <w:t>22.278 y apruebe una nueva ley compatible con la Convención y las normas internacionales en materia de justicia juvenil</w:t>
      </w:r>
      <w:r w:rsidR="000328E3">
        <w:rPr>
          <w:rStyle w:val="Refdenotaalpie"/>
        </w:rPr>
        <w:footnoteReference w:id="25"/>
      </w:r>
      <w:r w:rsidR="00FE5547">
        <w:t>.</w:t>
      </w:r>
      <w:r w:rsidR="00E54F94">
        <w:t xml:space="preserve"> </w:t>
      </w:r>
      <w:r w:rsidR="0069785C">
        <w:t>El autor sostiene que la falta de un régimen propio de justicia juvenil desnaturaliza la finalidad perseguida por la pena impuesta a un joven e impacta finalmente en la dificultad de analizar su evolución en los términos del artículo 25 de la Convención.</w:t>
      </w:r>
    </w:p>
    <w:p w14:paraId="45268446" w14:textId="52C3D0B0" w:rsidR="00847865" w:rsidRPr="006179A0" w:rsidRDefault="0069785C" w:rsidP="00BE3CBD">
      <w:pPr>
        <w:pStyle w:val="SingleTxtG"/>
        <w:keepNext/>
        <w:keepLines/>
      </w:pPr>
      <w:r>
        <w:lastRenderedPageBreak/>
        <w:t>3.</w:t>
      </w:r>
      <w:r w:rsidR="0095613C">
        <w:t>7</w:t>
      </w:r>
      <w:r>
        <w:tab/>
        <w:t>El autor solicita al Comité que</w:t>
      </w:r>
      <w:r w:rsidR="00390063">
        <w:t>:</w:t>
      </w:r>
      <w:r>
        <w:t xml:space="preserve"> a) declare responsable al Estado parte por las violaciones alegadas; b) intime a las autoridades del Estado parte a arbitrar los medios necesarios para evaluar la necesidad de mantener la pena impuesta en su contra, reparando eventualmente los daños sufridos; c) intime al Estado parte a adecuar </w:t>
      </w:r>
      <w:r w:rsidR="004C4F02">
        <w:t>su régimen de justicia penal juvenil a la Convención, en particular, que en la fa</w:t>
      </w:r>
      <w:r w:rsidR="0044046E">
        <w:t>se</w:t>
      </w:r>
      <w:r w:rsidR="004C4F02">
        <w:t xml:space="preserve"> de ejecución de medidas que impliquen privaciones de libertad a niños se disponga expresamente un examen periódico que contemple la posibilidad de </w:t>
      </w:r>
      <w:r w:rsidR="00443452">
        <w:t>su</w:t>
      </w:r>
      <w:r w:rsidR="004C4F02">
        <w:t xml:space="preserve"> puesta en libertad, conforme a </w:t>
      </w:r>
      <w:r w:rsidR="00443452">
        <w:t xml:space="preserve">lo exigido por </w:t>
      </w:r>
      <w:r w:rsidR="004C4F02">
        <w:t>el artículo</w:t>
      </w:r>
      <w:r w:rsidR="004118D5">
        <w:t> </w:t>
      </w:r>
      <w:r w:rsidR="004C4F02">
        <w:t>25 de la Convención</w:t>
      </w:r>
      <w:r w:rsidR="00C32D2E">
        <w:t>,</w:t>
      </w:r>
      <w:r w:rsidR="004C4F02">
        <w:t xml:space="preserve"> y d) efectúe recomendaciones al Estado parte a los fines de </w:t>
      </w:r>
      <w:r w:rsidR="00443452">
        <w:t xml:space="preserve">asegurar </w:t>
      </w:r>
      <w:r w:rsidR="004C4F02">
        <w:t xml:space="preserve">que los órganos jurisdiccionales </w:t>
      </w:r>
      <w:r w:rsidR="00443452">
        <w:t>realicen</w:t>
      </w:r>
      <w:r w:rsidR="004C4F02">
        <w:t xml:space="preserve"> exámenes periódicos sobre la necesidad de mantener medidas privativas de la libertad a</w:t>
      </w:r>
      <w:r w:rsidR="005E172E">
        <w:t>plicadas a</w:t>
      </w:r>
      <w:r w:rsidR="004C4F02">
        <w:t xml:space="preserve"> niños.</w:t>
      </w:r>
    </w:p>
    <w:p w14:paraId="695B328B" w14:textId="77777777" w:rsidR="005E3B5B" w:rsidRPr="005E3B5B" w:rsidRDefault="005E3B5B" w:rsidP="005E3B5B">
      <w:pPr>
        <w:pStyle w:val="H23G"/>
        <w:rPr>
          <w:lang w:val="es-ES_tradnl"/>
        </w:rPr>
      </w:pPr>
      <w:r>
        <w:rPr>
          <w:lang w:val="es-ES_tradnl"/>
        </w:rPr>
        <w:tab/>
      </w:r>
      <w:r w:rsidRPr="005E3B5B">
        <w:rPr>
          <w:lang w:val="es-ES_tradnl"/>
        </w:rPr>
        <w:tab/>
        <w:t>Observaciones del Estado parte sobre la admisibilidad</w:t>
      </w:r>
      <w:r w:rsidR="009E49EC">
        <w:rPr>
          <w:lang w:val="es-ES_tradnl"/>
        </w:rPr>
        <w:t xml:space="preserve"> y el fondo</w:t>
      </w:r>
    </w:p>
    <w:p w14:paraId="05AFF6E0" w14:textId="0603B66B" w:rsidR="00335F92" w:rsidRDefault="005E3B5B" w:rsidP="00335F92">
      <w:pPr>
        <w:pStyle w:val="SingleTxtG"/>
        <w:rPr>
          <w:lang w:val="es-ES_tradnl"/>
        </w:rPr>
      </w:pPr>
      <w:r w:rsidRPr="005E3B5B">
        <w:rPr>
          <w:lang w:val="es-ES_tradnl"/>
        </w:rPr>
        <w:t>4</w:t>
      </w:r>
      <w:r w:rsidR="00D1504A">
        <w:rPr>
          <w:lang w:val="es-ES_tradnl"/>
        </w:rPr>
        <w:t>.</w:t>
      </w:r>
      <w:r w:rsidRPr="005E3B5B">
        <w:rPr>
          <w:lang w:val="es-ES_tradnl"/>
        </w:rPr>
        <w:tab/>
      </w:r>
      <w:r w:rsidR="000042C2">
        <w:rPr>
          <w:lang w:val="es-ES_tradnl"/>
        </w:rPr>
        <w:t>E</w:t>
      </w:r>
      <w:r w:rsidR="00335F92">
        <w:rPr>
          <w:lang w:val="es-ES_tradnl"/>
        </w:rPr>
        <w:t xml:space="preserve">l 30 de marzo de 2023, el Estado parte </w:t>
      </w:r>
      <w:r w:rsidR="0077111A" w:rsidRPr="00335F92">
        <w:rPr>
          <w:lang w:val="es-ES_tradnl"/>
        </w:rPr>
        <w:t>con</w:t>
      </w:r>
      <w:r w:rsidR="0077111A">
        <w:rPr>
          <w:lang w:val="es-ES_tradnl"/>
        </w:rPr>
        <w:t>sideró</w:t>
      </w:r>
      <w:r w:rsidR="0077111A" w:rsidRPr="00335F92">
        <w:rPr>
          <w:lang w:val="es-ES_tradnl"/>
        </w:rPr>
        <w:t xml:space="preserve"> </w:t>
      </w:r>
      <w:r w:rsidR="00335F92" w:rsidRPr="00335F92">
        <w:rPr>
          <w:lang w:val="es-ES_tradnl"/>
        </w:rPr>
        <w:t>oportuno quedar a la espera del análisis que reali</w:t>
      </w:r>
      <w:r w:rsidR="001B5567">
        <w:rPr>
          <w:lang w:val="es-ES_tradnl"/>
        </w:rPr>
        <w:t>zas</w:t>
      </w:r>
      <w:r w:rsidR="00335F92" w:rsidRPr="00335F92">
        <w:rPr>
          <w:lang w:val="es-ES_tradnl"/>
        </w:rPr>
        <w:t>e el</w:t>
      </w:r>
      <w:r w:rsidR="00335F92">
        <w:rPr>
          <w:lang w:val="es-ES_tradnl"/>
        </w:rPr>
        <w:t xml:space="preserve"> </w:t>
      </w:r>
      <w:r w:rsidR="00335F92" w:rsidRPr="00335F92">
        <w:rPr>
          <w:lang w:val="es-ES_tradnl"/>
        </w:rPr>
        <w:t>Comité sobre los méritos jurídicos del asunto, y lo que finalmente resuelva en el presente trámite</w:t>
      </w:r>
      <w:r w:rsidR="00335F92">
        <w:rPr>
          <w:lang w:val="es-ES_tradnl"/>
        </w:rPr>
        <w:t xml:space="preserve"> </w:t>
      </w:r>
      <w:r w:rsidR="00335F92" w:rsidRPr="00335F92">
        <w:rPr>
          <w:lang w:val="es-ES_tradnl"/>
        </w:rPr>
        <w:t>internacional</w:t>
      </w:r>
      <w:r w:rsidR="00FE5547">
        <w:rPr>
          <w:lang w:val="es-ES_tradnl"/>
        </w:rPr>
        <w:t>.</w:t>
      </w:r>
    </w:p>
    <w:p w14:paraId="762C4B42" w14:textId="77777777" w:rsidR="005E3B5B" w:rsidRPr="005E3B5B" w:rsidRDefault="005E3B5B" w:rsidP="005E3B5B">
      <w:pPr>
        <w:pStyle w:val="H23G"/>
        <w:rPr>
          <w:lang w:val="es-ES_tradnl"/>
        </w:rPr>
      </w:pPr>
      <w:r>
        <w:rPr>
          <w:lang w:val="es-ES_tradnl"/>
        </w:rPr>
        <w:tab/>
      </w:r>
      <w:r w:rsidRPr="005E3B5B">
        <w:rPr>
          <w:lang w:val="es-ES_tradnl"/>
        </w:rPr>
        <w:tab/>
        <w:t>Deliberaciones del Comité</w:t>
      </w:r>
    </w:p>
    <w:p w14:paraId="1C502CC6" w14:textId="77777777" w:rsidR="005E3B5B" w:rsidRPr="005E3B5B" w:rsidRDefault="005E3B5B" w:rsidP="005E3B5B">
      <w:pPr>
        <w:pStyle w:val="H4G"/>
        <w:rPr>
          <w:lang w:val="es-ES_tradnl"/>
        </w:rPr>
      </w:pPr>
      <w:r>
        <w:rPr>
          <w:lang w:val="es-ES_tradnl"/>
        </w:rPr>
        <w:tab/>
      </w:r>
      <w:r w:rsidRPr="005E3B5B">
        <w:rPr>
          <w:lang w:val="es-ES_tradnl"/>
        </w:rPr>
        <w:tab/>
      </w:r>
      <w:bookmarkStart w:id="0" w:name="_Hlk129684405"/>
      <w:r w:rsidRPr="005E3B5B">
        <w:rPr>
          <w:lang w:val="es-ES_tradnl"/>
        </w:rPr>
        <w:t>Examen de la admisibilidad</w:t>
      </w:r>
    </w:p>
    <w:bookmarkEnd w:id="0"/>
    <w:p w14:paraId="4AD25CE7" w14:textId="7E37DF26" w:rsidR="005E3B5B" w:rsidRPr="005E3B5B" w:rsidRDefault="00A130DF" w:rsidP="005E3B5B">
      <w:pPr>
        <w:pStyle w:val="SingleTxtG"/>
        <w:rPr>
          <w:lang w:val="es-ES_tradnl"/>
        </w:rPr>
      </w:pPr>
      <w:r>
        <w:rPr>
          <w:lang w:val="es-ES_tradnl"/>
        </w:rPr>
        <w:t>5</w:t>
      </w:r>
      <w:r w:rsidR="005E3B5B" w:rsidRPr="005E3B5B">
        <w:rPr>
          <w:lang w:val="es-ES_tradnl"/>
        </w:rPr>
        <w:t>.1</w:t>
      </w:r>
      <w:r w:rsidR="005E3B5B" w:rsidRPr="005E3B5B">
        <w:rPr>
          <w:lang w:val="es-ES_tradnl"/>
        </w:rPr>
        <w:tab/>
      </w:r>
      <w:bookmarkStart w:id="1" w:name="_Hlk129684797"/>
      <w:r w:rsidR="005E3B5B" w:rsidRPr="005E3B5B">
        <w:rPr>
          <w:lang w:val="es-ES_tradnl"/>
        </w:rPr>
        <w:t>Antes de examinar toda reclamación formulada en una comunicación, el Comité debe decidir, de conformidad con el artículo 20 de su reglamento en relación con el Protocolo Facultativo, si la comunicación es admisible</w:t>
      </w:r>
      <w:bookmarkEnd w:id="1"/>
      <w:r w:rsidR="007E553C">
        <w:rPr>
          <w:lang w:val="es-ES_tradnl"/>
        </w:rPr>
        <w:t xml:space="preserve"> </w:t>
      </w:r>
      <w:r w:rsidR="007E553C" w:rsidRPr="007E553C">
        <w:rPr>
          <w:lang w:val="es-ES_tradnl"/>
        </w:rPr>
        <w:t>en virtud del Protocolo Facultativo</w:t>
      </w:r>
      <w:r w:rsidR="005E3B5B" w:rsidRPr="005E3B5B">
        <w:rPr>
          <w:lang w:val="es-ES_tradnl"/>
        </w:rPr>
        <w:t>.</w:t>
      </w:r>
    </w:p>
    <w:p w14:paraId="684055E9" w14:textId="3F7689EE" w:rsidR="009276BA" w:rsidRDefault="00A130DF" w:rsidP="00AA1E8D">
      <w:pPr>
        <w:pStyle w:val="SingleTxtG"/>
        <w:rPr>
          <w:lang w:val="es-ES_tradnl"/>
        </w:rPr>
      </w:pPr>
      <w:r>
        <w:rPr>
          <w:lang w:val="es-ES_tradnl"/>
        </w:rPr>
        <w:t>5</w:t>
      </w:r>
      <w:r w:rsidR="005E3B5B" w:rsidRPr="005E3B5B">
        <w:rPr>
          <w:lang w:val="es-ES_tradnl"/>
        </w:rPr>
        <w:t>.</w:t>
      </w:r>
      <w:r w:rsidR="00DD3362">
        <w:rPr>
          <w:lang w:val="es-ES_tradnl"/>
        </w:rPr>
        <w:t>2</w:t>
      </w:r>
      <w:r w:rsidR="005E3B5B" w:rsidRPr="005E3B5B">
        <w:rPr>
          <w:lang w:val="es-ES_tradnl"/>
        </w:rPr>
        <w:tab/>
      </w:r>
      <w:r w:rsidR="0073435B">
        <w:rPr>
          <w:lang w:val="es-ES_tradnl"/>
        </w:rPr>
        <w:t xml:space="preserve">El Comité </w:t>
      </w:r>
      <w:r w:rsidR="003E582E">
        <w:rPr>
          <w:lang w:val="es-ES_tradnl"/>
        </w:rPr>
        <w:t>toma nota de</w:t>
      </w:r>
      <w:r w:rsidR="0073435B">
        <w:rPr>
          <w:lang w:val="es-ES_tradnl"/>
        </w:rPr>
        <w:t xml:space="preserve"> que </w:t>
      </w:r>
      <w:r w:rsidR="004F2863">
        <w:rPr>
          <w:lang w:val="es-ES_tradnl"/>
        </w:rPr>
        <w:t xml:space="preserve">el autor </w:t>
      </w:r>
      <w:r w:rsidR="003E582E">
        <w:rPr>
          <w:lang w:val="es-ES_tradnl"/>
        </w:rPr>
        <w:t>alega violaciones de los artículos 3, 4, 25, 37</w:t>
      </w:r>
      <w:r w:rsidR="00571DFA">
        <w:rPr>
          <w:lang w:val="es-ES_tradnl"/>
        </w:rPr>
        <w:t> </w:t>
      </w:r>
      <w:r w:rsidR="003E582E">
        <w:rPr>
          <w:lang w:val="es-ES_tradnl"/>
        </w:rPr>
        <w:t>b</w:t>
      </w:r>
      <w:r w:rsidR="00C35153">
        <w:rPr>
          <w:lang w:val="es-ES_tradnl"/>
        </w:rPr>
        <w:t xml:space="preserve">) y c) </w:t>
      </w:r>
      <w:r w:rsidR="003E582E">
        <w:rPr>
          <w:lang w:val="es-ES_tradnl"/>
        </w:rPr>
        <w:t>y 40 de la Convención por los derechos que l</w:t>
      </w:r>
      <w:r w:rsidR="00B61DFC">
        <w:rPr>
          <w:lang w:val="es-ES_tradnl"/>
        </w:rPr>
        <w:t>o</w:t>
      </w:r>
      <w:r w:rsidR="003E582E">
        <w:rPr>
          <w:lang w:val="es-ES_tradnl"/>
        </w:rPr>
        <w:t xml:space="preserve"> asisten tanto </w:t>
      </w:r>
      <w:r w:rsidR="00443452">
        <w:rPr>
          <w:lang w:val="es-ES_tradnl"/>
        </w:rPr>
        <w:t xml:space="preserve">en relación con </w:t>
      </w:r>
      <w:r w:rsidR="004F2863">
        <w:rPr>
          <w:lang w:val="es-ES_tradnl"/>
        </w:rPr>
        <w:t>la imposición de la condena en su contra como también durante su fase de ejecución</w:t>
      </w:r>
      <w:r w:rsidR="003E582E">
        <w:rPr>
          <w:lang w:val="es-ES_tradnl"/>
        </w:rPr>
        <w:t xml:space="preserve"> (</w:t>
      </w:r>
      <w:r w:rsidR="007E0983">
        <w:rPr>
          <w:lang w:val="es-ES_tradnl"/>
        </w:rPr>
        <w:t xml:space="preserve">véanse los </w:t>
      </w:r>
      <w:proofErr w:type="spellStart"/>
      <w:r w:rsidR="003E582E">
        <w:rPr>
          <w:lang w:val="es-ES_tradnl"/>
        </w:rPr>
        <w:t>párrs</w:t>
      </w:r>
      <w:proofErr w:type="spellEnd"/>
      <w:r w:rsidR="003E582E">
        <w:rPr>
          <w:lang w:val="es-ES_tradnl"/>
        </w:rPr>
        <w:t>.</w:t>
      </w:r>
      <w:r w:rsidR="007E0983">
        <w:t> </w:t>
      </w:r>
      <w:r w:rsidR="003E582E">
        <w:rPr>
          <w:lang w:val="es-ES_tradnl"/>
        </w:rPr>
        <w:t>3.1</w:t>
      </w:r>
      <w:r w:rsidR="007E0983">
        <w:rPr>
          <w:lang w:val="es-ES_tradnl"/>
        </w:rPr>
        <w:t xml:space="preserve"> a </w:t>
      </w:r>
      <w:r w:rsidR="003E582E">
        <w:rPr>
          <w:lang w:val="es-ES_tradnl"/>
        </w:rPr>
        <w:t>3.6)</w:t>
      </w:r>
      <w:r w:rsidR="004F2863">
        <w:rPr>
          <w:lang w:val="es-ES_tradnl"/>
        </w:rPr>
        <w:t xml:space="preserve">. En tal sentido, </w:t>
      </w:r>
      <w:r w:rsidR="008C4A65">
        <w:rPr>
          <w:lang w:val="es-ES_tradnl"/>
        </w:rPr>
        <w:t xml:space="preserve">el Comité observa que </w:t>
      </w:r>
      <w:r w:rsidR="004F2863">
        <w:rPr>
          <w:lang w:val="es-ES_tradnl"/>
        </w:rPr>
        <w:t>e</w:t>
      </w:r>
      <w:r w:rsidR="0073435B">
        <w:rPr>
          <w:lang w:val="es-ES_tradnl"/>
        </w:rPr>
        <w:t xml:space="preserve">l autor </w:t>
      </w:r>
      <w:r w:rsidR="00B43B81">
        <w:rPr>
          <w:lang w:val="es-ES_tradnl"/>
        </w:rPr>
        <w:t xml:space="preserve">presentó estas alegaciones durante las diferentes etapas recursivas hasta </w:t>
      </w:r>
      <w:r w:rsidR="0073435B">
        <w:rPr>
          <w:lang w:val="es-ES_tradnl"/>
        </w:rPr>
        <w:t xml:space="preserve">la decisión de la Corte Suprema de Justicia del Estado parte, que dejó firme su condena. </w:t>
      </w:r>
      <w:r w:rsidR="00DF1579" w:rsidRPr="00DF1579">
        <w:rPr>
          <w:lang w:val="es-ES_tradnl"/>
        </w:rPr>
        <w:t xml:space="preserve">En consecuencia, y dado que el Estado </w:t>
      </w:r>
      <w:r w:rsidR="00EF00DA">
        <w:rPr>
          <w:lang w:val="es-ES_tradnl"/>
        </w:rPr>
        <w:t>p</w:t>
      </w:r>
      <w:r w:rsidR="00DF1579" w:rsidRPr="00DF1579">
        <w:rPr>
          <w:lang w:val="es-ES_tradnl"/>
        </w:rPr>
        <w:t>arte no ha formulado ninguna objeción a este respecto, el Comité considera que el artículo 7</w:t>
      </w:r>
      <w:r w:rsidR="004A5366">
        <w:rPr>
          <w:lang w:val="es-ES_tradnl"/>
        </w:rPr>
        <w:t xml:space="preserve"> </w:t>
      </w:r>
      <w:r w:rsidR="00DF1579">
        <w:rPr>
          <w:lang w:val="es-ES_tradnl"/>
        </w:rPr>
        <w:t xml:space="preserve">e) </w:t>
      </w:r>
      <w:r w:rsidR="00DF1579" w:rsidRPr="00DF1579">
        <w:rPr>
          <w:lang w:val="es-ES_tradnl"/>
        </w:rPr>
        <w:t>del Protocolo Facultativo no constituye un obstáculo para la admisibilidad de la comunicación</w:t>
      </w:r>
      <w:r w:rsidR="00DF1579" w:rsidRPr="00EB76B8">
        <w:rPr>
          <w:rStyle w:val="Refdenotaalpie"/>
        </w:rPr>
        <w:footnoteReference w:id="26"/>
      </w:r>
      <w:r w:rsidR="00FE5547">
        <w:rPr>
          <w:lang w:val="es-ES_tradnl"/>
        </w:rPr>
        <w:t>.</w:t>
      </w:r>
    </w:p>
    <w:p w14:paraId="2DD2EE53" w14:textId="6A7FBCF4" w:rsidR="002D42F0" w:rsidRDefault="00A130DF" w:rsidP="00D253F8">
      <w:pPr>
        <w:pStyle w:val="SingleTxtG"/>
      </w:pPr>
      <w:r>
        <w:t>5</w:t>
      </w:r>
      <w:r w:rsidR="002D42F0" w:rsidRPr="002D42F0">
        <w:t>.</w:t>
      </w:r>
      <w:r w:rsidR="00DD3362">
        <w:t>3</w:t>
      </w:r>
      <w:r w:rsidR="002D42F0" w:rsidRPr="002D42F0">
        <w:tab/>
        <w:t xml:space="preserve">El Comité </w:t>
      </w:r>
      <w:r w:rsidR="00D253F8">
        <w:t xml:space="preserve">toma </w:t>
      </w:r>
      <w:r w:rsidR="004F2863">
        <w:t>nota</w:t>
      </w:r>
      <w:r w:rsidR="002D42F0">
        <w:t xml:space="preserve"> </w:t>
      </w:r>
      <w:r w:rsidR="00D253F8">
        <w:t>de que</w:t>
      </w:r>
      <w:r w:rsidR="002D42F0">
        <w:t xml:space="preserve"> </w:t>
      </w:r>
      <w:r w:rsidR="00D253F8">
        <w:t xml:space="preserve">el autor cometió el delito </w:t>
      </w:r>
      <w:r w:rsidR="00850A3F">
        <w:t xml:space="preserve">por el que fue condenado </w:t>
      </w:r>
      <w:r w:rsidR="00D253F8">
        <w:t>el 26</w:t>
      </w:r>
      <w:r w:rsidR="004118D5">
        <w:t> </w:t>
      </w:r>
      <w:r w:rsidR="00D253F8">
        <w:t>de enero de 2008 y que la sentencia de</w:t>
      </w:r>
      <w:r w:rsidR="002D42F0">
        <w:t xml:space="preserve"> la Cámara de Apelación y Garantías en lo Penal del Departamento Judicial de La Matanza</w:t>
      </w:r>
      <w:r w:rsidR="00DD3362">
        <w:t>, que lo sentenció a 15 años de prisión,</w:t>
      </w:r>
      <w:r w:rsidR="002D42F0">
        <w:t xml:space="preserve"> </w:t>
      </w:r>
      <w:r w:rsidR="00D253F8">
        <w:t>es d</w:t>
      </w:r>
      <w:r w:rsidR="002D42F0">
        <w:t>e</w:t>
      </w:r>
      <w:r w:rsidR="00D253F8">
        <w:t xml:space="preserve"> fecha</w:t>
      </w:r>
      <w:r w:rsidR="002D42F0">
        <w:t xml:space="preserve"> 23 de abril de 2010. </w:t>
      </w:r>
      <w:r w:rsidR="00D253F8">
        <w:t>El Comité observa que tanto</w:t>
      </w:r>
      <w:r w:rsidR="002D42F0">
        <w:t xml:space="preserve"> </w:t>
      </w:r>
      <w:r w:rsidR="00850A3F">
        <w:t>los hechos constitutivos del</w:t>
      </w:r>
      <w:r w:rsidR="002D42F0">
        <w:t xml:space="preserve"> delito </w:t>
      </w:r>
      <w:r w:rsidR="00D253F8">
        <w:t>como</w:t>
      </w:r>
      <w:r w:rsidR="002D42F0">
        <w:t xml:space="preserve"> la </w:t>
      </w:r>
      <w:r w:rsidR="00850A3F">
        <w:t xml:space="preserve">imposición de la </w:t>
      </w:r>
      <w:r w:rsidR="002D42F0">
        <w:t>condena tuvieron lugar antes de la entrada en vigor del Protocolo Facultativo para el Estado parte</w:t>
      </w:r>
      <w:r w:rsidR="0077111A">
        <w:t xml:space="preserve"> el 14 de julio </w:t>
      </w:r>
      <w:r w:rsidR="004A5366">
        <w:t xml:space="preserve">de </w:t>
      </w:r>
      <w:r w:rsidR="0077111A">
        <w:t>2015</w:t>
      </w:r>
      <w:r w:rsidR="00D253F8">
        <w:t>. Sin embargo</w:t>
      </w:r>
      <w:r w:rsidR="002D42F0">
        <w:t xml:space="preserve">, </w:t>
      </w:r>
      <w:r w:rsidR="00DD3362">
        <w:t>el encarcelamiento del autor continuó hasta el 29 de diciembre de 2020</w:t>
      </w:r>
      <w:r w:rsidR="00A61495">
        <w:t>,</w:t>
      </w:r>
      <w:r w:rsidR="00DD3362">
        <w:t xml:space="preserve"> más de cinco años después de la entrada en vigor del Protocolo Facultativo para el Estado parte</w:t>
      </w:r>
      <w:r w:rsidR="007631E9">
        <w:t>,</w:t>
      </w:r>
      <w:r w:rsidR="00DD3362">
        <w:t xml:space="preserve"> y </w:t>
      </w:r>
      <w:r w:rsidR="002D42F0">
        <w:t>la decisión de la Corte Suprema que dejó firme la condena contra el autor fue emitida</w:t>
      </w:r>
      <w:r w:rsidR="004742BD" w:rsidRPr="004742BD">
        <w:t xml:space="preserve"> </w:t>
      </w:r>
      <w:r w:rsidR="004742BD">
        <w:t>el 6 de marzo de 2018, casi tres años</w:t>
      </w:r>
      <w:r w:rsidR="002D42F0">
        <w:t xml:space="preserve"> </w:t>
      </w:r>
      <w:r w:rsidR="00850A3F">
        <w:t>después</w:t>
      </w:r>
      <w:r w:rsidR="004742BD">
        <w:t xml:space="preserve"> de</w:t>
      </w:r>
      <w:r w:rsidR="002D480E">
        <w:t xml:space="preserve"> la entrada en vigor del Protocolo Facultativo</w:t>
      </w:r>
      <w:r w:rsidR="004E17F5">
        <w:t xml:space="preserve"> para el Estado parte</w:t>
      </w:r>
      <w:r w:rsidR="002D480E">
        <w:t>. Por lo tanto, el Comité considera que l</w:t>
      </w:r>
      <w:r w:rsidR="00191324">
        <w:t>os</w:t>
      </w:r>
      <w:r w:rsidR="002D480E">
        <w:t xml:space="preserve"> </w:t>
      </w:r>
      <w:r w:rsidR="004A5366">
        <w:t xml:space="preserve">artículos </w:t>
      </w:r>
      <w:r w:rsidR="00191324">
        <w:t>7</w:t>
      </w:r>
      <w:r w:rsidR="004A5366">
        <w:t xml:space="preserve"> </w:t>
      </w:r>
      <w:r w:rsidR="00191324">
        <w:t xml:space="preserve">g) y </w:t>
      </w:r>
      <w:r w:rsidR="002D480E">
        <w:t>20 del Protocolo Facultativo no constituye</w:t>
      </w:r>
      <w:r w:rsidR="00191324">
        <w:t>n</w:t>
      </w:r>
      <w:r w:rsidR="002D480E">
        <w:t xml:space="preserve"> un obstáculo a la admisibilidad </w:t>
      </w:r>
      <w:proofErr w:type="spellStart"/>
      <w:r w:rsidR="002D480E">
        <w:rPr>
          <w:i/>
          <w:iCs/>
        </w:rPr>
        <w:t>ratione</w:t>
      </w:r>
      <w:proofErr w:type="spellEnd"/>
      <w:r w:rsidR="002D480E">
        <w:rPr>
          <w:i/>
          <w:iCs/>
        </w:rPr>
        <w:t xml:space="preserve"> </w:t>
      </w:r>
      <w:proofErr w:type="spellStart"/>
      <w:r w:rsidR="002D480E">
        <w:rPr>
          <w:i/>
          <w:iCs/>
        </w:rPr>
        <w:t>temporis</w:t>
      </w:r>
      <w:proofErr w:type="spellEnd"/>
      <w:r w:rsidR="002D480E">
        <w:t xml:space="preserve"> de la presente comunicación</w:t>
      </w:r>
      <w:r w:rsidR="002D480E">
        <w:rPr>
          <w:rStyle w:val="Refdenotaalpie"/>
        </w:rPr>
        <w:footnoteReference w:id="27"/>
      </w:r>
      <w:r w:rsidR="00730193">
        <w:t>.</w:t>
      </w:r>
    </w:p>
    <w:p w14:paraId="3EB4D699" w14:textId="747567C9" w:rsidR="005D2C08" w:rsidRDefault="00A130DF" w:rsidP="003C2925">
      <w:pPr>
        <w:pStyle w:val="SingleTxtG"/>
      </w:pPr>
      <w:r>
        <w:t>5</w:t>
      </w:r>
      <w:r w:rsidR="00E35F12">
        <w:t>.</w:t>
      </w:r>
      <w:r w:rsidR="00DD3362">
        <w:t>4</w:t>
      </w:r>
      <w:r w:rsidR="00E35F12">
        <w:tab/>
        <w:t xml:space="preserve">El Comité </w:t>
      </w:r>
      <w:r w:rsidR="00EB5DCC">
        <w:t xml:space="preserve">observa </w:t>
      </w:r>
      <w:r w:rsidR="00E35F12">
        <w:t>que</w:t>
      </w:r>
      <w:r w:rsidR="00B113DB">
        <w:t xml:space="preserve"> el autor </w:t>
      </w:r>
      <w:r w:rsidR="0055120C">
        <w:t>fue condenado cuando era mayor de 18 años y que consecuentemente era mayor cuando presentó su comunicación individual</w:t>
      </w:r>
      <w:r w:rsidR="00EB5DCC">
        <w:t xml:space="preserve"> ante el Comité</w:t>
      </w:r>
      <w:r w:rsidR="00B113DB">
        <w:t xml:space="preserve">. Sin embargo, </w:t>
      </w:r>
      <w:r w:rsidR="00484E77">
        <w:t xml:space="preserve">el Comité observa que </w:t>
      </w:r>
      <w:r w:rsidR="007A5F37">
        <w:t xml:space="preserve">la condena en contra </w:t>
      </w:r>
      <w:r w:rsidR="00484E77">
        <w:t xml:space="preserve">del autor </w:t>
      </w:r>
      <w:r w:rsidR="007A5F37">
        <w:t xml:space="preserve">fue impuesta sobre la base de hechos que </w:t>
      </w:r>
      <w:r w:rsidR="00484E77">
        <w:t xml:space="preserve">este </w:t>
      </w:r>
      <w:r w:rsidR="007A5F37">
        <w:t>cometió el 26 de enero de 2008</w:t>
      </w:r>
      <w:r w:rsidR="00FC1973">
        <w:t>,</w:t>
      </w:r>
      <w:r w:rsidR="007A5F37">
        <w:t xml:space="preserve"> </w:t>
      </w:r>
      <w:r w:rsidR="0055120C">
        <w:t xml:space="preserve">es decir, </w:t>
      </w:r>
      <w:r w:rsidR="007A5F37">
        <w:t xml:space="preserve">cuando era </w:t>
      </w:r>
      <w:r w:rsidR="00484E77">
        <w:t>menor de 18</w:t>
      </w:r>
      <w:r w:rsidR="004118D5">
        <w:t> </w:t>
      </w:r>
      <w:r w:rsidR="00484E77">
        <w:t>años</w:t>
      </w:r>
      <w:r w:rsidR="007A5F37">
        <w:t xml:space="preserve">. </w:t>
      </w:r>
      <w:r w:rsidR="00DD3362" w:rsidRPr="00DD3362">
        <w:t xml:space="preserve">El Comité observa también que el autor afirma </w:t>
      </w:r>
      <w:r w:rsidR="00721BB9">
        <w:t xml:space="preserve">que el </w:t>
      </w:r>
      <w:r w:rsidR="00721BB9" w:rsidRPr="00721BB9">
        <w:t>Estado parte</w:t>
      </w:r>
      <w:r w:rsidR="00DD3362" w:rsidRPr="00DD3362">
        <w:t xml:space="preserve"> </w:t>
      </w:r>
      <w:r w:rsidR="00721BB9">
        <w:t xml:space="preserve">ha </w:t>
      </w:r>
      <w:r w:rsidR="00DD3362" w:rsidRPr="00DD3362">
        <w:t>viola</w:t>
      </w:r>
      <w:r w:rsidR="00721BB9">
        <w:t>do</w:t>
      </w:r>
      <w:r w:rsidR="00DD3362" w:rsidRPr="00DD3362">
        <w:t xml:space="preserve"> los derechos relativos al sistema de justicia </w:t>
      </w:r>
      <w:r w:rsidR="003C2925">
        <w:t>penal juvenil</w:t>
      </w:r>
      <w:r w:rsidR="00DD3362" w:rsidRPr="00DD3362">
        <w:t xml:space="preserve"> </w:t>
      </w:r>
      <w:r w:rsidR="00F2460D">
        <w:t xml:space="preserve">que lo asisten </w:t>
      </w:r>
      <w:r w:rsidR="00DD3362" w:rsidRPr="00DD3362">
        <w:t xml:space="preserve">en virtud de la Convención, </w:t>
      </w:r>
      <w:r w:rsidR="00721BB9">
        <w:t xml:space="preserve">y </w:t>
      </w:r>
      <w:r w:rsidR="00DD3362" w:rsidRPr="00DD3362">
        <w:t>alega que esos derechos deberían habérsele aplicado.</w:t>
      </w:r>
      <w:r w:rsidR="003C2925">
        <w:t xml:space="preserve"> </w:t>
      </w:r>
      <w:r w:rsidR="005D2C08">
        <w:t xml:space="preserve">En consecuencia, el Comité considera que no existe obstáculo a la admisibilidad </w:t>
      </w:r>
      <w:proofErr w:type="spellStart"/>
      <w:r w:rsidR="005D2C08">
        <w:rPr>
          <w:i/>
          <w:iCs/>
        </w:rPr>
        <w:t>ratione</w:t>
      </w:r>
      <w:proofErr w:type="spellEnd"/>
      <w:r w:rsidR="005D2C08">
        <w:rPr>
          <w:i/>
          <w:iCs/>
        </w:rPr>
        <w:t xml:space="preserve"> </w:t>
      </w:r>
      <w:proofErr w:type="spellStart"/>
      <w:r w:rsidR="005D2C08">
        <w:rPr>
          <w:i/>
          <w:iCs/>
        </w:rPr>
        <w:t>personae</w:t>
      </w:r>
      <w:proofErr w:type="spellEnd"/>
      <w:r w:rsidR="005D2C08">
        <w:rPr>
          <w:i/>
          <w:iCs/>
        </w:rPr>
        <w:t xml:space="preserve"> </w:t>
      </w:r>
      <w:r w:rsidR="005D2C08">
        <w:t>de la presente comunicación.</w:t>
      </w:r>
    </w:p>
    <w:p w14:paraId="6C703C21" w14:textId="6E5401A6" w:rsidR="00007170" w:rsidRDefault="00A130DF" w:rsidP="00007170">
      <w:pPr>
        <w:pStyle w:val="SingleTxtG"/>
      </w:pPr>
      <w:r>
        <w:lastRenderedPageBreak/>
        <w:t>5</w:t>
      </w:r>
      <w:r w:rsidR="00597CD2">
        <w:t>.</w:t>
      </w:r>
      <w:r w:rsidR="003C2925">
        <w:t>5</w:t>
      </w:r>
      <w:r w:rsidR="00597CD2">
        <w:tab/>
      </w:r>
      <w:r>
        <w:t xml:space="preserve">El Comité </w:t>
      </w:r>
      <w:r w:rsidR="00E37434">
        <w:t xml:space="preserve">toma nota del argumento del autor según el cual el Estado parte violó el artículo 25 de la Convención al no </w:t>
      </w:r>
      <w:r w:rsidR="00007170">
        <w:t>revisar ni estudiar periódicamente la necesidad de la pena privativa de libertad en su contra (</w:t>
      </w:r>
      <w:r w:rsidR="00F2460D">
        <w:t xml:space="preserve">véase el </w:t>
      </w:r>
      <w:r w:rsidR="00007170">
        <w:t>párr. 3.5). El Comité observa que el artículo</w:t>
      </w:r>
      <w:r w:rsidR="004A5366">
        <w:t xml:space="preserve"> </w:t>
      </w:r>
      <w:r w:rsidR="00007170">
        <w:t xml:space="preserve">25 de la Convención no se refiere a privaciones de libertad en el contexto penal, sino que busca extender las garantías </w:t>
      </w:r>
      <w:r w:rsidR="00420F13">
        <w:t xml:space="preserve">de la justicia juvenil </w:t>
      </w:r>
      <w:r w:rsidR="00007170">
        <w:t>ya reconocidas en los artículos</w:t>
      </w:r>
      <w:r w:rsidR="004A5366">
        <w:t xml:space="preserve"> </w:t>
      </w:r>
      <w:r w:rsidR="00007170">
        <w:t>37 y 40 de la Convención a aquellos supuestos en los que un niño “</w:t>
      </w:r>
      <w:r w:rsidR="00007170" w:rsidRPr="00007170">
        <w:t>ha sido internado en un establecimiento por las autoridades competentes para los fines de atención, protección o tratamiento de su salud física o mental</w:t>
      </w:r>
      <w:r w:rsidR="00007170">
        <w:t>”.</w:t>
      </w:r>
      <w:r w:rsidR="002E273E">
        <w:t xml:space="preserve"> </w:t>
      </w:r>
      <w:r w:rsidR="00420F13">
        <w:t>En consecuencia</w:t>
      </w:r>
      <w:r w:rsidR="00007170">
        <w:t xml:space="preserve">, el Comité declara las alegaciones del autor </w:t>
      </w:r>
      <w:r w:rsidR="00697311">
        <w:t>con arreglo a</w:t>
      </w:r>
      <w:r w:rsidR="00007170">
        <w:t>l artículo</w:t>
      </w:r>
      <w:r w:rsidR="004A5366">
        <w:t xml:space="preserve"> </w:t>
      </w:r>
      <w:r w:rsidR="00007170">
        <w:t xml:space="preserve">25 de la Convención inadmisibles </w:t>
      </w:r>
      <w:proofErr w:type="spellStart"/>
      <w:r w:rsidR="00007170">
        <w:rPr>
          <w:i/>
          <w:iCs/>
        </w:rPr>
        <w:t>ratione</w:t>
      </w:r>
      <w:proofErr w:type="spellEnd"/>
      <w:r w:rsidR="00007170">
        <w:rPr>
          <w:i/>
          <w:iCs/>
        </w:rPr>
        <w:t xml:space="preserve"> </w:t>
      </w:r>
      <w:proofErr w:type="spellStart"/>
      <w:r w:rsidR="00007170">
        <w:rPr>
          <w:i/>
          <w:iCs/>
        </w:rPr>
        <w:t>materiae</w:t>
      </w:r>
      <w:proofErr w:type="spellEnd"/>
      <w:r w:rsidR="00007170">
        <w:t>, en virtud del artículo</w:t>
      </w:r>
      <w:r w:rsidR="00697311">
        <w:t> </w:t>
      </w:r>
      <w:r w:rsidR="0016558A">
        <w:t>7</w:t>
      </w:r>
      <w:r w:rsidR="00204B1A">
        <w:t> </w:t>
      </w:r>
      <w:r w:rsidR="0016558A">
        <w:t>c) del Protocolo Facultativo</w:t>
      </w:r>
      <w:r w:rsidR="00730193">
        <w:t>.</w:t>
      </w:r>
      <w:r w:rsidR="001538D6">
        <w:t xml:space="preserve"> Sin embargo, el Comité observa que el autor menciona también las alegaciones sobre la falta de revisión periódica </w:t>
      </w:r>
      <w:r w:rsidR="00697311">
        <w:t xml:space="preserve">en virtud de </w:t>
      </w:r>
      <w:r w:rsidR="001538D6">
        <w:t>los artículos</w:t>
      </w:r>
      <w:r w:rsidR="00415DF8">
        <w:t> </w:t>
      </w:r>
      <w:r w:rsidR="001538D6">
        <w:t>3, 4, 37</w:t>
      </w:r>
      <w:r w:rsidR="004A5366">
        <w:t xml:space="preserve"> </w:t>
      </w:r>
      <w:r w:rsidR="00BD1EAD">
        <w:t>b)</w:t>
      </w:r>
      <w:r w:rsidR="001538D6">
        <w:t xml:space="preserve"> y 40 de la Convención. En consecuencia, el Comité considera que el artículo</w:t>
      </w:r>
      <w:r w:rsidR="004A5366">
        <w:t xml:space="preserve"> </w:t>
      </w:r>
      <w:r w:rsidR="001538D6">
        <w:t>7</w:t>
      </w:r>
      <w:r w:rsidR="004A5366">
        <w:t xml:space="preserve"> </w:t>
      </w:r>
      <w:r w:rsidR="001538D6">
        <w:t xml:space="preserve">c) del Protocolo Facultativo no es obstáculo para la admisibilidad de estas alegaciones </w:t>
      </w:r>
      <w:r w:rsidR="005D4747">
        <w:t xml:space="preserve">basadas en </w:t>
      </w:r>
      <w:r w:rsidR="001538D6">
        <w:t xml:space="preserve">los </w:t>
      </w:r>
      <w:r w:rsidR="004A5366">
        <w:t xml:space="preserve">artículos </w:t>
      </w:r>
      <w:r w:rsidR="001538D6">
        <w:t>3, 4, 37</w:t>
      </w:r>
      <w:r w:rsidR="004A5366">
        <w:t xml:space="preserve"> </w:t>
      </w:r>
      <w:r w:rsidR="00BD1EAD">
        <w:t>b)</w:t>
      </w:r>
      <w:r w:rsidR="001538D6">
        <w:t xml:space="preserve"> y 40 de la Convención.</w:t>
      </w:r>
    </w:p>
    <w:p w14:paraId="4A328550" w14:textId="40E4D312" w:rsidR="003C2925" w:rsidRPr="00007170" w:rsidRDefault="003C2925" w:rsidP="00007170">
      <w:pPr>
        <w:pStyle w:val="SingleTxtG"/>
      </w:pPr>
      <w:r>
        <w:t>5.6</w:t>
      </w:r>
      <w:r>
        <w:tab/>
      </w:r>
      <w:r>
        <w:rPr>
          <w:lang w:val="es-ES_tradnl"/>
        </w:rPr>
        <w:t xml:space="preserve">El Comité toma nota del argumento del autor según el cual con posterioridad a la sentencia de primera instancia se ordenó su alojamiento en una </w:t>
      </w:r>
      <w:r w:rsidR="00697311">
        <w:rPr>
          <w:lang w:val="es-ES_tradnl"/>
        </w:rPr>
        <w:t>u</w:t>
      </w:r>
      <w:r>
        <w:rPr>
          <w:lang w:val="es-ES_tradnl"/>
        </w:rPr>
        <w:t xml:space="preserve">nidad </w:t>
      </w:r>
      <w:r w:rsidR="00697311">
        <w:rPr>
          <w:lang w:val="es-ES_tradnl"/>
        </w:rPr>
        <w:t>p</w:t>
      </w:r>
      <w:r>
        <w:rPr>
          <w:lang w:val="es-ES_tradnl"/>
        </w:rPr>
        <w:t xml:space="preserve">enitenciaria para adultos, en violación de los artículos </w:t>
      </w:r>
      <w:r w:rsidRPr="00993FCC">
        <w:rPr>
          <w:lang w:val="es-ES_tradnl"/>
        </w:rPr>
        <w:t>3 y 37</w:t>
      </w:r>
      <w:r w:rsidR="004A5366">
        <w:rPr>
          <w:lang w:val="es-ES_tradnl"/>
        </w:rPr>
        <w:t xml:space="preserve"> </w:t>
      </w:r>
      <w:r w:rsidRPr="00993FCC">
        <w:rPr>
          <w:lang w:val="es-ES_tradnl"/>
        </w:rPr>
        <w:t>c) de la Convención; y que la falta de un régimen diferenciado del de adultos en lo que concierne a la ejecución de la pena resulta violatorio del artículo</w:t>
      </w:r>
      <w:r w:rsidR="00724E14">
        <w:rPr>
          <w:lang w:val="es-ES_tradnl"/>
        </w:rPr>
        <w:t xml:space="preserve"> </w:t>
      </w:r>
      <w:r w:rsidRPr="00993FCC">
        <w:rPr>
          <w:lang w:val="es-ES_tradnl"/>
        </w:rPr>
        <w:t>4 de la Convención (</w:t>
      </w:r>
      <w:r w:rsidR="00697311" w:rsidRPr="00993FCC">
        <w:rPr>
          <w:lang w:val="es-ES_tradnl"/>
        </w:rPr>
        <w:t xml:space="preserve">véanse los </w:t>
      </w:r>
      <w:proofErr w:type="spellStart"/>
      <w:r w:rsidRPr="00993FCC">
        <w:rPr>
          <w:lang w:val="es-ES_tradnl"/>
        </w:rPr>
        <w:t>párrs</w:t>
      </w:r>
      <w:proofErr w:type="spellEnd"/>
      <w:r w:rsidRPr="00993FCC">
        <w:rPr>
          <w:lang w:val="es-ES_tradnl"/>
        </w:rPr>
        <w:t>. 3.1, 3.4 y 3.6). El Comité recuerda que, aunque los Estados partes deben establecer instalaciones separadas para los niños</w:t>
      </w:r>
      <w:r>
        <w:rPr>
          <w:lang w:val="es-ES_tradnl"/>
        </w:rPr>
        <w:t xml:space="preserve"> privados de libertad, ello “no significa que una persona internada en un centro para niños deba ser trasladada a una institución para adultos inmediatamente después de cumplir 18 años, sino que debería poder permanecer en dicho centro si ello redunda en su interés superior y no atenta contra el interés superior de los niños internados en el centro”</w:t>
      </w:r>
      <w:r>
        <w:rPr>
          <w:rStyle w:val="Refdenotaalpie"/>
          <w:lang w:val="es-ES_tradnl"/>
        </w:rPr>
        <w:footnoteReference w:id="28"/>
      </w:r>
      <w:r>
        <w:rPr>
          <w:lang w:val="es-ES_tradnl"/>
        </w:rPr>
        <w:t xml:space="preserve">. Sin embargo, el Comité </w:t>
      </w:r>
      <w:r w:rsidR="005C68B9">
        <w:rPr>
          <w:lang w:val="es-ES_tradnl"/>
        </w:rPr>
        <w:t xml:space="preserve">toma </w:t>
      </w:r>
      <w:r>
        <w:rPr>
          <w:lang w:val="es-ES_tradnl"/>
        </w:rPr>
        <w:t xml:space="preserve">nota </w:t>
      </w:r>
      <w:r w:rsidR="005C68B9">
        <w:rPr>
          <w:lang w:val="es-ES_tradnl"/>
        </w:rPr>
        <w:t xml:space="preserve">de </w:t>
      </w:r>
      <w:r>
        <w:rPr>
          <w:lang w:val="es-ES_tradnl"/>
        </w:rPr>
        <w:t xml:space="preserve">que el autor tenía aproximadamente 19 años y medio de edad cuando fue condenado y trasladado a una prisión para adultos. </w:t>
      </w:r>
      <w:r w:rsidR="00A34FAF">
        <w:rPr>
          <w:lang w:val="es-ES_tradnl"/>
        </w:rPr>
        <w:t>Por lo tanto, e</w:t>
      </w:r>
      <w:r>
        <w:rPr>
          <w:lang w:val="es-ES_tradnl"/>
        </w:rPr>
        <w:t xml:space="preserve">l Comité </w:t>
      </w:r>
      <w:r w:rsidR="00A34FAF">
        <w:rPr>
          <w:lang w:val="es-ES_tradnl"/>
        </w:rPr>
        <w:t xml:space="preserve">considera que el autor no ha sustanciado suficientemente estas alegaciones a efectos de la admisibilidad de la comunicación y las declara inadmisibles </w:t>
      </w:r>
      <w:r w:rsidR="00F2272D">
        <w:rPr>
          <w:lang w:val="es-ES_tradnl"/>
        </w:rPr>
        <w:t>en virtud</w:t>
      </w:r>
      <w:r w:rsidR="00A34FAF">
        <w:rPr>
          <w:lang w:val="es-ES_tradnl"/>
        </w:rPr>
        <w:t xml:space="preserve"> </w:t>
      </w:r>
      <w:r w:rsidR="00F2272D">
        <w:rPr>
          <w:lang w:val="es-ES_tradnl"/>
        </w:rPr>
        <w:t>d</w:t>
      </w:r>
      <w:r w:rsidR="00A34FAF">
        <w:rPr>
          <w:lang w:val="es-ES_tradnl"/>
        </w:rPr>
        <w:t>el artículo 7</w:t>
      </w:r>
      <w:r w:rsidR="00724E14">
        <w:rPr>
          <w:lang w:val="es-ES_tradnl"/>
        </w:rPr>
        <w:t xml:space="preserve"> </w:t>
      </w:r>
      <w:r w:rsidR="00A34FAF">
        <w:rPr>
          <w:lang w:val="es-ES_tradnl"/>
        </w:rPr>
        <w:t>f) del Protocolo Facultativo.</w:t>
      </w:r>
    </w:p>
    <w:p w14:paraId="64F56E12" w14:textId="50CE9600" w:rsidR="00597CD2" w:rsidRPr="007A5F37" w:rsidRDefault="0016558A" w:rsidP="00A130DF">
      <w:pPr>
        <w:pStyle w:val="SingleTxtG"/>
      </w:pPr>
      <w:r>
        <w:t>5.</w:t>
      </w:r>
      <w:r w:rsidR="00D4741A">
        <w:t>7</w:t>
      </w:r>
      <w:r>
        <w:tab/>
        <w:t xml:space="preserve">El Comité </w:t>
      </w:r>
      <w:r w:rsidR="00A130DF">
        <w:t>considera que el autor ha fundamentado suficientemente, a los efectos de la admisibilidad, sus alegaciones según las cuales la condena en su contra y su falta de revisión periódica</w:t>
      </w:r>
      <w:r w:rsidR="007E2B48">
        <w:t>, así como también la falta de un régimen normativo apropiado,</w:t>
      </w:r>
      <w:r w:rsidR="00A130DF">
        <w:t xml:space="preserve"> constituyeron violaciones de los artículos 3, 4, 37</w:t>
      </w:r>
      <w:r w:rsidR="00724E14">
        <w:t xml:space="preserve"> </w:t>
      </w:r>
      <w:r w:rsidR="005D4747">
        <w:t>b)</w:t>
      </w:r>
      <w:r w:rsidR="00A130DF">
        <w:t xml:space="preserve"> y 40 de la Convención. No existiendo otros obstáculos para la admisibilidad de la comunicación, el Comité procede a su examen en cuanto al fondo.</w:t>
      </w:r>
    </w:p>
    <w:p w14:paraId="4EFA230C" w14:textId="42C3E2F8" w:rsidR="00684965" w:rsidRPr="005E3B5B" w:rsidRDefault="00684965" w:rsidP="00684965">
      <w:pPr>
        <w:pStyle w:val="H4G"/>
        <w:rPr>
          <w:lang w:val="es-ES_tradnl"/>
        </w:rPr>
      </w:pPr>
      <w:r>
        <w:rPr>
          <w:lang w:val="es-ES_tradnl"/>
        </w:rPr>
        <w:tab/>
      </w:r>
      <w:r w:rsidRPr="005E3B5B">
        <w:rPr>
          <w:lang w:val="es-ES_tradnl"/>
        </w:rPr>
        <w:tab/>
        <w:t>Examen de</w:t>
      </w:r>
      <w:r w:rsidR="00A130DF">
        <w:rPr>
          <w:lang w:val="es-ES_tradnl"/>
        </w:rPr>
        <w:t xml:space="preserve"> la cuestión en cuanto al fondo</w:t>
      </w:r>
    </w:p>
    <w:p w14:paraId="16CEDF05" w14:textId="37674BA2" w:rsidR="00A130DF" w:rsidRDefault="00A130DF" w:rsidP="009770BC">
      <w:pPr>
        <w:pStyle w:val="SingleTxtG"/>
        <w:rPr>
          <w:lang w:val="es-ES_tradnl"/>
        </w:rPr>
      </w:pPr>
      <w:r>
        <w:rPr>
          <w:lang w:val="es-ES_tradnl"/>
        </w:rPr>
        <w:t>6.1</w:t>
      </w:r>
      <w:r>
        <w:rPr>
          <w:lang w:val="es-ES_tradnl"/>
        </w:rPr>
        <w:tab/>
      </w:r>
      <w:r w:rsidR="00974909">
        <w:rPr>
          <w:lang w:val="es-ES_tradnl"/>
        </w:rPr>
        <w:t>El Comité ha examinado la comunicación teniendo en cuenta toda la información que le han facilitado las partes, de conformidad con lo dispuesto en el artículo 10, párrafo</w:t>
      </w:r>
      <w:r w:rsidR="00724E14">
        <w:rPr>
          <w:lang w:val="es-ES_tradnl"/>
        </w:rPr>
        <w:t xml:space="preserve"> </w:t>
      </w:r>
      <w:r w:rsidR="00974909">
        <w:rPr>
          <w:lang w:val="es-ES_tradnl"/>
        </w:rPr>
        <w:t>1, del Protocolo Facultativo.</w:t>
      </w:r>
    </w:p>
    <w:p w14:paraId="2B1D77B1" w14:textId="49F3EFAB" w:rsidR="00E41D28" w:rsidRDefault="006B7935" w:rsidP="00E41D28">
      <w:pPr>
        <w:pStyle w:val="SingleTxtG"/>
        <w:rPr>
          <w:lang w:val="es-ES_tradnl"/>
        </w:rPr>
      </w:pPr>
      <w:r>
        <w:rPr>
          <w:lang w:val="es-ES_tradnl"/>
        </w:rPr>
        <w:t>6.2</w:t>
      </w:r>
      <w:r>
        <w:rPr>
          <w:lang w:val="es-ES_tradnl"/>
        </w:rPr>
        <w:tab/>
        <w:t xml:space="preserve">El Comité recuerda que </w:t>
      </w:r>
      <w:r w:rsidR="00EB0CA3">
        <w:rPr>
          <w:lang w:val="es-ES_tradnl"/>
        </w:rPr>
        <w:t xml:space="preserve">en virtud de las diferencias de desarrollo tanto físico como psicológico entre niños y adultos, “se les reconoce </w:t>
      </w:r>
      <w:r w:rsidR="00EB0CA3" w:rsidRPr="00EB0CA3">
        <w:t>[a los ni</w:t>
      </w:r>
      <w:r w:rsidR="00EB0CA3">
        <w:t>ñ</w:t>
      </w:r>
      <w:r w:rsidR="00EB0CA3" w:rsidRPr="00EB0CA3">
        <w:t>os]</w:t>
      </w:r>
      <w:r w:rsidR="00EB0CA3">
        <w:t xml:space="preserve"> </w:t>
      </w:r>
      <w:r w:rsidR="00EB0CA3">
        <w:rPr>
          <w:lang w:val="es-ES_tradnl"/>
        </w:rPr>
        <w:t>una menor culpabilidad y se les aplica un sistema distinto con un enfoque diferenciado e individualizado”</w:t>
      </w:r>
      <w:r w:rsidR="00E41D28">
        <w:rPr>
          <w:rStyle w:val="Refdenotaalpie"/>
          <w:lang w:val="es-ES_tradnl"/>
        </w:rPr>
        <w:footnoteReference w:id="29"/>
      </w:r>
      <w:r w:rsidR="00730193">
        <w:rPr>
          <w:lang w:val="es-ES_tradnl"/>
        </w:rPr>
        <w:t>.</w:t>
      </w:r>
      <w:r w:rsidR="00E41D28">
        <w:rPr>
          <w:lang w:val="es-ES_tradnl"/>
        </w:rPr>
        <w:t xml:space="preserve"> En el mismo sentido, y de conformidad con el artículo 37</w:t>
      </w:r>
      <w:r w:rsidR="00724E14">
        <w:rPr>
          <w:lang w:val="es-ES_tradnl"/>
        </w:rPr>
        <w:t xml:space="preserve"> </w:t>
      </w:r>
      <w:r w:rsidR="00E41D28">
        <w:rPr>
          <w:lang w:val="es-ES_tradnl"/>
        </w:rPr>
        <w:t xml:space="preserve">b) de la Convención, </w:t>
      </w:r>
      <w:r w:rsidR="00F73694">
        <w:rPr>
          <w:lang w:val="es-ES_tradnl"/>
        </w:rPr>
        <w:t>en materia de justicia juvenil “</w:t>
      </w:r>
      <w:r w:rsidR="00F73694">
        <w:t>debe existir</w:t>
      </w:r>
      <w:r w:rsidR="00E41D28">
        <w:t xml:space="preserve"> una amplia variedad de medidas no privativas de la libertad y deben dar prioridad expresa a la aplicación de esas medidas para garantizar que la privación de libertad se utilice únicamente como último recurso y durante el período más breve que proceda</w:t>
      </w:r>
      <w:r w:rsidR="00F73694">
        <w:t>”</w:t>
      </w:r>
      <w:r w:rsidR="00F73694">
        <w:rPr>
          <w:rStyle w:val="Refdenotaalpie"/>
        </w:rPr>
        <w:footnoteReference w:id="30"/>
      </w:r>
      <w:r w:rsidR="00730193">
        <w:t>.</w:t>
      </w:r>
      <w:r w:rsidR="00F73694">
        <w:t xml:space="preserve"> E</w:t>
      </w:r>
      <w:r w:rsidR="00E41D28">
        <w:rPr>
          <w:lang w:val="es-ES_tradnl"/>
        </w:rPr>
        <w:t xml:space="preserve">l Comité </w:t>
      </w:r>
      <w:r w:rsidR="00F73694">
        <w:rPr>
          <w:lang w:val="es-ES_tradnl"/>
        </w:rPr>
        <w:t xml:space="preserve">recuerda también </w:t>
      </w:r>
      <w:r w:rsidR="00E41D28">
        <w:rPr>
          <w:lang w:val="es-ES_tradnl"/>
        </w:rPr>
        <w:t>que:</w:t>
      </w:r>
    </w:p>
    <w:p w14:paraId="38F7CE5C" w14:textId="125FD75B" w:rsidR="00E41D28" w:rsidRDefault="00E41D28" w:rsidP="00E41D28">
      <w:pPr>
        <w:pStyle w:val="SingleTxtG"/>
        <w:ind w:left="1701"/>
      </w:pPr>
      <w:r>
        <w:t>la respuesta que se dé al delito debe ser siempre proporcionada no solo a las circunstancias y la gravedad de este, sino también a las circunstancias personales (la</w:t>
      </w:r>
      <w:r w:rsidR="00F40BFB">
        <w:t xml:space="preserve"> </w:t>
      </w:r>
      <w:r>
        <w:t xml:space="preserve">edad, la menor culpabilidad, las circunstancias y necesidades del niño, incluidas, si procede, las necesidades relativas a su salud mental), así como a las diversas </w:t>
      </w:r>
      <w:r>
        <w:lastRenderedPageBreak/>
        <w:t>necesidades de la sociedad, especialmente a largo plazo. La aplicación de un método estrictamente punitivo no se ajusta a los principios básicos de la justicia juvenil enunciados en el artículo 40, párrafo 1, de la Convención. Cuando un niño cometa un delito grave, se podrá considerar la aplicación de medidas proporcionales a las circunstancias del infractor y a la gravedad del hecho, y se tomará en consideración la necesidad de seguridad pública y de sanciones. Se debe tener en cuenta el interés superior del niño como consideración primordial, así como la necesidad de promover su reintegración en la sociedad</w:t>
      </w:r>
      <w:r>
        <w:rPr>
          <w:rStyle w:val="Refdenotaalpie"/>
        </w:rPr>
        <w:footnoteReference w:id="31"/>
      </w:r>
      <w:r w:rsidR="00730193">
        <w:t>.</w:t>
      </w:r>
    </w:p>
    <w:p w14:paraId="5D052B55" w14:textId="7A0DC251" w:rsidR="007444CA" w:rsidRDefault="00F02E9D" w:rsidP="007444CA">
      <w:pPr>
        <w:pStyle w:val="SingleTxtG"/>
      </w:pPr>
      <w:r>
        <w:t>6.3</w:t>
      </w:r>
      <w:r>
        <w:tab/>
      </w:r>
      <w:r w:rsidR="007444CA">
        <w:t xml:space="preserve">Esto significa que el Estado parte tiene </w:t>
      </w:r>
      <w:r w:rsidR="00A34FAF">
        <w:t xml:space="preserve">el deber de demostrar dos cuestiones diferentes en relación con una privación de libertad en </w:t>
      </w:r>
      <w:r w:rsidR="005C68B9">
        <w:t>el ámbito de la justicia penal juvenil</w:t>
      </w:r>
      <w:r w:rsidR="007444CA">
        <w:t>. En primer lugar, para justificar que una pena de prisión es utilizada como último recurso, el Estado parte debe establecer que se han considerado otras medidas no privativas de la libertad</w:t>
      </w:r>
      <w:r>
        <w:t>,</w:t>
      </w:r>
      <w:r w:rsidR="007444CA">
        <w:t xml:space="preserve"> así como también la necesidad de la pena en los términos </w:t>
      </w:r>
      <w:r>
        <w:t>de los artículos 37</w:t>
      </w:r>
      <w:r w:rsidR="00724E14">
        <w:t xml:space="preserve"> </w:t>
      </w:r>
      <w:r>
        <w:t>b) y 40</w:t>
      </w:r>
      <w:r w:rsidR="00917A17">
        <w:t>, párrafo</w:t>
      </w:r>
      <w:r w:rsidR="00724E14">
        <w:t xml:space="preserve"> </w:t>
      </w:r>
      <w:r>
        <w:t>1</w:t>
      </w:r>
      <w:r w:rsidR="00917A17">
        <w:t>,</w:t>
      </w:r>
      <w:r>
        <w:t xml:space="preserve"> de la Convención</w:t>
      </w:r>
      <w:r w:rsidR="007444CA">
        <w:t xml:space="preserve">. En segundo lugar, para justificar que la privación de la libertad es </w:t>
      </w:r>
      <w:r w:rsidR="00B33062">
        <w:t xml:space="preserve">impuesta </w:t>
      </w:r>
      <w:r w:rsidR="007444CA">
        <w:t xml:space="preserve">durante el período más breve posible, el Estado parte debe establecer </w:t>
      </w:r>
      <w:r>
        <w:t xml:space="preserve">que la duración de la pena no </w:t>
      </w:r>
      <w:r w:rsidR="00B33062">
        <w:t>se extiende más allá</w:t>
      </w:r>
      <w:r>
        <w:t xml:space="preserve"> de lo necesario para cumplir los objetivos sobre los cuales se sustanció la necesidad de la imposición de la pena.</w:t>
      </w:r>
    </w:p>
    <w:p w14:paraId="52986F55" w14:textId="7CE495E8" w:rsidR="00155B60" w:rsidRDefault="00A857F4" w:rsidP="00BC025F">
      <w:pPr>
        <w:pStyle w:val="SingleTxtG"/>
      </w:pPr>
      <w:r>
        <w:t>6.</w:t>
      </w:r>
      <w:r w:rsidR="00F02E9D">
        <w:t>4</w:t>
      </w:r>
      <w:r>
        <w:tab/>
      </w:r>
      <w:r w:rsidR="00B33062">
        <w:t>Por su parte, e</w:t>
      </w:r>
      <w:r>
        <w:t>l Comi</w:t>
      </w:r>
      <w:r w:rsidR="00155B60">
        <w:t>t</w:t>
      </w:r>
      <w:r>
        <w:t>é observa que</w:t>
      </w:r>
      <w:r w:rsidR="00155B60">
        <w:t xml:space="preserve"> de los principios enunciados en </w:t>
      </w:r>
      <w:r w:rsidR="00B33062">
        <w:t>los dos</w:t>
      </w:r>
      <w:r w:rsidR="00155B60">
        <w:t xml:space="preserve"> párrafo</w:t>
      </w:r>
      <w:r w:rsidR="00B33062">
        <w:t>s precedentes</w:t>
      </w:r>
      <w:r w:rsidR="00155B60">
        <w:t xml:space="preserve"> se deriva el derecho a una revisión periódica de la pena</w:t>
      </w:r>
      <w:r w:rsidR="00FA5002">
        <w:t>.</w:t>
      </w:r>
      <w:r w:rsidR="00BC025F">
        <w:t xml:space="preserve"> </w:t>
      </w:r>
      <w:r w:rsidR="007F1CE2">
        <w:t>En este sentido, el Comité ha afirmado que, “en aplicación del principio de que la privación de libertad debe imponerse por el período de tiempo más breve que proceda, los Estados partes deben ofrecer periódicamente oportunidades para permitir la puesta en libertad anticipada, también respecto de la custodia policial, bajo el cuidado de los padres u otros adultos apropiados”</w:t>
      </w:r>
      <w:r w:rsidR="007F1CE2">
        <w:rPr>
          <w:rStyle w:val="Refdenotaalpie"/>
        </w:rPr>
        <w:footnoteReference w:id="32"/>
      </w:r>
      <w:r w:rsidR="00730193">
        <w:t>.</w:t>
      </w:r>
      <w:r w:rsidR="007F1CE2">
        <w:t xml:space="preserve"> </w:t>
      </w:r>
      <w:r w:rsidR="00543561">
        <w:t>Ello</w:t>
      </w:r>
      <w:r w:rsidR="00FA5002">
        <w:t xml:space="preserve"> resulta aplicable</w:t>
      </w:r>
      <w:r w:rsidR="00543561">
        <w:t xml:space="preserve"> incluso en casos de delitos muy graves</w:t>
      </w:r>
      <w:r w:rsidR="00543561">
        <w:rPr>
          <w:rStyle w:val="Refdenotaalpie"/>
        </w:rPr>
        <w:footnoteReference w:id="33"/>
      </w:r>
      <w:r w:rsidR="00A76EF3">
        <w:t>.</w:t>
      </w:r>
      <w:r w:rsidR="00155B60">
        <w:t xml:space="preserve"> </w:t>
      </w:r>
      <w:r w:rsidR="00FA5002">
        <w:t xml:space="preserve">De igual modo, </w:t>
      </w:r>
      <w:r w:rsidR="00155B60">
        <w:t>el Comité recuerda que “el período de condena que se debe cumplir antes de estudiar la posibilidad de la libertad condicional debe ser sustancialmente más corto que el de los adultos y debe ser realista, y la posibilidad de la libertad condicional debe ser reconsiderada periódicamente</w:t>
      </w:r>
      <w:r w:rsidR="00FA5002">
        <w:t>”</w:t>
      </w:r>
      <w:r w:rsidR="00155B60">
        <w:rPr>
          <w:rStyle w:val="Refdenotaalpie"/>
        </w:rPr>
        <w:footnoteReference w:id="34"/>
      </w:r>
      <w:r w:rsidR="00730193">
        <w:t>.</w:t>
      </w:r>
    </w:p>
    <w:p w14:paraId="7819F27C" w14:textId="05CBB2BC" w:rsidR="00974909" w:rsidRDefault="00974909" w:rsidP="009770BC">
      <w:pPr>
        <w:pStyle w:val="SingleTxtG"/>
        <w:rPr>
          <w:lang w:val="es-ES_tradnl"/>
        </w:rPr>
      </w:pPr>
      <w:r>
        <w:rPr>
          <w:lang w:val="es-ES_tradnl"/>
        </w:rPr>
        <w:t>6.</w:t>
      </w:r>
      <w:r w:rsidR="00F02E9D">
        <w:rPr>
          <w:lang w:val="es-ES_tradnl"/>
        </w:rPr>
        <w:t>5</w:t>
      </w:r>
      <w:r>
        <w:rPr>
          <w:lang w:val="es-ES_tradnl"/>
        </w:rPr>
        <w:tab/>
      </w:r>
      <w:r w:rsidR="006B7935">
        <w:rPr>
          <w:lang w:val="es-ES_tradnl"/>
        </w:rPr>
        <w:t>El Comité toma nota del argumento del autor según el cual se le impuso una condena basada en la gravedad del hecho y no en un verdadero juicio de la necesidad de la pena, que debe basarse exclusivamente en el pronóstico de evolución del niño</w:t>
      </w:r>
      <w:r w:rsidR="005E7179">
        <w:rPr>
          <w:lang w:val="es-ES_tradnl"/>
        </w:rPr>
        <w:t>, en violación de los artículos 3 y 40 de la Convención</w:t>
      </w:r>
      <w:r w:rsidR="006B7935">
        <w:rPr>
          <w:lang w:val="es-ES_tradnl"/>
        </w:rPr>
        <w:t xml:space="preserve"> (</w:t>
      </w:r>
      <w:r w:rsidR="0081724E">
        <w:rPr>
          <w:lang w:val="es-ES_tradnl"/>
        </w:rPr>
        <w:t xml:space="preserve">véanse los </w:t>
      </w:r>
      <w:proofErr w:type="spellStart"/>
      <w:r w:rsidR="006B7935">
        <w:rPr>
          <w:lang w:val="es-ES_tradnl"/>
        </w:rPr>
        <w:t>párr</w:t>
      </w:r>
      <w:r w:rsidR="0081724E">
        <w:rPr>
          <w:lang w:val="es-ES_tradnl"/>
        </w:rPr>
        <w:t>s</w:t>
      </w:r>
      <w:proofErr w:type="spellEnd"/>
      <w:r w:rsidR="006B7935">
        <w:rPr>
          <w:lang w:val="es-ES_tradnl"/>
        </w:rPr>
        <w:t>. 3.1, 3.2)</w:t>
      </w:r>
      <w:r w:rsidR="005E7179">
        <w:rPr>
          <w:lang w:val="es-ES_tradnl"/>
        </w:rPr>
        <w:t>. El Comité también toma nota del argumento del autor según el cual la sentencia omitió considerar la necesidad de la pena en relación con su evolución y que no justificó los motivos por los que e</w:t>
      </w:r>
      <w:r w:rsidR="000915AC">
        <w:rPr>
          <w:lang w:val="es-ES_tradnl"/>
        </w:rPr>
        <w:t>st</w:t>
      </w:r>
      <w:r w:rsidR="005E7179">
        <w:rPr>
          <w:lang w:val="es-ES_tradnl"/>
        </w:rPr>
        <w:t>a constituy</w:t>
      </w:r>
      <w:r w:rsidR="0074288F">
        <w:rPr>
          <w:lang w:val="es-ES_tradnl"/>
        </w:rPr>
        <w:t>ó</w:t>
      </w:r>
      <w:r w:rsidR="005E7179">
        <w:rPr>
          <w:lang w:val="es-ES_tradnl"/>
        </w:rPr>
        <w:t xml:space="preserve"> el último recurso y </w:t>
      </w:r>
      <w:r w:rsidR="000915AC">
        <w:rPr>
          <w:lang w:val="es-ES_tradnl"/>
        </w:rPr>
        <w:t xml:space="preserve">que haya sido impuesta </w:t>
      </w:r>
      <w:r w:rsidR="005E7179">
        <w:rPr>
          <w:lang w:val="es-ES_tradnl"/>
        </w:rPr>
        <w:t>por el período más breve que proced</w:t>
      </w:r>
      <w:r w:rsidR="0074288F">
        <w:rPr>
          <w:lang w:val="es-ES_tradnl"/>
        </w:rPr>
        <w:t>iera</w:t>
      </w:r>
      <w:r w:rsidR="005E7179">
        <w:rPr>
          <w:lang w:val="es-ES_tradnl"/>
        </w:rPr>
        <w:t>, en violación del artículo 37</w:t>
      </w:r>
      <w:r w:rsidR="00724E14">
        <w:rPr>
          <w:lang w:val="es-ES_tradnl"/>
        </w:rPr>
        <w:t xml:space="preserve"> </w:t>
      </w:r>
      <w:r w:rsidR="005E7179">
        <w:rPr>
          <w:lang w:val="es-ES_tradnl"/>
        </w:rPr>
        <w:t>b) de la Convención.</w:t>
      </w:r>
    </w:p>
    <w:p w14:paraId="3FEA3BC8" w14:textId="41DF2D9A" w:rsidR="003B417B" w:rsidRDefault="00A857F4" w:rsidP="009770BC">
      <w:pPr>
        <w:pStyle w:val="SingleTxtG"/>
      </w:pPr>
      <w:r>
        <w:rPr>
          <w:lang w:val="es-ES_tradnl"/>
        </w:rPr>
        <w:t>6.</w:t>
      </w:r>
      <w:r w:rsidR="00F02E9D">
        <w:rPr>
          <w:lang w:val="es-ES_tradnl"/>
        </w:rPr>
        <w:t>6</w:t>
      </w:r>
      <w:r>
        <w:rPr>
          <w:lang w:val="es-ES_tradnl"/>
        </w:rPr>
        <w:tab/>
        <w:t xml:space="preserve">En el presente caso, el Comité observa que </w:t>
      </w:r>
      <w:r w:rsidR="003B417B">
        <w:rPr>
          <w:lang w:val="es-ES_tradnl"/>
        </w:rPr>
        <w:t xml:space="preserve">la Cámara de Apelación y Garantías afirmó </w:t>
      </w:r>
      <w:r w:rsidR="00E90127">
        <w:rPr>
          <w:lang w:val="es-ES_tradnl"/>
        </w:rPr>
        <w:t xml:space="preserve">que </w:t>
      </w:r>
      <w:r w:rsidR="003B417B">
        <w:rPr>
          <w:lang w:val="es-ES_tradnl"/>
        </w:rPr>
        <w:t xml:space="preserve">la imposición de la pena era necesaria dada “la gravedad y seriedad del evento por el cual </w:t>
      </w:r>
      <w:r w:rsidR="003B417B" w:rsidRPr="00684965">
        <w:t>[</w:t>
      </w:r>
      <w:r w:rsidR="003B417B">
        <w:t xml:space="preserve">el autor] ha sido encontrado responsable […] como asimismo la valoración de la modalidad comisiva empleada por </w:t>
      </w:r>
      <w:r w:rsidR="003B417B" w:rsidRPr="00684965">
        <w:t>[</w:t>
      </w:r>
      <w:r w:rsidR="003B417B">
        <w:t>el autor] para ocasionar el resultado”</w:t>
      </w:r>
      <w:r w:rsidR="003B417B">
        <w:rPr>
          <w:rStyle w:val="Refdenotaalpie"/>
        </w:rPr>
        <w:footnoteReference w:id="35"/>
      </w:r>
      <w:r w:rsidR="003B417B">
        <w:t>.</w:t>
      </w:r>
      <w:r w:rsidR="008611DC">
        <w:t xml:space="preserve"> El Comité considera que, si bien la gravedad del hecho puede habilitar la imposición de una pena privativa de la libertad y formar parte del examen de proporcionalidad de la pena impuesta (</w:t>
      </w:r>
      <w:r w:rsidR="00D53A66">
        <w:t xml:space="preserve">véase el </w:t>
      </w:r>
      <w:r w:rsidR="008611DC">
        <w:t>párr.</w:t>
      </w:r>
      <w:r w:rsidR="00724E14">
        <w:t xml:space="preserve"> </w:t>
      </w:r>
      <w:r w:rsidR="008611DC">
        <w:t xml:space="preserve">6.2), </w:t>
      </w:r>
      <w:r w:rsidR="00D53A66">
        <w:t xml:space="preserve">dicha gravedad </w:t>
      </w:r>
      <w:r w:rsidR="008611DC">
        <w:t>no puede constituir por sí misma la justificación de la necesidad de la pena en los términos de los artículos 37 y 40 de la Convención, ni deslinda a las autoridades de su obligación de proporcionar esa justificación</w:t>
      </w:r>
      <w:r w:rsidR="0058234A">
        <w:t>, incluso en casos de delitos muy graves</w:t>
      </w:r>
      <w:r w:rsidR="009613A3">
        <w:rPr>
          <w:rStyle w:val="Refdenotaalpie"/>
        </w:rPr>
        <w:footnoteReference w:id="36"/>
      </w:r>
      <w:r w:rsidR="00730193">
        <w:t>.</w:t>
      </w:r>
      <w:r w:rsidR="00EC28FD">
        <w:t xml:space="preserve"> El Comité observa que</w:t>
      </w:r>
      <w:r w:rsidR="003E6F16">
        <w:t xml:space="preserve"> </w:t>
      </w:r>
      <w:r w:rsidR="00EC28FD">
        <w:t xml:space="preserve">de la lectura de la sentencia de la Cámara de Apelación y Garantías </w:t>
      </w:r>
      <w:r w:rsidR="003E6F16">
        <w:t xml:space="preserve">no surge </w:t>
      </w:r>
      <w:r w:rsidR="00EC28FD">
        <w:t xml:space="preserve">que </w:t>
      </w:r>
      <w:r w:rsidR="003E6F16">
        <w:t xml:space="preserve">esta </w:t>
      </w:r>
      <w:r w:rsidR="00E860B9">
        <w:t>haya</w:t>
      </w:r>
      <w:r w:rsidR="00EC28FD">
        <w:t xml:space="preserve"> realizado un examen de la necesidad de la medida</w:t>
      </w:r>
      <w:r w:rsidR="0058234A">
        <w:t xml:space="preserve"> de privación de libertad del autor. </w:t>
      </w:r>
      <w:r w:rsidR="00E860B9">
        <w:t xml:space="preserve">El Comité observa que la Sala III del Tribunal de Casación redujo la pena al autor por descartar una de las </w:t>
      </w:r>
      <w:r w:rsidR="009A0B4D">
        <w:t xml:space="preserve">circunstancias </w:t>
      </w:r>
      <w:r w:rsidR="00E860B9">
        <w:t xml:space="preserve">agravantes de </w:t>
      </w:r>
      <w:r w:rsidR="008A6A18">
        <w:t xml:space="preserve">la sentencia de </w:t>
      </w:r>
      <w:r w:rsidR="00E860B9">
        <w:t>primera instan</w:t>
      </w:r>
      <w:r w:rsidR="00E860B9" w:rsidRPr="00B1399C">
        <w:t xml:space="preserve">cia e </w:t>
      </w:r>
      <w:r w:rsidR="00E860B9" w:rsidRPr="00B1399C">
        <w:lastRenderedPageBreak/>
        <w:t xml:space="preserve">incorporar </w:t>
      </w:r>
      <w:r w:rsidR="008A6A18" w:rsidRPr="00B1399C">
        <w:t>otra</w:t>
      </w:r>
      <w:r w:rsidR="00E860B9" w:rsidRPr="00B1399C">
        <w:t xml:space="preserve"> </w:t>
      </w:r>
      <w:r w:rsidR="009A0B4D" w:rsidRPr="00B1399C">
        <w:t xml:space="preserve">circunstancia </w:t>
      </w:r>
      <w:r w:rsidR="00E860B9" w:rsidRPr="00B1399C">
        <w:t xml:space="preserve">atenuante </w:t>
      </w:r>
      <w:r w:rsidR="008A6A18" w:rsidRPr="00B1399C">
        <w:t>por el</w:t>
      </w:r>
      <w:r w:rsidR="00E860B9" w:rsidRPr="00B1399C">
        <w:t xml:space="preserve"> </w:t>
      </w:r>
      <w:r w:rsidR="008A6A18" w:rsidRPr="00B1399C">
        <w:t xml:space="preserve">favorable </w:t>
      </w:r>
      <w:r w:rsidR="00E860B9" w:rsidRPr="00B1399C">
        <w:t>cambio de personalidad.</w:t>
      </w:r>
      <w:r w:rsidR="00E860B9">
        <w:t xml:space="preserve"> Sin embargo, </w:t>
      </w:r>
      <w:r w:rsidR="003E6F16">
        <w:t xml:space="preserve">tampoco surge de la lectura de esta sentencia que </w:t>
      </w:r>
      <w:r w:rsidR="00E860B9">
        <w:t xml:space="preserve">el Tribunal de Casación </w:t>
      </w:r>
      <w:r w:rsidR="003E6F16">
        <w:t>haya revisado</w:t>
      </w:r>
      <w:r w:rsidR="00E860B9">
        <w:t xml:space="preserve"> el hecho de que la sentencia de primera instancia carezca de un análisis de la necesidad de la pena más allá de la mención a la gravedad del hecho y de su modalidad comisiva. Por su parte, si bien la inclusión </w:t>
      </w:r>
      <w:r w:rsidR="003E6F16">
        <w:t xml:space="preserve">por parte del Tribunal de Casación </w:t>
      </w:r>
      <w:r w:rsidR="00E860B9">
        <w:t xml:space="preserve">de la </w:t>
      </w:r>
      <w:r w:rsidR="007206F2">
        <w:t xml:space="preserve">circunstancia </w:t>
      </w:r>
      <w:r w:rsidR="00E860B9" w:rsidRPr="00B1399C">
        <w:t>atenuante por el cambio favorable de personalidad redujo</w:t>
      </w:r>
      <w:r w:rsidR="00E860B9">
        <w:t xml:space="preserve"> la pena del autor, ello no puede considerarse como una revisión de la necesidad de </w:t>
      </w:r>
      <w:r w:rsidR="003E6F16">
        <w:t xml:space="preserve">imponer una </w:t>
      </w:r>
      <w:r w:rsidR="00E860B9">
        <w:t>pena</w:t>
      </w:r>
      <w:r w:rsidR="003E6F16">
        <w:t xml:space="preserve"> privativa de la libertad</w:t>
      </w:r>
      <w:r w:rsidR="00E860B9">
        <w:t>. El Comité observa que t</w:t>
      </w:r>
      <w:r w:rsidR="0058234A">
        <w:t xml:space="preserve">ampoco surge de </w:t>
      </w:r>
      <w:r w:rsidR="00E860B9">
        <w:t>las sentencias mencionadas</w:t>
      </w:r>
      <w:r w:rsidR="0058234A">
        <w:t xml:space="preserve"> que se haya </w:t>
      </w:r>
      <w:r w:rsidR="00EC28FD">
        <w:t xml:space="preserve">evaluado </w:t>
      </w:r>
      <w:r w:rsidR="0058234A">
        <w:t>expresamente la aplicación de medidas alternativas no privativas de la libertad que justifique</w:t>
      </w:r>
      <w:r w:rsidR="008A6A18">
        <w:t>n</w:t>
      </w:r>
      <w:r w:rsidR="0058234A">
        <w:t xml:space="preserve"> que la pena impuesta constituy</w:t>
      </w:r>
      <w:r w:rsidR="008A6A18">
        <w:t>a</w:t>
      </w:r>
      <w:r w:rsidR="0058234A">
        <w:t xml:space="preserve"> el último recurso, por el período más breve que proceda.</w:t>
      </w:r>
      <w:r w:rsidR="00E860B9">
        <w:t xml:space="preserve"> </w:t>
      </w:r>
      <w:r w:rsidR="002A5550">
        <w:t xml:space="preserve">A pesar de ello, </w:t>
      </w:r>
      <w:r w:rsidR="008A6A18">
        <w:t xml:space="preserve">y de reconocer que el régimen interno aplicable resulta contrario a los estándares internacionales regulados, entre otros, por la Convención, </w:t>
      </w:r>
      <w:r w:rsidR="002A5550">
        <w:t xml:space="preserve">el fallo de la Corte Suprema de Justicia de la Nación dejó firme la sentencia </w:t>
      </w:r>
      <w:r w:rsidR="008A6A18">
        <w:t>en contra del autor</w:t>
      </w:r>
      <w:r w:rsidR="002A5550">
        <w:t xml:space="preserve">. Por ello, y ante la falta de observaciones del Estado parte, el Comité concluye que el Estado parte ha violado los derechos que asisten al autor </w:t>
      </w:r>
      <w:r w:rsidR="00327914">
        <w:t xml:space="preserve">en virtud de </w:t>
      </w:r>
      <w:r w:rsidR="002A5550">
        <w:t>los artículo</w:t>
      </w:r>
      <w:r w:rsidR="008A6A18">
        <w:t>s</w:t>
      </w:r>
      <w:r w:rsidR="002A5550">
        <w:t xml:space="preserve"> 37</w:t>
      </w:r>
      <w:r w:rsidR="00724E14">
        <w:t xml:space="preserve"> </w:t>
      </w:r>
      <w:r w:rsidR="002A5550">
        <w:t>b) y 40</w:t>
      </w:r>
      <w:r w:rsidR="00327914">
        <w:t>, párrafo</w:t>
      </w:r>
      <w:r w:rsidR="00724E14">
        <w:t xml:space="preserve"> </w:t>
      </w:r>
      <w:r w:rsidR="002A5550">
        <w:t>1</w:t>
      </w:r>
      <w:r w:rsidR="00327914">
        <w:t>,</w:t>
      </w:r>
      <w:r w:rsidR="002A5550">
        <w:t xml:space="preserve"> de la Convención.</w:t>
      </w:r>
    </w:p>
    <w:p w14:paraId="33BA14DD" w14:textId="0A89C6F1" w:rsidR="00EB0CA3" w:rsidRDefault="00EB0CA3" w:rsidP="009770BC">
      <w:pPr>
        <w:pStyle w:val="SingleTxtG"/>
      </w:pPr>
      <w:r>
        <w:t>6.7</w:t>
      </w:r>
      <w:r>
        <w:tab/>
        <w:t>Habiendo encontrado violación de los artículos 37 b) y 40</w:t>
      </w:r>
      <w:r w:rsidR="00327914">
        <w:t>, párrafo</w:t>
      </w:r>
      <w:r w:rsidR="00724E14">
        <w:t xml:space="preserve"> </w:t>
      </w:r>
      <w:r>
        <w:t>1</w:t>
      </w:r>
      <w:r w:rsidR="00327914">
        <w:t>,</w:t>
      </w:r>
      <w:r>
        <w:t xml:space="preserve"> de la Convención, el Comité considera que no necesita pronunciarse sobre la existencia de una violación del artículo 3 por los mismos hechos.</w:t>
      </w:r>
    </w:p>
    <w:p w14:paraId="3DC40182" w14:textId="6CD4810F" w:rsidR="009613A3" w:rsidRDefault="002A5550" w:rsidP="00B259A8">
      <w:pPr>
        <w:pStyle w:val="SingleTxtG"/>
        <w:rPr>
          <w:lang w:val="es-ES_tradnl"/>
        </w:rPr>
      </w:pPr>
      <w:r>
        <w:rPr>
          <w:lang w:val="es-ES_tradnl"/>
        </w:rPr>
        <w:t>6.</w:t>
      </w:r>
      <w:r w:rsidR="00EB0CA3">
        <w:rPr>
          <w:lang w:val="es-ES_tradnl"/>
        </w:rPr>
        <w:t>8</w:t>
      </w:r>
      <w:r>
        <w:rPr>
          <w:lang w:val="es-ES_tradnl"/>
        </w:rPr>
        <w:tab/>
        <w:t>El Comité toma nota del argumento del autor según el cual el Estado parte ha incumplido su deber de adoptar disposiciones de derecho interno para dar efectividad a sus derechos, contrari</w:t>
      </w:r>
      <w:r w:rsidR="00E40769">
        <w:rPr>
          <w:lang w:val="es-ES_tradnl"/>
        </w:rPr>
        <w:t>amente</w:t>
      </w:r>
      <w:r>
        <w:rPr>
          <w:lang w:val="es-ES_tradnl"/>
        </w:rPr>
        <w:t xml:space="preserve"> a lo exigido por el artículo 4 de la Convención</w:t>
      </w:r>
      <w:r w:rsidR="003437E9">
        <w:rPr>
          <w:lang w:val="es-ES_tradnl"/>
        </w:rPr>
        <w:t xml:space="preserve"> (</w:t>
      </w:r>
      <w:r w:rsidR="00327914" w:rsidRPr="00591D3C">
        <w:rPr>
          <w:lang w:val="es-ES_tradnl"/>
        </w:rPr>
        <w:t xml:space="preserve">véase el </w:t>
      </w:r>
      <w:r w:rsidR="003437E9" w:rsidRPr="00327914">
        <w:rPr>
          <w:lang w:val="es-ES_tradnl"/>
        </w:rPr>
        <w:t>párr</w:t>
      </w:r>
      <w:r w:rsidR="003437E9">
        <w:rPr>
          <w:lang w:val="es-ES_tradnl"/>
        </w:rPr>
        <w:t>.</w:t>
      </w:r>
      <w:r w:rsidR="00724E14">
        <w:rPr>
          <w:lang w:val="es-ES_tradnl"/>
        </w:rPr>
        <w:t xml:space="preserve"> </w:t>
      </w:r>
      <w:r w:rsidR="003437E9">
        <w:rPr>
          <w:lang w:val="es-ES_tradnl"/>
        </w:rPr>
        <w:t>3.6)</w:t>
      </w:r>
      <w:r>
        <w:rPr>
          <w:lang w:val="es-ES_tradnl"/>
        </w:rPr>
        <w:t>.</w:t>
      </w:r>
      <w:r w:rsidR="008661CB">
        <w:rPr>
          <w:lang w:val="es-ES_tradnl"/>
        </w:rPr>
        <w:t xml:space="preserve"> El Comité </w:t>
      </w:r>
      <w:r w:rsidR="00B259A8">
        <w:rPr>
          <w:lang w:val="es-ES_tradnl"/>
        </w:rPr>
        <w:t>toma nota de las distintas instancias jurisdiccionales en las cuales se afirmó</w:t>
      </w:r>
      <w:r w:rsidR="008661CB">
        <w:rPr>
          <w:lang w:val="es-ES_tradnl"/>
        </w:rPr>
        <w:t xml:space="preserve"> que e</w:t>
      </w:r>
      <w:r w:rsidR="005804D4">
        <w:rPr>
          <w:lang w:val="es-ES_tradnl"/>
        </w:rPr>
        <w:t>l régimen de justicia juvenil aplicable en el Estado parte en virtud de</w:t>
      </w:r>
      <w:r w:rsidR="00380BF1">
        <w:rPr>
          <w:lang w:val="es-ES_tradnl"/>
        </w:rPr>
        <w:t xml:space="preserve"> la</w:t>
      </w:r>
      <w:r w:rsidR="005804D4">
        <w:rPr>
          <w:lang w:val="es-ES_tradnl"/>
        </w:rPr>
        <w:t xml:space="preserve"> Ley </w:t>
      </w:r>
      <w:r w:rsidR="00380BF1">
        <w:rPr>
          <w:lang w:val="es-ES_tradnl"/>
        </w:rPr>
        <w:t>núm.</w:t>
      </w:r>
      <w:r w:rsidR="00724E14">
        <w:rPr>
          <w:lang w:val="es-ES_tradnl"/>
        </w:rPr>
        <w:t xml:space="preserve"> </w:t>
      </w:r>
      <w:r w:rsidR="005804D4">
        <w:rPr>
          <w:lang w:val="es-ES_tradnl"/>
        </w:rPr>
        <w:t xml:space="preserve">22.278 </w:t>
      </w:r>
      <w:r w:rsidR="00B259A8">
        <w:rPr>
          <w:lang w:val="es-ES_tradnl"/>
        </w:rPr>
        <w:t xml:space="preserve">resultaba contrario </w:t>
      </w:r>
      <w:r w:rsidR="005804D4">
        <w:rPr>
          <w:lang w:val="es-ES_tradnl"/>
        </w:rPr>
        <w:t>a lo estipulado en la Convención</w:t>
      </w:r>
      <w:r w:rsidR="00B259A8">
        <w:rPr>
          <w:lang w:val="es-ES_tradnl"/>
        </w:rPr>
        <w:t>. En particular, a nivel interno,</w:t>
      </w:r>
      <w:r w:rsidR="005804D4">
        <w:rPr>
          <w:lang w:val="es-ES_tradnl"/>
        </w:rPr>
        <w:t xml:space="preserve"> por la Corte Suprema del Estado parte en 2008</w:t>
      </w:r>
      <w:r w:rsidR="00B259A8">
        <w:rPr>
          <w:rStyle w:val="Refdenotaalpie"/>
          <w:lang w:val="es-ES_tradnl"/>
        </w:rPr>
        <w:footnoteReference w:id="37"/>
      </w:r>
      <w:r w:rsidR="00730193">
        <w:rPr>
          <w:lang w:val="es-ES_tradnl"/>
        </w:rPr>
        <w:t>,</w:t>
      </w:r>
      <w:r w:rsidR="005804D4">
        <w:rPr>
          <w:lang w:val="es-ES_tradnl"/>
        </w:rPr>
        <w:t xml:space="preserve"> </w:t>
      </w:r>
      <w:r w:rsidR="00B259A8">
        <w:rPr>
          <w:lang w:val="es-ES_tradnl"/>
        </w:rPr>
        <w:t xml:space="preserve">a nivel </w:t>
      </w:r>
      <w:r w:rsidR="00B259A8" w:rsidRPr="00457473">
        <w:rPr>
          <w:lang w:val="es-ES_tradnl"/>
        </w:rPr>
        <w:t>universal</w:t>
      </w:r>
      <w:r w:rsidR="00B259A8">
        <w:rPr>
          <w:lang w:val="es-ES_tradnl"/>
        </w:rPr>
        <w:t>, por este Comité en 2010</w:t>
      </w:r>
      <w:r w:rsidR="003437E9">
        <w:rPr>
          <w:rStyle w:val="Refdenotaalpie"/>
          <w:lang w:val="es-ES_tradnl"/>
        </w:rPr>
        <w:footnoteReference w:id="38"/>
      </w:r>
      <w:r w:rsidR="00730193">
        <w:rPr>
          <w:lang w:val="es-ES_tradnl"/>
        </w:rPr>
        <w:t>,</w:t>
      </w:r>
      <w:r w:rsidR="00B259A8">
        <w:rPr>
          <w:lang w:val="es-ES_tradnl"/>
        </w:rPr>
        <w:t xml:space="preserve"> y a nivel regional, por la </w:t>
      </w:r>
      <w:r w:rsidR="005804D4">
        <w:rPr>
          <w:lang w:val="es-ES_tradnl"/>
        </w:rPr>
        <w:t xml:space="preserve">Corte Interamericana de Derechos Humanos en </w:t>
      </w:r>
      <w:r w:rsidR="00B259A8">
        <w:rPr>
          <w:lang w:val="es-ES_tradnl"/>
        </w:rPr>
        <w:t>2011</w:t>
      </w:r>
      <w:r w:rsidR="00B259A8">
        <w:rPr>
          <w:rStyle w:val="Refdenotaalpie"/>
          <w:lang w:val="es-ES_tradnl"/>
        </w:rPr>
        <w:footnoteReference w:id="39"/>
      </w:r>
      <w:r w:rsidR="00730193">
        <w:rPr>
          <w:lang w:val="es-ES_tradnl"/>
        </w:rPr>
        <w:t>.</w:t>
      </w:r>
      <w:r w:rsidR="00B259A8">
        <w:rPr>
          <w:lang w:val="es-ES_tradnl"/>
        </w:rPr>
        <w:t xml:space="preserve"> El Comité observa que el régimen de justicia juvenil del Estado parte no ha </w:t>
      </w:r>
      <w:r w:rsidR="002D5D56">
        <w:rPr>
          <w:lang w:val="es-ES_tradnl"/>
        </w:rPr>
        <w:t>sido modificado a pesar de las mencionadas recomendaciones. En particular,</w:t>
      </w:r>
      <w:r w:rsidR="00B259A8">
        <w:rPr>
          <w:lang w:val="es-ES_tradnl"/>
        </w:rPr>
        <w:t xml:space="preserve"> </w:t>
      </w:r>
      <w:r w:rsidR="002D5D56">
        <w:rPr>
          <w:lang w:val="es-ES_tradnl"/>
        </w:rPr>
        <w:t xml:space="preserve">el Comité observa </w:t>
      </w:r>
      <w:r w:rsidR="00B259A8">
        <w:rPr>
          <w:lang w:val="es-ES_tradnl"/>
        </w:rPr>
        <w:t>que</w:t>
      </w:r>
      <w:r w:rsidR="00692954">
        <w:rPr>
          <w:lang w:val="es-ES_tradnl"/>
        </w:rPr>
        <w:t>, en 2019,</w:t>
      </w:r>
      <w:r w:rsidR="00B259A8">
        <w:rPr>
          <w:lang w:val="es-ES_tradnl"/>
        </w:rPr>
        <w:t xml:space="preserve"> la Corte Suprema </w:t>
      </w:r>
      <w:r w:rsidR="00692954">
        <w:rPr>
          <w:lang w:val="es-ES_tradnl"/>
        </w:rPr>
        <w:t xml:space="preserve">reafirmó </w:t>
      </w:r>
      <w:r w:rsidR="00B259A8">
        <w:rPr>
          <w:lang w:val="es-ES_tradnl"/>
        </w:rPr>
        <w:t xml:space="preserve">en el caso del autor </w:t>
      </w:r>
      <w:r w:rsidR="00692954">
        <w:rPr>
          <w:lang w:val="es-ES_tradnl"/>
        </w:rPr>
        <w:t xml:space="preserve">la falta de adecuación del régimen </w:t>
      </w:r>
      <w:r w:rsidR="002D5D56">
        <w:rPr>
          <w:lang w:val="es-ES_tradnl"/>
        </w:rPr>
        <w:t xml:space="preserve">de justicia juvenil </w:t>
      </w:r>
      <w:r w:rsidR="00692954">
        <w:rPr>
          <w:lang w:val="es-ES_tradnl"/>
        </w:rPr>
        <w:t xml:space="preserve">a </w:t>
      </w:r>
      <w:r w:rsidR="00692954" w:rsidRPr="00983F03">
        <w:rPr>
          <w:lang w:val="es-ES_tradnl"/>
        </w:rPr>
        <w:t>los estándares de la Convención</w:t>
      </w:r>
      <w:r w:rsidR="002D5D56">
        <w:rPr>
          <w:lang w:val="es-ES_tradnl"/>
        </w:rPr>
        <w:t xml:space="preserve">, así como el hecho de que los jueces intervinientes en su caso no </w:t>
      </w:r>
      <w:r w:rsidR="00A719B6">
        <w:rPr>
          <w:lang w:val="es-ES_tradnl"/>
        </w:rPr>
        <w:t>podían</w:t>
      </w:r>
      <w:r w:rsidR="002D5D56">
        <w:rPr>
          <w:lang w:val="es-ES_tradnl"/>
        </w:rPr>
        <w:t xml:space="preserve"> suplir </w:t>
      </w:r>
      <w:r w:rsidR="00A719B6">
        <w:rPr>
          <w:lang w:val="es-ES_tradnl"/>
        </w:rPr>
        <w:t xml:space="preserve">en sus sentencias </w:t>
      </w:r>
      <w:r w:rsidR="002D5D56">
        <w:rPr>
          <w:lang w:val="es-ES_tradnl"/>
        </w:rPr>
        <w:t>la contradicción normativa entre dicho régimen y los estándares de la Convención</w:t>
      </w:r>
      <w:r w:rsidR="003437E9">
        <w:rPr>
          <w:lang w:val="es-ES_tradnl"/>
        </w:rPr>
        <w:t xml:space="preserve"> (</w:t>
      </w:r>
      <w:r w:rsidR="00380BF1" w:rsidRPr="00591D3C">
        <w:rPr>
          <w:lang w:val="es-ES_tradnl"/>
        </w:rPr>
        <w:t xml:space="preserve">véase el </w:t>
      </w:r>
      <w:r w:rsidR="003437E9" w:rsidRPr="00380BF1">
        <w:rPr>
          <w:lang w:val="es-ES_tradnl"/>
        </w:rPr>
        <w:t>párr</w:t>
      </w:r>
      <w:r w:rsidR="003437E9">
        <w:rPr>
          <w:lang w:val="es-ES_tradnl"/>
        </w:rPr>
        <w:t>. 3.6)</w:t>
      </w:r>
      <w:r w:rsidR="00692954" w:rsidRPr="00983F03">
        <w:rPr>
          <w:lang w:val="es-ES_tradnl"/>
        </w:rPr>
        <w:t>. En consecuencia, y ante la falta de observaciones del Estado parte</w:t>
      </w:r>
      <w:r w:rsidR="00A719B6">
        <w:rPr>
          <w:lang w:val="es-ES_tradnl"/>
        </w:rPr>
        <w:t xml:space="preserve"> que justifiquen la presunta inacción legislativa o demuestren la adopción de otras medidas administrativas o de otra índole para dar efectividad a estos derechos</w:t>
      </w:r>
      <w:r w:rsidR="00692954" w:rsidRPr="00983F03">
        <w:rPr>
          <w:lang w:val="es-ES_tradnl"/>
        </w:rPr>
        <w:t>, el Comité considera que el Estado parte ha violado el artículo</w:t>
      </w:r>
      <w:r w:rsidR="00724E14">
        <w:rPr>
          <w:lang w:val="es-ES_tradnl"/>
        </w:rPr>
        <w:t xml:space="preserve"> </w:t>
      </w:r>
      <w:r w:rsidR="00692954" w:rsidRPr="00983F03">
        <w:rPr>
          <w:lang w:val="es-ES_tradnl"/>
        </w:rPr>
        <w:t>4</w:t>
      </w:r>
      <w:r w:rsidR="00380BF1">
        <w:rPr>
          <w:lang w:val="es-ES_tradnl"/>
        </w:rPr>
        <w:t>,</w:t>
      </w:r>
      <w:r w:rsidR="00692954" w:rsidRPr="00983F03">
        <w:rPr>
          <w:lang w:val="es-ES_tradnl"/>
        </w:rPr>
        <w:t xml:space="preserve"> leído conjuntamente con los artículos 37</w:t>
      </w:r>
      <w:r w:rsidR="00724E14">
        <w:rPr>
          <w:lang w:val="es-ES_tradnl"/>
        </w:rPr>
        <w:t xml:space="preserve"> </w:t>
      </w:r>
      <w:r w:rsidR="0095613C">
        <w:rPr>
          <w:lang w:val="es-ES_tradnl"/>
        </w:rPr>
        <w:t xml:space="preserve">b) </w:t>
      </w:r>
      <w:r w:rsidR="00692954" w:rsidRPr="00983F03">
        <w:rPr>
          <w:lang w:val="es-ES_tradnl"/>
        </w:rPr>
        <w:t>y 40</w:t>
      </w:r>
      <w:r w:rsidR="00380BF1">
        <w:rPr>
          <w:lang w:val="es-ES_tradnl"/>
        </w:rPr>
        <w:t>, párrafo</w:t>
      </w:r>
      <w:r w:rsidR="00724E14">
        <w:rPr>
          <w:lang w:val="es-ES_tradnl"/>
        </w:rPr>
        <w:t xml:space="preserve"> </w:t>
      </w:r>
      <w:r w:rsidR="0095613C">
        <w:rPr>
          <w:lang w:val="es-ES_tradnl"/>
        </w:rPr>
        <w:t>1</w:t>
      </w:r>
      <w:r w:rsidR="00380BF1">
        <w:rPr>
          <w:lang w:val="es-ES_tradnl"/>
        </w:rPr>
        <w:t>,</w:t>
      </w:r>
      <w:r w:rsidR="0095613C">
        <w:rPr>
          <w:lang w:val="es-ES_tradnl"/>
        </w:rPr>
        <w:t xml:space="preserve"> </w:t>
      </w:r>
      <w:r w:rsidR="00692954" w:rsidRPr="00983F03">
        <w:rPr>
          <w:lang w:val="es-ES_tradnl"/>
        </w:rPr>
        <w:t>de la Convención.</w:t>
      </w:r>
    </w:p>
    <w:p w14:paraId="4F091A98" w14:textId="6E0604F4" w:rsidR="00983F03" w:rsidRDefault="0095613C" w:rsidP="00B259A8">
      <w:pPr>
        <w:pStyle w:val="SingleTxtG"/>
        <w:rPr>
          <w:lang w:val="es-ES_tradnl"/>
        </w:rPr>
      </w:pPr>
      <w:r>
        <w:rPr>
          <w:lang w:val="es-ES_tradnl"/>
        </w:rPr>
        <w:t>7</w:t>
      </w:r>
      <w:r w:rsidR="00F90572">
        <w:rPr>
          <w:lang w:val="es-ES_tradnl"/>
        </w:rPr>
        <w:t>.</w:t>
      </w:r>
      <w:r w:rsidR="002E0E92">
        <w:rPr>
          <w:lang w:val="es-ES_tradnl"/>
        </w:rPr>
        <w:tab/>
      </w:r>
      <w:r w:rsidR="002E0E92" w:rsidRPr="002E0E92">
        <w:rPr>
          <w:lang w:val="es-ES_tradnl"/>
        </w:rPr>
        <w:t>El Comité, actuando en virtud del artículo 10, párrafo 5, del Protocolo Facultativo relativo a un procedimiento de comunicaciones, dictamina que los hechos que tiene ante sí ponen de manifiesto una violación de</w:t>
      </w:r>
      <w:r w:rsidR="002E0E92">
        <w:rPr>
          <w:lang w:val="es-ES_tradnl"/>
        </w:rPr>
        <w:t xml:space="preserve"> </w:t>
      </w:r>
      <w:r w:rsidR="002E0E92" w:rsidRPr="002E0E92">
        <w:rPr>
          <w:lang w:val="es-ES_tradnl"/>
        </w:rPr>
        <w:t>l</w:t>
      </w:r>
      <w:r w:rsidR="002E0E92">
        <w:rPr>
          <w:lang w:val="es-ES_tradnl"/>
        </w:rPr>
        <w:t>os</w:t>
      </w:r>
      <w:r w:rsidR="002E0E92" w:rsidRPr="002E0E92">
        <w:rPr>
          <w:lang w:val="es-ES_tradnl"/>
        </w:rPr>
        <w:t xml:space="preserve"> artículo</w:t>
      </w:r>
      <w:r w:rsidR="002E0E92">
        <w:rPr>
          <w:lang w:val="es-ES_tradnl"/>
        </w:rPr>
        <w:t>s</w:t>
      </w:r>
      <w:r w:rsidR="002E0E92" w:rsidRPr="002E0E92">
        <w:rPr>
          <w:lang w:val="es-ES_tradnl"/>
        </w:rPr>
        <w:t xml:space="preserve"> 3</w:t>
      </w:r>
      <w:r w:rsidR="002E0E92">
        <w:rPr>
          <w:lang w:val="es-ES_tradnl"/>
        </w:rPr>
        <w:t>7</w:t>
      </w:r>
      <w:r w:rsidR="00724E14">
        <w:rPr>
          <w:lang w:val="es-ES_tradnl"/>
        </w:rPr>
        <w:t xml:space="preserve"> </w:t>
      </w:r>
      <w:r w:rsidR="002E0E92">
        <w:rPr>
          <w:lang w:val="es-ES_tradnl"/>
        </w:rPr>
        <w:t>b) y 40</w:t>
      </w:r>
      <w:r w:rsidR="00A84134">
        <w:rPr>
          <w:lang w:val="es-ES_tradnl"/>
        </w:rPr>
        <w:t>, párrafo</w:t>
      </w:r>
      <w:r w:rsidR="00724E14">
        <w:rPr>
          <w:lang w:val="es-ES_tradnl"/>
        </w:rPr>
        <w:t xml:space="preserve"> </w:t>
      </w:r>
      <w:r w:rsidR="002E0E92">
        <w:rPr>
          <w:lang w:val="es-ES_tradnl"/>
        </w:rPr>
        <w:t xml:space="preserve">1, y el artículo 4, leído conjuntamente con los </w:t>
      </w:r>
      <w:r w:rsidR="00724E14">
        <w:rPr>
          <w:lang w:val="es-ES_tradnl"/>
        </w:rPr>
        <w:t xml:space="preserve">artículos 37 </w:t>
      </w:r>
      <w:r w:rsidR="002E0E92">
        <w:rPr>
          <w:lang w:val="es-ES_tradnl"/>
        </w:rPr>
        <w:t>b) y 40</w:t>
      </w:r>
      <w:r w:rsidR="00A84134">
        <w:rPr>
          <w:lang w:val="es-ES_tradnl"/>
        </w:rPr>
        <w:t>, párrafo</w:t>
      </w:r>
      <w:r w:rsidR="00724E14">
        <w:rPr>
          <w:lang w:val="es-ES_tradnl"/>
        </w:rPr>
        <w:t xml:space="preserve"> </w:t>
      </w:r>
      <w:r w:rsidR="002E0E92">
        <w:rPr>
          <w:lang w:val="es-ES_tradnl"/>
        </w:rPr>
        <w:t>1</w:t>
      </w:r>
      <w:r w:rsidR="00A84134">
        <w:rPr>
          <w:lang w:val="es-ES_tradnl"/>
        </w:rPr>
        <w:t>,</w:t>
      </w:r>
      <w:r w:rsidR="002E0E92">
        <w:rPr>
          <w:lang w:val="es-ES_tradnl"/>
        </w:rPr>
        <w:t xml:space="preserve"> de la Convención</w:t>
      </w:r>
      <w:r w:rsidR="002E0E92" w:rsidRPr="002E0E92">
        <w:rPr>
          <w:lang w:val="es-ES_tradnl"/>
        </w:rPr>
        <w:t>.</w:t>
      </w:r>
    </w:p>
    <w:p w14:paraId="65F4E65F" w14:textId="412F741A" w:rsidR="009613A3" w:rsidRDefault="0095613C" w:rsidP="002E0E92">
      <w:pPr>
        <w:pStyle w:val="SingleTxtG"/>
      </w:pPr>
      <w:r>
        <w:t>8</w:t>
      </w:r>
      <w:r w:rsidR="002E0E92">
        <w:t>.</w:t>
      </w:r>
      <w:r w:rsidR="002E0E92">
        <w:tab/>
      </w:r>
      <w:r w:rsidR="002E0E92" w:rsidRPr="002E0E92">
        <w:t xml:space="preserve">En consecuencia, el Estado parte debe </w:t>
      </w:r>
      <w:r w:rsidR="002E0E92">
        <w:t>proporcionar a</w:t>
      </w:r>
      <w:r w:rsidR="005C68B9">
        <w:t>l autor</w:t>
      </w:r>
      <w:r w:rsidR="002E0E92">
        <w:t xml:space="preserve"> una reparación efectiva por las violaciones sufridas. </w:t>
      </w:r>
      <w:r w:rsidR="002E0E92" w:rsidRPr="002E0E92">
        <w:t>El Estado parte tiene además la obligación de evitar que se cometan violaciones similares en el futuro.</w:t>
      </w:r>
      <w:r w:rsidR="002E0E92">
        <w:t xml:space="preserve"> A este respecto, </w:t>
      </w:r>
      <w:r w:rsidR="003E24C9">
        <w:t>el Comité recomienda al Estado parte</w:t>
      </w:r>
      <w:r w:rsidR="00A84134">
        <w:t xml:space="preserve"> que</w:t>
      </w:r>
      <w:r w:rsidR="003E24C9">
        <w:t>:</w:t>
      </w:r>
    </w:p>
    <w:p w14:paraId="2AAB7B4C" w14:textId="473871D1" w:rsidR="0037361D" w:rsidRDefault="00724E14" w:rsidP="00591D3C">
      <w:pPr>
        <w:pStyle w:val="SingleTxtG"/>
      </w:pPr>
      <w:r>
        <w:tab/>
      </w:r>
      <w:r w:rsidR="0037361D" w:rsidRPr="002607E9">
        <w:t>a)</w:t>
      </w:r>
      <w:r w:rsidR="0037361D" w:rsidRPr="002607E9">
        <w:tab/>
      </w:r>
      <w:r w:rsidR="0037361D">
        <w:t xml:space="preserve">Derogue la Ley </w:t>
      </w:r>
      <w:r w:rsidR="00A84134">
        <w:t>núm.</w:t>
      </w:r>
      <w:r>
        <w:t xml:space="preserve"> </w:t>
      </w:r>
      <w:r w:rsidR="0037361D">
        <w:t>22.278, relativa al régimen penal de la minoridad, y apruebe una nueva ley compatible con la Convención</w:t>
      </w:r>
      <w:r w:rsidR="00966C23">
        <w:t xml:space="preserve"> </w:t>
      </w:r>
      <w:r w:rsidR="0037361D">
        <w:t>y las normas internacionales en materia de justicia juvenil, en los términos expuestos en el presente dictamen y en la observación general núm. 24</w:t>
      </w:r>
      <w:r w:rsidR="00A84134">
        <w:t xml:space="preserve"> (2019)</w:t>
      </w:r>
      <w:r w:rsidR="00730193">
        <w:t>;</w:t>
      </w:r>
    </w:p>
    <w:p w14:paraId="7CAC8E3F" w14:textId="6DEB65C2" w:rsidR="00E7018D" w:rsidRDefault="00724E14" w:rsidP="00591D3C">
      <w:pPr>
        <w:pStyle w:val="SingleTxtG"/>
      </w:pPr>
      <w:r>
        <w:lastRenderedPageBreak/>
        <w:tab/>
      </w:r>
      <w:r w:rsidR="0037361D">
        <w:t>b)</w:t>
      </w:r>
      <w:r w:rsidR="0037361D">
        <w:tab/>
        <w:t xml:space="preserve">Garantice un régimen </w:t>
      </w:r>
      <w:r w:rsidR="00E7018D">
        <w:t>de justicia juvenil que amplíe la protección a los niños que eran menores de 18 años en el momento de la comisión del delito</w:t>
      </w:r>
      <w:r w:rsidR="00A84134">
        <w:t>,</w:t>
      </w:r>
      <w:r w:rsidR="00E7018D">
        <w:t xml:space="preserve"> pero que alcanzan esa edad durante el juicio o el proceso de imposición de la pena, garantizando una revisión periódica en la fase de ejecución que permita evaluar la necesidad de la pena </w:t>
      </w:r>
      <w:r w:rsidR="00DE34AB">
        <w:t>con arreglo a</w:t>
      </w:r>
      <w:r w:rsidR="00E7018D">
        <w:t xml:space="preserve"> los artículos 37</w:t>
      </w:r>
      <w:r>
        <w:t xml:space="preserve"> </w:t>
      </w:r>
      <w:r w:rsidR="00E7018D">
        <w:t>b) y 40</w:t>
      </w:r>
      <w:r w:rsidR="00AD69E1">
        <w:t>, párrafo</w:t>
      </w:r>
      <w:r>
        <w:t xml:space="preserve"> </w:t>
      </w:r>
      <w:r w:rsidR="00E7018D">
        <w:t>1</w:t>
      </w:r>
      <w:r w:rsidR="00AD69E1">
        <w:t>,</w:t>
      </w:r>
      <w:r w:rsidR="00E7018D">
        <w:t xml:space="preserve"> de la Convención</w:t>
      </w:r>
      <w:r w:rsidR="00A8037F">
        <w:t>;</w:t>
      </w:r>
    </w:p>
    <w:p w14:paraId="11CA48EA" w14:textId="033ACEC8" w:rsidR="0037361D" w:rsidRDefault="00724E14" w:rsidP="00591D3C">
      <w:pPr>
        <w:pStyle w:val="SingleTxtG"/>
      </w:pPr>
      <w:r>
        <w:tab/>
      </w:r>
      <w:r w:rsidR="0037361D">
        <w:t>c)</w:t>
      </w:r>
      <w:r w:rsidR="0037361D">
        <w:tab/>
        <w:t xml:space="preserve">Adopte todas las medidas necesarias, incluido el reforzamiento de la política de </w:t>
      </w:r>
      <w:r w:rsidR="00C6526B">
        <w:t>medidas no privativas de libertad</w:t>
      </w:r>
      <w:r w:rsidR="0037361D">
        <w:t xml:space="preserve"> y medidas de reintegración para los </w:t>
      </w:r>
      <w:r w:rsidR="00966C23">
        <w:t>niños en conflicto con la ley penal</w:t>
      </w:r>
      <w:r w:rsidR="0037361D">
        <w:t xml:space="preserve">, a fin de garantizar que </w:t>
      </w:r>
      <w:r w:rsidR="00966C23">
        <w:t>estos</w:t>
      </w:r>
      <w:r w:rsidR="0037361D">
        <w:t xml:space="preserve"> sean privados de libertad únicamente como último recurso y durante el menor tiempo posible</w:t>
      </w:r>
      <w:r w:rsidR="00966C23">
        <w:t>, de conformidad con el artículo 37</w:t>
      </w:r>
      <w:r>
        <w:t xml:space="preserve"> </w:t>
      </w:r>
      <w:r w:rsidR="00966C23">
        <w:t>b) de la Convención</w:t>
      </w:r>
      <w:r w:rsidR="00415DF8">
        <w:t>.</w:t>
      </w:r>
    </w:p>
    <w:p w14:paraId="6DB82192" w14:textId="64A8595B" w:rsidR="00DA428E" w:rsidRDefault="0095613C" w:rsidP="00730193">
      <w:pPr>
        <w:pStyle w:val="SingleTxtG"/>
      </w:pPr>
      <w:r>
        <w:t>9</w:t>
      </w:r>
      <w:r w:rsidR="00DA428E" w:rsidRPr="002607E9">
        <w:t>.</w:t>
      </w:r>
      <w:r w:rsidR="00DA428E" w:rsidRPr="002607E9">
        <w:tab/>
        <w:t xml:space="preserve">Con arreglo a lo establecido en el </w:t>
      </w:r>
      <w:r w:rsidR="00724E14" w:rsidRPr="002607E9">
        <w:t>artículo</w:t>
      </w:r>
      <w:r w:rsidR="00724E14">
        <w:t xml:space="preserve"> </w:t>
      </w:r>
      <w:r w:rsidR="00DA428E" w:rsidRPr="002607E9">
        <w:t xml:space="preserve">11 del Protocolo Facultativo, el Comité desea recibir del Estado parte, a la mayor brevedad y en un plazo de 180 días, información sobre las medidas que haya adoptado para aplicar el dictamen del Comité. Asimismo, pide al Estado parte que incluya información sobre esas medidas en los informes que presente en virtud del </w:t>
      </w:r>
      <w:r w:rsidR="00724E14" w:rsidRPr="002607E9">
        <w:t>artículo</w:t>
      </w:r>
      <w:r w:rsidR="00724E14">
        <w:t xml:space="preserve"> </w:t>
      </w:r>
      <w:r w:rsidR="00DA428E" w:rsidRPr="002607E9">
        <w:t>44 de la Convención. Por último, se pide al Estado parte que publique el dictamen del Comité y le dé amplia difusión.</w:t>
      </w:r>
    </w:p>
    <w:p w14:paraId="56C1AF86" w14:textId="77777777" w:rsidR="005E3B5B" w:rsidRPr="007043F7" w:rsidRDefault="005E3B5B" w:rsidP="005E3B5B">
      <w:pPr>
        <w:pStyle w:val="SingleTxtG"/>
        <w:suppressAutoHyphens/>
        <w:spacing w:before="240" w:after="0"/>
        <w:jc w:val="center"/>
        <w:rPr>
          <w:u w:val="single"/>
        </w:rPr>
      </w:pPr>
      <w:r w:rsidRPr="007043F7">
        <w:rPr>
          <w:u w:val="single"/>
        </w:rPr>
        <w:tab/>
      </w:r>
      <w:r w:rsidRPr="007043F7">
        <w:rPr>
          <w:u w:val="single"/>
        </w:rPr>
        <w:tab/>
      </w:r>
      <w:r w:rsidRPr="007043F7">
        <w:rPr>
          <w:u w:val="single"/>
        </w:rPr>
        <w:tab/>
      </w:r>
    </w:p>
    <w:sectPr w:rsidR="005E3B5B" w:rsidRPr="007043F7" w:rsidSect="005E3B5B">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241EC" w14:textId="77777777" w:rsidR="004C6A70" w:rsidRPr="007C2DEF" w:rsidRDefault="004C6A70" w:rsidP="007C2DEF">
      <w:pPr>
        <w:pStyle w:val="Piedepgina"/>
      </w:pPr>
    </w:p>
  </w:endnote>
  <w:endnote w:type="continuationSeparator" w:id="0">
    <w:p w14:paraId="45710CAB" w14:textId="77777777" w:rsidR="004C6A70" w:rsidRPr="007C2DEF" w:rsidRDefault="004C6A7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Frutiger">
    <w:altName w:val="Calibri"/>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DA16B" w14:textId="61143814" w:rsidR="00DE15B8" w:rsidRPr="005E3B5B" w:rsidRDefault="00DE15B8" w:rsidP="005E3B5B">
    <w:pPr>
      <w:pStyle w:val="Piedepgina"/>
      <w:tabs>
        <w:tab w:val="right" w:pos="9638"/>
      </w:tabs>
    </w:pPr>
    <w:r w:rsidRPr="005E3B5B">
      <w:rPr>
        <w:b/>
        <w:sz w:val="18"/>
      </w:rPr>
      <w:fldChar w:fldCharType="begin"/>
    </w:r>
    <w:r w:rsidRPr="005E3B5B">
      <w:rPr>
        <w:b/>
        <w:sz w:val="18"/>
      </w:rPr>
      <w:instrText xml:space="preserve"> PAGE  \* MERGEFORMAT </w:instrText>
    </w:r>
    <w:r w:rsidRPr="005E3B5B">
      <w:rPr>
        <w:b/>
        <w:sz w:val="18"/>
      </w:rPr>
      <w:fldChar w:fldCharType="separate"/>
    </w:r>
    <w:r w:rsidR="009B364D">
      <w:rPr>
        <w:b/>
        <w:noProof/>
        <w:sz w:val="18"/>
      </w:rPr>
      <w:t>2</w:t>
    </w:r>
    <w:r w:rsidRPr="005E3B5B">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CA522" w14:textId="1096E02D" w:rsidR="00DE15B8" w:rsidRPr="005E3B5B" w:rsidRDefault="00DE15B8" w:rsidP="005E3B5B">
    <w:pPr>
      <w:pStyle w:val="Piedepgina"/>
      <w:tabs>
        <w:tab w:val="right" w:pos="9638"/>
      </w:tabs>
      <w:rPr>
        <w:b/>
        <w:sz w:val="18"/>
      </w:rPr>
    </w:pPr>
    <w:r>
      <w:tab/>
    </w:r>
    <w:r w:rsidRPr="005E3B5B">
      <w:rPr>
        <w:b/>
        <w:sz w:val="18"/>
      </w:rPr>
      <w:fldChar w:fldCharType="begin"/>
    </w:r>
    <w:r w:rsidRPr="005E3B5B">
      <w:rPr>
        <w:b/>
        <w:sz w:val="18"/>
      </w:rPr>
      <w:instrText xml:space="preserve"> PAGE  \* MERGEFORMAT </w:instrText>
    </w:r>
    <w:r w:rsidRPr="005E3B5B">
      <w:rPr>
        <w:b/>
        <w:sz w:val="18"/>
      </w:rPr>
      <w:fldChar w:fldCharType="separate"/>
    </w:r>
    <w:r w:rsidR="009B364D">
      <w:rPr>
        <w:b/>
        <w:noProof/>
        <w:sz w:val="18"/>
      </w:rPr>
      <w:t>9</w:t>
    </w:r>
    <w:r w:rsidRPr="005E3B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C3A03" w14:textId="4BF63621" w:rsidR="00DE15B8" w:rsidRPr="004F1CA0" w:rsidRDefault="004F1CA0" w:rsidP="004F1CA0">
    <w:pPr>
      <w:pStyle w:val="Piedepgina"/>
      <w:tabs>
        <w:tab w:val="left" w:pos="6520"/>
        <w:tab w:val="right" w:pos="9638"/>
      </w:tabs>
      <w:spacing w:before="120" w:line="240" w:lineRule="auto"/>
      <w:rPr>
        <w:sz w:val="20"/>
      </w:rPr>
    </w:pPr>
    <w:proofErr w:type="spellStart"/>
    <w:r>
      <w:rPr>
        <w:sz w:val="20"/>
      </w:rPr>
      <w:t>GE.23</w:t>
    </w:r>
    <w:proofErr w:type="spellEnd"/>
    <w:r>
      <w:rPr>
        <w:sz w:val="20"/>
      </w:rPr>
      <w:t>-20017  (S)</w:t>
    </w:r>
    <w:bookmarkStart w:id="2" w:name="_GoBack"/>
    <w:bookmarkEnd w:id="2"/>
    <w:r w:rsidR="00E15324">
      <w:rPr>
        <w:sz w:val="20"/>
      </w:rPr>
      <w:t xml:space="preserve">    230124    230124</w:t>
    </w:r>
    <w:r>
      <w:rPr>
        <w:sz w:val="20"/>
      </w:rPr>
      <w:tab/>
    </w:r>
    <w:r w:rsidRPr="004F1CA0">
      <w:rPr>
        <w:noProof/>
        <w:sz w:val="20"/>
        <w:lang w:val="fr-CH" w:eastAsia="zh-CN"/>
      </w:rPr>
      <w:drawing>
        <wp:inline distT="0" distB="0" distL="0" distR="0" wp14:anchorId="0D3F9BE5" wp14:editId="5C4C51F1">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31E416C" wp14:editId="2E155B45">
          <wp:extent cx="561975" cy="5619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EE765" w14:textId="77777777" w:rsidR="004C6A70" w:rsidRPr="001075E9" w:rsidRDefault="004C6A70" w:rsidP="001075E9">
      <w:pPr>
        <w:tabs>
          <w:tab w:val="right" w:pos="2155"/>
        </w:tabs>
        <w:spacing w:after="80" w:line="240" w:lineRule="auto"/>
        <w:ind w:left="680"/>
        <w:rPr>
          <w:u w:val="single"/>
        </w:rPr>
      </w:pPr>
      <w:r>
        <w:rPr>
          <w:u w:val="single"/>
        </w:rPr>
        <w:tab/>
      </w:r>
    </w:p>
  </w:footnote>
  <w:footnote w:type="continuationSeparator" w:id="0">
    <w:p w14:paraId="09E4EF4C" w14:textId="77777777" w:rsidR="004C6A70" w:rsidRDefault="004C6A70" w:rsidP="007C2DEF">
      <w:pPr>
        <w:tabs>
          <w:tab w:val="right" w:pos="2155"/>
        </w:tabs>
        <w:spacing w:after="80" w:line="240" w:lineRule="auto"/>
        <w:ind w:left="680"/>
        <w:rPr>
          <w:u w:val="single"/>
        </w:rPr>
      </w:pPr>
      <w:r>
        <w:rPr>
          <w:u w:val="single"/>
        </w:rPr>
        <w:tab/>
      </w:r>
    </w:p>
  </w:footnote>
  <w:footnote w:id="1">
    <w:p w14:paraId="7EFDFB63" w14:textId="1542D447" w:rsidR="00E15324" w:rsidRPr="00E15324" w:rsidRDefault="00E15324">
      <w:pPr>
        <w:pStyle w:val="Textonotapie"/>
        <w:rPr>
          <w:sz w:val="20"/>
        </w:rPr>
      </w:pPr>
      <w:r>
        <w:tab/>
      </w:r>
      <w:r w:rsidRPr="00E15324">
        <w:rPr>
          <w:rStyle w:val="Refdenotaalpie"/>
          <w:sz w:val="20"/>
          <w:vertAlign w:val="baseline"/>
        </w:rPr>
        <w:t>*</w:t>
      </w:r>
      <w:r w:rsidRPr="00E15324">
        <w:rPr>
          <w:rStyle w:val="Refdenotaalpie"/>
          <w:vertAlign w:val="baseline"/>
        </w:rPr>
        <w:tab/>
      </w:r>
      <w:r w:rsidRPr="00A73763">
        <w:rPr>
          <w:szCs w:val="18"/>
        </w:rPr>
        <w:t>Publicado nuevamente por razones técnicas el 2</w:t>
      </w:r>
      <w:r>
        <w:rPr>
          <w:szCs w:val="18"/>
        </w:rPr>
        <w:t>3</w:t>
      </w:r>
      <w:r w:rsidRPr="00A73763">
        <w:rPr>
          <w:szCs w:val="18"/>
        </w:rPr>
        <w:t xml:space="preserve"> de enero de 2024.</w:t>
      </w:r>
    </w:p>
  </w:footnote>
  <w:footnote w:id="2">
    <w:p w14:paraId="64826AFF" w14:textId="3767D96A" w:rsidR="00C6526B" w:rsidRPr="003F2CBA" w:rsidRDefault="00C6526B" w:rsidP="00C6526B">
      <w:pPr>
        <w:pStyle w:val="Textonotapie"/>
      </w:pPr>
      <w:r>
        <w:rPr>
          <w:rStyle w:val="Refdenotaalpie"/>
        </w:rPr>
        <w:tab/>
      </w:r>
      <w:r w:rsidRPr="00115B06">
        <w:rPr>
          <w:rStyle w:val="Refdenotaalpie"/>
          <w:sz w:val="20"/>
          <w:vertAlign w:val="baseline"/>
        </w:rPr>
        <w:t>*</w:t>
      </w:r>
      <w:r w:rsidR="00210B4C" w:rsidRPr="00115B06">
        <w:rPr>
          <w:rStyle w:val="Refdenotaalpie"/>
          <w:sz w:val="20"/>
          <w:vertAlign w:val="baseline"/>
          <w:lang w:val="es-ES_tradnl"/>
        </w:rPr>
        <w:t>*</w:t>
      </w:r>
      <w:r>
        <w:rPr>
          <w:rStyle w:val="Refdenotaalpie"/>
          <w:sz w:val="20"/>
          <w:vertAlign w:val="baseline"/>
        </w:rPr>
        <w:tab/>
      </w:r>
      <w:r w:rsidRPr="00315E13">
        <w:t xml:space="preserve">Aprobado por el Comité en su </w:t>
      </w:r>
      <w:r>
        <w:t>94</w:t>
      </w:r>
      <w:r w:rsidRPr="00315E13">
        <w:t>º período de sesiones (</w:t>
      </w:r>
      <w:r>
        <w:t>4 de septiembre a 22 de septiembre de 2023).</w:t>
      </w:r>
    </w:p>
  </w:footnote>
  <w:footnote w:id="3">
    <w:p w14:paraId="7A4F9D69" w14:textId="07BB2099" w:rsidR="00C6526B" w:rsidRPr="003F2CBA" w:rsidRDefault="00C6526B" w:rsidP="00C6526B">
      <w:pPr>
        <w:pStyle w:val="Textonotapie"/>
      </w:pPr>
      <w:r w:rsidRPr="003F2CBA">
        <w:rPr>
          <w:rStyle w:val="Refdenotaalpie"/>
        </w:rPr>
        <w:tab/>
      </w:r>
      <w:r w:rsidRPr="00115B06">
        <w:rPr>
          <w:rStyle w:val="Refdenotaalpie"/>
          <w:sz w:val="20"/>
          <w:vertAlign w:val="baseline"/>
        </w:rPr>
        <w:t>**</w:t>
      </w:r>
      <w:r w:rsidR="00210B4C" w:rsidRPr="00115B06">
        <w:rPr>
          <w:rStyle w:val="Refdenotaalpie"/>
          <w:sz w:val="20"/>
          <w:vertAlign w:val="baseline"/>
          <w:lang w:val="es-ES_tradnl"/>
        </w:rPr>
        <w:t>*</w:t>
      </w:r>
      <w:r w:rsidRPr="003F2CBA">
        <w:rPr>
          <w:rStyle w:val="Refdenotaalpie"/>
          <w:sz w:val="20"/>
          <w:vertAlign w:val="baseline"/>
        </w:rPr>
        <w:tab/>
      </w:r>
      <w:r w:rsidR="00245D67" w:rsidRPr="00245D67">
        <w:t xml:space="preserve">Participaron en </w:t>
      </w:r>
      <w:r w:rsidR="00245D67" w:rsidRPr="009A2669">
        <w:t>el examen de la comunicaci</w:t>
      </w:r>
      <w:r w:rsidR="00063261" w:rsidRPr="009A2669">
        <w:t>ón</w:t>
      </w:r>
      <w:r w:rsidR="00245D67" w:rsidRPr="009A2669">
        <w:t xml:space="preserve"> los siguientes</w:t>
      </w:r>
      <w:r w:rsidR="00245D67" w:rsidRPr="00245D67">
        <w:t xml:space="preserve"> miembros del Comité: Suzanne Aho, </w:t>
      </w:r>
      <w:proofErr w:type="spellStart"/>
      <w:r w:rsidR="00245D67" w:rsidRPr="00245D67">
        <w:t>Aïssatou</w:t>
      </w:r>
      <w:proofErr w:type="spellEnd"/>
      <w:r w:rsidR="00245D67" w:rsidRPr="00245D67">
        <w:t xml:space="preserve"> Alassane </w:t>
      </w:r>
      <w:proofErr w:type="spellStart"/>
      <w:r w:rsidR="00245D67" w:rsidRPr="00245D67">
        <w:t>Moulaye</w:t>
      </w:r>
      <w:proofErr w:type="spellEnd"/>
      <w:r w:rsidR="00245D67" w:rsidRPr="00245D67">
        <w:t xml:space="preserve">, </w:t>
      </w:r>
      <w:proofErr w:type="spellStart"/>
      <w:r w:rsidR="00245D67" w:rsidRPr="00245D67">
        <w:t>Thuwayba</w:t>
      </w:r>
      <w:proofErr w:type="spellEnd"/>
      <w:r w:rsidR="00245D67" w:rsidRPr="00245D67">
        <w:t xml:space="preserve"> Al </w:t>
      </w:r>
      <w:proofErr w:type="spellStart"/>
      <w:r w:rsidR="00245D67" w:rsidRPr="00245D67">
        <w:t>Barwani</w:t>
      </w:r>
      <w:proofErr w:type="spellEnd"/>
      <w:r w:rsidR="00245D67" w:rsidRPr="00245D67">
        <w:t xml:space="preserve">, </w:t>
      </w:r>
      <w:proofErr w:type="spellStart"/>
      <w:r w:rsidR="00245D67" w:rsidRPr="00245D67">
        <w:t>Hynd</w:t>
      </w:r>
      <w:proofErr w:type="spellEnd"/>
      <w:r w:rsidR="00245D67" w:rsidRPr="00245D67">
        <w:t xml:space="preserve"> </w:t>
      </w:r>
      <w:proofErr w:type="spellStart"/>
      <w:r w:rsidR="00245D67" w:rsidRPr="00245D67">
        <w:t>Ayoubi</w:t>
      </w:r>
      <w:proofErr w:type="spellEnd"/>
      <w:r w:rsidR="00245D67" w:rsidRPr="00245D67">
        <w:t xml:space="preserve"> </w:t>
      </w:r>
      <w:proofErr w:type="spellStart"/>
      <w:r w:rsidR="00245D67" w:rsidRPr="00245D67">
        <w:t>Idrissi</w:t>
      </w:r>
      <w:proofErr w:type="spellEnd"/>
      <w:r w:rsidR="00245D67" w:rsidRPr="00245D67">
        <w:t xml:space="preserve">, </w:t>
      </w:r>
      <w:proofErr w:type="spellStart"/>
      <w:r w:rsidR="00245D67" w:rsidRPr="00245D67">
        <w:t>Rinchen</w:t>
      </w:r>
      <w:proofErr w:type="spellEnd"/>
      <w:r w:rsidR="00245D67" w:rsidRPr="00245D67">
        <w:t xml:space="preserve"> </w:t>
      </w:r>
      <w:proofErr w:type="spellStart"/>
      <w:r w:rsidR="00245D67" w:rsidRPr="00245D67">
        <w:t>Chophel</w:t>
      </w:r>
      <w:proofErr w:type="spellEnd"/>
      <w:r w:rsidR="00245D67" w:rsidRPr="00245D67">
        <w:t xml:space="preserve">, </w:t>
      </w:r>
      <w:proofErr w:type="spellStart"/>
      <w:r w:rsidR="00245D67" w:rsidRPr="00245D67">
        <w:t>Rosaria</w:t>
      </w:r>
      <w:proofErr w:type="spellEnd"/>
      <w:r w:rsidR="00245D67" w:rsidRPr="00245D67">
        <w:t xml:space="preserve"> Correa, Bragi </w:t>
      </w:r>
      <w:proofErr w:type="spellStart"/>
      <w:r w:rsidR="00245D67" w:rsidRPr="00245D67">
        <w:t>Gudbrandsson</w:t>
      </w:r>
      <w:proofErr w:type="spellEnd"/>
      <w:r w:rsidR="00245D67" w:rsidRPr="00245D67">
        <w:t xml:space="preserve">, Philip </w:t>
      </w:r>
      <w:proofErr w:type="spellStart"/>
      <w:r w:rsidR="00245D67" w:rsidRPr="00245D67">
        <w:t>Jaffé</w:t>
      </w:r>
      <w:proofErr w:type="spellEnd"/>
      <w:r w:rsidR="00245D67">
        <w:t xml:space="preserve">, </w:t>
      </w:r>
      <w:proofErr w:type="spellStart"/>
      <w:r w:rsidR="00245D67" w:rsidRPr="00245D67">
        <w:t>Sopio</w:t>
      </w:r>
      <w:proofErr w:type="spellEnd"/>
      <w:r w:rsidR="00245D67" w:rsidRPr="00245D67">
        <w:t xml:space="preserve"> </w:t>
      </w:r>
      <w:proofErr w:type="spellStart"/>
      <w:r w:rsidR="00245D67" w:rsidRPr="00245D67">
        <w:t>Kiladze</w:t>
      </w:r>
      <w:proofErr w:type="spellEnd"/>
      <w:r w:rsidR="00245D67" w:rsidRPr="00245D67">
        <w:t xml:space="preserve">, </w:t>
      </w:r>
      <w:proofErr w:type="spellStart"/>
      <w:r w:rsidR="00245D67" w:rsidRPr="00245D67">
        <w:t>Faith</w:t>
      </w:r>
      <w:proofErr w:type="spellEnd"/>
      <w:r w:rsidR="00245D67" w:rsidRPr="00245D67">
        <w:t xml:space="preserve"> Marshall-Harris, </w:t>
      </w:r>
      <w:proofErr w:type="spellStart"/>
      <w:r w:rsidR="00245D67" w:rsidRPr="00245D67">
        <w:t>Benyam</w:t>
      </w:r>
      <w:proofErr w:type="spellEnd"/>
      <w:r w:rsidR="00245D67" w:rsidRPr="00245D67">
        <w:t xml:space="preserve"> </w:t>
      </w:r>
      <w:proofErr w:type="spellStart"/>
      <w:r w:rsidR="00245D67" w:rsidRPr="00245D67">
        <w:t>Dawit</w:t>
      </w:r>
      <w:proofErr w:type="spellEnd"/>
      <w:r w:rsidR="00245D67" w:rsidRPr="00245D67">
        <w:t xml:space="preserve"> </w:t>
      </w:r>
      <w:proofErr w:type="spellStart"/>
      <w:r w:rsidR="00245D67" w:rsidRPr="00245D67">
        <w:t>Mezmur</w:t>
      </w:r>
      <w:proofErr w:type="spellEnd"/>
      <w:r w:rsidR="00245D67" w:rsidRPr="00245D67">
        <w:t xml:space="preserve">, </w:t>
      </w:r>
      <w:proofErr w:type="spellStart"/>
      <w:r w:rsidR="00245D67" w:rsidRPr="00245D67">
        <w:t>Otani</w:t>
      </w:r>
      <w:proofErr w:type="spellEnd"/>
      <w:r w:rsidR="00245D67" w:rsidRPr="00245D67">
        <w:t xml:space="preserve"> </w:t>
      </w:r>
      <w:proofErr w:type="spellStart"/>
      <w:r w:rsidR="00245D67" w:rsidRPr="00245D67">
        <w:t>Mikiko</w:t>
      </w:r>
      <w:proofErr w:type="spellEnd"/>
      <w:r w:rsidR="00245D67" w:rsidRPr="00245D67">
        <w:t xml:space="preserve">, Luis Ernesto Pedernera Reyna, Ann Skelton, </w:t>
      </w:r>
      <w:proofErr w:type="spellStart"/>
      <w:r w:rsidR="00245D67" w:rsidRPr="00245D67">
        <w:t>Velina</w:t>
      </w:r>
      <w:proofErr w:type="spellEnd"/>
      <w:r w:rsidR="00245D67" w:rsidRPr="00245D67">
        <w:t xml:space="preserve"> </w:t>
      </w:r>
      <w:proofErr w:type="spellStart"/>
      <w:r w:rsidR="00245D67" w:rsidRPr="00245D67">
        <w:t>Todorova</w:t>
      </w:r>
      <w:proofErr w:type="spellEnd"/>
      <w:r w:rsidR="00245D67" w:rsidRPr="00245D67">
        <w:t xml:space="preserve">, Benoit Van </w:t>
      </w:r>
      <w:proofErr w:type="spellStart"/>
      <w:r w:rsidR="00245D67" w:rsidRPr="00245D67">
        <w:t>Keirsbilck</w:t>
      </w:r>
      <w:proofErr w:type="spellEnd"/>
      <w:r w:rsidR="00245D67" w:rsidRPr="00245D67">
        <w:t xml:space="preserve"> y </w:t>
      </w:r>
      <w:proofErr w:type="spellStart"/>
      <w:r w:rsidR="00245D67" w:rsidRPr="00245D67">
        <w:t>Ratou</w:t>
      </w:r>
      <w:proofErr w:type="spellEnd"/>
      <w:r w:rsidR="00245D67" w:rsidRPr="00245D67">
        <w:t xml:space="preserve"> Zara.</w:t>
      </w:r>
    </w:p>
  </w:footnote>
  <w:footnote w:id="4">
    <w:p w14:paraId="5456B046" w14:textId="017A2627" w:rsidR="00245D67" w:rsidRPr="005739BC" w:rsidRDefault="00245D67" w:rsidP="00245D67">
      <w:pPr>
        <w:pStyle w:val="Textonotapie"/>
        <w:rPr>
          <w:sz w:val="20"/>
        </w:rPr>
      </w:pPr>
      <w:r>
        <w:tab/>
      </w:r>
      <w:r w:rsidRPr="005739BC">
        <w:rPr>
          <w:rStyle w:val="Refdenotaalpie"/>
          <w:sz w:val="20"/>
          <w:vertAlign w:val="baseline"/>
        </w:rPr>
        <w:t>***</w:t>
      </w:r>
      <w:r w:rsidR="00210B4C" w:rsidRPr="00115B06">
        <w:rPr>
          <w:rStyle w:val="Refdenotaalpie"/>
          <w:sz w:val="20"/>
          <w:vertAlign w:val="baseline"/>
          <w:lang w:val="es-ES_tradnl"/>
        </w:rPr>
        <w:t>*</w:t>
      </w:r>
      <w:r w:rsidRPr="005739BC">
        <w:rPr>
          <w:rStyle w:val="Refdenotaalpie"/>
          <w:vertAlign w:val="baseline"/>
        </w:rPr>
        <w:tab/>
      </w:r>
      <w:r w:rsidRPr="008E4CAE">
        <w:t xml:space="preserve">De conformidad con el artículo 8, párrafo 1 a), del </w:t>
      </w:r>
      <w:r w:rsidR="00191879">
        <w:t>R</w:t>
      </w:r>
      <w:r w:rsidRPr="008E4CAE">
        <w:t xml:space="preserve">eglamento del Comité en relación con el Protocolo Facultativo de la Convención sobre los Derechos del Niño relativo a un procedimiento de comunicaciones, </w:t>
      </w:r>
      <w:r>
        <w:t xml:space="preserve">Mary </w:t>
      </w:r>
      <w:proofErr w:type="spellStart"/>
      <w:r>
        <w:t>Beloff</w:t>
      </w:r>
      <w:proofErr w:type="spellEnd"/>
      <w:r w:rsidRPr="008E4CAE">
        <w:t xml:space="preserve"> no participó en el examen de la comunicación.</w:t>
      </w:r>
    </w:p>
  </w:footnote>
  <w:footnote w:id="5">
    <w:p w14:paraId="253084E2" w14:textId="44618016" w:rsidR="00E94E3A" w:rsidRDefault="00E94E3A">
      <w:pPr>
        <w:pStyle w:val="Textonotapie"/>
      </w:pPr>
      <w:r>
        <w:tab/>
      </w:r>
      <w:r>
        <w:rPr>
          <w:rStyle w:val="Refdenotaalpie"/>
        </w:rPr>
        <w:footnoteRef/>
      </w:r>
      <w:r>
        <w:tab/>
      </w:r>
      <w:r w:rsidR="00F76746">
        <w:t xml:space="preserve">Artículo 80, </w:t>
      </w:r>
      <w:r w:rsidR="006703E9">
        <w:t>párr</w:t>
      </w:r>
      <w:r w:rsidR="00BC4504">
        <w:t>afo</w:t>
      </w:r>
      <w:r w:rsidR="00F76746">
        <w:t xml:space="preserve"> 7</w:t>
      </w:r>
      <w:r w:rsidR="00BC4504">
        <w:t>,</w:t>
      </w:r>
      <w:r w:rsidR="00F76746">
        <w:t xml:space="preserve"> del </w:t>
      </w:r>
      <w:r>
        <w:t xml:space="preserve">Código Penal </w:t>
      </w:r>
      <w:r w:rsidR="00BC4504">
        <w:t xml:space="preserve">de la Nación </w:t>
      </w:r>
      <w:r>
        <w:t>Argentin</w:t>
      </w:r>
      <w:r w:rsidR="00BC4504">
        <w:t>a</w:t>
      </w:r>
      <w:r w:rsidR="00F76746">
        <w:t>.</w:t>
      </w:r>
    </w:p>
  </w:footnote>
  <w:footnote w:id="6">
    <w:p w14:paraId="0996E63E" w14:textId="0FA914E4" w:rsidR="00F76746" w:rsidRDefault="00F76746">
      <w:pPr>
        <w:pStyle w:val="Textonotapie"/>
      </w:pPr>
      <w:r>
        <w:tab/>
      </w:r>
      <w:r>
        <w:rPr>
          <w:rStyle w:val="Refdenotaalpie"/>
        </w:rPr>
        <w:footnoteRef/>
      </w:r>
      <w:r>
        <w:tab/>
      </w:r>
      <w:r>
        <w:tab/>
        <w:t>Artículos 40 y 41 del Código Penal.</w:t>
      </w:r>
    </w:p>
  </w:footnote>
  <w:footnote w:id="7">
    <w:p w14:paraId="37510A2B" w14:textId="7A981304" w:rsidR="00307CD3" w:rsidRDefault="00C52D62" w:rsidP="008A30BA">
      <w:pPr>
        <w:pStyle w:val="Textonotapie"/>
        <w:spacing w:after="60"/>
      </w:pPr>
      <w:r>
        <w:tab/>
      </w:r>
      <w:r>
        <w:rPr>
          <w:rStyle w:val="Refdenotaalpie"/>
        </w:rPr>
        <w:footnoteRef/>
      </w:r>
      <w:r>
        <w:tab/>
      </w:r>
      <w:r>
        <w:tab/>
      </w:r>
      <w:r w:rsidR="00307CD3">
        <w:t>“La imposición de pena respecto del menor a que se refiere el artículo segundo estará supeditada a los siguientes requisitos:</w:t>
      </w:r>
    </w:p>
    <w:p w14:paraId="1DEEC9C4" w14:textId="77777777" w:rsidR="00307CD3" w:rsidRDefault="00307CD3" w:rsidP="008A30BA">
      <w:pPr>
        <w:pStyle w:val="Textonotapie"/>
        <w:spacing w:after="60"/>
      </w:pPr>
      <w:r>
        <w:tab/>
      </w:r>
      <w:r>
        <w:tab/>
      </w:r>
      <w:r>
        <w:tab/>
        <w:t>1º - Que previamente haya sido declarada su responsabilidad penal y la civil si correspondiere, conforme a las normas procesales.</w:t>
      </w:r>
    </w:p>
    <w:p w14:paraId="22972291" w14:textId="77777777" w:rsidR="00307CD3" w:rsidRDefault="00307CD3" w:rsidP="008A30BA">
      <w:pPr>
        <w:pStyle w:val="Textonotapie"/>
        <w:spacing w:after="60"/>
      </w:pPr>
      <w:r>
        <w:tab/>
      </w:r>
      <w:r>
        <w:tab/>
        <w:t>2º - Que haya cumplido dieciocho (18) años de edad.</w:t>
      </w:r>
    </w:p>
    <w:p w14:paraId="44B23790" w14:textId="38028CF9" w:rsidR="00307CD3" w:rsidRDefault="00307CD3" w:rsidP="008A30BA">
      <w:pPr>
        <w:pStyle w:val="Textonotapie"/>
        <w:spacing w:after="60"/>
      </w:pPr>
      <w:r>
        <w:tab/>
      </w:r>
      <w:r>
        <w:tab/>
        <w:t>3º - Que haya sido sometido a un período de tratamiento tutelar no inferior a un (1) año, prorrogable en caso necesario hasta la mayoría de edad.</w:t>
      </w:r>
    </w:p>
    <w:p w14:paraId="535732AB" w14:textId="77777777" w:rsidR="00307CD3" w:rsidRDefault="00307CD3" w:rsidP="008A30BA">
      <w:pPr>
        <w:pStyle w:val="Textonotapie"/>
        <w:spacing w:after="60"/>
      </w:pPr>
      <w:r>
        <w:tab/>
      </w:r>
      <w:r>
        <w:tab/>
        <w:t>Una vez cumplidos estos requisitos, si las modalidades del hecho, los antecedentes del menor, el resultado del tratamiento tutelar y la impresión directa recogida por el juez hicieren necesario aplicarle una sanción, así lo resolverá, pudiendo reducirla en la forma prevista para la tentativa.</w:t>
      </w:r>
    </w:p>
    <w:p w14:paraId="0D4599F8" w14:textId="371E7E09" w:rsidR="00C52D62" w:rsidRDefault="00307CD3" w:rsidP="00307CD3">
      <w:pPr>
        <w:pStyle w:val="Textonotapie"/>
      </w:pPr>
      <w:r>
        <w:tab/>
      </w:r>
      <w:r>
        <w:tab/>
        <w:t>Contrariamente, si fuese innecesario aplicarle sanción, lo absolverá, en cuyo caso podrá prescindir del requisito del inciso segundo.”</w:t>
      </w:r>
    </w:p>
  </w:footnote>
  <w:footnote w:id="8">
    <w:p w14:paraId="78821CEC" w14:textId="39C7D33F" w:rsidR="00195A10" w:rsidRPr="0084593B" w:rsidRDefault="005039F7">
      <w:pPr>
        <w:pStyle w:val="Textonotapie"/>
      </w:pPr>
      <w:r>
        <w:tab/>
      </w:r>
      <w:r w:rsidR="00195A10">
        <w:rPr>
          <w:rStyle w:val="Refdenotaalpie"/>
        </w:rPr>
        <w:footnoteRef/>
      </w:r>
      <w:r>
        <w:tab/>
      </w:r>
      <w:r>
        <w:tab/>
      </w:r>
      <w:r w:rsidR="00307CD3">
        <w:t xml:space="preserve">Corte Suprema de Justicia de la Nación, </w:t>
      </w:r>
      <w:r w:rsidR="00307CD3" w:rsidRPr="009E56EE">
        <w:t>“</w:t>
      </w:r>
      <w:r w:rsidR="00307CD3" w:rsidRPr="00591D3C">
        <w:rPr>
          <w:i/>
          <w:iCs/>
        </w:rPr>
        <w:t>A., C. J.</w:t>
      </w:r>
      <w:r w:rsidR="00307CD3" w:rsidRPr="009E56EE">
        <w:t xml:space="preserve"> s/homicidio en ocasión de robo, </w:t>
      </w:r>
      <w:r w:rsidR="00307CD3" w:rsidRPr="0084593B">
        <w:t>portación ilegal de</w:t>
      </w:r>
      <w:r w:rsidR="00001781">
        <w:t> </w:t>
      </w:r>
      <w:r w:rsidR="00307CD3" w:rsidRPr="0084593B">
        <w:t xml:space="preserve">armas de fuego de uso civil s/ juicio s/ casación”, </w:t>
      </w:r>
      <w:r w:rsidR="00460084" w:rsidRPr="00591D3C">
        <w:rPr>
          <w:i/>
          <w:iCs/>
        </w:rPr>
        <w:t>Fallos</w:t>
      </w:r>
      <w:r w:rsidR="00460084" w:rsidRPr="00460084">
        <w:t>: 340:1450</w:t>
      </w:r>
      <w:r w:rsidR="00460084">
        <w:t xml:space="preserve">, </w:t>
      </w:r>
      <w:r w:rsidR="00307CD3" w:rsidRPr="0084593B">
        <w:t>sentencia de 31 de octubre de</w:t>
      </w:r>
      <w:r w:rsidR="00001781">
        <w:t> </w:t>
      </w:r>
      <w:r w:rsidR="00307CD3" w:rsidRPr="0084593B">
        <w:t>2017.</w:t>
      </w:r>
    </w:p>
  </w:footnote>
  <w:footnote w:id="9">
    <w:p w14:paraId="2972A7D6" w14:textId="171EC5DA" w:rsidR="00423AAC" w:rsidRPr="00591D3C" w:rsidRDefault="005039F7">
      <w:pPr>
        <w:pStyle w:val="Textonotapie"/>
      </w:pPr>
      <w:r w:rsidRPr="0084593B">
        <w:tab/>
      </w:r>
      <w:r w:rsidR="00423AAC" w:rsidRPr="0084593B">
        <w:rPr>
          <w:rStyle w:val="Refdenotaalpie"/>
        </w:rPr>
        <w:footnoteRef/>
      </w:r>
      <w:r w:rsidRPr="00591D3C">
        <w:tab/>
      </w:r>
      <w:r w:rsidR="00D576C0" w:rsidRPr="00D576C0">
        <w:rPr>
          <w:i/>
          <w:iCs/>
        </w:rPr>
        <w:t>Ibid</w:t>
      </w:r>
      <w:r w:rsidR="00D576C0" w:rsidRPr="00591D3C">
        <w:t xml:space="preserve">., </w:t>
      </w:r>
      <w:r w:rsidR="00307CD3" w:rsidRPr="00591D3C">
        <w:t>c</w:t>
      </w:r>
      <w:r w:rsidR="00423AAC" w:rsidRPr="00591D3C">
        <w:t>onsid</w:t>
      </w:r>
      <w:r w:rsidR="00D576C0" w:rsidRPr="00591D3C">
        <w:t>erando</w:t>
      </w:r>
      <w:r w:rsidR="00460084">
        <w:t xml:space="preserve"> </w:t>
      </w:r>
      <w:r w:rsidR="00423AAC" w:rsidRPr="00591D3C">
        <w:t>4</w:t>
      </w:r>
      <w:r w:rsidR="006B409F" w:rsidRPr="00591D3C">
        <w:t>º</w:t>
      </w:r>
      <w:r w:rsidR="00423AAC" w:rsidRPr="00591D3C">
        <w:t>.</w:t>
      </w:r>
    </w:p>
  </w:footnote>
  <w:footnote w:id="10">
    <w:p w14:paraId="4480D985" w14:textId="44DDED91" w:rsidR="006B409F" w:rsidRPr="00D43278" w:rsidRDefault="005039F7">
      <w:pPr>
        <w:pStyle w:val="Textonotapie"/>
      </w:pPr>
      <w:r w:rsidRPr="00591D3C">
        <w:tab/>
      </w:r>
      <w:r w:rsidR="006B409F" w:rsidRPr="00D43278">
        <w:rPr>
          <w:rStyle w:val="Refdenotaalpie"/>
        </w:rPr>
        <w:footnoteRef/>
      </w:r>
      <w:r w:rsidRPr="00D43278">
        <w:tab/>
      </w:r>
      <w:r w:rsidR="005E355B" w:rsidRPr="00D43278">
        <w:rPr>
          <w:i/>
          <w:iCs/>
        </w:rPr>
        <w:t>I</w:t>
      </w:r>
      <w:r w:rsidR="008F0BDB" w:rsidRPr="00591D3C">
        <w:rPr>
          <w:i/>
          <w:iCs/>
        </w:rPr>
        <w:t>bid</w:t>
      </w:r>
      <w:r w:rsidR="008F0BDB" w:rsidRPr="00D43278">
        <w:t xml:space="preserve">., </w:t>
      </w:r>
      <w:r w:rsidR="00D576C0">
        <w:t>considerando</w:t>
      </w:r>
      <w:r w:rsidR="006B409F" w:rsidRPr="00D43278">
        <w:t xml:space="preserve"> 7º.</w:t>
      </w:r>
    </w:p>
  </w:footnote>
  <w:footnote w:id="11">
    <w:p w14:paraId="2A481D07" w14:textId="5853166E" w:rsidR="00423AAC" w:rsidRDefault="005039F7">
      <w:pPr>
        <w:pStyle w:val="Textonotapie"/>
      </w:pPr>
      <w:r w:rsidRPr="0027317D">
        <w:tab/>
      </w:r>
      <w:r w:rsidR="00423AAC" w:rsidRPr="0027317D">
        <w:rPr>
          <w:rStyle w:val="Refdenotaalpie"/>
        </w:rPr>
        <w:footnoteRef/>
      </w:r>
      <w:r w:rsidRPr="0027317D">
        <w:tab/>
      </w:r>
      <w:r w:rsidRPr="00591D3C">
        <w:rPr>
          <w:i/>
          <w:iCs/>
        </w:rPr>
        <w:tab/>
      </w:r>
      <w:r w:rsidR="005E355B" w:rsidRPr="00591D3C">
        <w:rPr>
          <w:i/>
          <w:iCs/>
        </w:rPr>
        <w:t>Ibid.</w:t>
      </w:r>
      <w:r w:rsidR="005E355B" w:rsidRPr="0027317D">
        <w:t xml:space="preserve">, </w:t>
      </w:r>
      <w:r w:rsidR="00307CD3" w:rsidRPr="004E6C69">
        <w:t>c</w:t>
      </w:r>
      <w:r w:rsidR="00921756" w:rsidRPr="004E6C69">
        <w:t>onsid</w:t>
      </w:r>
      <w:r w:rsidR="004E6C69" w:rsidRPr="004E6C69">
        <w:t>erando</w:t>
      </w:r>
      <w:r w:rsidR="00921756" w:rsidRPr="0027317D">
        <w:t xml:space="preserve"> 5º</w:t>
      </w:r>
      <w:r w:rsidR="00423AAC" w:rsidRPr="0027317D">
        <w:t>.</w:t>
      </w:r>
    </w:p>
  </w:footnote>
  <w:footnote w:id="12">
    <w:p w14:paraId="1F006105" w14:textId="6D330B61" w:rsidR="00953A57" w:rsidRPr="00F55CA3" w:rsidRDefault="005039F7" w:rsidP="00953A57">
      <w:pPr>
        <w:pStyle w:val="Textonotapie"/>
      </w:pPr>
      <w:r w:rsidRPr="00F55CA3">
        <w:tab/>
      </w:r>
      <w:r w:rsidR="00953A57" w:rsidRPr="00F55CA3">
        <w:rPr>
          <w:rStyle w:val="Refdenotaalpie"/>
        </w:rPr>
        <w:footnoteRef/>
      </w:r>
      <w:r w:rsidRPr="00F55CA3">
        <w:tab/>
      </w:r>
      <w:r w:rsidRPr="00F55CA3">
        <w:tab/>
      </w:r>
      <w:r w:rsidR="00C7313C" w:rsidRPr="00591D3C">
        <w:rPr>
          <w:i/>
          <w:iCs/>
        </w:rPr>
        <w:t>Ibid</w:t>
      </w:r>
      <w:r w:rsidR="00C7313C" w:rsidRPr="00F55CA3">
        <w:t>.,</w:t>
      </w:r>
      <w:r w:rsidR="00307CD3" w:rsidRPr="00F55CA3">
        <w:t xml:space="preserve"> c</w:t>
      </w:r>
      <w:r w:rsidR="00953A57" w:rsidRPr="00F55CA3">
        <w:t>onsid</w:t>
      </w:r>
      <w:r w:rsidR="004E6C69">
        <w:t>erando</w:t>
      </w:r>
      <w:r w:rsidR="00953A57" w:rsidRPr="00F55CA3">
        <w:t xml:space="preserve"> 6º.</w:t>
      </w:r>
    </w:p>
  </w:footnote>
  <w:footnote w:id="13">
    <w:p w14:paraId="06D7BAA6" w14:textId="297981E3" w:rsidR="00D566EC" w:rsidRPr="00583B9B" w:rsidRDefault="005039F7">
      <w:pPr>
        <w:pStyle w:val="Textonotapie"/>
      </w:pPr>
      <w:r w:rsidRPr="00F55CA3">
        <w:tab/>
      </w:r>
      <w:r w:rsidR="00D566EC" w:rsidRPr="00F55CA3">
        <w:rPr>
          <w:rStyle w:val="Refdenotaalpie"/>
        </w:rPr>
        <w:footnoteRef/>
      </w:r>
      <w:r w:rsidRPr="00F55CA3">
        <w:tab/>
      </w:r>
      <w:r w:rsidRPr="00F55CA3">
        <w:tab/>
      </w:r>
      <w:r w:rsidR="00C7313C" w:rsidRPr="00591D3C">
        <w:rPr>
          <w:i/>
          <w:iCs/>
        </w:rPr>
        <w:t>Ibid</w:t>
      </w:r>
      <w:r w:rsidR="00C7313C" w:rsidRPr="00F55CA3">
        <w:t>.,</w:t>
      </w:r>
      <w:r w:rsidR="00307CD3" w:rsidRPr="00F55CA3">
        <w:t xml:space="preserve"> c</w:t>
      </w:r>
      <w:r w:rsidR="00D566EC" w:rsidRPr="00F55CA3">
        <w:t>onsid</w:t>
      </w:r>
      <w:r w:rsidR="004E6C69">
        <w:t>erando</w:t>
      </w:r>
      <w:r w:rsidR="00D566EC" w:rsidRPr="00F55CA3">
        <w:t xml:space="preserve"> 9</w:t>
      </w:r>
      <w:r w:rsidR="006B409F" w:rsidRPr="00F55CA3">
        <w:t>º</w:t>
      </w:r>
      <w:r w:rsidR="00D566EC" w:rsidRPr="00F55CA3">
        <w:t>.</w:t>
      </w:r>
    </w:p>
  </w:footnote>
  <w:footnote w:id="14">
    <w:p w14:paraId="5495D34C" w14:textId="607A4491" w:rsidR="00684965" w:rsidRPr="00FE0953" w:rsidRDefault="005039F7">
      <w:pPr>
        <w:pStyle w:val="Textonotapie"/>
      </w:pPr>
      <w:r>
        <w:tab/>
      </w:r>
      <w:r w:rsidR="00684965">
        <w:rPr>
          <w:rStyle w:val="Refdenotaalpie"/>
        </w:rPr>
        <w:footnoteRef/>
      </w:r>
      <w:r>
        <w:tab/>
      </w:r>
      <w:r>
        <w:tab/>
      </w:r>
      <w:r w:rsidR="00B34B2C" w:rsidRPr="00B34B2C">
        <w:t xml:space="preserve">Sentencia de la Cámara de Apelación y Garantías en lo </w:t>
      </w:r>
      <w:r w:rsidR="00B34B2C">
        <w:t>P</w:t>
      </w:r>
      <w:r w:rsidR="00B34B2C" w:rsidRPr="00B34B2C">
        <w:t>enal del Departamento Judicial de La Matanza de fecha 8 de abril de 2010, aportada por el autor</w:t>
      </w:r>
      <w:r w:rsidR="004264AD" w:rsidRPr="00B34B2C">
        <w:t>, p</w:t>
      </w:r>
      <w:r w:rsidR="00B34B2C" w:rsidRPr="00591D3C">
        <w:t>ágs</w:t>
      </w:r>
      <w:r w:rsidR="004264AD" w:rsidRPr="00B34B2C">
        <w:t>. 76</w:t>
      </w:r>
      <w:r w:rsidR="00B34B2C" w:rsidRPr="00591D3C">
        <w:t xml:space="preserve"> y </w:t>
      </w:r>
      <w:r w:rsidR="004264AD" w:rsidRPr="00B34B2C">
        <w:t>77</w:t>
      </w:r>
      <w:r w:rsidR="00684965" w:rsidRPr="00B34B2C">
        <w:t>.</w:t>
      </w:r>
    </w:p>
  </w:footnote>
  <w:footnote w:id="15">
    <w:p w14:paraId="1557F80A" w14:textId="740ABCE1" w:rsidR="001B449D" w:rsidRDefault="001B449D">
      <w:pPr>
        <w:pStyle w:val="Textonotapie"/>
      </w:pPr>
      <w:r>
        <w:tab/>
      </w:r>
      <w:r>
        <w:rPr>
          <w:rStyle w:val="Refdenotaalpie"/>
        </w:rPr>
        <w:footnoteRef/>
      </w:r>
      <w:r>
        <w:tab/>
      </w:r>
      <w:r>
        <w:tab/>
        <w:t>Observación general núm. 14</w:t>
      </w:r>
      <w:r w:rsidR="00EA2BBB">
        <w:t xml:space="preserve"> (2013)</w:t>
      </w:r>
      <w:r>
        <w:t xml:space="preserve">, párr. </w:t>
      </w:r>
      <w:r w:rsidR="00703554">
        <w:t>28</w:t>
      </w:r>
      <w:r>
        <w:t>.</w:t>
      </w:r>
    </w:p>
  </w:footnote>
  <w:footnote w:id="16">
    <w:p w14:paraId="6CEC42B9" w14:textId="07969874" w:rsidR="00FE0953" w:rsidRDefault="00FE0953">
      <w:pPr>
        <w:pStyle w:val="Textonotapie"/>
      </w:pPr>
      <w:r>
        <w:tab/>
      </w:r>
      <w:r>
        <w:rPr>
          <w:rStyle w:val="Refdenotaalpie"/>
        </w:rPr>
        <w:footnoteRef/>
      </w:r>
      <w:r>
        <w:tab/>
      </w:r>
      <w:r>
        <w:tab/>
        <w:t>Observación general núm. 10</w:t>
      </w:r>
      <w:r w:rsidR="00EA2BBB">
        <w:t xml:space="preserve"> (2007)</w:t>
      </w:r>
      <w:r>
        <w:t>, párr. 71.</w:t>
      </w:r>
      <w:r w:rsidR="00F91EA5">
        <w:t xml:space="preserve"> </w:t>
      </w:r>
      <w:r w:rsidR="00C6526B">
        <w:t xml:space="preserve">El autor cita la </w:t>
      </w:r>
      <w:r w:rsidR="00EA2BBB">
        <w:t>o</w:t>
      </w:r>
      <w:r w:rsidR="00F91EA5" w:rsidRPr="00F91EA5">
        <w:t xml:space="preserve">bservación general </w:t>
      </w:r>
      <w:r w:rsidR="00EA2BBB">
        <w:t>núm.</w:t>
      </w:r>
      <w:r w:rsidR="00001781">
        <w:t xml:space="preserve"> </w:t>
      </w:r>
      <w:r w:rsidR="00F91EA5" w:rsidRPr="00F91EA5">
        <w:t xml:space="preserve">10 </w:t>
      </w:r>
      <w:r w:rsidR="00EA2BBB">
        <w:t xml:space="preserve">(2007) </w:t>
      </w:r>
      <w:r w:rsidR="00C6526B">
        <w:t xml:space="preserve">a lo largo de su comunicación individual, </w:t>
      </w:r>
      <w:r w:rsidR="00522D14">
        <w:t>presentada antes de que</w:t>
      </w:r>
      <w:r w:rsidR="00C6526B">
        <w:t xml:space="preserve"> </w:t>
      </w:r>
      <w:r w:rsidR="00F91EA5" w:rsidRPr="00F91EA5">
        <w:t xml:space="preserve">la </w:t>
      </w:r>
      <w:r w:rsidR="00EA2BBB">
        <w:t>o</w:t>
      </w:r>
      <w:r w:rsidR="00F91EA5" w:rsidRPr="00F91EA5">
        <w:t xml:space="preserve">bservación general </w:t>
      </w:r>
      <w:r w:rsidR="00EA2BBB">
        <w:t>núm.</w:t>
      </w:r>
      <w:r w:rsidR="00001781">
        <w:t xml:space="preserve"> </w:t>
      </w:r>
      <w:r w:rsidR="00F91EA5" w:rsidRPr="00F91EA5">
        <w:t xml:space="preserve">24 </w:t>
      </w:r>
      <w:r w:rsidR="00EA2BBB">
        <w:t xml:space="preserve">(2019) </w:t>
      </w:r>
      <w:r w:rsidR="00F91EA5" w:rsidRPr="00F91EA5">
        <w:t>fue</w:t>
      </w:r>
      <w:r w:rsidR="00522D14">
        <w:t>ra</w:t>
      </w:r>
      <w:r w:rsidR="00F91EA5" w:rsidRPr="00F91EA5">
        <w:t xml:space="preserve"> adoptada.</w:t>
      </w:r>
    </w:p>
  </w:footnote>
  <w:footnote w:id="17">
    <w:p w14:paraId="7CF0BC91" w14:textId="05BDA9AE" w:rsidR="001B449D" w:rsidRDefault="001B449D">
      <w:pPr>
        <w:pStyle w:val="Textonotapie"/>
      </w:pPr>
      <w:r>
        <w:tab/>
      </w:r>
      <w:r>
        <w:rPr>
          <w:rStyle w:val="Refdenotaalpie"/>
        </w:rPr>
        <w:footnoteRef/>
      </w:r>
      <w:r>
        <w:tab/>
      </w:r>
      <w:r>
        <w:tab/>
      </w:r>
      <w:r w:rsidRPr="00816D4B">
        <w:t>Regla</w:t>
      </w:r>
      <w:r w:rsidR="005A7B43">
        <w:t>s</w:t>
      </w:r>
      <w:r w:rsidRPr="00816D4B">
        <w:t xml:space="preserve"> 13.1 </w:t>
      </w:r>
      <w:r w:rsidR="005A7B43">
        <w:t>y</w:t>
      </w:r>
      <w:r w:rsidRPr="00816D4B">
        <w:t xml:space="preserve"> 19.1 de</w:t>
      </w:r>
      <w:r w:rsidR="005A7B43">
        <w:t xml:space="preserve"> las Reglas Mínimas de las</w:t>
      </w:r>
      <w:r w:rsidRPr="00816D4B">
        <w:t xml:space="preserve"> Naciones Unidas </w:t>
      </w:r>
      <w:r w:rsidR="005A7B43">
        <w:t>p</w:t>
      </w:r>
      <w:r w:rsidRPr="00816D4B">
        <w:t xml:space="preserve">ara la </w:t>
      </w:r>
      <w:r w:rsidR="005A7B43">
        <w:t>A</w:t>
      </w:r>
      <w:r w:rsidRPr="00816D4B">
        <w:t xml:space="preserve">dministración de la </w:t>
      </w:r>
      <w:r w:rsidR="005A7B43">
        <w:t>J</w:t>
      </w:r>
      <w:r w:rsidRPr="00816D4B">
        <w:t xml:space="preserve">usticia de </w:t>
      </w:r>
      <w:r w:rsidR="005A7B43">
        <w:t>M</w:t>
      </w:r>
      <w:r w:rsidRPr="00816D4B">
        <w:t>enores</w:t>
      </w:r>
      <w:r w:rsidR="005A7B43">
        <w:t xml:space="preserve"> (Reglas de Beijing)</w:t>
      </w:r>
      <w:r w:rsidRPr="00816D4B">
        <w:t>.</w:t>
      </w:r>
    </w:p>
  </w:footnote>
  <w:footnote w:id="18">
    <w:p w14:paraId="6E8EC4DB" w14:textId="5F7DFD8D" w:rsidR="002E3937" w:rsidRDefault="002E3937">
      <w:pPr>
        <w:pStyle w:val="Textonotapie"/>
      </w:pPr>
      <w:r>
        <w:tab/>
      </w:r>
      <w:r>
        <w:rPr>
          <w:rStyle w:val="Refdenotaalpie"/>
        </w:rPr>
        <w:footnoteRef/>
      </w:r>
      <w:r>
        <w:tab/>
      </w:r>
      <w:r>
        <w:tab/>
      </w:r>
      <w:r w:rsidRPr="00591D3C">
        <w:rPr>
          <w:i/>
          <w:iCs/>
        </w:rPr>
        <w:t xml:space="preserve">Mendoza </w:t>
      </w:r>
      <w:r w:rsidR="00620E4F" w:rsidRPr="00591D3C">
        <w:rPr>
          <w:i/>
          <w:iCs/>
        </w:rPr>
        <w:t>y otros vs</w:t>
      </w:r>
      <w:r w:rsidRPr="00591D3C">
        <w:rPr>
          <w:i/>
          <w:iCs/>
        </w:rPr>
        <w:t>. Argentina</w:t>
      </w:r>
      <w:r>
        <w:t>, párr. 162.</w:t>
      </w:r>
    </w:p>
  </w:footnote>
  <w:footnote w:id="19">
    <w:p w14:paraId="10B5F87F" w14:textId="7F74F30C" w:rsidR="006E6092" w:rsidRDefault="006E6092">
      <w:pPr>
        <w:pStyle w:val="Textonotapie"/>
      </w:pPr>
      <w:r>
        <w:tab/>
      </w:r>
      <w:r>
        <w:rPr>
          <w:rStyle w:val="Refdenotaalpie"/>
        </w:rPr>
        <w:footnoteRef/>
      </w:r>
      <w:r>
        <w:tab/>
      </w:r>
      <w:r>
        <w:tab/>
      </w:r>
      <w:r w:rsidR="00987A5E" w:rsidRPr="00987A5E">
        <w:t>Observación general núm. 10</w:t>
      </w:r>
      <w:r w:rsidR="008A3BA4">
        <w:t xml:space="preserve"> (2007)</w:t>
      </w:r>
      <w:r w:rsidR="00987A5E" w:rsidRPr="00987A5E">
        <w:t>, párr. 86</w:t>
      </w:r>
      <w:r w:rsidRPr="00987A5E">
        <w:t>.</w:t>
      </w:r>
    </w:p>
  </w:footnote>
  <w:footnote w:id="20">
    <w:p w14:paraId="27CC52B1" w14:textId="50F7C9B3" w:rsidR="006E6092" w:rsidRDefault="006E6092">
      <w:pPr>
        <w:pStyle w:val="Textonotapie"/>
      </w:pPr>
      <w:r>
        <w:tab/>
      </w:r>
      <w:r>
        <w:rPr>
          <w:rStyle w:val="Refdenotaalpie"/>
        </w:rPr>
        <w:footnoteRef/>
      </w:r>
      <w:r>
        <w:tab/>
      </w:r>
      <w:r>
        <w:tab/>
      </w:r>
      <w:r w:rsidR="008A3BA4">
        <w:t>L</w:t>
      </w:r>
      <w:r>
        <w:t xml:space="preserve">ey </w:t>
      </w:r>
      <w:r w:rsidR="00CD3315">
        <w:t>núm.</w:t>
      </w:r>
      <w:r w:rsidR="00001781">
        <w:t xml:space="preserve"> </w:t>
      </w:r>
      <w:r>
        <w:t>13.634</w:t>
      </w:r>
      <w:r w:rsidR="008A3BA4">
        <w:t>, art. 85</w:t>
      </w:r>
      <w:r>
        <w:t>.</w:t>
      </w:r>
    </w:p>
  </w:footnote>
  <w:footnote w:id="21">
    <w:p w14:paraId="35E55CD5" w14:textId="407A3081" w:rsidR="00164B5A" w:rsidRDefault="00164B5A">
      <w:pPr>
        <w:pStyle w:val="Textonotapie"/>
      </w:pPr>
      <w:r>
        <w:tab/>
      </w:r>
      <w:r>
        <w:rPr>
          <w:rStyle w:val="Refdenotaalpie"/>
        </w:rPr>
        <w:footnoteRef/>
      </w:r>
      <w:r>
        <w:tab/>
      </w:r>
      <w:r>
        <w:tab/>
        <w:t>O</w:t>
      </w:r>
      <w:r w:rsidR="005039F7">
        <w:t>bservación general núm.</w:t>
      </w:r>
      <w:r>
        <w:t xml:space="preserve"> 10</w:t>
      </w:r>
      <w:r w:rsidR="000C7560">
        <w:t xml:space="preserve"> (2007)</w:t>
      </w:r>
      <w:r>
        <w:t xml:space="preserve">, </w:t>
      </w:r>
      <w:proofErr w:type="spellStart"/>
      <w:r>
        <w:t>párr</w:t>
      </w:r>
      <w:r w:rsidR="000C7560">
        <w:t>s</w:t>
      </w:r>
      <w:proofErr w:type="spellEnd"/>
      <w:r>
        <w:t>. 77 y 84</w:t>
      </w:r>
      <w:r w:rsidR="004C52CF">
        <w:t>;</w:t>
      </w:r>
      <w:r>
        <w:t xml:space="preserve"> y </w:t>
      </w:r>
      <w:r w:rsidR="004C52CF">
        <w:t>la r</w:t>
      </w:r>
      <w:r>
        <w:t>egla 28</w:t>
      </w:r>
      <w:r w:rsidR="00D3656A">
        <w:t>.</w:t>
      </w:r>
      <w:r>
        <w:t>1 de las Reglas de Beijing.</w:t>
      </w:r>
    </w:p>
  </w:footnote>
  <w:footnote w:id="22">
    <w:p w14:paraId="4B1373A4" w14:textId="5DF289F1" w:rsidR="001E00F3" w:rsidRDefault="001E00F3">
      <w:pPr>
        <w:pStyle w:val="Textonotapie"/>
      </w:pPr>
      <w:r>
        <w:tab/>
      </w:r>
      <w:r>
        <w:rPr>
          <w:rStyle w:val="Refdenotaalpie"/>
        </w:rPr>
        <w:footnoteRef/>
      </w:r>
      <w:r>
        <w:tab/>
      </w:r>
      <w:r>
        <w:tab/>
        <w:t xml:space="preserve">Ley </w:t>
      </w:r>
      <w:r w:rsidR="0075342B">
        <w:t>núm.</w:t>
      </w:r>
      <w:r w:rsidR="00001781">
        <w:t xml:space="preserve"> </w:t>
      </w:r>
      <w:r>
        <w:t>22.278</w:t>
      </w:r>
      <w:r w:rsidR="000B5BE4">
        <w:t>, arts. 1 y 2</w:t>
      </w:r>
      <w:r>
        <w:t>.</w:t>
      </w:r>
    </w:p>
  </w:footnote>
  <w:footnote w:id="23">
    <w:p w14:paraId="4B67A20F" w14:textId="62B94A9E" w:rsidR="00B0031C" w:rsidRDefault="00B0031C">
      <w:pPr>
        <w:pStyle w:val="Textonotapie"/>
      </w:pPr>
      <w:r>
        <w:tab/>
      </w:r>
      <w:r>
        <w:rPr>
          <w:rStyle w:val="Refdenotaalpie"/>
        </w:rPr>
        <w:footnoteRef/>
      </w:r>
      <w:r>
        <w:tab/>
      </w:r>
      <w:r>
        <w:tab/>
        <w:t>“</w:t>
      </w:r>
      <w:r w:rsidRPr="00B0031C">
        <w:t xml:space="preserve">García Méndez, Emilio y </w:t>
      </w:r>
      <w:r w:rsidRPr="00D43278">
        <w:t>Musa, Laura Cristina</w:t>
      </w:r>
      <w:r w:rsidRPr="00B0031C">
        <w:t xml:space="preserve"> s/ causa </w:t>
      </w:r>
      <w:r w:rsidR="00957D3E">
        <w:t>núm. </w:t>
      </w:r>
      <w:r w:rsidRPr="00B0031C">
        <w:t>7537</w:t>
      </w:r>
      <w:r>
        <w:t xml:space="preserve">”, </w:t>
      </w:r>
      <w:r w:rsidRPr="00591D3C">
        <w:rPr>
          <w:i/>
          <w:iCs/>
        </w:rPr>
        <w:t>Fallos</w:t>
      </w:r>
      <w:r>
        <w:t xml:space="preserve"> 331: 2691,</w:t>
      </w:r>
      <w:r w:rsidR="00123B71">
        <w:t xml:space="preserve"> sentencia de</w:t>
      </w:r>
      <w:r w:rsidR="00001781">
        <w:t> </w:t>
      </w:r>
      <w:r w:rsidR="00123B71">
        <w:t>2 de diciembre de 2008,</w:t>
      </w:r>
      <w:r>
        <w:t xml:space="preserve"> consid</w:t>
      </w:r>
      <w:r w:rsidR="00D576C0">
        <w:t>erando</w:t>
      </w:r>
      <w:r>
        <w:t xml:space="preserve"> 7º.</w:t>
      </w:r>
    </w:p>
  </w:footnote>
  <w:footnote w:id="24">
    <w:p w14:paraId="46A2F971" w14:textId="69B5ACFE" w:rsidR="00B0031C" w:rsidRPr="002D42F0" w:rsidRDefault="000328E3">
      <w:pPr>
        <w:pStyle w:val="Textonotapie"/>
      </w:pPr>
      <w:r>
        <w:tab/>
      </w:r>
      <w:r w:rsidR="00B0031C">
        <w:rPr>
          <w:rStyle w:val="Refdenotaalpie"/>
        </w:rPr>
        <w:footnoteRef/>
      </w:r>
      <w:r>
        <w:tab/>
      </w:r>
      <w:r>
        <w:tab/>
      </w:r>
      <w:proofErr w:type="spellStart"/>
      <w:r w:rsidRPr="002D42F0">
        <w:t>Párrs</w:t>
      </w:r>
      <w:proofErr w:type="spellEnd"/>
      <w:r w:rsidRPr="002D42F0">
        <w:t>. 295</w:t>
      </w:r>
      <w:r w:rsidR="00C93BF4">
        <w:t xml:space="preserve"> a </w:t>
      </w:r>
      <w:r w:rsidRPr="002D42F0">
        <w:t>297.</w:t>
      </w:r>
    </w:p>
  </w:footnote>
  <w:footnote w:id="25">
    <w:p w14:paraId="1550221A" w14:textId="2651720C" w:rsidR="000328E3" w:rsidRPr="00591D3C" w:rsidRDefault="000328E3">
      <w:pPr>
        <w:pStyle w:val="Textonotapie"/>
      </w:pPr>
      <w:r w:rsidRPr="002D42F0">
        <w:tab/>
      </w:r>
      <w:r>
        <w:rPr>
          <w:rStyle w:val="Refdenotaalpie"/>
        </w:rPr>
        <w:footnoteRef/>
      </w:r>
      <w:r w:rsidRPr="000328E3">
        <w:tab/>
      </w:r>
      <w:hyperlink r:id="rId1" w:history="1">
        <w:r w:rsidRPr="00001781">
          <w:rPr>
            <w:rStyle w:val="Hipervnculo"/>
          </w:rPr>
          <w:t>CRC/C/</w:t>
        </w:r>
        <w:proofErr w:type="spellStart"/>
        <w:r w:rsidRPr="00001781">
          <w:rPr>
            <w:rStyle w:val="Hipervnculo"/>
          </w:rPr>
          <w:t>ARG</w:t>
        </w:r>
        <w:proofErr w:type="spellEnd"/>
        <w:r w:rsidRPr="00001781">
          <w:rPr>
            <w:rStyle w:val="Hipervnculo"/>
          </w:rPr>
          <w:t>/CO/3</w:t>
        </w:r>
        <w:r w:rsidR="00B764A1" w:rsidRPr="00001781">
          <w:rPr>
            <w:rStyle w:val="Hipervnculo"/>
          </w:rPr>
          <w:t>-</w:t>
        </w:r>
        <w:r w:rsidRPr="00001781">
          <w:rPr>
            <w:rStyle w:val="Hipervnculo"/>
          </w:rPr>
          <w:t>4</w:t>
        </w:r>
      </w:hyperlink>
      <w:r w:rsidRPr="000328E3">
        <w:t xml:space="preserve">, párr. </w:t>
      </w:r>
      <w:r w:rsidRPr="00591D3C">
        <w:t>80 a).</w:t>
      </w:r>
    </w:p>
  </w:footnote>
  <w:footnote w:id="26">
    <w:p w14:paraId="403232D7" w14:textId="0F88A463" w:rsidR="00DF1579" w:rsidRPr="002A0DFA" w:rsidRDefault="00DF1579" w:rsidP="00DF1579">
      <w:pPr>
        <w:pStyle w:val="Textonotapie"/>
      </w:pPr>
      <w:r w:rsidRPr="008A1F36">
        <w:tab/>
      </w:r>
      <w:r>
        <w:rPr>
          <w:rStyle w:val="Refdenotaalpie"/>
        </w:rPr>
        <w:footnoteRef/>
      </w:r>
      <w:r w:rsidRPr="002A0DFA">
        <w:tab/>
      </w:r>
      <w:r w:rsidRPr="002A0DFA">
        <w:tab/>
      </w:r>
      <w:r>
        <w:rPr>
          <w:i/>
          <w:iCs/>
        </w:rPr>
        <w:t>S.</w:t>
      </w:r>
      <w:r w:rsidR="008A30BA">
        <w:rPr>
          <w:i/>
          <w:iCs/>
        </w:rPr>
        <w:t xml:space="preserve"> </w:t>
      </w:r>
      <w:r>
        <w:rPr>
          <w:i/>
          <w:iCs/>
        </w:rPr>
        <w:t>H.</w:t>
      </w:r>
      <w:r w:rsidR="008A30BA">
        <w:rPr>
          <w:i/>
          <w:iCs/>
        </w:rPr>
        <w:t xml:space="preserve"> </w:t>
      </w:r>
      <w:r>
        <w:rPr>
          <w:i/>
          <w:iCs/>
        </w:rPr>
        <w:t>K. c. Dinamarca</w:t>
      </w:r>
      <w:r>
        <w:t xml:space="preserve"> (</w:t>
      </w:r>
      <w:hyperlink r:id="rId2" w:history="1">
        <w:r w:rsidR="002D42F0" w:rsidRPr="00001781">
          <w:rPr>
            <w:rStyle w:val="Hipervnculo"/>
          </w:rPr>
          <w:t>CRC/C/93/D/140/2021</w:t>
        </w:r>
      </w:hyperlink>
      <w:r>
        <w:t>)</w:t>
      </w:r>
      <w:r w:rsidR="002D42F0">
        <w:t xml:space="preserve">, párr. </w:t>
      </w:r>
      <w:r w:rsidR="002D42F0" w:rsidRPr="00795C02">
        <w:t>6.2;</w:t>
      </w:r>
      <w:r w:rsidR="00B62D01" w:rsidRPr="00591D3C">
        <w:t xml:space="preserve"> y</w:t>
      </w:r>
      <w:r w:rsidR="002D42F0" w:rsidRPr="00795C02">
        <w:t xml:space="preserve"> </w:t>
      </w:r>
      <w:r w:rsidRPr="00795C02">
        <w:rPr>
          <w:i/>
          <w:iCs/>
        </w:rPr>
        <w:t>J.</w:t>
      </w:r>
      <w:r w:rsidR="008A30BA" w:rsidRPr="00795C02">
        <w:rPr>
          <w:i/>
          <w:iCs/>
        </w:rPr>
        <w:t xml:space="preserve"> </w:t>
      </w:r>
      <w:r w:rsidRPr="00795C02">
        <w:rPr>
          <w:i/>
          <w:iCs/>
        </w:rPr>
        <w:t xml:space="preserve">M. c. Chile </w:t>
      </w:r>
      <w:r w:rsidRPr="00795C02">
        <w:t>(</w:t>
      </w:r>
      <w:hyperlink r:id="rId3" w:history="1">
        <w:r w:rsidRPr="00001781">
          <w:rPr>
            <w:rStyle w:val="Hipervnculo"/>
          </w:rPr>
          <w:t>CRC/C/90/D/121/2020</w:t>
        </w:r>
      </w:hyperlink>
      <w:r w:rsidRPr="00795C02">
        <w:t xml:space="preserve">), </w:t>
      </w:r>
      <w:r w:rsidR="0095613C" w:rsidRPr="00795C02">
        <w:t>párr</w:t>
      </w:r>
      <w:r w:rsidRPr="00795C02">
        <w:t xml:space="preserve">. </w:t>
      </w:r>
      <w:r w:rsidRPr="002A0DFA">
        <w:t>7.2.</w:t>
      </w:r>
    </w:p>
  </w:footnote>
  <w:footnote w:id="27">
    <w:p w14:paraId="489A75A0" w14:textId="7D4F4180" w:rsidR="002D480E" w:rsidRPr="002F5703" w:rsidRDefault="004742BD">
      <w:pPr>
        <w:pStyle w:val="Textonotapie"/>
      </w:pPr>
      <w:r>
        <w:tab/>
      </w:r>
      <w:r w:rsidR="002D480E">
        <w:rPr>
          <w:rStyle w:val="Refdenotaalpie"/>
        </w:rPr>
        <w:footnoteRef/>
      </w:r>
      <w:r>
        <w:tab/>
      </w:r>
      <w:r>
        <w:tab/>
      </w:r>
      <w:r w:rsidR="00191324">
        <w:rPr>
          <w:i/>
          <w:iCs/>
        </w:rPr>
        <w:t xml:space="preserve">Navarro Presentación y Medina Pascual c. España </w:t>
      </w:r>
      <w:r w:rsidR="002D480E">
        <w:t>(</w:t>
      </w:r>
      <w:hyperlink r:id="rId4" w:history="1">
        <w:r w:rsidR="002D480E" w:rsidRPr="00001781">
          <w:rPr>
            <w:rStyle w:val="Hipervnculo"/>
          </w:rPr>
          <w:t>CRC/C/81/D/19/2017</w:t>
        </w:r>
      </w:hyperlink>
      <w:r w:rsidR="002D480E">
        <w:t>)</w:t>
      </w:r>
      <w:r>
        <w:t>, párr. 6.2; y</w:t>
      </w:r>
      <w:r w:rsidR="002D480E">
        <w:t xml:space="preserve"> </w:t>
      </w:r>
      <w:r w:rsidRPr="004742BD">
        <w:rPr>
          <w:i/>
          <w:iCs/>
        </w:rPr>
        <w:t>a</w:t>
      </w:r>
      <w:r w:rsidR="002D480E" w:rsidRPr="002D480E">
        <w:rPr>
          <w:i/>
          <w:iCs/>
        </w:rPr>
        <w:t xml:space="preserve"> contrario sensu</w:t>
      </w:r>
      <w:r w:rsidR="002D480E">
        <w:t xml:space="preserve">, </w:t>
      </w:r>
      <w:r w:rsidR="002D480E">
        <w:rPr>
          <w:i/>
          <w:iCs/>
        </w:rPr>
        <w:t>A.</w:t>
      </w:r>
      <w:r w:rsidR="008A30BA">
        <w:rPr>
          <w:i/>
          <w:iCs/>
        </w:rPr>
        <w:t xml:space="preserve"> </w:t>
      </w:r>
      <w:r w:rsidR="002D480E">
        <w:rPr>
          <w:i/>
          <w:iCs/>
        </w:rPr>
        <w:t>H.</w:t>
      </w:r>
      <w:r w:rsidR="008A30BA">
        <w:rPr>
          <w:i/>
          <w:iCs/>
        </w:rPr>
        <w:t xml:space="preserve"> </w:t>
      </w:r>
      <w:r w:rsidR="002D480E">
        <w:rPr>
          <w:i/>
          <w:iCs/>
        </w:rPr>
        <w:t xml:space="preserve">A. c. España </w:t>
      </w:r>
      <w:r w:rsidR="002D480E">
        <w:t>(</w:t>
      </w:r>
      <w:hyperlink r:id="rId5" w:history="1">
        <w:r w:rsidR="002D480E" w:rsidRPr="00001781">
          <w:rPr>
            <w:rStyle w:val="Hipervnculo"/>
          </w:rPr>
          <w:t>CRC/C/69/D/1/2014</w:t>
        </w:r>
      </w:hyperlink>
      <w:r w:rsidR="002D480E">
        <w:t xml:space="preserve">), párr. </w:t>
      </w:r>
      <w:r w:rsidR="002D480E" w:rsidRPr="002F5703">
        <w:t>4.2.</w:t>
      </w:r>
    </w:p>
  </w:footnote>
  <w:footnote w:id="28">
    <w:p w14:paraId="17569EFC" w14:textId="6490BB97" w:rsidR="003C2925" w:rsidRDefault="003C2925">
      <w:pPr>
        <w:pStyle w:val="Textonotapie"/>
      </w:pPr>
      <w:r>
        <w:tab/>
      </w:r>
      <w:r>
        <w:rPr>
          <w:rStyle w:val="Refdenotaalpie"/>
        </w:rPr>
        <w:footnoteRef/>
      </w:r>
      <w:r>
        <w:tab/>
      </w:r>
      <w:r>
        <w:tab/>
        <w:t>Observación general núm. 24</w:t>
      </w:r>
      <w:r w:rsidR="00F2272D">
        <w:t xml:space="preserve"> (2019) del Comité</w:t>
      </w:r>
      <w:r>
        <w:t xml:space="preserve">, </w:t>
      </w:r>
      <w:proofErr w:type="spellStart"/>
      <w:r>
        <w:t>párrs</w:t>
      </w:r>
      <w:proofErr w:type="spellEnd"/>
      <w:r>
        <w:t>. 92 y 93.</w:t>
      </w:r>
    </w:p>
  </w:footnote>
  <w:footnote w:id="29">
    <w:p w14:paraId="763ECD39" w14:textId="1BEB2852" w:rsidR="00E41D28" w:rsidRDefault="005039F7">
      <w:pPr>
        <w:pStyle w:val="Textonotapie"/>
      </w:pPr>
      <w:r w:rsidRPr="00957290">
        <w:tab/>
      </w:r>
      <w:r w:rsidR="00E41D28">
        <w:rPr>
          <w:rStyle w:val="Refdenotaalpie"/>
        </w:rPr>
        <w:footnoteRef/>
      </w:r>
      <w:r>
        <w:tab/>
      </w:r>
      <w:r>
        <w:tab/>
      </w:r>
      <w:r w:rsidR="002338C9" w:rsidRPr="00591D3C">
        <w:rPr>
          <w:i/>
          <w:iCs/>
        </w:rPr>
        <w:t>Ibid</w:t>
      </w:r>
      <w:r w:rsidR="002338C9">
        <w:t>.</w:t>
      </w:r>
      <w:r w:rsidR="00E41D28">
        <w:t>, párr. 2.</w:t>
      </w:r>
    </w:p>
  </w:footnote>
  <w:footnote w:id="30">
    <w:p w14:paraId="6329E01B" w14:textId="098FCB9E" w:rsidR="00F73694" w:rsidRDefault="005039F7">
      <w:pPr>
        <w:pStyle w:val="Textonotapie"/>
      </w:pPr>
      <w:r>
        <w:tab/>
      </w:r>
      <w:r w:rsidR="00F73694">
        <w:rPr>
          <w:rStyle w:val="Refdenotaalpie"/>
        </w:rPr>
        <w:footnoteRef/>
      </w:r>
      <w:r>
        <w:tab/>
      </w:r>
      <w:r>
        <w:tab/>
      </w:r>
      <w:r w:rsidR="002338C9" w:rsidRPr="00591D3C">
        <w:rPr>
          <w:i/>
          <w:iCs/>
        </w:rPr>
        <w:t>Ibid</w:t>
      </w:r>
      <w:r w:rsidR="002338C9">
        <w:t>.</w:t>
      </w:r>
      <w:r w:rsidR="00F73694">
        <w:t>, párr. 73.</w:t>
      </w:r>
    </w:p>
  </w:footnote>
  <w:footnote w:id="31">
    <w:p w14:paraId="63704C14" w14:textId="0089C219" w:rsidR="00E41D28" w:rsidRDefault="005039F7">
      <w:pPr>
        <w:pStyle w:val="Textonotapie"/>
      </w:pPr>
      <w:r>
        <w:tab/>
      </w:r>
      <w:r w:rsidR="00E41D28">
        <w:rPr>
          <w:rStyle w:val="Refdenotaalpie"/>
        </w:rPr>
        <w:footnoteRef/>
      </w:r>
      <w:r>
        <w:tab/>
      </w:r>
      <w:r>
        <w:tab/>
      </w:r>
      <w:r w:rsidR="00F016EC" w:rsidRPr="00591D3C">
        <w:rPr>
          <w:i/>
          <w:iCs/>
        </w:rPr>
        <w:t>Ibid</w:t>
      </w:r>
      <w:r w:rsidR="00F016EC">
        <w:t>.</w:t>
      </w:r>
      <w:r w:rsidR="00E41D28">
        <w:t>, párr. 76.</w:t>
      </w:r>
    </w:p>
  </w:footnote>
  <w:footnote w:id="32">
    <w:p w14:paraId="28190DD6" w14:textId="0B556679" w:rsidR="007F1CE2" w:rsidRPr="00591D3C" w:rsidRDefault="005039F7" w:rsidP="00BC025F">
      <w:pPr>
        <w:pStyle w:val="Textonotapie"/>
      </w:pPr>
      <w:r>
        <w:tab/>
      </w:r>
      <w:r w:rsidR="007F1CE2" w:rsidRPr="005039F7">
        <w:rPr>
          <w:vertAlign w:val="superscript"/>
        </w:rPr>
        <w:footnoteRef/>
      </w:r>
      <w:r>
        <w:tab/>
      </w:r>
      <w:r>
        <w:tab/>
      </w:r>
      <w:r w:rsidR="00F05BCA" w:rsidRPr="00591D3C">
        <w:rPr>
          <w:i/>
          <w:iCs/>
        </w:rPr>
        <w:t>Ibid</w:t>
      </w:r>
      <w:r w:rsidR="00F05BCA" w:rsidRPr="00F05BCA">
        <w:t xml:space="preserve">., </w:t>
      </w:r>
      <w:proofErr w:type="spellStart"/>
      <w:r w:rsidR="007F1CE2">
        <w:t>párr</w:t>
      </w:r>
      <w:r w:rsidR="005A4D21">
        <w:t>s</w:t>
      </w:r>
      <w:proofErr w:type="spellEnd"/>
      <w:r w:rsidR="007F1CE2">
        <w:t xml:space="preserve">. </w:t>
      </w:r>
      <w:r w:rsidR="007F1CE2" w:rsidRPr="00591D3C">
        <w:t>88</w:t>
      </w:r>
      <w:r w:rsidR="008F3616">
        <w:t xml:space="preserve"> y</w:t>
      </w:r>
      <w:r w:rsidR="007F1CE2" w:rsidRPr="00591D3C">
        <w:t xml:space="preserve"> 6 c) v)</w:t>
      </w:r>
      <w:r w:rsidR="005A4D21">
        <w:t>. Véase también</w:t>
      </w:r>
      <w:r w:rsidR="005F5FAC">
        <w:t xml:space="preserve"> la</w:t>
      </w:r>
      <w:r w:rsidR="00BC025F" w:rsidRPr="00591D3C">
        <w:t xml:space="preserve"> </w:t>
      </w:r>
      <w:r w:rsidR="005F5FAC">
        <w:t>r</w:t>
      </w:r>
      <w:r w:rsidR="0095613C" w:rsidRPr="00591D3C">
        <w:t xml:space="preserve">egla </w:t>
      </w:r>
      <w:r w:rsidR="00BC025F" w:rsidRPr="00591D3C">
        <w:t xml:space="preserve">2 </w:t>
      </w:r>
      <w:r w:rsidR="0095613C" w:rsidRPr="00591D3C">
        <w:t xml:space="preserve">de las Reglas de las Naciones Unidas para la </w:t>
      </w:r>
      <w:r w:rsidR="00172B74">
        <w:t>P</w:t>
      </w:r>
      <w:r w:rsidR="0095613C" w:rsidRPr="00591D3C">
        <w:t xml:space="preserve">rotección de los </w:t>
      </w:r>
      <w:r w:rsidR="00290A5F">
        <w:t>M</w:t>
      </w:r>
      <w:r w:rsidR="0095613C" w:rsidRPr="00591D3C">
        <w:t>en</w:t>
      </w:r>
      <w:r w:rsidR="0095613C" w:rsidRPr="0095613C">
        <w:t xml:space="preserve">ores </w:t>
      </w:r>
      <w:r w:rsidR="00290A5F">
        <w:t>P</w:t>
      </w:r>
      <w:r w:rsidR="0095613C" w:rsidRPr="00591D3C">
        <w:t>riv</w:t>
      </w:r>
      <w:r w:rsidR="0095613C">
        <w:t xml:space="preserve">ados de </w:t>
      </w:r>
      <w:r w:rsidR="00290A5F">
        <w:t>L</w:t>
      </w:r>
      <w:r w:rsidR="0095613C">
        <w:t>ibertad</w:t>
      </w:r>
      <w:r w:rsidR="00BC025F" w:rsidRPr="00591D3C">
        <w:rPr>
          <w:rFonts w:ascii="TimesNewRomanPSMT" w:hAnsi="TimesNewRomanPSMT" w:cs="TimesNewRomanPSMT"/>
          <w:lang w:eastAsia="zh-CN"/>
        </w:rPr>
        <w:t>.</w:t>
      </w:r>
    </w:p>
  </w:footnote>
  <w:footnote w:id="33">
    <w:p w14:paraId="217FB191" w14:textId="10B7C104" w:rsidR="00543561" w:rsidRDefault="005039F7" w:rsidP="00543561">
      <w:pPr>
        <w:pStyle w:val="Textonotapie"/>
      </w:pPr>
      <w:r w:rsidRPr="00591D3C">
        <w:tab/>
      </w:r>
      <w:r w:rsidR="00543561">
        <w:rPr>
          <w:rStyle w:val="Refdenotaalpie"/>
        </w:rPr>
        <w:footnoteRef/>
      </w:r>
      <w:r>
        <w:tab/>
      </w:r>
      <w:r>
        <w:tab/>
      </w:r>
      <w:hyperlink r:id="rId6" w:history="1">
        <w:r w:rsidR="00543561" w:rsidRPr="00001781">
          <w:rPr>
            <w:rStyle w:val="Hipervnculo"/>
          </w:rPr>
          <w:t>CRC/C/</w:t>
        </w:r>
        <w:proofErr w:type="spellStart"/>
        <w:r w:rsidR="00543561" w:rsidRPr="00001781">
          <w:rPr>
            <w:rStyle w:val="Hipervnculo"/>
          </w:rPr>
          <w:t>JOR</w:t>
        </w:r>
        <w:proofErr w:type="spellEnd"/>
        <w:r w:rsidR="00543561" w:rsidRPr="00001781">
          <w:rPr>
            <w:rStyle w:val="Hipervnculo"/>
          </w:rPr>
          <w:t>/CO/4-5</w:t>
        </w:r>
      </w:hyperlink>
      <w:r w:rsidR="00543561">
        <w:t>, párr. 64</w:t>
      </w:r>
      <w:r w:rsidR="00001781">
        <w:t xml:space="preserve"> </w:t>
      </w:r>
      <w:r w:rsidR="00543561">
        <w:t>c).</w:t>
      </w:r>
    </w:p>
  </w:footnote>
  <w:footnote w:id="34">
    <w:p w14:paraId="6CF58680" w14:textId="74746A60" w:rsidR="00155B60" w:rsidRDefault="005039F7">
      <w:pPr>
        <w:pStyle w:val="Textonotapie"/>
      </w:pPr>
      <w:r>
        <w:tab/>
      </w:r>
      <w:r w:rsidR="00155B60">
        <w:rPr>
          <w:rStyle w:val="Refdenotaalpie"/>
        </w:rPr>
        <w:footnoteRef/>
      </w:r>
      <w:r>
        <w:tab/>
      </w:r>
      <w:r>
        <w:tab/>
        <w:t>Observación general núm.</w:t>
      </w:r>
      <w:r w:rsidR="00155B60">
        <w:t xml:space="preserve"> 24</w:t>
      </w:r>
      <w:r w:rsidR="001541D9">
        <w:t xml:space="preserve"> (2019)</w:t>
      </w:r>
      <w:r w:rsidR="00155B60">
        <w:t>, párr. 81.</w:t>
      </w:r>
    </w:p>
  </w:footnote>
  <w:footnote w:id="35">
    <w:p w14:paraId="769F1350" w14:textId="3682985E" w:rsidR="003B417B" w:rsidRPr="00FE0953" w:rsidRDefault="005039F7" w:rsidP="003B417B">
      <w:pPr>
        <w:pStyle w:val="Textonotapie"/>
      </w:pPr>
      <w:r>
        <w:tab/>
      </w:r>
      <w:r w:rsidR="003B417B">
        <w:rPr>
          <w:rStyle w:val="Refdenotaalpie"/>
        </w:rPr>
        <w:footnoteRef/>
      </w:r>
      <w:r>
        <w:tab/>
      </w:r>
      <w:r w:rsidR="00B1399C" w:rsidRPr="00B1399C">
        <w:t xml:space="preserve">Sentencia de la Cámara de Apelación y Garantías en lo Penal del Departamento Judicial de La Matanza de fecha 8 de abril de 2010, aportada por el autor, </w:t>
      </w:r>
      <w:r w:rsidR="003437E9" w:rsidRPr="00B1399C">
        <w:t>p</w:t>
      </w:r>
      <w:r w:rsidR="00B1399C" w:rsidRPr="00591D3C">
        <w:t>ágs</w:t>
      </w:r>
      <w:r w:rsidR="003437E9" w:rsidRPr="00B1399C">
        <w:t>. 76</w:t>
      </w:r>
      <w:r w:rsidR="00B1399C" w:rsidRPr="00591D3C">
        <w:t xml:space="preserve"> y </w:t>
      </w:r>
      <w:r w:rsidR="003437E9" w:rsidRPr="00B1399C">
        <w:t>77.</w:t>
      </w:r>
    </w:p>
  </w:footnote>
  <w:footnote w:id="36">
    <w:p w14:paraId="48F91ACB" w14:textId="099D3DCE" w:rsidR="009613A3" w:rsidRDefault="005039F7">
      <w:pPr>
        <w:pStyle w:val="Textonotapie"/>
      </w:pPr>
      <w:r>
        <w:tab/>
      </w:r>
      <w:r w:rsidR="009613A3">
        <w:rPr>
          <w:rStyle w:val="Refdenotaalpie"/>
        </w:rPr>
        <w:footnoteRef/>
      </w:r>
      <w:r>
        <w:tab/>
      </w:r>
      <w:r>
        <w:tab/>
      </w:r>
      <w:hyperlink r:id="rId7" w:history="1">
        <w:r w:rsidR="009613A3" w:rsidRPr="00001781">
          <w:rPr>
            <w:rStyle w:val="Hipervnculo"/>
          </w:rPr>
          <w:t>CRC/C/MAR/CO/3-4</w:t>
        </w:r>
      </w:hyperlink>
      <w:r w:rsidR="009613A3">
        <w:t>, párr. 75</w:t>
      </w:r>
      <w:r w:rsidR="00001781">
        <w:t xml:space="preserve"> </w:t>
      </w:r>
      <w:r w:rsidR="009613A3">
        <w:t>a).</w:t>
      </w:r>
    </w:p>
  </w:footnote>
  <w:footnote w:id="37">
    <w:p w14:paraId="7E482F88" w14:textId="7B658065" w:rsidR="00B259A8" w:rsidRDefault="00B259A8">
      <w:pPr>
        <w:pStyle w:val="Textonotapie"/>
      </w:pPr>
      <w:r>
        <w:tab/>
      </w:r>
      <w:r>
        <w:rPr>
          <w:rStyle w:val="Refdenotaalpie"/>
        </w:rPr>
        <w:footnoteRef/>
      </w:r>
      <w:r>
        <w:tab/>
      </w:r>
      <w:r w:rsidR="003437E9">
        <w:t>Corte Suprema de Justicia de la Nación, “</w:t>
      </w:r>
      <w:r w:rsidR="003437E9" w:rsidRPr="00591D3C">
        <w:rPr>
          <w:i/>
          <w:iCs/>
        </w:rPr>
        <w:t>A., C. J.</w:t>
      </w:r>
      <w:r w:rsidR="003437E9">
        <w:t xml:space="preserve"> s/homicidio en ocasión de robo, portación ilegal de</w:t>
      </w:r>
      <w:r w:rsidR="00001781">
        <w:t> </w:t>
      </w:r>
      <w:r w:rsidR="003437E9">
        <w:t xml:space="preserve">armas de fuego de uso civil s/ juicio s/ casación”, </w:t>
      </w:r>
      <w:r w:rsidR="00B1399C" w:rsidRPr="00591D3C">
        <w:rPr>
          <w:i/>
          <w:iCs/>
        </w:rPr>
        <w:t>Fallos</w:t>
      </w:r>
      <w:r w:rsidR="00B1399C" w:rsidRPr="00B1399C">
        <w:t>: 340:1450</w:t>
      </w:r>
      <w:r w:rsidR="00B1399C">
        <w:t xml:space="preserve">, </w:t>
      </w:r>
      <w:r w:rsidR="003437E9">
        <w:t xml:space="preserve">sentencia de </w:t>
      </w:r>
      <w:r w:rsidR="00001781">
        <w:t xml:space="preserve">31 </w:t>
      </w:r>
      <w:r w:rsidR="003437E9">
        <w:t>de octubre de</w:t>
      </w:r>
      <w:r w:rsidR="00001781">
        <w:t> </w:t>
      </w:r>
      <w:r w:rsidR="003437E9">
        <w:t>2017, consid</w:t>
      </w:r>
      <w:r w:rsidR="00B1399C">
        <w:t>erando</w:t>
      </w:r>
      <w:r w:rsidR="003437E9">
        <w:t>s 6º y 9º.</w:t>
      </w:r>
    </w:p>
  </w:footnote>
  <w:footnote w:id="38">
    <w:p w14:paraId="0EC0357B" w14:textId="4392B754" w:rsidR="003437E9" w:rsidRDefault="003437E9">
      <w:pPr>
        <w:pStyle w:val="Textonotapie"/>
      </w:pPr>
      <w:r>
        <w:tab/>
      </w:r>
      <w:r>
        <w:rPr>
          <w:rStyle w:val="Refdenotaalpie"/>
        </w:rPr>
        <w:footnoteRef/>
      </w:r>
      <w:r>
        <w:tab/>
      </w:r>
      <w:r>
        <w:tab/>
      </w:r>
      <w:hyperlink r:id="rId8" w:history="1">
        <w:r w:rsidRPr="00001781">
          <w:rPr>
            <w:rStyle w:val="Hipervnculo"/>
          </w:rPr>
          <w:t>CRC/C/</w:t>
        </w:r>
        <w:proofErr w:type="spellStart"/>
        <w:r w:rsidRPr="00001781">
          <w:rPr>
            <w:rStyle w:val="Hipervnculo"/>
          </w:rPr>
          <w:t>ARG</w:t>
        </w:r>
        <w:proofErr w:type="spellEnd"/>
        <w:r w:rsidRPr="00001781">
          <w:rPr>
            <w:rStyle w:val="Hipervnculo"/>
          </w:rPr>
          <w:t>/CO/3</w:t>
        </w:r>
        <w:r w:rsidR="00210B4C">
          <w:rPr>
            <w:rStyle w:val="Hipervnculo"/>
          </w:rPr>
          <w:t>-</w:t>
        </w:r>
        <w:r w:rsidRPr="00001781">
          <w:rPr>
            <w:rStyle w:val="Hipervnculo"/>
          </w:rPr>
          <w:t>4</w:t>
        </w:r>
      </w:hyperlink>
      <w:r w:rsidRPr="000328E3">
        <w:t xml:space="preserve">, párr. </w:t>
      </w:r>
      <w:r w:rsidRPr="002F5703">
        <w:t>80</w:t>
      </w:r>
      <w:r w:rsidR="00001781">
        <w:t xml:space="preserve"> </w:t>
      </w:r>
      <w:r w:rsidRPr="002F5703">
        <w:t>a).</w:t>
      </w:r>
    </w:p>
  </w:footnote>
  <w:footnote w:id="39">
    <w:p w14:paraId="5891E1E1" w14:textId="73407C95" w:rsidR="00B259A8" w:rsidRDefault="00B259A8">
      <w:pPr>
        <w:pStyle w:val="Textonotapie"/>
      </w:pPr>
      <w:r>
        <w:tab/>
      </w:r>
      <w:r>
        <w:rPr>
          <w:rStyle w:val="Refdenotaalpie"/>
        </w:rPr>
        <w:footnoteRef/>
      </w:r>
      <w:r>
        <w:tab/>
      </w:r>
      <w:r w:rsidR="00380BF1">
        <w:t>Caso</w:t>
      </w:r>
      <w:r w:rsidR="003437E9">
        <w:t xml:space="preserve"> </w:t>
      </w:r>
      <w:r w:rsidR="003437E9" w:rsidRPr="00591D3C">
        <w:rPr>
          <w:i/>
          <w:iCs/>
        </w:rPr>
        <w:t xml:space="preserve">Mendoza </w:t>
      </w:r>
      <w:r w:rsidR="00380BF1" w:rsidRPr="00591D3C">
        <w:rPr>
          <w:i/>
          <w:iCs/>
        </w:rPr>
        <w:t>y otros vs</w:t>
      </w:r>
      <w:r w:rsidR="003437E9" w:rsidRPr="00591D3C">
        <w:rPr>
          <w:i/>
          <w:iCs/>
        </w:rPr>
        <w:t>. Argentina</w:t>
      </w:r>
      <w:r w:rsidR="003437E9">
        <w:t>, párr. 325.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1380D" w14:textId="275D2E2A" w:rsidR="00DE15B8" w:rsidRPr="00015011" w:rsidRDefault="00DE15B8">
    <w:pPr>
      <w:pStyle w:val="Encabezado"/>
      <w:rPr>
        <w:lang w:val="en-GB"/>
      </w:rPr>
    </w:pPr>
    <w:r>
      <w:fldChar w:fldCharType="begin"/>
    </w:r>
    <w:r w:rsidRPr="00015011">
      <w:rPr>
        <w:lang w:val="en-GB"/>
      </w:rPr>
      <w:instrText xml:space="preserve"> TITLE  \* MERGEFORMAT </w:instrText>
    </w:r>
    <w:r>
      <w:fldChar w:fldCharType="separate"/>
    </w:r>
    <w:r w:rsidR="00EE3FC8">
      <w:rPr>
        <w:lang w:val="en-GB"/>
      </w:rPr>
      <w:t>CRC/C/94/D/89/2019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C306A" w14:textId="1CF660C3" w:rsidR="00DE15B8" w:rsidRPr="005E3B5B" w:rsidRDefault="00DE15B8" w:rsidP="005E3B5B">
    <w:pPr>
      <w:pStyle w:val="Encabezado"/>
      <w:jc w:val="right"/>
    </w:pPr>
    <w:r w:rsidRPr="00015011">
      <w:t>CRC/C/9</w:t>
    </w:r>
    <w:r w:rsidR="00305ACD">
      <w:t>4</w:t>
    </w:r>
    <w:r w:rsidRPr="00015011">
      <w:t>/D/</w:t>
    </w:r>
    <w:r w:rsidR="00305ACD">
      <w:t>8</w:t>
    </w:r>
    <w:r w:rsidRPr="00015011">
      <w:t>9/20</w:t>
    </w:r>
    <w:r w:rsidR="00305ACD">
      <w:t>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75017589">
    <w:abstractNumId w:val="14"/>
  </w:num>
  <w:num w:numId="2" w16cid:durableId="1160389379">
    <w:abstractNumId w:val="11"/>
  </w:num>
  <w:num w:numId="3" w16cid:durableId="372384460">
    <w:abstractNumId w:val="16"/>
  </w:num>
  <w:num w:numId="4" w16cid:durableId="751511142">
    <w:abstractNumId w:val="15"/>
  </w:num>
  <w:num w:numId="5" w16cid:durableId="1971746491">
    <w:abstractNumId w:val="13"/>
  </w:num>
  <w:num w:numId="6" w16cid:durableId="1852720226">
    <w:abstractNumId w:val="8"/>
  </w:num>
  <w:num w:numId="7" w16cid:durableId="1783644305">
    <w:abstractNumId w:val="3"/>
  </w:num>
  <w:num w:numId="8" w16cid:durableId="2094083725">
    <w:abstractNumId w:val="2"/>
  </w:num>
  <w:num w:numId="9" w16cid:durableId="1506213996">
    <w:abstractNumId w:val="1"/>
  </w:num>
  <w:num w:numId="10" w16cid:durableId="1965235926">
    <w:abstractNumId w:val="0"/>
  </w:num>
  <w:num w:numId="11" w16cid:durableId="1652519066">
    <w:abstractNumId w:val="9"/>
  </w:num>
  <w:num w:numId="12" w16cid:durableId="1172572366">
    <w:abstractNumId w:val="7"/>
  </w:num>
  <w:num w:numId="13" w16cid:durableId="1929456360">
    <w:abstractNumId w:val="6"/>
  </w:num>
  <w:num w:numId="14" w16cid:durableId="517239060">
    <w:abstractNumId w:val="5"/>
  </w:num>
  <w:num w:numId="15" w16cid:durableId="764033742">
    <w:abstractNumId w:val="4"/>
  </w:num>
  <w:num w:numId="16" w16cid:durableId="1714767235">
    <w:abstractNumId w:val="10"/>
  </w:num>
  <w:num w:numId="17" w16cid:durableId="1846170258">
    <w:abstractNumId w:val="14"/>
  </w:num>
  <w:num w:numId="18" w16cid:durableId="1001081982">
    <w:abstractNumId w:val="11"/>
  </w:num>
  <w:num w:numId="19" w16cid:durableId="920484348">
    <w:abstractNumId w:val="10"/>
  </w:num>
  <w:num w:numId="20" w16cid:durableId="1889949866">
    <w:abstractNumId w:val="16"/>
  </w:num>
  <w:num w:numId="21" w16cid:durableId="1453745943">
    <w:abstractNumId w:val="15"/>
  </w:num>
  <w:num w:numId="22" w16cid:durableId="1823347240">
    <w:abstractNumId w:val="12"/>
  </w:num>
  <w:num w:numId="23" w16cid:durableId="419103170">
    <w:abstractNumId w:val="12"/>
  </w:num>
  <w:num w:numId="24" w16cid:durableId="141771872">
    <w:abstractNumId w:val="13"/>
  </w:num>
  <w:num w:numId="25" w16cid:durableId="59526995">
    <w:abstractNumId w:val="9"/>
  </w:num>
  <w:num w:numId="26" w16cid:durableId="1022902472">
    <w:abstractNumId w:val="7"/>
  </w:num>
  <w:num w:numId="27" w16cid:durableId="138882199">
    <w:abstractNumId w:val="6"/>
  </w:num>
  <w:num w:numId="28" w16cid:durableId="1631086322">
    <w:abstractNumId w:val="5"/>
  </w:num>
  <w:num w:numId="29" w16cid:durableId="135682752">
    <w:abstractNumId w:val="4"/>
  </w:num>
  <w:num w:numId="30" w16cid:durableId="592399227">
    <w:abstractNumId w:val="8"/>
  </w:num>
  <w:num w:numId="31" w16cid:durableId="1607270520">
    <w:abstractNumId w:val="3"/>
  </w:num>
  <w:num w:numId="32" w16cid:durableId="731388506">
    <w:abstractNumId w:val="2"/>
  </w:num>
  <w:num w:numId="33" w16cid:durableId="903106221">
    <w:abstractNumId w:val="1"/>
  </w:num>
  <w:num w:numId="34" w16cid:durableId="161837061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A80"/>
    <w:rsid w:val="00001781"/>
    <w:rsid w:val="00002131"/>
    <w:rsid w:val="000042C2"/>
    <w:rsid w:val="00004643"/>
    <w:rsid w:val="00007170"/>
    <w:rsid w:val="000122C9"/>
    <w:rsid w:val="00013F93"/>
    <w:rsid w:val="00015011"/>
    <w:rsid w:val="0001630F"/>
    <w:rsid w:val="0002016E"/>
    <w:rsid w:val="00023110"/>
    <w:rsid w:val="00023560"/>
    <w:rsid w:val="00023B74"/>
    <w:rsid w:val="000306A2"/>
    <w:rsid w:val="000328E3"/>
    <w:rsid w:val="00033EE1"/>
    <w:rsid w:val="00036440"/>
    <w:rsid w:val="00037444"/>
    <w:rsid w:val="000414D1"/>
    <w:rsid w:val="00042080"/>
    <w:rsid w:val="000448E4"/>
    <w:rsid w:val="00045153"/>
    <w:rsid w:val="00047B14"/>
    <w:rsid w:val="00052A7B"/>
    <w:rsid w:val="00063261"/>
    <w:rsid w:val="00063292"/>
    <w:rsid w:val="000632A5"/>
    <w:rsid w:val="000744CD"/>
    <w:rsid w:val="00074D2F"/>
    <w:rsid w:val="0007655C"/>
    <w:rsid w:val="0008262A"/>
    <w:rsid w:val="00083B4E"/>
    <w:rsid w:val="000862A8"/>
    <w:rsid w:val="00087F68"/>
    <w:rsid w:val="000904C8"/>
    <w:rsid w:val="00090660"/>
    <w:rsid w:val="000915AC"/>
    <w:rsid w:val="000942DD"/>
    <w:rsid w:val="000A1B06"/>
    <w:rsid w:val="000A3BBF"/>
    <w:rsid w:val="000B57E7"/>
    <w:rsid w:val="000B5BE4"/>
    <w:rsid w:val="000B6AC7"/>
    <w:rsid w:val="000B7252"/>
    <w:rsid w:val="000C7560"/>
    <w:rsid w:val="000D0253"/>
    <w:rsid w:val="000D0A68"/>
    <w:rsid w:val="000D51B1"/>
    <w:rsid w:val="000D69FA"/>
    <w:rsid w:val="000D7896"/>
    <w:rsid w:val="000E08D7"/>
    <w:rsid w:val="000E276A"/>
    <w:rsid w:val="000E4E26"/>
    <w:rsid w:val="000F09DF"/>
    <w:rsid w:val="000F2814"/>
    <w:rsid w:val="000F61B2"/>
    <w:rsid w:val="000F6755"/>
    <w:rsid w:val="001043DA"/>
    <w:rsid w:val="00104DFF"/>
    <w:rsid w:val="00105AF0"/>
    <w:rsid w:val="001075E9"/>
    <w:rsid w:val="00111059"/>
    <w:rsid w:val="001126E4"/>
    <w:rsid w:val="00123B71"/>
    <w:rsid w:val="001256EA"/>
    <w:rsid w:val="0012796A"/>
    <w:rsid w:val="00132DB4"/>
    <w:rsid w:val="0013773B"/>
    <w:rsid w:val="0014389C"/>
    <w:rsid w:val="00143E9E"/>
    <w:rsid w:val="001471E9"/>
    <w:rsid w:val="00150987"/>
    <w:rsid w:val="001538D6"/>
    <w:rsid w:val="00153D1D"/>
    <w:rsid w:val="001541D9"/>
    <w:rsid w:val="00155216"/>
    <w:rsid w:val="00155B60"/>
    <w:rsid w:val="00156582"/>
    <w:rsid w:val="00161852"/>
    <w:rsid w:val="0016266D"/>
    <w:rsid w:val="00162970"/>
    <w:rsid w:val="00164B5A"/>
    <w:rsid w:val="0016558A"/>
    <w:rsid w:val="00170A52"/>
    <w:rsid w:val="00172B74"/>
    <w:rsid w:val="0017427E"/>
    <w:rsid w:val="00175667"/>
    <w:rsid w:val="0017605E"/>
    <w:rsid w:val="001774D3"/>
    <w:rsid w:val="00180183"/>
    <w:rsid w:val="001852D7"/>
    <w:rsid w:val="0018649F"/>
    <w:rsid w:val="00187CA8"/>
    <w:rsid w:val="001906DC"/>
    <w:rsid w:val="00191324"/>
    <w:rsid w:val="00191879"/>
    <w:rsid w:val="00191906"/>
    <w:rsid w:val="00195A10"/>
    <w:rsid w:val="00196389"/>
    <w:rsid w:val="001A13B4"/>
    <w:rsid w:val="001A18B8"/>
    <w:rsid w:val="001A1F0E"/>
    <w:rsid w:val="001A29A0"/>
    <w:rsid w:val="001A2A99"/>
    <w:rsid w:val="001A4731"/>
    <w:rsid w:val="001A4EF2"/>
    <w:rsid w:val="001A6C9C"/>
    <w:rsid w:val="001B044F"/>
    <w:rsid w:val="001B269E"/>
    <w:rsid w:val="001B3F28"/>
    <w:rsid w:val="001B449D"/>
    <w:rsid w:val="001B5567"/>
    <w:rsid w:val="001B5FFA"/>
    <w:rsid w:val="001B6165"/>
    <w:rsid w:val="001C30B5"/>
    <w:rsid w:val="001C7A89"/>
    <w:rsid w:val="001D01B9"/>
    <w:rsid w:val="001D1565"/>
    <w:rsid w:val="001E00F3"/>
    <w:rsid w:val="001E4418"/>
    <w:rsid w:val="001E6235"/>
    <w:rsid w:val="001E780C"/>
    <w:rsid w:val="001E7E22"/>
    <w:rsid w:val="00201340"/>
    <w:rsid w:val="00204B1A"/>
    <w:rsid w:val="00210B4C"/>
    <w:rsid w:val="002121BB"/>
    <w:rsid w:val="00220F72"/>
    <w:rsid w:val="002223D7"/>
    <w:rsid w:val="002256A5"/>
    <w:rsid w:val="00226D67"/>
    <w:rsid w:val="002338C9"/>
    <w:rsid w:val="00236B54"/>
    <w:rsid w:val="00240004"/>
    <w:rsid w:val="00245D67"/>
    <w:rsid w:val="002479DB"/>
    <w:rsid w:val="00261AC7"/>
    <w:rsid w:val="0027317D"/>
    <w:rsid w:val="00275E8B"/>
    <w:rsid w:val="00277254"/>
    <w:rsid w:val="002806C1"/>
    <w:rsid w:val="002809C3"/>
    <w:rsid w:val="00287C2C"/>
    <w:rsid w:val="00290A5F"/>
    <w:rsid w:val="002914C2"/>
    <w:rsid w:val="002931F6"/>
    <w:rsid w:val="002A0A4A"/>
    <w:rsid w:val="002A2EFC"/>
    <w:rsid w:val="002A5550"/>
    <w:rsid w:val="002A55B4"/>
    <w:rsid w:val="002B07A3"/>
    <w:rsid w:val="002B1D6F"/>
    <w:rsid w:val="002B397F"/>
    <w:rsid w:val="002B39D0"/>
    <w:rsid w:val="002B3E89"/>
    <w:rsid w:val="002B5164"/>
    <w:rsid w:val="002B5F6D"/>
    <w:rsid w:val="002C0E18"/>
    <w:rsid w:val="002C576A"/>
    <w:rsid w:val="002D42F0"/>
    <w:rsid w:val="002D480E"/>
    <w:rsid w:val="002D5AAC"/>
    <w:rsid w:val="002D5D56"/>
    <w:rsid w:val="002E0D75"/>
    <w:rsid w:val="002E0E92"/>
    <w:rsid w:val="002E273E"/>
    <w:rsid w:val="002E3937"/>
    <w:rsid w:val="002F1F12"/>
    <w:rsid w:val="002F3B5F"/>
    <w:rsid w:val="002F3E05"/>
    <w:rsid w:val="002F4E66"/>
    <w:rsid w:val="002F5703"/>
    <w:rsid w:val="002F7AEC"/>
    <w:rsid w:val="00301299"/>
    <w:rsid w:val="00305ACD"/>
    <w:rsid w:val="00305BEF"/>
    <w:rsid w:val="003064AB"/>
    <w:rsid w:val="00306C32"/>
    <w:rsid w:val="00307C63"/>
    <w:rsid w:val="00307CD3"/>
    <w:rsid w:val="00315286"/>
    <w:rsid w:val="003155D6"/>
    <w:rsid w:val="00317690"/>
    <w:rsid w:val="00317F72"/>
    <w:rsid w:val="00322004"/>
    <w:rsid w:val="00322CF7"/>
    <w:rsid w:val="00322E34"/>
    <w:rsid w:val="00323C09"/>
    <w:rsid w:val="00326531"/>
    <w:rsid w:val="0032673D"/>
    <w:rsid w:val="00327914"/>
    <w:rsid w:val="00331580"/>
    <w:rsid w:val="00333013"/>
    <w:rsid w:val="003331F1"/>
    <w:rsid w:val="00335F92"/>
    <w:rsid w:val="003402C2"/>
    <w:rsid w:val="003437E9"/>
    <w:rsid w:val="003446F2"/>
    <w:rsid w:val="00345C82"/>
    <w:rsid w:val="00354869"/>
    <w:rsid w:val="003556AF"/>
    <w:rsid w:val="00360FF7"/>
    <w:rsid w:val="003704DB"/>
    <w:rsid w:val="0037137A"/>
    <w:rsid w:val="0037361D"/>
    <w:rsid w:val="003759CB"/>
    <w:rsid w:val="00380BF1"/>
    <w:rsid w:val="00381C24"/>
    <w:rsid w:val="0038720A"/>
    <w:rsid w:val="00390063"/>
    <w:rsid w:val="00393CBE"/>
    <w:rsid w:val="00394FA4"/>
    <w:rsid w:val="003958D0"/>
    <w:rsid w:val="00397089"/>
    <w:rsid w:val="003A078E"/>
    <w:rsid w:val="003A5688"/>
    <w:rsid w:val="003A6608"/>
    <w:rsid w:val="003A7A8D"/>
    <w:rsid w:val="003B00E5"/>
    <w:rsid w:val="003B4052"/>
    <w:rsid w:val="003B417A"/>
    <w:rsid w:val="003B417B"/>
    <w:rsid w:val="003B41EC"/>
    <w:rsid w:val="003C0B74"/>
    <w:rsid w:val="003C12F7"/>
    <w:rsid w:val="003C2925"/>
    <w:rsid w:val="003C32B6"/>
    <w:rsid w:val="003C4C6E"/>
    <w:rsid w:val="003C689B"/>
    <w:rsid w:val="003D2B8C"/>
    <w:rsid w:val="003E06D1"/>
    <w:rsid w:val="003E0ACE"/>
    <w:rsid w:val="003E24C9"/>
    <w:rsid w:val="003E25D4"/>
    <w:rsid w:val="003E27CE"/>
    <w:rsid w:val="003E582E"/>
    <w:rsid w:val="003E6F16"/>
    <w:rsid w:val="003F4537"/>
    <w:rsid w:val="003F592B"/>
    <w:rsid w:val="00404276"/>
    <w:rsid w:val="004043B6"/>
    <w:rsid w:val="0040732B"/>
    <w:rsid w:val="004118D5"/>
    <w:rsid w:val="00414A16"/>
    <w:rsid w:val="004152F7"/>
    <w:rsid w:val="00415DF8"/>
    <w:rsid w:val="00417E3B"/>
    <w:rsid w:val="00420E43"/>
    <w:rsid w:val="00420F13"/>
    <w:rsid w:val="00422355"/>
    <w:rsid w:val="00422B50"/>
    <w:rsid w:val="00423AAC"/>
    <w:rsid w:val="00424BB7"/>
    <w:rsid w:val="004264AD"/>
    <w:rsid w:val="00427F10"/>
    <w:rsid w:val="004332C6"/>
    <w:rsid w:val="00436F99"/>
    <w:rsid w:val="0044046E"/>
    <w:rsid w:val="00443452"/>
    <w:rsid w:val="00444D03"/>
    <w:rsid w:val="00445E94"/>
    <w:rsid w:val="00445EDC"/>
    <w:rsid w:val="00446004"/>
    <w:rsid w:val="00453CBE"/>
    <w:rsid w:val="00454E07"/>
    <w:rsid w:val="004563DA"/>
    <w:rsid w:val="00457473"/>
    <w:rsid w:val="00460084"/>
    <w:rsid w:val="00465837"/>
    <w:rsid w:val="004742BD"/>
    <w:rsid w:val="0047624A"/>
    <w:rsid w:val="00476F10"/>
    <w:rsid w:val="0047791C"/>
    <w:rsid w:val="0048030C"/>
    <w:rsid w:val="004807A4"/>
    <w:rsid w:val="00483007"/>
    <w:rsid w:val="00483405"/>
    <w:rsid w:val="00484E77"/>
    <w:rsid w:val="00486B2C"/>
    <w:rsid w:val="00490BB3"/>
    <w:rsid w:val="004915E6"/>
    <w:rsid w:val="004952C6"/>
    <w:rsid w:val="004956E6"/>
    <w:rsid w:val="004A3230"/>
    <w:rsid w:val="004A5366"/>
    <w:rsid w:val="004A6A80"/>
    <w:rsid w:val="004B0F93"/>
    <w:rsid w:val="004B216B"/>
    <w:rsid w:val="004C4F02"/>
    <w:rsid w:val="004C52CF"/>
    <w:rsid w:val="004C5AB4"/>
    <w:rsid w:val="004C6A70"/>
    <w:rsid w:val="004D3BB7"/>
    <w:rsid w:val="004D45DB"/>
    <w:rsid w:val="004E0D3B"/>
    <w:rsid w:val="004E17F5"/>
    <w:rsid w:val="004E6C69"/>
    <w:rsid w:val="004F17F1"/>
    <w:rsid w:val="004F1CA0"/>
    <w:rsid w:val="004F2863"/>
    <w:rsid w:val="004F34BC"/>
    <w:rsid w:val="004F3CDC"/>
    <w:rsid w:val="004F5DBA"/>
    <w:rsid w:val="004F6D29"/>
    <w:rsid w:val="0050108D"/>
    <w:rsid w:val="005039F7"/>
    <w:rsid w:val="00506516"/>
    <w:rsid w:val="00510537"/>
    <w:rsid w:val="005128C3"/>
    <w:rsid w:val="005137FA"/>
    <w:rsid w:val="00522D14"/>
    <w:rsid w:val="00526C74"/>
    <w:rsid w:val="0053035E"/>
    <w:rsid w:val="005303FC"/>
    <w:rsid w:val="005309AC"/>
    <w:rsid w:val="00530F25"/>
    <w:rsid w:val="00536DF4"/>
    <w:rsid w:val="00543561"/>
    <w:rsid w:val="00550703"/>
    <w:rsid w:val="0055120C"/>
    <w:rsid w:val="00551791"/>
    <w:rsid w:val="00555A18"/>
    <w:rsid w:val="00571DFA"/>
    <w:rsid w:val="00572E19"/>
    <w:rsid w:val="00572F40"/>
    <w:rsid w:val="005804D4"/>
    <w:rsid w:val="0058234A"/>
    <w:rsid w:val="00583B9B"/>
    <w:rsid w:val="0058420F"/>
    <w:rsid w:val="00590CDD"/>
    <w:rsid w:val="00591D3C"/>
    <w:rsid w:val="005958B9"/>
    <w:rsid w:val="00596787"/>
    <w:rsid w:val="005973CB"/>
    <w:rsid w:val="0059781B"/>
    <w:rsid w:val="00597CD2"/>
    <w:rsid w:val="005A182D"/>
    <w:rsid w:val="005A49C4"/>
    <w:rsid w:val="005A4D21"/>
    <w:rsid w:val="005A7B43"/>
    <w:rsid w:val="005B2B03"/>
    <w:rsid w:val="005B311E"/>
    <w:rsid w:val="005C2A44"/>
    <w:rsid w:val="005C43E4"/>
    <w:rsid w:val="005C68B9"/>
    <w:rsid w:val="005C7773"/>
    <w:rsid w:val="005D2C08"/>
    <w:rsid w:val="005D4747"/>
    <w:rsid w:val="005D6721"/>
    <w:rsid w:val="005D7179"/>
    <w:rsid w:val="005E1057"/>
    <w:rsid w:val="005E172E"/>
    <w:rsid w:val="005E20BB"/>
    <w:rsid w:val="005E355B"/>
    <w:rsid w:val="005E3B5B"/>
    <w:rsid w:val="005E7179"/>
    <w:rsid w:val="005E7E42"/>
    <w:rsid w:val="005E7F11"/>
    <w:rsid w:val="005E7F83"/>
    <w:rsid w:val="005F0B42"/>
    <w:rsid w:val="005F0E03"/>
    <w:rsid w:val="005F2AD1"/>
    <w:rsid w:val="005F4A19"/>
    <w:rsid w:val="005F5FAC"/>
    <w:rsid w:val="00601EE0"/>
    <w:rsid w:val="0060208A"/>
    <w:rsid w:val="00605147"/>
    <w:rsid w:val="00605B0C"/>
    <w:rsid w:val="00613FB7"/>
    <w:rsid w:val="0061488C"/>
    <w:rsid w:val="00615911"/>
    <w:rsid w:val="006179A0"/>
    <w:rsid w:val="00620E4F"/>
    <w:rsid w:val="00624A68"/>
    <w:rsid w:val="00626145"/>
    <w:rsid w:val="00626492"/>
    <w:rsid w:val="006304A7"/>
    <w:rsid w:val="00635C3F"/>
    <w:rsid w:val="0063765E"/>
    <w:rsid w:val="00641333"/>
    <w:rsid w:val="00641442"/>
    <w:rsid w:val="006461DC"/>
    <w:rsid w:val="0065112A"/>
    <w:rsid w:val="00651646"/>
    <w:rsid w:val="00653340"/>
    <w:rsid w:val="00653D9D"/>
    <w:rsid w:val="006563BB"/>
    <w:rsid w:val="00656C3D"/>
    <w:rsid w:val="006639E6"/>
    <w:rsid w:val="006703E9"/>
    <w:rsid w:val="0067045D"/>
    <w:rsid w:val="00684965"/>
    <w:rsid w:val="00685D31"/>
    <w:rsid w:val="00686075"/>
    <w:rsid w:val="00687ECC"/>
    <w:rsid w:val="006902C1"/>
    <w:rsid w:val="00690D7E"/>
    <w:rsid w:val="00692954"/>
    <w:rsid w:val="00693B5B"/>
    <w:rsid w:val="00697311"/>
    <w:rsid w:val="0069785C"/>
    <w:rsid w:val="006A1508"/>
    <w:rsid w:val="006B3A76"/>
    <w:rsid w:val="006B409F"/>
    <w:rsid w:val="006B7935"/>
    <w:rsid w:val="006C0476"/>
    <w:rsid w:val="006C319E"/>
    <w:rsid w:val="006C31B6"/>
    <w:rsid w:val="006D4B02"/>
    <w:rsid w:val="006E39BA"/>
    <w:rsid w:val="006E4D12"/>
    <w:rsid w:val="006E6092"/>
    <w:rsid w:val="006E669E"/>
    <w:rsid w:val="006E71B5"/>
    <w:rsid w:val="006F35EE"/>
    <w:rsid w:val="006F7A61"/>
    <w:rsid w:val="006F7B0F"/>
    <w:rsid w:val="0070051D"/>
    <w:rsid w:val="00701D1B"/>
    <w:rsid w:val="007021FF"/>
    <w:rsid w:val="00703554"/>
    <w:rsid w:val="007043F7"/>
    <w:rsid w:val="00713D06"/>
    <w:rsid w:val="0071684C"/>
    <w:rsid w:val="00716FC0"/>
    <w:rsid w:val="007206F2"/>
    <w:rsid w:val="00721BB9"/>
    <w:rsid w:val="007239D0"/>
    <w:rsid w:val="00724A82"/>
    <w:rsid w:val="00724E14"/>
    <w:rsid w:val="0072764F"/>
    <w:rsid w:val="00730193"/>
    <w:rsid w:val="00730A24"/>
    <w:rsid w:val="00731DBA"/>
    <w:rsid w:val="0073435B"/>
    <w:rsid w:val="00734690"/>
    <w:rsid w:val="00735119"/>
    <w:rsid w:val="00740A34"/>
    <w:rsid w:val="0074288F"/>
    <w:rsid w:val="007444CA"/>
    <w:rsid w:val="00750CEC"/>
    <w:rsid w:val="007527C9"/>
    <w:rsid w:val="00753418"/>
    <w:rsid w:val="0075342B"/>
    <w:rsid w:val="00755B68"/>
    <w:rsid w:val="00755EAD"/>
    <w:rsid w:val="00757357"/>
    <w:rsid w:val="0075744B"/>
    <w:rsid w:val="00762149"/>
    <w:rsid w:val="007631E9"/>
    <w:rsid w:val="00763793"/>
    <w:rsid w:val="0077111A"/>
    <w:rsid w:val="00776657"/>
    <w:rsid w:val="007812C5"/>
    <w:rsid w:val="0078511E"/>
    <w:rsid w:val="00787C4B"/>
    <w:rsid w:val="00794A47"/>
    <w:rsid w:val="00795C02"/>
    <w:rsid w:val="007A059A"/>
    <w:rsid w:val="007A0FCD"/>
    <w:rsid w:val="007A43DB"/>
    <w:rsid w:val="007A4B88"/>
    <w:rsid w:val="007A5754"/>
    <w:rsid w:val="007A5F37"/>
    <w:rsid w:val="007A7AEA"/>
    <w:rsid w:val="007A7DBD"/>
    <w:rsid w:val="007B08BE"/>
    <w:rsid w:val="007B2A9A"/>
    <w:rsid w:val="007B626F"/>
    <w:rsid w:val="007C0005"/>
    <w:rsid w:val="007C088E"/>
    <w:rsid w:val="007C19B3"/>
    <w:rsid w:val="007C2DEF"/>
    <w:rsid w:val="007C3CB8"/>
    <w:rsid w:val="007C3F33"/>
    <w:rsid w:val="007D0A1F"/>
    <w:rsid w:val="007D431B"/>
    <w:rsid w:val="007D630A"/>
    <w:rsid w:val="007E0983"/>
    <w:rsid w:val="007E16A7"/>
    <w:rsid w:val="007E24FA"/>
    <w:rsid w:val="007E279B"/>
    <w:rsid w:val="007E291E"/>
    <w:rsid w:val="007E2B48"/>
    <w:rsid w:val="007E553C"/>
    <w:rsid w:val="007E74AE"/>
    <w:rsid w:val="007F1CE2"/>
    <w:rsid w:val="007F2BC5"/>
    <w:rsid w:val="007F3812"/>
    <w:rsid w:val="007F4281"/>
    <w:rsid w:val="007F4EC5"/>
    <w:rsid w:val="007F6106"/>
    <w:rsid w:val="008070B1"/>
    <w:rsid w:val="00811787"/>
    <w:rsid w:val="008122D6"/>
    <w:rsid w:val="008136D8"/>
    <w:rsid w:val="00813781"/>
    <w:rsid w:val="008167F2"/>
    <w:rsid w:val="00816D4B"/>
    <w:rsid w:val="0081724E"/>
    <w:rsid w:val="00822CE1"/>
    <w:rsid w:val="00826472"/>
    <w:rsid w:val="00831C47"/>
    <w:rsid w:val="00834B71"/>
    <w:rsid w:val="00836C6E"/>
    <w:rsid w:val="00840D1E"/>
    <w:rsid w:val="00841593"/>
    <w:rsid w:val="0084541A"/>
    <w:rsid w:val="0084593B"/>
    <w:rsid w:val="00846FB9"/>
    <w:rsid w:val="00847865"/>
    <w:rsid w:val="008509F1"/>
    <w:rsid w:val="00850A3F"/>
    <w:rsid w:val="00855244"/>
    <w:rsid w:val="008611DC"/>
    <w:rsid w:val="008635FA"/>
    <w:rsid w:val="0086445C"/>
    <w:rsid w:val="008661CB"/>
    <w:rsid w:val="00867322"/>
    <w:rsid w:val="008675EF"/>
    <w:rsid w:val="00870261"/>
    <w:rsid w:val="0087027B"/>
    <w:rsid w:val="00871FE5"/>
    <w:rsid w:val="00876FA2"/>
    <w:rsid w:val="00877182"/>
    <w:rsid w:val="008809DA"/>
    <w:rsid w:val="00882B2D"/>
    <w:rsid w:val="00884DAC"/>
    <w:rsid w:val="0089426B"/>
    <w:rsid w:val="00894C8A"/>
    <w:rsid w:val="00895CF2"/>
    <w:rsid w:val="00897AF1"/>
    <w:rsid w:val="008A08D7"/>
    <w:rsid w:val="008A1F36"/>
    <w:rsid w:val="008A251C"/>
    <w:rsid w:val="008A2537"/>
    <w:rsid w:val="008A30BA"/>
    <w:rsid w:val="008A3BA4"/>
    <w:rsid w:val="008A3EA3"/>
    <w:rsid w:val="008A4869"/>
    <w:rsid w:val="008A5003"/>
    <w:rsid w:val="008A6A18"/>
    <w:rsid w:val="008B054B"/>
    <w:rsid w:val="008B177E"/>
    <w:rsid w:val="008B21EE"/>
    <w:rsid w:val="008B6603"/>
    <w:rsid w:val="008C2B1A"/>
    <w:rsid w:val="008C4272"/>
    <w:rsid w:val="008C4A65"/>
    <w:rsid w:val="008C7992"/>
    <w:rsid w:val="008D094C"/>
    <w:rsid w:val="008D3E35"/>
    <w:rsid w:val="008D4DCA"/>
    <w:rsid w:val="008E1429"/>
    <w:rsid w:val="008E4F1F"/>
    <w:rsid w:val="008F0BDB"/>
    <w:rsid w:val="008F3616"/>
    <w:rsid w:val="008F7EC1"/>
    <w:rsid w:val="0090138C"/>
    <w:rsid w:val="009048E0"/>
    <w:rsid w:val="00906890"/>
    <w:rsid w:val="00911C85"/>
    <w:rsid w:val="009148C2"/>
    <w:rsid w:val="009156BE"/>
    <w:rsid w:val="00917038"/>
    <w:rsid w:val="00917824"/>
    <w:rsid w:val="00917A17"/>
    <w:rsid w:val="00917A80"/>
    <w:rsid w:val="00921756"/>
    <w:rsid w:val="009260AD"/>
    <w:rsid w:val="00926A12"/>
    <w:rsid w:val="009276BA"/>
    <w:rsid w:val="00935586"/>
    <w:rsid w:val="00936A73"/>
    <w:rsid w:val="00945724"/>
    <w:rsid w:val="00945C0F"/>
    <w:rsid w:val="009477B3"/>
    <w:rsid w:val="00951972"/>
    <w:rsid w:val="0095390F"/>
    <w:rsid w:val="00953A57"/>
    <w:rsid w:val="0095613C"/>
    <w:rsid w:val="0095692F"/>
    <w:rsid w:val="00956F09"/>
    <w:rsid w:val="00957290"/>
    <w:rsid w:val="009579A3"/>
    <w:rsid w:val="00957D3E"/>
    <w:rsid w:val="009613A3"/>
    <w:rsid w:val="00965316"/>
    <w:rsid w:val="0096583D"/>
    <w:rsid w:val="00966C23"/>
    <w:rsid w:val="00967F03"/>
    <w:rsid w:val="00971470"/>
    <w:rsid w:val="00974909"/>
    <w:rsid w:val="009770BC"/>
    <w:rsid w:val="00983F03"/>
    <w:rsid w:val="00984032"/>
    <w:rsid w:val="00987A5E"/>
    <w:rsid w:val="009914BD"/>
    <w:rsid w:val="00993BB7"/>
    <w:rsid w:val="00993FCC"/>
    <w:rsid w:val="00994219"/>
    <w:rsid w:val="00995784"/>
    <w:rsid w:val="00997A28"/>
    <w:rsid w:val="009A0B4D"/>
    <w:rsid w:val="009A2669"/>
    <w:rsid w:val="009A6EDF"/>
    <w:rsid w:val="009A79D2"/>
    <w:rsid w:val="009B0E0C"/>
    <w:rsid w:val="009B0E1E"/>
    <w:rsid w:val="009B364D"/>
    <w:rsid w:val="009B43C9"/>
    <w:rsid w:val="009B7946"/>
    <w:rsid w:val="009C12E9"/>
    <w:rsid w:val="009C646E"/>
    <w:rsid w:val="009C7505"/>
    <w:rsid w:val="009D5BDE"/>
    <w:rsid w:val="009E0536"/>
    <w:rsid w:val="009E080D"/>
    <w:rsid w:val="009E1414"/>
    <w:rsid w:val="009E3B8F"/>
    <w:rsid w:val="009E3E53"/>
    <w:rsid w:val="009E49EC"/>
    <w:rsid w:val="009E56EE"/>
    <w:rsid w:val="009E6E62"/>
    <w:rsid w:val="009F00FC"/>
    <w:rsid w:val="009F5E35"/>
    <w:rsid w:val="00A0282E"/>
    <w:rsid w:val="00A03042"/>
    <w:rsid w:val="00A04877"/>
    <w:rsid w:val="00A0678F"/>
    <w:rsid w:val="00A06F49"/>
    <w:rsid w:val="00A128AA"/>
    <w:rsid w:val="00A130DF"/>
    <w:rsid w:val="00A17E08"/>
    <w:rsid w:val="00A21334"/>
    <w:rsid w:val="00A3016F"/>
    <w:rsid w:val="00A321C9"/>
    <w:rsid w:val="00A3286A"/>
    <w:rsid w:val="00A34FAF"/>
    <w:rsid w:val="00A35738"/>
    <w:rsid w:val="00A35F89"/>
    <w:rsid w:val="00A3755E"/>
    <w:rsid w:val="00A378B7"/>
    <w:rsid w:val="00A41876"/>
    <w:rsid w:val="00A434D4"/>
    <w:rsid w:val="00A43957"/>
    <w:rsid w:val="00A45602"/>
    <w:rsid w:val="00A5723C"/>
    <w:rsid w:val="00A60820"/>
    <w:rsid w:val="00A6111D"/>
    <w:rsid w:val="00A61495"/>
    <w:rsid w:val="00A629F4"/>
    <w:rsid w:val="00A630BE"/>
    <w:rsid w:val="00A64BF3"/>
    <w:rsid w:val="00A66BA1"/>
    <w:rsid w:val="00A66CB1"/>
    <w:rsid w:val="00A719B6"/>
    <w:rsid w:val="00A73763"/>
    <w:rsid w:val="00A73F81"/>
    <w:rsid w:val="00A76EF3"/>
    <w:rsid w:val="00A8037F"/>
    <w:rsid w:val="00A80801"/>
    <w:rsid w:val="00A8227A"/>
    <w:rsid w:val="00A84134"/>
    <w:rsid w:val="00A857F4"/>
    <w:rsid w:val="00A8674E"/>
    <w:rsid w:val="00A87026"/>
    <w:rsid w:val="00A91506"/>
    <w:rsid w:val="00A91683"/>
    <w:rsid w:val="00A917B3"/>
    <w:rsid w:val="00A9316D"/>
    <w:rsid w:val="00A95DC5"/>
    <w:rsid w:val="00A97C80"/>
    <w:rsid w:val="00AA18D7"/>
    <w:rsid w:val="00AA1A52"/>
    <w:rsid w:val="00AA1E8D"/>
    <w:rsid w:val="00AA3417"/>
    <w:rsid w:val="00AB0EA6"/>
    <w:rsid w:val="00AB4B51"/>
    <w:rsid w:val="00AD534D"/>
    <w:rsid w:val="00AD69E1"/>
    <w:rsid w:val="00AE3F9A"/>
    <w:rsid w:val="00AE6386"/>
    <w:rsid w:val="00AF5254"/>
    <w:rsid w:val="00AF7D09"/>
    <w:rsid w:val="00B0031C"/>
    <w:rsid w:val="00B04834"/>
    <w:rsid w:val="00B06806"/>
    <w:rsid w:val="00B10070"/>
    <w:rsid w:val="00B10CC7"/>
    <w:rsid w:val="00B113DB"/>
    <w:rsid w:val="00B11F55"/>
    <w:rsid w:val="00B1399C"/>
    <w:rsid w:val="00B147BE"/>
    <w:rsid w:val="00B17E1F"/>
    <w:rsid w:val="00B240DB"/>
    <w:rsid w:val="00B259A8"/>
    <w:rsid w:val="00B27C00"/>
    <w:rsid w:val="00B328EE"/>
    <w:rsid w:val="00B33062"/>
    <w:rsid w:val="00B34B2C"/>
    <w:rsid w:val="00B364F1"/>
    <w:rsid w:val="00B4106B"/>
    <w:rsid w:val="00B438DF"/>
    <w:rsid w:val="00B43B81"/>
    <w:rsid w:val="00B44F8F"/>
    <w:rsid w:val="00B531D1"/>
    <w:rsid w:val="00B57941"/>
    <w:rsid w:val="00B61978"/>
    <w:rsid w:val="00B61DFC"/>
    <w:rsid w:val="00B62458"/>
    <w:rsid w:val="00B62D01"/>
    <w:rsid w:val="00B74272"/>
    <w:rsid w:val="00B764A1"/>
    <w:rsid w:val="00B86103"/>
    <w:rsid w:val="00B8642C"/>
    <w:rsid w:val="00B8687E"/>
    <w:rsid w:val="00BA4871"/>
    <w:rsid w:val="00BA7F1B"/>
    <w:rsid w:val="00BB1DE0"/>
    <w:rsid w:val="00BB6E82"/>
    <w:rsid w:val="00BB78B2"/>
    <w:rsid w:val="00BC025F"/>
    <w:rsid w:val="00BC4286"/>
    <w:rsid w:val="00BC4504"/>
    <w:rsid w:val="00BC4ADE"/>
    <w:rsid w:val="00BD1EAD"/>
    <w:rsid w:val="00BD33EE"/>
    <w:rsid w:val="00BD5584"/>
    <w:rsid w:val="00BD7845"/>
    <w:rsid w:val="00BE243E"/>
    <w:rsid w:val="00BE3CBD"/>
    <w:rsid w:val="00BE41D0"/>
    <w:rsid w:val="00BE799F"/>
    <w:rsid w:val="00C04D93"/>
    <w:rsid w:val="00C224C2"/>
    <w:rsid w:val="00C253CA"/>
    <w:rsid w:val="00C32D2E"/>
    <w:rsid w:val="00C3465B"/>
    <w:rsid w:val="00C34BD2"/>
    <w:rsid w:val="00C35153"/>
    <w:rsid w:val="00C50AF5"/>
    <w:rsid w:val="00C5217E"/>
    <w:rsid w:val="00C5275B"/>
    <w:rsid w:val="00C52D62"/>
    <w:rsid w:val="00C5618E"/>
    <w:rsid w:val="00C60F0C"/>
    <w:rsid w:val="00C6526B"/>
    <w:rsid w:val="00C6584E"/>
    <w:rsid w:val="00C67843"/>
    <w:rsid w:val="00C67F1D"/>
    <w:rsid w:val="00C7313C"/>
    <w:rsid w:val="00C74A8E"/>
    <w:rsid w:val="00C77529"/>
    <w:rsid w:val="00C805C9"/>
    <w:rsid w:val="00C82629"/>
    <w:rsid w:val="00C83BF1"/>
    <w:rsid w:val="00C84A6C"/>
    <w:rsid w:val="00C87FEA"/>
    <w:rsid w:val="00C93610"/>
    <w:rsid w:val="00C93BF4"/>
    <w:rsid w:val="00CA06A9"/>
    <w:rsid w:val="00CA1679"/>
    <w:rsid w:val="00CA4243"/>
    <w:rsid w:val="00CA5663"/>
    <w:rsid w:val="00CA5D91"/>
    <w:rsid w:val="00CB363C"/>
    <w:rsid w:val="00CD3315"/>
    <w:rsid w:val="00CD75AD"/>
    <w:rsid w:val="00CE0BE5"/>
    <w:rsid w:val="00CE23E1"/>
    <w:rsid w:val="00CE4A0E"/>
    <w:rsid w:val="00CE516C"/>
    <w:rsid w:val="00CF3D64"/>
    <w:rsid w:val="00CF3DBA"/>
    <w:rsid w:val="00CF71ED"/>
    <w:rsid w:val="00D00E12"/>
    <w:rsid w:val="00D02CC4"/>
    <w:rsid w:val="00D03875"/>
    <w:rsid w:val="00D055BF"/>
    <w:rsid w:val="00D11EAF"/>
    <w:rsid w:val="00D1504A"/>
    <w:rsid w:val="00D15EAE"/>
    <w:rsid w:val="00D1782E"/>
    <w:rsid w:val="00D253F8"/>
    <w:rsid w:val="00D25FF0"/>
    <w:rsid w:val="00D318C7"/>
    <w:rsid w:val="00D31CEA"/>
    <w:rsid w:val="00D33C7C"/>
    <w:rsid w:val="00D33D63"/>
    <w:rsid w:val="00D34A9B"/>
    <w:rsid w:val="00D35812"/>
    <w:rsid w:val="00D3656A"/>
    <w:rsid w:val="00D43278"/>
    <w:rsid w:val="00D4741A"/>
    <w:rsid w:val="00D50398"/>
    <w:rsid w:val="00D53A66"/>
    <w:rsid w:val="00D566EC"/>
    <w:rsid w:val="00D576C0"/>
    <w:rsid w:val="00D60E3D"/>
    <w:rsid w:val="00D7006C"/>
    <w:rsid w:val="00D703C1"/>
    <w:rsid w:val="00D720B4"/>
    <w:rsid w:val="00D7681D"/>
    <w:rsid w:val="00D80E3A"/>
    <w:rsid w:val="00D83653"/>
    <w:rsid w:val="00D860E0"/>
    <w:rsid w:val="00D900C8"/>
    <w:rsid w:val="00D90138"/>
    <w:rsid w:val="00D90234"/>
    <w:rsid w:val="00D96964"/>
    <w:rsid w:val="00DA11AD"/>
    <w:rsid w:val="00DA4207"/>
    <w:rsid w:val="00DA428E"/>
    <w:rsid w:val="00DA4FEF"/>
    <w:rsid w:val="00DA58B6"/>
    <w:rsid w:val="00DB19EC"/>
    <w:rsid w:val="00DB721F"/>
    <w:rsid w:val="00DC0A26"/>
    <w:rsid w:val="00DC262C"/>
    <w:rsid w:val="00DD1532"/>
    <w:rsid w:val="00DD27FB"/>
    <w:rsid w:val="00DD299D"/>
    <w:rsid w:val="00DD3362"/>
    <w:rsid w:val="00DD338E"/>
    <w:rsid w:val="00DD4ED5"/>
    <w:rsid w:val="00DE0D05"/>
    <w:rsid w:val="00DE15B8"/>
    <w:rsid w:val="00DE34AB"/>
    <w:rsid w:val="00DE4E1F"/>
    <w:rsid w:val="00DF1579"/>
    <w:rsid w:val="00DF1DC0"/>
    <w:rsid w:val="00DF5EE8"/>
    <w:rsid w:val="00DF63E3"/>
    <w:rsid w:val="00E01398"/>
    <w:rsid w:val="00E01A05"/>
    <w:rsid w:val="00E01A95"/>
    <w:rsid w:val="00E01AB1"/>
    <w:rsid w:val="00E037F0"/>
    <w:rsid w:val="00E0561E"/>
    <w:rsid w:val="00E15324"/>
    <w:rsid w:val="00E169CA"/>
    <w:rsid w:val="00E17825"/>
    <w:rsid w:val="00E1793B"/>
    <w:rsid w:val="00E23796"/>
    <w:rsid w:val="00E24DB6"/>
    <w:rsid w:val="00E25BCA"/>
    <w:rsid w:val="00E3024E"/>
    <w:rsid w:val="00E33A79"/>
    <w:rsid w:val="00E343DE"/>
    <w:rsid w:val="00E3540B"/>
    <w:rsid w:val="00E35F12"/>
    <w:rsid w:val="00E37434"/>
    <w:rsid w:val="00E378E5"/>
    <w:rsid w:val="00E40769"/>
    <w:rsid w:val="00E41D28"/>
    <w:rsid w:val="00E43183"/>
    <w:rsid w:val="00E4526E"/>
    <w:rsid w:val="00E463F1"/>
    <w:rsid w:val="00E52F66"/>
    <w:rsid w:val="00E54F94"/>
    <w:rsid w:val="00E64618"/>
    <w:rsid w:val="00E6700E"/>
    <w:rsid w:val="00E67325"/>
    <w:rsid w:val="00E7018D"/>
    <w:rsid w:val="00E70425"/>
    <w:rsid w:val="00E712D3"/>
    <w:rsid w:val="00E73F76"/>
    <w:rsid w:val="00E82016"/>
    <w:rsid w:val="00E84247"/>
    <w:rsid w:val="00E8566D"/>
    <w:rsid w:val="00E860B9"/>
    <w:rsid w:val="00E90127"/>
    <w:rsid w:val="00E9044F"/>
    <w:rsid w:val="00E93483"/>
    <w:rsid w:val="00E94E3A"/>
    <w:rsid w:val="00E95B3E"/>
    <w:rsid w:val="00EA22FB"/>
    <w:rsid w:val="00EA2BBB"/>
    <w:rsid w:val="00EA3DFC"/>
    <w:rsid w:val="00EA410D"/>
    <w:rsid w:val="00EA46A6"/>
    <w:rsid w:val="00EB0858"/>
    <w:rsid w:val="00EB0CA3"/>
    <w:rsid w:val="00EB1BF8"/>
    <w:rsid w:val="00EB5DCC"/>
    <w:rsid w:val="00EB5E0D"/>
    <w:rsid w:val="00EC28FD"/>
    <w:rsid w:val="00EC533A"/>
    <w:rsid w:val="00ED4526"/>
    <w:rsid w:val="00ED527F"/>
    <w:rsid w:val="00EE08C5"/>
    <w:rsid w:val="00EE2D6E"/>
    <w:rsid w:val="00EE3FC8"/>
    <w:rsid w:val="00EE4211"/>
    <w:rsid w:val="00EF00DA"/>
    <w:rsid w:val="00EF1360"/>
    <w:rsid w:val="00EF3220"/>
    <w:rsid w:val="00EF7209"/>
    <w:rsid w:val="00F000F4"/>
    <w:rsid w:val="00F016EC"/>
    <w:rsid w:val="00F02E80"/>
    <w:rsid w:val="00F02E9D"/>
    <w:rsid w:val="00F05BCA"/>
    <w:rsid w:val="00F12F41"/>
    <w:rsid w:val="00F16235"/>
    <w:rsid w:val="00F20331"/>
    <w:rsid w:val="00F20377"/>
    <w:rsid w:val="00F20739"/>
    <w:rsid w:val="00F2272D"/>
    <w:rsid w:val="00F23FB6"/>
    <w:rsid w:val="00F24299"/>
    <w:rsid w:val="00F2460D"/>
    <w:rsid w:val="00F27A9D"/>
    <w:rsid w:val="00F35DCA"/>
    <w:rsid w:val="00F374DA"/>
    <w:rsid w:val="00F40BFB"/>
    <w:rsid w:val="00F43783"/>
    <w:rsid w:val="00F47F64"/>
    <w:rsid w:val="00F53D96"/>
    <w:rsid w:val="00F54090"/>
    <w:rsid w:val="00F54A95"/>
    <w:rsid w:val="00F55CA3"/>
    <w:rsid w:val="00F61420"/>
    <w:rsid w:val="00F6175E"/>
    <w:rsid w:val="00F65F7A"/>
    <w:rsid w:val="00F702F8"/>
    <w:rsid w:val="00F71DB5"/>
    <w:rsid w:val="00F72750"/>
    <w:rsid w:val="00F73694"/>
    <w:rsid w:val="00F76746"/>
    <w:rsid w:val="00F80811"/>
    <w:rsid w:val="00F81303"/>
    <w:rsid w:val="00F87838"/>
    <w:rsid w:val="00F87BBE"/>
    <w:rsid w:val="00F90572"/>
    <w:rsid w:val="00F90BED"/>
    <w:rsid w:val="00F91EA5"/>
    <w:rsid w:val="00F94155"/>
    <w:rsid w:val="00F97E5C"/>
    <w:rsid w:val="00FA11EF"/>
    <w:rsid w:val="00FA1331"/>
    <w:rsid w:val="00FA2F73"/>
    <w:rsid w:val="00FA3077"/>
    <w:rsid w:val="00FA43FC"/>
    <w:rsid w:val="00FA4682"/>
    <w:rsid w:val="00FA4A08"/>
    <w:rsid w:val="00FA5002"/>
    <w:rsid w:val="00FB2D3D"/>
    <w:rsid w:val="00FC0BC2"/>
    <w:rsid w:val="00FC1973"/>
    <w:rsid w:val="00FC6256"/>
    <w:rsid w:val="00FD13BA"/>
    <w:rsid w:val="00FD2EF7"/>
    <w:rsid w:val="00FD6350"/>
    <w:rsid w:val="00FE0953"/>
    <w:rsid w:val="00FE0E40"/>
    <w:rsid w:val="00FE48EE"/>
    <w:rsid w:val="00FE5547"/>
    <w:rsid w:val="00FE73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F9029"/>
  <w15:docId w15:val="{973EF757-3A0C-4A9E-8159-BF48636D2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referencia nota al pie,BVI fnr,Footnote text,4_Footnote text,callout,Fago Fußnotenzeichen,16 Point,Superscript 6 Point,Footnote,Footnote symbol,f,Footnote Refernece,Ref,[0]"/>
    <w:link w:val="Appelnotedebasde"/>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Reference1, Char,Char,ft,Style 27,Char Char Char Char Char,Style 11, Char Char Char,fn"/>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Reference1 Car, Char Car,Char Car,ft Car,Style 27 Car,Style 11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UnresolvedMention1">
    <w:name w:val="Unresolved Mention1"/>
    <w:basedOn w:val="Fuentedeprrafopredeter"/>
    <w:uiPriority w:val="99"/>
    <w:semiHidden/>
    <w:unhideWhenUsed/>
    <w:rsid w:val="003A7A8D"/>
    <w:rPr>
      <w:color w:val="605E5C"/>
      <w:shd w:val="clear" w:color="auto" w:fill="E1DFDD"/>
    </w:rPr>
  </w:style>
  <w:style w:type="character" w:styleId="Refdecomentario">
    <w:name w:val="annotation reference"/>
    <w:basedOn w:val="Fuentedeprrafopredeter"/>
    <w:uiPriority w:val="99"/>
    <w:semiHidden/>
    <w:unhideWhenUsed/>
    <w:rsid w:val="009F00FC"/>
    <w:rPr>
      <w:sz w:val="16"/>
      <w:szCs w:val="16"/>
    </w:rPr>
  </w:style>
  <w:style w:type="paragraph" w:styleId="Textocomentario">
    <w:name w:val="annotation text"/>
    <w:basedOn w:val="Normal"/>
    <w:link w:val="TextocomentarioCar"/>
    <w:uiPriority w:val="99"/>
    <w:unhideWhenUsed/>
    <w:rsid w:val="009F00FC"/>
    <w:pPr>
      <w:spacing w:line="240" w:lineRule="auto"/>
    </w:pPr>
  </w:style>
  <w:style w:type="character" w:customStyle="1" w:styleId="TextocomentarioCar">
    <w:name w:val="Texto comentario Car"/>
    <w:basedOn w:val="Fuentedeprrafopredeter"/>
    <w:link w:val="Textocomentario"/>
    <w:uiPriority w:val="99"/>
    <w:rsid w:val="009F00FC"/>
    <w:rPr>
      <w:lang w:val="es-ES" w:eastAsia="es-ES"/>
    </w:rPr>
  </w:style>
  <w:style w:type="paragraph" w:styleId="Asuntodelcomentario">
    <w:name w:val="annotation subject"/>
    <w:basedOn w:val="Textocomentario"/>
    <w:next w:val="Textocomentario"/>
    <w:link w:val="AsuntodelcomentarioCar"/>
    <w:semiHidden/>
    <w:unhideWhenUsed/>
    <w:rsid w:val="009F00FC"/>
    <w:rPr>
      <w:b/>
      <w:bCs/>
    </w:rPr>
  </w:style>
  <w:style w:type="character" w:customStyle="1" w:styleId="AsuntodelcomentarioCar">
    <w:name w:val="Asunto del comentario Car"/>
    <w:basedOn w:val="TextocomentarioCar"/>
    <w:link w:val="Asuntodelcomentario"/>
    <w:semiHidden/>
    <w:rsid w:val="009F00FC"/>
    <w:rPr>
      <w:b/>
      <w:bCs/>
      <w:lang w:val="es-ES" w:eastAsia="es-ES"/>
    </w:rPr>
  </w:style>
  <w:style w:type="paragraph" w:customStyle="1" w:styleId="Default">
    <w:name w:val="Default"/>
    <w:rsid w:val="00F16235"/>
    <w:pPr>
      <w:autoSpaceDE w:val="0"/>
      <w:autoSpaceDN w:val="0"/>
      <w:adjustRightInd w:val="0"/>
    </w:pPr>
    <w:rPr>
      <w:color w:val="000000"/>
      <w:sz w:val="24"/>
      <w:szCs w:val="24"/>
      <w:lang w:val="en-GB"/>
    </w:rPr>
  </w:style>
  <w:style w:type="paragraph" w:styleId="Revisin">
    <w:name w:val="Revision"/>
    <w:hidden/>
    <w:uiPriority w:val="99"/>
    <w:semiHidden/>
    <w:rsid w:val="00132DB4"/>
    <w:rPr>
      <w:lang w:val="es-ES" w:eastAsia="es-E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Refdenotaalpie"/>
    <w:uiPriority w:val="3"/>
    <w:rsid w:val="00132DB4"/>
    <w:pPr>
      <w:spacing w:before="120" w:after="120" w:line="240" w:lineRule="auto"/>
    </w:pPr>
    <w:rPr>
      <w:sz w:val="18"/>
      <w:vertAlign w:val="superscript"/>
      <w:lang w:val="en-US" w:eastAsia="zh-CN"/>
    </w:rPr>
  </w:style>
  <w:style w:type="character" w:styleId="Mencinsinresolver">
    <w:name w:val="Unresolved Mention"/>
    <w:basedOn w:val="Fuentedeprrafopredeter"/>
    <w:uiPriority w:val="99"/>
    <w:semiHidden/>
    <w:unhideWhenUsed/>
    <w:rsid w:val="00B11F55"/>
    <w:rPr>
      <w:color w:val="605E5C"/>
      <w:shd w:val="clear" w:color="auto" w:fill="E1DFDD"/>
    </w:rPr>
  </w:style>
  <w:style w:type="character" w:customStyle="1" w:styleId="A3">
    <w:name w:val="A3"/>
    <w:uiPriority w:val="99"/>
    <w:rsid w:val="006E4D12"/>
    <w:rPr>
      <w:rFonts w:cs="Frutiger"/>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457952">
      <w:bodyDiv w:val="1"/>
      <w:marLeft w:val="0"/>
      <w:marRight w:val="0"/>
      <w:marTop w:val="0"/>
      <w:marBottom w:val="0"/>
      <w:divBdr>
        <w:top w:val="none" w:sz="0" w:space="0" w:color="auto"/>
        <w:left w:val="none" w:sz="0" w:space="0" w:color="auto"/>
        <w:bottom w:val="none" w:sz="0" w:space="0" w:color="auto"/>
        <w:right w:val="none" w:sz="0" w:space="0" w:color="auto"/>
      </w:divBdr>
    </w:div>
    <w:div w:id="1241022248">
      <w:bodyDiv w:val="1"/>
      <w:marLeft w:val="0"/>
      <w:marRight w:val="0"/>
      <w:marTop w:val="0"/>
      <w:marBottom w:val="0"/>
      <w:divBdr>
        <w:top w:val="none" w:sz="0" w:space="0" w:color="auto"/>
        <w:left w:val="none" w:sz="0" w:space="0" w:color="auto"/>
        <w:bottom w:val="none" w:sz="0" w:space="0" w:color="auto"/>
        <w:right w:val="none" w:sz="0" w:space="0" w:color="auto"/>
      </w:divBdr>
    </w:div>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 w:id="19610368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ARG/CO/3-4" TargetMode="External"/><Relationship Id="rId3" Type="http://schemas.openxmlformats.org/officeDocument/2006/relationships/hyperlink" Target="http://undocs.org/sp/CRC/C/90/D/121/2020" TargetMode="External"/><Relationship Id="rId7" Type="http://schemas.openxmlformats.org/officeDocument/2006/relationships/hyperlink" Target="http://undocs.org/sp/CRC/C/MAR/CO/3-4" TargetMode="External"/><Relationship Id="rId2" Type="http://schemas.openxmlformats.org/officeDocument/2006/relationships/hyperlink" Target="http://undocs.org/sp/CRC/C/93/D/140/2021" TargetMode="External"/><Relationship Id="rId1" Type="http://schemas.openxmlformats.org/officeDocument/2006/relationships/hyperlink" Target="http://undocs.org/sp/CRC/C/ARG/CO/3-4" TargetMode="External"/><Relationship Id="rId6" Type="http://schemas.openxmlformats.org/officeDocument/2006/relationships/hyperlink" Target="http://undocs.org/sp/CRC/C/JOR/CO/4-5" TargetMode="External"/><Relationship Id="rId5" Type="http://schemas.openxmlformats.org/officeDocument/2006/relationships/hyperlink" Target="http://undocs.org/sp/CRC/C/69/D/1/2014" TargetMode="External"/><Relationship Id="rId4" Type="http://schemas.openxmlformats.org/officeDocument/2006/relationships/hyperlink" Target="http://undocs.org/sp/CRC/C/81/D/19/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2661D3DBBAB9438D37FD27FAE110C6" ma:contentTypeVersion="4" ma:contentTypeDescription="Create a new document." ma:contentTypeScope="" ma:versionID="4b92b871eccdca1c34cf707cda060096">
  <xsd:schema xmlns:xsd="http://www.w3.org/2001/XMLSchema" xmlns:xs="http://www.w3.org/2001/XMLSchema" xmlns:p="http://schemas.microsoft.com/office/2006/metadata/properties" xmlns:ns2="54149959-8915-4954-962f-082e49b6eccb" targetNamespace="http://schemas.microsoft.com/office/2006/metadata/properties" ma:root="true" ma:fieldsID="6449195ec38dd366ec7f300d7cd0f502" ns2:_="">
    <xsd:import namespace="54149959-8915-4954-962f-082e49b6eccb"/>
    <xsd:element name="properties">
      <xsd:complexType>
        <xsd:sequence>
          <xsd:element name="documentManagement">
            <xsd:complexType>
              <xsd:all>
                <xsd:element ref="ns2:Document_x0020_type" minOccurs="0"/>
                <xsd:element ref="ns2:Communi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149959-8915-4954-962f-082e49b6eccb" elementFormDefault="qualified">
    <xsd:import namespace="http://schemas.microsoft.com/office/2006/documentManagement/types"/>
    <xsd:import namespace="http://schemas.microsoft.com/office/infopath/2007/PartnerControls"/>
    <xsd:element name="Document_x0020_type" ma:index="2" nillable="true" ma:displayName="Document type" ma:format="Dropdown" ma:internalName="Document_x0020_type">
      <xsd:simpleType>
        <xsd:restriction base="dms:Choice">
          <xsd:enumeration value="Communications"/>
          <xsd:enumeration value="Follow-up report"/>
        </xsd:restriction>
      </xsd:simpleType>
    </xsd:element>
    <xsd:element name="Communication" ma:index="3" nillable="true" ma:displayName="Communication" ma:list="{98609d1f-a77e-43ba-8685-019033623bd0}" ma:internalName="Communication" ma:showField="Title">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Communication xmlns="54149959-8915-4954-962f-082e49b6eccb" xsi:nil="true"/>
    <Document_x0020_type xmlns="54149959-8915-4954-962f-082e49b6ecc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A9B9B0-8492-4730-940D-8EE5328EB9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149959-8915-4954-962f-082e49b6e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1AE5C0-0C87-4B3C-84DF-1DE83332CA3F}">
  <ds:schemaRefs>
    <ds:schemaRef ds:uri="http://schemas.openxmlformats.org/officeDocument/2006/bibliography"/>
  </ds:schemaRefs>
</ds:datastoreItem>
</file>

<file path=customXml/itemProps3.xml><?xml version="1.0" encoding="utf-8"?>
<ds:datastoreItem xmlns:ds="http://schemas.openxmlformats.org/officeDocument/2006/customXml" ds:itemID="{F640F867-7BC5-4502-9003-B64CDFD71DCA}">
  <ds:schemaRefs>
    <ds:schemaRef ds:uri="http://schemas.microsoft.com/office/2006/metadata/properties"/>
    <ds:schemaRef ds:uri="http://schemas.microsoft.com/office/infopath/2007/PartnerControls"/>
    <ds:schemaRef ds:uri="54149959-8915-4954-962f-082e49b6eccb"/>
  </ds:schemaRefs>
</ds:datastoreItem>
</file>

<file path=customXml/itemProps4.xml><?xml version="1.0" encoding="utf-8"?>
<ds:datastoreItem xmlns:ds="http://schemas.openxmlformats.org/officeDocument/2006/customXml" ds:itemID="{C323DF57-184E-427F-997E-67C8C8DC72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5826</Words>
  <Characters>28466</Characters>
  <Application>Microsoft Office Word</Application>
  <DocSecurity>0</DocSecurity>
  <Lines>437</Lines>
  <Paragraphs>77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CRC/C/94/DR/89/2019</vt:lpstr>
      <vt:lpstr>CRC/C/94/DR/89/2019</vt:lpstr>
      <vt:lpstr>CRC/C/92/DR/129/2020</vt:lpstr>
    </vt:vector>
  </TitlesOfParts>
  <Company/>
  <LinksUpToDate>false</LinksUpToDate>
  <CharactersWithSpaces>34206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CRC/C/94/D/89/2019</dc:title>
  <dc:subject/>
  <dc:creator>Javier RODRIGUEZ PEREZ</dc:creator>
  <cp:keywords/>
  <cp:lastModifiedBy>Angel Moreno Torres</cp:lastModifiedBy>
  <cp:revision>3</cp:revision>
  <cp:lastPrinted>2024-01-23T14:15:00Z</cp:lastPrinted>
  <dcterms:created xsi:type="dcterms:W3CDTF">2024-01-23T14:15:00Z</dcterms:created>
  <dcterms:modified xsi:type="dcterms:W3CDTF">2024-01-23T14:15:00Z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0x010100CA2661D3DBBAB9438D37FD27FAE110C6</vt:lpwstr>
  </property>
</Properties>
</file>