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F020A8" w:rsidP="009F614A">
            <w:pPr>
              <w:bidi w:val="0"/>
              <w:spacing w:after="20"/>
              <w:jc w:val="left"/>
              <w:rPr>
                <w:szCs w:val="20"/>
              </w:rPr>
            </w:pPr>
            <w:r w:rsidRPr="00F020A8">
              <w:rPr>
                <w:sz w:val="40"/>
                <w:szCs w:val="20"/>
              </w:rPr>
              <w:t>A</w:t>
            </w:r>
            <w:r>
              <w:rPr>
                <w:szCs w:val="20"/>
              </w:rPr>
              <w:t>/HRC/RES/35/11</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9F614A" w:rsidP="009F614A">
            <w:pPr>
              <w:bidi w:val="0"/>
              <w:spacing w:before="240"/>
              <w:jc w:val="left"/>
              <w:rPr>
                <w:szCs w:val="20"/>
              </w:rPr>
            </w:pPr>
            <w:r>
              <w:rPr>
                <w:szCs w:val="20"/>
              </w:rPr>
              <w:t>Distr.: General</w:t>
            </w:r>
          </w:p>
          <w:p w:rsidR="009F614A" w:rsidRDefault="009F614A" w:rsidP="009F614A">
            <w:pPr>
              <w:bidi w:val="0"/>
              <w:jc w:val="left"/>
              <w:rPr>
                <w:szCs w:val="20"/>
              </w:rPr>
            </w:pPr>
            <w:r>
              <w:rPr>
                <w:szCs w:val="20"/>
              </w:rPr>
              <w:t>10 July 2017</w:t>
            </w:r>
          </w:p>
          <w:p w:rsidR="009F614A" w:rsidRDefault="009F614A" w:rsidP="009F614A">
            <w:pPr>
              <w:bidi w:val="0"/>
              <w:jc w:val="left"/>
              <w:rPr>
                <w:szCs w:val="20"/>
              </w:rPr>
            </w:pPr>
            <w:r>
              <w:rPr>
                <w:szCs w:val="20"/>
              </w:rPr>
              <w:t>Arabic</w:t>
            </w:r>
          </w:p>
          <w:p w:rsidR="009F614A" w:rsidRPr="003E159A" w:rsidRDefault="009F614A" w:rsidP="009F614A">
            <w:pPr>
              <w:bidi w:val="0"/>
              <w:jc w:val="left"/>
              <w:rPr>
                <w:szCs w:val="20"/>
              </w:rPr>
            </w:pPr>
            <w:r>
              <w:rPr>
                <w:szCs w:val="20"/>
              </w:rPr>
              <w:t>Original: English</w:t>
            </w:r>
          </w:p>
        </w:tc>
      </w:tr>
    </w:tbl>
    <w:p w:rsidR="009F614A"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9F614A" w:rsidRPr="009F614A" w:rsidRDefault="009F614A" w:rsidP="009F614A">
      <w:pPr>
        <w:spacing w:line="380" w:lineRule="exact"/>
        <w:textDirection w:val="tbRlV"/>
        <w:rPr>
          <w:rFonts w:ascii="Traditional Arabic" w:hAnsi="Traditional Arabic"/>
          <w:b/>
          <w:sz w:val="30"/>
          <w:rtl/>
          <w:lang w:eastAsia="zh-TW"/>
        </w:rPr>
      </w:pPr>
      <w:r w:rsidRPr="009F614A">
        <w:rPr>
          <w:rFonts w:ascii="Traditional Arabic" w:hAnsi="Traditional Arabic"/>
          <w:b/>
          <w:bCs/>
          <w:sz w:val="30"/>
          <w:rtl/>
          <w:lang w:eastAsia="zh-TW"/>
        </w:rPr>
        <w:t>الدورة الخامسة والثلاثون</w:t>
      </w:r>
      <w:r w:rsidRPr="009F614A">
        <w:rPr>
          <w:rFonts w:cs="Times New Roman"/>
          <w:sz w:val="30"/>
          <w:rtl/>
          <w:lang w:eastAsia="zh-TW"/>
        </w:rPr>
        <w:t>‬</w:t>
      </w:r>
      <w:r w:rsidRPr="009F614A">
        <w:rPr>
          <w:sz w:val="30"/>
        </w:rPr>
        <w:t>‬</w:t>
      </w:r>
      <w:r w:rsidRPr="009F614A">
        <w:rPr>
          <w:sz w:val="30"/>
        </w:rPr>
        <w:t>‬</w:t>
      </w:r>
      <w:r w:rsidRPr="009F614A">
        <w:rPr>
          <w:sz w:val="30"/>
        </w:rPr>
        <w:t>‬</w:t>
      </w:r>
      <w:r w:rsidRPr="009F614A">
        <w:rPr>
          <w:sz w:val="30"/>
        </w:rPr>
        <w:t>‬</w:t>
      </w:r>
    </w:p>
    <w:p w:rsidR="009F614A" w:rsidRPr="009F614A" w:rsidRDefault="009F614A" w:rsidP="009F614A">
      <w:pPr>
        <w:spacing w:line="380" w:lineRule="exact"/>
        <w:textDirection w:val="tbRlV"/>
        <w:rPr>
          <w:rFonts w:ascii="Traditional Arabic" w:hAnsi="Traditional Arabic"/>
          <w:sz w:val="30"/>
          <w:rtl/>
          <w:lang w:eastAsia="zh-TW" w:bidi="ar-DZ"/>
        </w:rPr>
      </w:pPr>
      <w:r w:rsidRPr="009F614A">
        <w:rPr>
          <w:rFonts w:ascii="Traditional Arabic" w:hAnsi="Traditional Arabic"/>
          <w:sz w:val="30"/>
          <w:rtl/>
          <w:lang w:eastAsia="zh-TW"/>
        </w:rPr>
        <w:t>6-23 حزيران/يونيه 2017</w:t>
      </w:r>
      <w:r w:rsidRPr="009F614A">
        <w:rPr>
          <w:rFonts w:cs="Times New Roman"/>
          <w:sz w:val="30"/>
          <w:rtl/>
          <w:lang w:eastAsia="zh-TW"/>
        </w:rPr>
        <w:t>‬</w:t>
      </w:r>
    </w:p>
    <w:p w:rsidR="009F614A" w:rsidRPr="009F614A" w:rsidRDefault="009F614A" w:rsidP="009F614A">
      <w:pPr>
        <w:spacing w:line="380" w:lineRule="exact"/>
        <w:textDirection w:val="tbRlV"/>
        <w:rPr>
          <w:rFonts w:ascii="Traditional Arabic" w:hAnsi="Traditional Arabic"/>
          <w:sz w:val="30"/>
          <w:rtl/>
          <w:lang w:eastAsia="zh-TW"/>
        </w:rPr>
      </w:pPr>
      <w:r w:rsidRPr="009F614A">
        <w:rPr>
          <w:rFonts w:ascii="Traditional Arabic" w:hAnsi="Traditional Arabic"/>
          <w:sz w:val="30"/>
          <w:rtl/>
          <w:lang w:eastAsia="zh-TW"/>
        </w:rPr>
        <w:t>البند 3 من جدول الأعمال</w:t>
      </w:r>
    </w:p>
    <w:p w:rsidR="009F614A" w:rsidRPr="00507CBC" w:rsidRDefault="009F614A" w:rsidP="005938DA">
      <w:pPr>
        <w:pStyle w:val="HChGA"/>
        <w:rPr>
          <w:rtl/>
        </w:rPr>
      </w:pPr>
      <w:r>
        <w:rPr>
          <w:rtl/>
        </w:rPr>
        <w:tab/>
      </w:r>
      <w:r>
        <w:rPr>
          <w:rtl/>
        </w:rPr>
        <w:tab/>
      </w:r>
      <w:r w:rsidRPr="00507CBC">
        <w:rPr>
          <w:rtl/>
        </w:rPr>
        <w:t>قرار</w:t>
      </w:r>
      <w:r>
        <w:rPr>
          <w:rFonts w:hint="cs"/>
          <w:rtl/>
        </w:rPr>
        <w:t xml:space="preserve"> اعتمده </w:t>
      </w:r>
      <w:r w:rsidR="005938DA">
        <w:rPr>
          <w:rFonts w:hint="cs"/>
          <w:rtl/>
        </w:rPr>
        <w:t>مجلس حقوق الإنسان في 22 حزيران/</w:t>
      </w:r>
      <w:r>
        <w:rPr>
          <w:rFonts w:hint="cs"/>
          <w:rtl/>
        </w:rPr>
        <w:t xml:space="preserve">يونيه 2017 </w:t>
      </w:r>
    </w:p>
    <w:p w:rsidR="009F614A" w:rsidRPr="000D28A9" w:rsidRDefault="009F614A" w:rsidP="009F614A">
      <w:pPr>
        <w:pStyle w:val="H1GA"/>
        <w:rPr>
          <w:rtl/>
          <w:lang w:eastAsia="zh-TW"/>
        </w:rPr>
      </w:pPr>
      <w:r>
        <w:rPr>
          <w:rtl/>
          <w:lang w:eastAsia="zh-TW"/>
        </w:rPr>
        <w:tab/>
      </w:r>
      <w:r>
        <w:rPr>
          <w:rtl/>
          <w:lang w:eastAsia="zh-TW"/>
        </w:rPr>
        <w:tab/>
      </w:r>
      <w:r w:rsidRPr="000D28A9">
        <w:rPr>
          <w:rtl/>
          <w:lang w:eastAsia="zh-TW"/>
        </w:rPr>
        <w:t>٣٥/</w:t>
      </w:r>
      <w:r>
        <w:rPr>
          <w:rFonts w:hint="cs"/>
          <w:rtl/>
          <w:lang w:eastAsia="zh-TW"/>
        </w:rPr>
        <w:t>11-</w:t>
      </w:r>
      <w:r>
        <w:rPr>
          <w:rtl/>
          <w:lang w:eastAsia="zh-TW"/>
        </w:rPr>
        <w:tab/>
      </w:r>
      <w:r w:rsidRPr="000D28A9">
        <w:rPr>
          <w:rtl/>
          <w:lang w:eastAsia="zh-TW"/>
        </w:rPr>
        <w:t>ولاية المقرر الخاص المعني باستقلال القضاة والمحامين</w:t>
      </w:r>
    </w:p>
    <w:p w:rsidR="009F614A" w:rsidRPr="009F614A" w:rsidRDefault="009F614A" w:rsidP="009F614A">
      <w:pPr>
        <w:pStyle w:val="SingleTxtGA"/>
        <w:rPr>
          <w:i/>
          <w:iCs/>
          <w:rtl/>
          <w:lang w:eastAsia="zh-TW"/>
        </w:rPr>
      </w:pPr>
      <w:r w:rsidRPr="009F614A">
        <w:rPr>
          <w:i/>
          <w:iCs/>
          <w:lang w:eastAsia="zh-TW"/>
        </w:rPr>
        <w:tab/>
      </w:r>
      <w:r w:rsidRPr="009F614A">
        <w:rPr>
          <w:i/>
          <w:iCs/>
          <w:rtl/>
          <w:lang w:eastAsia="zh-TW"/>
        </w:rPr>
        <w:t>إن مجلس حقوق الإنسان،</w:t>
      </w:r>
    </w:p>
    <w:p w:rsidR="009F614A" w:rsidRPr="000D28A9" w:rsidRDefault="009F614A" w:rsidP="009F614A">
      <w:pPr>
        <w:pStyle w:val="SingleTxtGA"/>
        <w:rPr>
          <w:rtl/>
          <w:lang w:eastAsia="zh-TW"/>
        </w:rPr>
      </w:pPr>
      <w:r>
        <w:rPr>
          <w:rtl/>
          <w:lang w:eastAsia="zh-TW"/>
        </w:rPr>
        <w:tab/>
      </w:r>
      <w:r w:rsidRPr="00507CBC">
        <w:rPr>
          <w:i/>
          <w:iCs/>
          <w:rtl/>
          <w:lang w:eastAsia="zh-TW"/>
        </w:rPr>
        <w:t>إذ يشير</w:t>
      </w:r>
      <w:r w:rsidRPr="000D28A9">
        <w:rPr>
          <w:rtl/>
          <w:lang w:eastAsia="zh-TW"/>
        </w:rPr>
        <w:t xml:space="preserve"> إلى جميع القرارات والمقررات السابقة الصادرة عن مجلس حقوق الإنسان، وكذلك إلى قرارات ومقررات لجنة حقوق الإنسان والجمعية العامة، بشأن استقلال القضاء وسلامة النظام القضائي،</w:t>
      </w:r>
    </w:p>
    <w:p w:rsidR="009F614A" w:rsidRPr="000D28A9" w:rsidRDefault="009F614A" w:rsidP="009F614A">
      <w:pPr>
        <w:pStyle w:val="SingleTxtGA"/>
        <w:rPr>
          <w:rtl/>
          <w:lang w:eastAsia="zh-TW"/>
        </w:rPr>
      </w:pPr>
      <w:r>
        <w:rPr>
          <w:rtl/>
        </w:rPr>
        <w:tab/>
      </w:r>
      <w:r w:rsidRPr="00507CBC">
        <w:rPr>
          <w:i/>
          <w:iCs/>
          <w:rtl/>
          <w:lang w:eastAsia="zh-TW"/>
        </w:rPr>
        <w:t>واقتناعاً منه</w:t>
      </w:r>
      <w:r w:rsidRPr="000D28A9">
        <w:rPr>
          <w:rtl/>
          <w:lang w:eastAsia="zh-TW"/>
        </w:rPr>
        <w:t xml:space="preserve"> بأن استقلال القضاء</w:t>
      </w:r>
      <w:r>
        <w:rPr>
          <w:rtl/>
          <w:lang w:eastAsia="zh-TW"/>
        </w:rPr>
        <w:t xml:space="preserve"> ونزاهته</w:t>
      </w:r>
      <w:r w:rsidRPr="000D28A9">
        <w:rPr>
          <w:rtl/>
          <w:lang w:eastAsia="zh-TW"/>
        </w:rPr>
        <w:t>، واستقلال المهنة القانونية، ووجود نيابة عامة موضوعية ونزيهة قادرة على أداء وظائفها وفقاً لذلك، وسلامة النظام القضائي هي شروط أساسية لا بد منها لحماية حقوق الإنسان والحريات الأساسية وإعمال سيادة القانون، ولضمان إجراء محاكمات عادلة دون أي تمييز،</w:t>
      </w:r>
      <w:r w:rsidRPr="000D28A9">
        <w:rPr>
          <w:rFonts w:cs="Times New Roman"/>
          <w:rtl/>
          <w:lang w:eastAsia="zh-TW"/>
        </w:rPr>
        <w:t xml:space="preserve"> </w:t>
      </w:r>
      <w:r w:rsidRPr="000D28A9">
        <w:rPr>
          <w:rFonts w:cs="Times New Roman"/>
          <w:rtl/>
          <w:lang w:eastAsia="zh-TW"/>
        </w:rPr>
        <w:t>‬</w:t>
      </w:r>
      <w:r>
        <w:t>‬</w:t>
      </w:r>
      <w:r>
        <w:t>‬</w:t>
      </w:r>
      <w:r>
        <w:t>‬</w:t>
      </w:r>
      <w:r>
        <w:t>‬</w:t>
      </w:r>
    </w:p>
    <w:p w:rsidR="009F614A" w:rsidRPr="000D28A9" w:rsidRDefault="009F614A" w:rsidP="009F614A">
      <w:pPr>
        <w:pStyle w:val="SingleTxtGA"/>
        <w:rPr>
          <w:rtl/>
          <w:lang w:eastAsia="zh-TW"/>
        </w:rPr>
      </w:pPr>
      <w:r>
        <w:rPr>
          <w:rtl/>
        </w:rPr>
        <w:tab/>
      </w:r>
      <w:r w:rsidRPr="00507CBC">
        <w:rPr>
          <w:i/>
          <w:iCs/>
          <w:rtl/>
          <w:lang w:eastAsia="zh-TW"/>
        </w:rPr>
        <w:t>وإذ يدين</w:t>
      </w:r>
      <w:r w:rsidRPr="000D28A9">
        <w:rPr>
          <w:rtl/>
          <w:lang w:eastAsia="zh-TW"/>
        </w:rPr>
        <w:t xml:space="preserve"> الاعتداءات المتكررة بوتيرة متزايدة على استقلال القضاة والمحامين وأعضاء</w:t>
      </w:r>
      <w:r>
        <w:rPr>
          <w:rFonts w:hint="cs"/>
          <w:rtl/>
          <w:lang w:eastAsia="zh-TW"/>
        </w:rPr>
        <w:t> </w:t>
      </w:r>
      <w:r w:rsidRPr="000D28A9">
        <w:rPr>
          <w:rtl/>
          <w:lang w:eastAsia="zh-TW"/>
        </w:rPr>
        <w:t>النيابة العامة وموظفي المحاكم، ولا سيما حالات التهديد والترهيب والتدخل في أداء مهامهم المهنية،</w:t>
      </w:r>
      <w:r w:rsidRPr="000D28A9">
        <w:rPr>
          <w:rFonts w:cs="Times New Roman"/>
          <w:rtl/>
          <w:lang w:eastAsia="zh-TW"/>
        </w:rPr>
        <w:t xml:space="preserve"> </w:t>
      </w:r>
      <w:r w:rsidRPr="000D28A9">
        <w:rPr>
          <w:rFonts w:cs="Times New Roman"/>
          <w:rtl/>
          <w:lang w:eastAsia="zh-TW"/>
        </w:rPr>
        <w:t>‬</w:t>
      </w:r>
      <w:r>
        <w:t>‬</w:t>
      </w:r>
      <w:r>
        <w:t>‬</w:t>
      </w:r>
      <w:r>
        <w:t>‬</w:t>
      </w:r>
      <w:r>
        <w:t>‬</w:t>
      </w:r>
    </w:p>
    <w:p w:rsidR="009F614A" w:rsidRPr="000D28A9" w:rsidRDefault="009F614A" w:rsidP="009F614A">
      <w:pPr>
        <w:pStyle w:val="SingleTxtGA"/>
        <w:rPr>
          <w:rtl/>
          <w:lang w:eastAsia="zh-TW"/>
        </w:rPr>
      </w:pPr>
      <w:r>
        <w:rPr>
          <w:rtl/>
          <w:lang w:eastAsia="zh-TW"/>
        </w:rPr>
        <w:tab/>
      </w:r>
      <w:r w:rsidRPr="00507CBC">
        <w:rPr>
          <w:i/>
          <w:iCs/>
          <w:rtl/>
          <w:lang w:eastAsia="zh-TW"/>
        </w:rPr>
        <w:t>وإذ يشير</w:t>
      </w:r>
      <w:r w:rsidRPr="000D28A9">
        <w:rPr>
          <w:rtl/>
          <w:lang w:eastAsia="zh-TW"/>
        </w:rPr>
        <w:t xml:space="preserve"> إلى قراري مجلس حقوق الإنسان ٥/١ المتعلق ببناء مؤسسات المجلس، و٥/٢ المتعلق بمدونة قواعد السلوك لأصحاب الولايات في إطار الإجراءات الخاصة للمجلس، المؤرخين</w:t>
      </w:r>
      <w:r>
        <w:rPr>
          <w:rFonts w:hint="cs"/>
          <w:rtl/>
          <w:lang w:eastAsia="zh-TW"/>
        </w:rPr>
        <w:t> </w:t>
      </w:r>
      <w:r w:rsidRPr="000D28A9">
        <w:rPr>
          <w:rtl/>
          <w:lang w:eastAsia="zh-TW"/>
        </w:rPr>
        <w:t>18 حزيران/يونيه ٢٠٠٧، وإذ يشدد على ضرورة اضطلاع المكلَّف بالولاية بواجباته وفقا لهذين القرارين ومرفقاتهما،</w:t>
      </w:r>
    </w:p>
    <w:p w:rsidR="009F614A" w:rsidRPr="000D28A9" w:rsidRDefault="009F614A" w:rsidP="009F614A">
      <w:pPr>
        <w:pStyle w:val="SingleTxtGA"/>
        <w:rPr>
          <w:rtl/>
          <w:lang w:eastAsia="zh-TW"/>
        </w:rPr>
      </w:pPr>
      <w:r>
        <w:rPr>
          <w:rtl/>
          <w:lang w:eastAsia="zh-TW"/>
        </w:rPr>
        <w:tab/>
      </w:r>
      <w:r>
        <w:rPr>
          <w:rFonts w:hint="cs"/>
          <w:rtl/>
          <w:lang w:eastAsia="zh-TW"/>
        </w:rPr>
        <w:t>1-</w:t>
      </w:r>
      <w:r>
        <w:rPr>
          <w:rFonts w:hint="cs"/>
          <w:rtl/>
          <w:lang w:eastAsia="zh-TW"/>
        </w:rPr>
        <w:tab/>
      </w:r>
      <w:r w:rsidRPr="00507CBC">
        <w:rPr>
          <w:i/>
          <w:iCs/>
          <w:rtl/>
          <w:lang w:eastAsia="zh-TW"/>
        </w:rPr>
        <w:t>يثني</w:t>
      </w:r>
      <w:r w:rsidRPr="000D28A9">
        <w:rPr>
          <w:rtl/>
          <w:lang w:eastAsia="zh-TW"/>
        </w:rPr>
        <w:t xml:space="preserve"> على المقرر الخاص المعني باستقلال القضاة والمحامين لما اضطلع به من عمل هام في أداء ولايته؛</w:t>
      </w:r>
    </w:p>
    <w:p w:rsidR="009F614A" w:rsidRPr="000D28A9" w:rsidRDefault="009F614A" w:rsidP="009F614A">
      <w:pPr>
        <w:pStyle w:val="SingleTxtGA"/>
        <w:rPr>
          <w:rtl/>
          <w:lang w:eastAsia="zh-TW"/>
        </w:rPr>
      </w:pPr>
      <w:r>
        <w:rPr>
          <w:rtl/>
          <w:lang w:eastAsia="zh-TW"/>
        </w:rPr>
        <w:lastRenderedPageBreak/>
        <w:tab/>
      </w:r>
      <w:r>
        <w:rPr>
          <w:rFonts w:hint="cs"/>
          <w:rtl/>
          <w:lang w:eastAsia="zh-TW"/>
        </w:rPr>
        <w:t>2-</w:t>
      </w:r>
      <w:r>
        <w:rPr>
          <w:rFonts w:hint="cs"/>
          <w:rtl/>
          <w:lang w:eastAsia="zh-TW"/>
        </w:rPr>
        <w:tab/>
      </w:r>
      <w:r w:rsidRPr="00507CBC">
        <w:rPr>
          <w:i/>
          <w:iCs/>
          <w:rtl/>
          <w:lang w:eastAsia="zh-TW"/>
        </w:rPr>
        <w:t>يقرر</w:t>
      </w:r>
      <w:r w:rsidRPr="000D28A9">
        <w:rPr>
          <w:rtl/>
          <w:lang w:eastAsia="zh-TW"/>
        </w:rPr>
        <w:t xml:space="preserve"> تمديد ولاية المقرر الخاص المعني باستقلال القضاة والمحامين لفترة ثلاث سنوات بالشروط ذاتها المنصوص عليها في قرار مجلس حقوق الإنسان 26/7 المؤرخ ٢٦ حزيران/يونيه ٢٠١٤؛</w:t>
      </w:r>
    </w:p>
    <w:p w:rsidR="009F614A" w:rsidRPr="000D28A9" w:rsidRDefault="009F614A" w:rsidP="00663EF5">
      <w:pPr>
        <w:pStyle w:val="SingleTxtGA"/>
        <w:rPr>
          <w:rtl/>
          <w:lang w:eastAsia="zh-TW"/>
        </w:rPr>
      </w:pPr>
      <w:r>
        <w:rPr>
          <w:rtl/>
          <w:lang w:eastAsia="zh-TW"/>
        </w:rPr>
        <w:tab/>
      </w:r>
      <w:r>
        <w:rPr>
          <w:rFonts w:hint="cs"/>
          <w:rtl/>
          <w:lang w:eastAsia="zh-TW"/>
        </w:rPr>
        <w:t>3-</w:t>
      </w:r>
      <w:r>
        <w:rPr>
          <w:rFonts w:hint="cs"/>
          <w:rtl/>
          <w:lang w:eastAsia="zh-TW"/>
        </w:rPr>
        <w:tab/>
      </w:r>
      <w:r w:rsidRPr="00507CBC">
        <w:rPr>
          <w:i/>
          <w:iCs/>
          <w:rtl/>
          <w:lang w:eastAsia="zh-TW"/>
        </w:rPr>
        <w:t>يحث</w:t>
      </w:r>
      <w:r w:rsidRPr="000D28A9">
        <w:rPr>
          <w:rtl/>
          <w:lang w:eastAsia="zh-TW"/>
        </w:rPr>
        <w:t xml:space="preserve"> جميع الحكومات على التعاون مع المقرر الخاص ومساعدته في أداء مهامه، وموافاته بجميع المعلومات الضرورية التي يطلبها، والرد على الرسائل التي يحيلها إليه</w:t>
      </w:r>
      <w:r>
        <w:rPr>
          <w:rtl/>
          <w:lang w:eastAsia="zh-TW"/>
        </w:rPr>
        <w:t>ا</w:t>
      </w:r>
      <w:r w:rsidRPr="000D28A9">
        <w:rPr>
          <w:rtl/>
          <w:lang w:eastAsia="zh-TW"/>
        </w:rPr>
        <w:t xml:space="preserve"> المقرر الخاص دون إبطاء لا مبرر له، والنظر في الاستجابة لطلباته بشأن زيارة بلدانها، والنظر في تنفيذ توصياته؛</w:t>
      </w:r>
    </w:p>
    <w:p w:rsidR="009F614A" w:rsidRPr="000D28A9" w:rsidRDefault="009F614A" w:rsidP="00663EF5">
      <w:pPr>
        <w:pStyle w:val="SingleTxtGA"/>
        <w:rPr>
          <w:rtl/>
          <w:lang w:eastAsia="zh-TW"/>
        </w:rPr>
      </w:pPr>
      <w:r>
        <w:rPr>
          <w:rtl/>
          <w:lang w:eastAsia="zh-TW"/>
        </w:rPr>
        <w:tab/>
      </w:r>
      <w:r>
        <w:rPr>
          <w:rFonts w:hint="cs"/>
          <w:rtl/>
          <w:lang w:eastAsia="zh-TW"/>
        </w:rPr>
        <w:t>4-</w:t>
      </w:r>
      <w:r>
        <w:rPr>
          <w:rFonts w:hint="cs"/>
          <w:rtl/>
          <w:lang w:eastAsia="zh-TW"/>
        </w:rPr>
        <w:tab/>
      </w:r>
      <w:r w:rsidRPr="00507CBC">
        <w:rPr>
          <w:i/>
          <w:iCs/>
          <w:rtl/>
          <w:lang w:eastAsia="zh-TW"/>
        </w:rPr>
        <w:t>يشجع</w:t>
      </w:r>
      <w:r w:rsidRPr="000D28A9">
        <w:rPr>
          <w:rtl/>
          <w:lang w:eastAsia="zh-TW"/>
        </w:rPr>
        <w:t xml:space="preserve"> الأمم المتحدة، بما في ذلك وكالاتها المتخصصة، والمنظمات الإقليمية، والمؤسسات الوطنية لحقوق الإنسان، والخبراء المستقلين، ونقابات المحامين، والرابطات المهنية للقضاة وأعضاء النيابة العامة، والمنظمات غير الحكومية والجهات الأخرى صاحبة المصلحة على أن تتعاون إلى أقصى حد ممكن مع المقرر الخاص في أداء مهام ولايته؛</w:t>
      </w:r>
    </w:p>
    <w:p w:rsidR="009F614A" w:rsidRPr="000D28A9" w:rsidRDefault="009F614A" w:rsidP="00663EF5">
      <w:pPr>
        <w:pStyle w:val="SingleTxtGA"/>
        <w:rPr>
          <w:rtl/>
          <w:lang w:eastAsia="zh-TW"/>
        </w:rPr>
      </w:pPr>
      <w:r>
        <w:rPr>
          <w:rtl/>
          <w:lang w:eastAsia="zh-TW"/>
        </w:rPr>
        <w:tab/>
      </w:r>
      <w:r>
        <w:rPr>
          <w:rFonts w:hint="cs"/>
          <w:rtl/>
          <w:lang w:eastAsia="zh-TW"/>
        </w:rPr>
        <w:t>5-</w:t>
      </w:r>
      <w:r>
        <w:rPr>
          <w:rFonts w:hint="cs"/>
          <w:rtl/>
          <w:lang w:eastAsia="zh-TW"/>
        </w:rPr>
        <w:tab/>
      </w:r>
      <w:r w:rsidRPr="00507CBC">
        <w:rPr>
          <w:i/>
          <w:iCs/>
          <w:rtl/>
          <w:lang w:eastAsia="zh-TW"/>
        </w:rPr>
        <w:t>يطلب</w:t>
      </w:r>
      <w:r w:rsidRPr="000D28A9">
        <w:rPr>
          <w:rtl/>
          <w:lang w:eastAsia="zh-TW"/>
        </w:rPr>
        <w:t xml:space="preserve"> إلى الأمين العام وإلى مفوض الأمم المتحدة السامي لحقوق الإنسان تزويد المقرر الخاص بجميع الموارد البشرية والمالية اللازمة لإنجاز ولايته بفعالية؛</w:t>
      </w:r>
    </w:p>
    <w:p w:rsidR="009F614A" w:rsidRDefault="009F614A" w:rsidP="00663EF5">
      <w:pPr>
        <w:pStyle w:val="SingleTxtGA"/>
        <w:rPr>
          <w:rtl/>
          <w:lang w:eastAsia="zh-TW" w:bidi="ar-DZ"/>
        </w:rPr>
      </w:pPr>
      <w:r>
        <w:rPr>
          <w:rtl/>
          <w:lang w:eastAsia="zh-TW"/>
        </w:rPr>
        <w:tab/>
      </w:r>
      <w:r>
        <w:rPr>
          <w:rFonts w:hint="cs"/>
          <w:rtl/>
          <w:lang w:eastAsia="zh-TW"/>
        </w:rPr>
        <w:t>6-</w:t>
      </w:r>
      <w:r>
        <w:rPr>
          <w:rFonts w:hint="cs"/>
          <w:rtl/>
          <w:lang w:eastAsia="zh-TW"/>
        </w:rPr>
        <w:tab/>
      </w:r>
      <w:r w:rsidRPr="00507CBC">
        <w:rPr>
          <w:i/>
          <w:iCs/>
          <w:rtl/>
          <w:lang w:eastAsia="zh-TW"/>
        </w:rPr>
        <w:t>يقرر</w:t>
      </w:r>
      <w:r w:rsidRPr="000D28A9">
        <w:rPr>
          <w:rtl/>
          <w:lang w:eastAsia="zh-TW"/>
        </w:rPr>
        <w:t xml:space="preserve"> مواصلة النظر في هذه المسألة وفقاً لبرنامج عمله السنوي.</w:t>
      </w:r>
    </w:p>
    <w:p w:rsidR="009F614A" w:rsidRPr="009F614A" w:rsidRDefault="009F614A" w:rsidP="00663EF5">
      <w:pPr>
        <w:pStyle w:val="SingleTxtGA"/>
        <w:bidi w:val="0"/>
        <w:spacing w:after="0"/>
        <w:rPr>
          <w:i/>
          <w:iCs/>
          <w:rtl/>
          <w:lang w:eastAsia="zh-TW"/>
        </w:rPr>
      </w:pPr>
      <w:r w:rsidRPr="009F614A">
        <w:rPr>
          <w:rFonts w:hint="cs"/>
          <w:i/>
          <w:iCs/>
          <w:rtl/>
          <w:lang w:eastAsia="zh-TW"/>
        </w:rPr>
        <w:t xml:space="preserve">الجلسة 34 </w:t>
      </w:r>
    </w:p>
    <w:p w:rsidR="009F614A" w:rsidRPr="009F614A" w:rsidRDefault="009F614A" w:rsidP="005938DA">
      <w:pPr>
        <w:pStyle w:val="SingleTxtGA"/>
        <w:bidi w:val="0"/>
        <w:rPr>
          <w:i/>
          <w:iCs/>
          <w:rtl/>
          <w:lang w:eastAsia="zh-TW"/>
        </w:rPr>
      </w:pPr>
      <w:r w:rsidRPr="009F614A">
        <w:rPr>
          <w:rFonts w:hint="cs"/>
          <w:i/>
          <w:iCs/>
          <w:rtl/>
          <w:lang w:eastAsia="zh-TW"/>
        </w:rPr>
        <w:t xml:space="preserve">22 حزيران/يونيه 2017 </w:t>
      </w:r>
    </w:p>
    <w:p w:rsidR="009F614A" w:rsidRPr="00771CB4" w:rsidRDefault="009F614A" w:rsidP="009F614A">
      <w:pPr>
        <w:pStyle w:val="SingleTxtGA"/>
        <w:rPr>
          <w:lang w:val="en-GB" w:eastAsia="zh-TW"/>
        </w:rPr>
      </w:pPr>
      <w:r>
        <w:rPr>
          <w:rFonts w:hint="cs"/>
          <w:rtl/>
          <w:lang w:eastAsia="zh-TW"/>
        </w:rPr>
        <w:t>[اعتمد دون تصويت.]</w:t>
      </w:r>
    </w:p>
    <w:p w:rsidR="009F614A" w:rsidRPr="00507CBC" w:rsidRDefault="009F614A" w:rsidP="009F614A">
      <w:pPr>
        <w:spacing w:before="120"/>
        <w:jc w:val="center"/>
        <w:rPr>
          <w:u w:val="single"/>
          <w:rtl/>
          <w:lang w:bidi="ar-DZ"/>
        </w:rPr>
      </w:pPr>
      <w:r>
        <w:rPr>
          <w:u w:val="single"/>
          <w:rtl/>
          <w:lang w:bidi="ar-DZ"/>
        </w:rPr>
        <w:tab/>
      </w:r>
      <w:r>
        <w:rPr>
          <w:u w:val="single"/>
          <w:rtl/>
          <w:lang w:bidi="ar-DZ"/>
        </w:rPr>
        <w:tab/>
      </w:r>
      <w:r>
        <w:rPr>
          <w:u w:val="single"/>
          <w:rtl/>
          <w:lang w:bidi="ar-DZ"/>
        </w:rPr>
        <w:tab/>
      </w:r>
    </w:p>
    <w:sectPr w:rsidR="009F614A" w:rsidRPr="00507CBC" w:rsidSect="00F020A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9EE" w:rsidRPr="002901D9" w:rsidRDefault="009119EE" w:rsidP="002901D9">
      <w:pPr>
        <w:spacing w:after="60" w:line="240" w:lineRule="auto"/>
        <w:rPr>
          <w:i/>
          <w:iCs/>
        </w:rPr>
      </w:pPr>
      <w:r>
        <w:rPr>
          <w:rFonts w:hint="cs"/>
          <w:i/>
          <w:iCs/>
          <w:rtl/>
        </w:rPr>
        <w:t>الحواشي</w:t>
      </w:r>
    </w:p>
  </w:endnote>
  <w:endnote w:type="continuationSeparator" w:id="0">
    <w:p w:rsidR="009119EE" w:rsidRDefault="009119E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0A8" w:rsidRPr="009F614A" w:rsidRDefault="009F614A" w:rsidP="009F614A">
    <w:pPr>
      <w:pStyle w:val="Footer"/>
      <w:tabs>
        <w:tab w:val="right" w:pos="9598"/>
      </w:tabs>
      <w:rPr>
        <w:sz w:val="17"/>
      </w:rPr>
    </w:pPr>
    <w:r>
      <w:rPr>
        <w:sz w:val="17"/>
      </w:rPr>
      <w:t>GE.17-11523</w:t>
    </w:r>
    <w:r>
      <w:rPr>
        <w:sz w:val="17"/>
      </w:rPr>
      <w:tab/>
    </w:r>
    <w:r w:rsidRPr="009F614A">
      <w:rPr>
        <w:b/>
        <w:sz w:val="18"/>
      </w:rPr>
      <w:fldChar w:fldCharType="begin"/>
    </w:r>
    <w:r w:rsidRPr="009F614A">
      <w:rPr>
        <w:b/>
        <w:sz w:val="18"/>
      </w:rPr>
      <w:instrText xml:space="preserve"> PAGE  \* MERGEFORMAT </w:instrText>
    </w:r>
    <w:r w:rsidRPr="009F614A">
      <w:rPr>
        <w:b/>
        <w:sz w:val="18"/>
      </w:rPr>
      <w:fldChar w:fldCharType="separate"/>
    </w:r>
    <w:r w:rsidR="00532D84">
      <w:rPr>
        <w:b/>
        <w:noProof/>
        <w:sz w:val="18"/>
      </w:rPr>
      <w:t>2</w:t>
    </w:r>
    <w:r w:rsidRPr="009F614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F614A" w:rsidRDefault="009F614A" w:rsidP="006959B0">
    <w:pPr>
      <w:pStyle w:val="Footer"/>
      <w:tabs>
        <w:tab w:val="right" w:pos="9599"/>
      </w:tabs>
      <w:jc w:val="left"/>
      <w:rPr>
        <w:b/>
        <w:sz w:val="18"/>
        <w:lang w:val="en-US"/>
      </w:rPr>
    </w:pPr>
    <w:r w:rsidRPr="009F614A">
      <w:rPr>
        <w:b/>
        <w:sz w:val="18"/>
        <w:lang w:val="en-US"/>
      </w:rPr>
      <w:fldChar w:fldCharType="begin"/>
    </w:r>
    <w:r w:rsidRPr="009F614A">
      <w:rPr>
        <w:b/>
        <w:sz w:val="18"/>
        <w:lang w:val="en-US"/>
      </w:rPr>
      <w:instrText xml:space="preserve"> PAGE  \* MERGEFORMAT </w:instrText>
    </w:r>
    <w:r w:rsidRPr="009F614A">
      <w:rPr>
        <w:b/>
        <w:sz w:val="18"/>
        <w:lang w:val="en-US"/>
      </w:rPr>
      <w:fldChar w:fldCharType="separate"/>
    </w:r>
    <w:r>
      <w:rPr>
        <w:b/>
        <w:noProof/>
        <w:sz w:val="18"/>
        <w:lang w:val="en-US"/>
      </w:rPr>
      <w:t>3</w:t>
    </w:r>
    <w:r w:rsidRPr="009F614A">
      <w:rPr>
        <w:b/>
        <w:sz w:val="18"/>
        <w:lang w:val="en-US"/>
      </w:rPr>
      <w:fldChar w:fldCharType="end"/>
    </w:r>
    <w:r>
      <w:rPr>
        <w:b/>
        <w:sz w:val="18"/>
        <w:lang w:val="en-US"/>
      </w:rPr>
      <w:tab/>
    </w:r>
    <w:r>
      <w:rPr>
        <w:sz w:val="17"/>
        <w:lang w:val="en-US"/>
      </w:rPr>
      <w:t>GE.17-11523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F020A8" w:rsidP="00F6741C">
    <w:pPr>
      <w:pStyle w:val="Footer"/>
      <w:spacing w:before="360"/>
      <w:jc w:val="right"/>
      <w:rPr>
        <w:sz w:val="20"/>
        <w:szCs w:val="20"/>
      </w:rPr>
    </w:pPr>
    <w:r>
      <w:rPr>
        <w:sz w:val="20"/>
        <w:szCs w:val="20"/>
      </w:rPr>
      <w:t>GE.17-11523</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020A8" w:rsidRPr="00F020A8" w:rsidRDefault="00F020A8" w:rsidP="00F020A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7456"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9EE" w:rsidRPr="0054762C" w:rsidRDefault="009119EE" w:rsidP="000E524A">
      <w:pPr>
        <w:pStyle w:val="Footer"/>
        <w:bidi/>
        <w:spacing w:after="80" w:line="200" w:lineRule="exact"/>
        <w:ind w:left="680"/>
      </w:pPr>
      <w:r>
        <w:rPr>
          <w:rtl/>
        </w:rPr>
        <w:t>__________</w:t>
      </w:r>
    </w:p>
  </w:footnote>
  <w:footnote w:type="continuationSeparator" w:id="0">
    <w:p w:rsidR="009119EE" w:rsidRDefault="009119EE"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0A8" w:rsidRPr="009F614A" w:rsidRDefault="009F614A" w:rsidP="009F614A">
    <w:pPr>
      <w:pStyle w:val="Header"/>
      <w:jc w:val="right"/>
    </w:pPr>
    <w:r w:rsidRPr="009F614A">
      <w:t>A/HRC/RES/35/11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0A8" w:rsidRPr="009F614A" w:rsidRDefault="009F614A" w:rsidP="009F614A">
    <w:pPr>
      <w:pStyle w:val="Header"/>
      <w:jc w:val="left"/>
    </w:pPr>
    <w:r w:rsidRPr="009F614A">
      <w:t>A/HRC/RES/35/11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119EE"/>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32D84"/>
    <w:rsid w:val="0054472E"/>
    <w:rsid w:val="0054762C"/>
    <w:rsid w:val="005662A9"/>
    <w:rsid w:val="005817D9"/>
    <w:rsid w:val="005827D4"/>
    <w:rsid w:val="005938DA"/>
    <w:rsid w:val="0059622A"/>
    <w:rsid w:val="005C5878"/>
    <w:rsid w:val="005C7CEA"/>
    <w:rsid w:val="005D3C0B"/>
    <w:rsid w:val="005E5217"/>
    <w:rsid w:val="005F0FA4"/>
    <w:rsid w:val="005F30EE"/>
    <w:rsid w:val="0060473A"/>
    <w:rsid w:val="00606EDF"/>
    <w:rsid w:val="00656392"/>
    <w:rsid w:val="00663EF5"/>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119EE"/>
    <w:rsid w:val="009269D2"/>
    <w:rsid w:val="00942135"/>
    <w:rsid w:val="009521B0"/>
    <w:rsid w:val="009A7E9F"/>
    <w:rsid w:val="009E5018"/>
    <w:rsid w:val="009F614A"/>
    <w:rsid w:val="00A12B37"/>
    <w:rsid w:val="00A50EC0"/>
    <w:rsid w:val="00A74331"/>
    <w:rsid w:val="00AB6758"/>
    <w:rsid w:val="00B13763"/>
    <w:rsid w:val="00B477A4"/>
    <w:rsid w:val="00B54045"/>
    <w:rsid w:val="00BA5E8B"/>
    <w:rsid w:val="00C022F5"/>
    <w:rsid w:val="00C438D7"/>
    <w:rsid w:val="00C53FE8"/>
    <w:rsid w:val="00C54F79"/>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020A8"/>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1D3DD-6338-4710-8994-7C4B61575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355</Words>
  <Characters>2029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A/HRC/RES/35/11</vt:lpstr>
    </vt:vector>
  </TitlesOfParts>
  <Company>DCM</Company>
  <LinksUpToDate>false</LinksUpToDate>
  <CharactersWithSpaces>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A/HRC/RES/35/11</dc:title>
  <dc:subject>GE.1711523</dc:subject>
  <dc:creator>IHRZ-EM</dc:creator>
  <cp:keywords>ODS No.1718697</cp:keywords>
  <dc:description>Original: English _x000d_
Distribution: General_x000d_
Date: 10 July 2017</dc:description>
  <cp:lastModifiedBy>Tpsara</cp:lastModifiedBy>
  <cp:revision>2</cp:revision>
  <cp:lastPrinted>2017-08-04T08:32:00Z</cp:lastPrinted>
  <dcterms:created xsi:type="dcterms:W3CDTF">2017-08-04T10:26:00Z</dcterms:created>
  <dcterms:modified xsi:type="dcterms:W3CDTF">2017-08-04T10:26:00Z</dcterms:modified>
  <cp:category>Final</cp:category>
</cp:coreProperties>
</file>