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AD70FC9" w14:textId="77777777" w:rsidTr="008F3CA0">
        <w:trPr>
          <w:trHeight w:hRule="exact" w:val="851"/>
        </w:trPr>
        <w:tc>
          <w:tcPr>
            <w:tcW w:w="1276" w:type="dxa"/>
            <w:tcBorders>
              <w:bottom w:val="single" w:sz="4" w:space="0" w:color="auto"/>
            </w:tcBorders>
          </w:tcPr>
          <w:p w14:paraId="66CF96E8" w14:textId="77777777" w:rsidR="000354E9" w:rsidRPr="00DB58B5" w:rsidRDefault="000354E9" w:rsidP="00E61D0D"/>
        </w:tc>
        <w:tc>
          <w:tcPr>
            <w:tcW w:w="2268" w:type="dxa"/>
            <w:tcBorders>
              <w:bottom w:val="single" w:sz="4" w:space="0" w:color="auto"/>
            </w:tcBorders>
            <w:vAlign w:val="bottom"/>
          </w:tcPr>
          <w:p w14:paraId="44DD2F9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478014E" w14:textId="6124CC3A" w:rsidR="000354E9" w:rsidRPr="00DB58B5" w:rsidRDefault="00E61D0D" w:rsidP="00E61D0D">
            <w:pPr>
              <w:jc w:val="right"/>
            </w:pPr>
            <w:r w:rsidRPr="00E61D0D">
              <w:rPr>
                <w:sz w:val="40"/>
              </w:rPr>
              <w:t>CRC</w:t>
            </w:r>
            <w:r>
              <w:t>/C/90/D/20/2017</w:t>
            </w:r>
          </w:p>
        </w:tc>
      </w:tr>
      <w:tr w:rsidR="000354E9" w:rsidRPr="00DB58B5" w14:paraId="60BE6FA2" w14:textId="77777777" w:rsidTr="008F3CA0">
        <w:trPr>
          <w:trHeight w:hRule="exact" w:val="2835"/>
        </w:trPr>
        <w:tc>
          <w:tcPr>
            <w:tcW w:w="1276" w:type="dxa"/>
            <w:tcBorders>
              <w:top w:val="single" w:sz="4" w:space="0" w:color="auto"/>
              <w:bottom w:val="single" w:sz="12" w:space="0" w:color="auto"/>
            </w:tcBorders>
          </w:tcPr>
          <w:p w14:paraId="678574FF" w14:textId="77777777" w:rsidR="000354E9" w:rsidRPr="00DB58B5" w:rsidRDefault="000354E9" w:rsidP="008F3CA0">
            <w:pPr>
              <w:spacing w:before="120"/>
              <w:jc w:val="center"/>
            </w:pPr>
            <w:r>
              <w:rPr>
                <w:noProof/>
                <w:lang w:eastAsia="fr-CH"/>
              </w:rPr>
              <w:drawing>
                <wp:inline distT="0" distB="0" distL="0" distR="0" wp14:anchorId="0D39B75C" wp14:editId="7A3BF3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E658D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8FE9C6A" w14:textId="5D1C0403" w:rsidR="000354E9" w:rsidRDefault="00E61D0D" w:rsidP="008F3CA0">
            <w:pPr>
              <w:spacing w:before="240"/>
            </w:pPr>
            <w:r>
              <w:t>Distr. générale</w:t>
            </w:r>
          </w:p>
          <w:p w14:paraId="0188D7A6" w14:textId="7FC7B1B5" w:rsidR="00E61D0D" w:rsidRDefault="00E61D0D" w:rsidP="00E61D0D">
            <w:pPr>
              <w:spacing w:line="240" w:lineRule="exact"/>
            </w:pPr>
            <w:r>
              <w:t>6 janvier</w:t>
            </w:r>
            <w:r w:rsidR="00C713E8">
              <w:t xml:space="preserve"> 20</w:t>
            </w:r>
            <w:r>
              <w:t>23</w:t>
            </w:r>
          </w:p>
          <w:p w14:paraId="3D899E68" w14:textId="77777777" w:rsidR="00E61D0D" w:rsidRDefault="00E61D0D" w:rsidP="00E61D0D">
            <w:pPr>
              <w:spacing w:line="240" w:lineRule="exact"/>
            </w:pPr>
            <w:r>
              <w:t>Français</w:t>
            </w:r>
          </w:p>
          <w:p w14:paraId="70EA1F44" w14:textId="7D344E43" w:rsidR="00E61D0D" w:rsidRPr="00DB58B5" w:rsidRDefault="00E61D0D" w:rsidP="00E61D0D">
            <w:pPr>
              <w:spacing w:line="240" w:lineRule="exact"/>
            </w:pPr>
            <w:r>
              <w:t>Original</w:t>
            </w:r>
            <w:r w:rsidR="00C713E8">
              <w:t> :</w:t>
            </w:r>
            <w:r>
              <w:t xml:space="preserve"> espagnol</w:t>
            </w:r>
          </w:p>
        </w:tc>
      </w:tr>
    </w:tbl>
    <w:p w14:paraId="04CD847A" w14:textId="77777777" w:rsidR="002D14A3" w:rsidRDefault="002D14A3" w:rsidP="002D14A3">
      <w:pPr>
        <w:spacing w:before="120"/>
        <w:rPr>
          <w:b/>
          <w:sz w:val="24"/>
          <w:szCs w:val="24"/>
        </w:rPr>
      </w:pPr>
      <w:r w:rsidRPr="00DA3BE9">
        <w:rPr>
          <w:b/>
          <w:sz w:val="24"/>
          <w:szCs w:val="24"/>
        </w:rPr>
        <w:t>Comité des droits de l’enfant</w:t>
      </w:r>
    </w:p>
    <w:p w14:paraId="1ED62E07" w14:textId="6B4FB76D" w:rsidR="00C713E8" w:rsidRPr="00137EAC" w:rsidRDefault="00C713E8" w:rsidP="00137EAC">
      <w:pPr>
        <w:pStyle w:val="HChG"/>
        <w:rPr>
          <w:spacing w:val="-2"/>
          <w:sz w:val="20"/>
          <w:lang w:val="fr-FR"/>
        </w:rPr>
      </w:pPr>
      <w:r>
        <w:rPr>
          <w:lang w:val="fr-FR"/>
        </w:rPr>
        <w:tab/>
      </w:r>
      <w:r>
        <w:rPr>
          <w:lang w:val="fr-FR"/>
        </w:rPr>
        <w:tab/>
      </w:r>
      <w:r w:rsidRPr="00137EAC">
        <w:rPr>
          <w:spacing w:val="-2"/>
          <w:lang w:val="fr-FR"/>
        </w:rPr>
        <w:t>Décision adoptée par le Comité au titre du Protocole facultatif à la Convention relative aux droits de l’enfant établissant une</w:t>
      </w:r>
      <w:r w:rsidR="00137EAC">
        <w:rPr>
          <w:spacing w:val="-2"/>
          <w:lang w:val="fr-FR"/>
        </w:rPr>
        <w:t> </w:t>
      </w:r>
      <w:r w:rsidRPr="00137EAC">
        <w:rPr>
          <w:spacing w:val="-2"/>
          <w:lang w:val="fr-FR"/>
        </w:rPr>
        <w:t>procédure de présentation de communications, concernant la</w:t>
      </w:r>
      <w:r w:rsidR="00137EAC">
        <w:rPr>
          <w:spacing w:val="-2"/>
          <w:lang w:val="fr-FR"/>
        </w:rPr>
        <w:t xml:space="preserve"> </w:t>
      </w:r>
      <w:r w:rsidRPr="00137EAC">
        <w:rPr>
          <w:spacing w:val="-2"/>
          <w:lang w:val="fr-FR"/>
        </w:rPr>
        <w:t>communication n</w:t>
      </w:r>
      <w:r w:rsidRPr="00137EAC">
        <w:rPr>
          <w:spacing w:val="-2"/>
          <w:vertAlign w:val="superscript"/>
          <w:lang w:val="fr-FR"/>
        </w:rPr>
        <w:t>o</w:t>
      </w:r>
      <w:r w:rsidRPr="00137EAC">
        <w:rPr>
          <w:spacing w:val="-2"/>
          <w:lang w:val="fr-FR"/>
        </w:rPr>
        <w:t> 20</w:t>
      </w:r>
      <w:r w:rsidRPr="00137EAC">
        <w:rPr>
          <w:spacing w:val="-2"/>
          <w:lang w:val="fr-FR"/>
        </w:rPr>
        <w:t>/2017</w:t>
      </w:r>
      <w:r w:rsidRPr="00137EAC">
        <w:rPr>
          <w:rStyle w:val="Appelnotedebasdep"/>
          <w:b w:val="0"/>
          <w:spacing w:val="-2"/>
          <w:sz w:val="20"/>
          <w:vertAlign w:val="baseline"/>
          <w:lang w:val="fr-FR"/>
        </w:rPr>
        <w:footnoteReference w:customMarkFollows="1" w:id="2"/>
        <w:t>*</w:t>
      </w:r>
      <w:r w:rsidRPr="00137EAC">
        <w:rPr>
          <w:spacing w:val="-2"/>
          <w:sz w:val="20"/>
          <w:vertAlign w:val="superscript"/>
          <w:lang w:val="fr-FR"/>
        </w:rPr>
        <w:t>,</w:t>
      </w:r>
      <w:r w:rsidRPr="00137EAC">
        <w:rPr>
          <w:spacing w:val="-2"/>
          <w:sz w:val="20"/>
          <w:vertAlign w:val="superscript"/>
          <w:lang w:val="fr-FR"/>
        </w:rPr>
        <w:t xml:space="preserve"> </w:t>
      </w:r>
      <w:r w:rsidRPr="00137EAC">
        <w:rPr>
          <w:rStyle w:val="Appelnotedebasdep"/>
          <w:b w:val="0"/>
          <w:spacing w:val="-2"/>
          <w:sz w:val="20"/>
          <w:vertAlign w:val="baseline"/>
          <w:lang w:val="fr-FR"/>
        </w:rPr>
        <w:footnoteReference w:customMarkFollows="1" w:id="3"/>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53"/>
        <w:gridCol w:w="4152"/>
      </w:tblGrid>
      <w:tr w:rsidR="00C713E8" w:rsidRPr="00D62D30" w14:paraId="02BF44DF" w14:textId="77777777" w:rsidTr="00172B7C">
        <w:tc>
          <w:tcPr>
            <w:tcW w:w="2653" w:type="dxa"/>
          </w:tcPr>
          <w:p w14:paraId="19B07D84" w14:textId="7867AB7C" w:rsidR="00C713E8" w:rsidRDefault="00C713E8" w:rsidP="00172B7C">
            <w:pPr>
              <w:pStyle w:val="SingleTxtG"/>
              <w:ind w:left="0" w:right="0"/>
              <w:jc w:val="left"/>
              <w:rPr>
                <w:i/>
              </w:rPr>
            </w:pPr>
            <w:r>
              <w:rPr>
                <w:i/>
                <w:iCs/>
                <w:lang w:val="fr-FR"/>
              </w:rPr>
              <w:t>Communication soumise par</w:t>
            </w:r>
            <w:r w:rsidRPr="00C713E8">
              <w:rPr>
                <w:lang w:val="fr-FR"/>
              </w:rPr>
              <w:t> :</w:t>
            </w:r>
          </w:p>
        </w:tc>
        <w:tc>
          <w:tcPr>
            <w:tcW w:w="4152" w:type="dxa"/>
          </w:tcPr>
          <w:p w14:paraId="22CBE28F" w14:textId="313463D3" w:rsidR="00C713E8" w:rsidRPr="005F32FC" w:rsidRDefault="00C713E8" w:rsidP="00172B7C">
            <w:pPr>
              <w:pStyle w:val="SingleTxtG"/>
              <w:ind w:left="0" w:right="0"/>
              <w:jc w:val="left"/>
              <w:rPr>
                <w:lang w:val="fr-FR"/>
              </w:rPr>
            </w:pPr>
            <w:r>
              <w:rPr>
                <w:lang w:val="fr-FR"/>
              </w:rPr>
              <w:t>M.</w:t>
            </w:r>
            <w:r>
              <w:rPr>
                <w:lang w:val="fr-FR"/>
              </w:rPr>
              <w:t> </w:t>
            </w:r>
            <w:r>
              <w:rPr>
                <w:lang w:val="fr-FR"/>
              </w:rPr>
              <w:t>S.</w:t>
            </w:r>
            <w:r>
              <w:rPr>
                <w:lang w:val="fr-FR"/>
              </w:rPr>
              <w:t> </w:t>
            </w:r>
            <w:r>
              <w:rPr>
                <w:lang w:val="fr-FR"/>
              </w:rPr>
              <w:t xml:space="preserve">B. (représenté par une organisation non gouvernementale, </w:t>
            </w:r>
            <w:r w:rsidRPr="00C713E8">
              <w:rPr>
                <w:lang w:val="es-ES"/>
              </w:rPr>
              <w:t>Fundación Raíces</w:t>
            </w:r>
            <w:r>
              <w:rPr>
                <w:lang w:val="fr-FR"/>
              </w:rPr>
              <w:t>)</w:t>
            </w:r>
          </w:p>
        </w:tc>
      </w:tr>
      <w:tr w:rsidR="00C713E8" w14:paraId="00BD1D49" w14:textId="77777777" w:rsidTr="00172B7C">
        <w:tc>
          <w:tcPr>
            <w:tcW w:w="2653" w:type="dxa"/>
          </w:tcPr>
          <w:p w14:paraId="7EC1C5F9" w14:textId="4DEFE5F5" w:rsidR="00C713E8" w:rsidRDefault="00C713E8" w:rsidP="00172B7C">
            <w:pPr>
              <w:pStyle w:val="SingleTxtG"/>
              <w:ind w:left="0" w:right="0"/>
              <w:jc w:val="left"/>
              <w:rPr>
                <w:i/>
              </w:rPr>
            </w:pPr>
            <w:r>
              <w:rPr>
                <w:i/>
                <w:iCs/>
                <w:lang w:val="fr-FR"/>
              </w:rPr>
              <w:t>Victime(s) présumée(s)</w:t>
            </w:r>
            <w:r>
              <w:rPr>
                <w:i/>
                <w:iCs/>
                <w:lang w:val="fr-FR"/>
              </w:rPr>
              <w:t> </w:t>
            </w:r>
            <w:r w:rsidRPr="00C713E8">
              <w:rPr>
                <w:lang w:val="fr-FR"/>
              </w:rPr>
              <w:t>:</w:t>
            </w:r>
          </w:p>
        </w:tc>
        <w:tc>
          <w:tcPr>
            <w:tcW w:w="4152" w:type="dxa"/>
          </w:tcPr>
          <w:p w14:paraId="6AD4CCAE" w14:textId="77777777" w:rsidR="00C713E8" w:rsidRDefault="00C713E8" w:rsidP="00172B7C">
            <w:pPr>
              <w:pStyle w:val="SingleTxtG"/>
              <w:ind w:left="0" w:right="0"/>
              <w:jc w:val="left"/>
            </w:pPr>
            <w:r>
              <w:rPr>
                <w:lang w:val="fr-FR"/>
              </w:rPr>
              <w:t>L’auteur</w:t>
            </w:r>
          </w:p>
        </w:tc>
      </w:tr>
      <w:tr w:rsidR="00C713E8" w14:paraId="036A9D09" w14:textId="77777777" w:rsidTr="00172B7C">
        <w:tc>
          <w:tcPr>
            <w:tcW w:w="2653" w:type="dxa"/>
          </w:tcPr>
          <w:p w14:paraId="7219268C" w14:textId="0286CFCA" w:rsidR="00C713E8" w:rsidRDefault="00C713E8" w:rsidP="00172B7C">
            <w:pPr>
              <w:pStyle w:val="SingleTxtG"/>
              <w:ind w:left="0" w:right="0"/>
              <w:jc w:val="left"/>
              <w:rPr>
                <w:i/>
              </w:rPr>
            </w:pPr>
            <w:r>
              <w:rPr>
                <w:i/>
                <w:iCs/>
                <w:lang w:val="fr-FR"/>
              </w:rPr>
              <w:t>État partie</w:t>
            </w:r>
            <w:r>
              <w:rPr>
                <w:i/>
                <w:iCs/>
                <w:lang w:val="fr-FR"/>
              </w:rPr>
              <w:t> </w:t>
            </w:r>
            <w:r w:rsidRPr="00C713E8">
              <w:rPr>
                <w:lang w:val="fr-FR"/>
              </w:rPr>
              <w:t>:</w:t>
            </w:r>
          </w:p>
        </w:tc>
        <w:tc>
          <w:tcPr>
            <w:tcW w:w="4152" w:type="dxa"/>
          </w:tcPr>
          <w:p w14:paraId="49E8CF6E" w14:textId="77777777" w:rsidR="00C713E8" w:rsidRDefault="00C713E8" w:rsidP="00172B7C">
            <w:pPr>
              <w:pStyle w:val="SingleTxtG"/>
              <w:ind w:left="0" w:right="0"/>
              <w:jc w:val="left"/>
            </w:pPr>
            <w:r>
              <w:rPr>
                <w:lang w:val="fr-FR"/>
              </w:rPr>
              <w:t>Espagne</w:t>
            </w:r>
          </w:p>
        </w:tc>
      </w:tr>
      <w:tr w:rsidR="00C713E8" w:rsidRPr="00D62D30" w14:paraId="7995A659" w14:textId="77777777" w:rsidTr="00172B7C">
        <w:tc>
          <w:tcPr>
            <w:tcW w:w="2653" w:type="dxa"/>
          </w:tcPr>
          <w:p w14:paraId="2C170F3A" w14:textId="4BFDE2D9" w:rsidR="00C713E8" w:rsidRDefault="00C713E8" w:rsidP="00172B7C">
            <w:pPr>
              <w:pStyle w:val="SingleTxtG"/>
              <w:ind w:left="0" w:right="0"/>
              <w:jc w:val="left"/>
              <w:rPr>
                <w:i/>
              </w:rPr>
            </w:pPr>
            <w:r>
              <w:rPr>
                <w:i/>
                <w:iCs/>
                <w:lang w:val="fr-FR"/>
              </w:rPr>
              <w:t>Date de la communication</w:t>
            </w:r>
            <w:r>
              <w:rPr>
                <w:i/>
                <w:iCs/>
                <w:lang w:val="fr-FR"/>
              </w:rPr>
              <w:t> </w:t>
            </w:r>
            <w:r w:rsidRPr="00C713E8">
              <w:rPr>
                <w:lang w:val="fr-FR"/>
              </w:rPr>
              <w:t>:</w:t>
            </w:r>
          </w:p>
        </w:tc>
        <w:tc>
          <w:tcPr>
            <w:tcW w:w="4152" w:type="dxa"/>
          </w:tcPr>
          <w:p w14:paraId="0BAFFD50" w14:textId="38FD4593" w:rsidR="00C713E8" w:rsidRPr="005F32FC" w:rsidRDefault="00C713E8" w:rsidP="00172B7C">
            <w:pPr>
              <w:pStyle w:val="SingleTxtG"/>
              <w:ind w:left="0" w:right="0"/>
              <w:jc w:val="left"/>
              <w:rPr>
                <w:lang w:val="fr-FR"/>
              </w:rPr>
            </w:pPr>
            <w:r>
              <w:rPr>
                <w:lang w:val="fr-FR"/>
              </w:rPr>
              <w:t>11 mai</w:t>
            </w:r>
            <w:r>
              <w:rPr>
                <w:lang w:val="fr-FR"/>
              </w:rPr>
              <w:t xml:space="preserve"> 20</w:t>
            </w:r>
            <w:r>
              <w:rPr>
                <w:lang w:val="fr-FR"/>
              </w:rPr>
              <w:t>17 (date de la lettre initiale)</w:t>
            </w:r>
          </w:p>
        </w:tc>
      </w:tr>
      <w:tr w:rsidR="00C713E8" w:rsidRPr="00D62D30" w14:paraId="4EC77DEA" w14:textId="77777777" w:rsidTr="00172B7C">
        <w:tc>
          <w:tcPr>
            <w:tcW w:w="2653" w:type="dxa"/>
          </w:tcPr>
          <w:p w14:paraId="7D1B9EB0" w14:textId="710A7A05" w:rsidR="00C713E8" w:rsidRDefault="00C713E8" w:rsidP="00172B7C">
            <w:pPr>
              <w:pStyle w:val="SingleTxtG"/>
              <w:ind w:left="0" w:right="0"/>
              <w:jc w:val="left"/>
              <w:rPr>
                <w:i/>
              </w:rPr>
            </w:pPr>
            <w:r>
              <w:rPr>
                <w:i/>
                <w:iCs/>
                <w:lang w:val="fr-FR"/>
              </w:rPr>
              <w:t>Objet</w:t>
            </w:r>
            <w:r>
              <w:rPr>
                <w:i/>
                <w:iCs/>
                <w:lang w:val="fr-FR"/>
              </w:rPr>
              <w:t> </w:t>
            </w:r>
            <w:r w:rsidRPr="00C713E8">
              <w:rPr>
                <w:lang w:val="fr-FR"/>
              </w:rPr>
              <w:t>:</w:t>
            </w:r>
          </w:p>
        </w:tc>
        <w:tc>
          <w:tcPr>
            <w:tcW w:w="4152" w:type="dxa"/>
            <w:vAlign w:val="bottom"/>
          </w:tcPr>
          <w:p w14:paraId="27A3B79B" w14:textId="77777777" w:rsidR="00C713E8" w:rsidRPr="005F32FC" w:rsidRDefault="00C713E8" w:rsidP="00172B7C">
            <w:pPr>
              <w:pStyle w:val="SingleTxtG"/>
              <w:ind w:left="0" w:right="0"/>
              <w:jc w:val="left"/>
              <w:rPr>
                <w:lang w:val="fr-FR"/>
              </w:rPr>
            </w:pPr>
            <w:r>
              <w:rPr>
                <w:lang w:val="fr-FR"/>
              </w:rPr>
              <w:t>Procédure de détermination de l’âge d’un enfant non accompagné</w:t>
            </w:r>
          </w:p>
        </w:tc>
      </w:tr>
      <w:tr w:rsidR="00C713E8" w:rsidRPr="00D62D30" w14:paraId="15AAA8B5" w14:textId="77777777" w:rsidTr="00172B7C">
        <w:tc>
          <w:tcPr>
            <w:tcW w:w="2653" w:type="dxa"/>
          </w:tcPr>
          <w:p w14:paraId="56365438" w14:textId="78714E41" w:rsidR="00C713E8" w:rsidRDefault="00C713E8" w:rsidP="00172B7C">
            <w:pPr>
              <w:pStyle w:val="SingleTxtG"/>
              <w:ind w:left="0" w:right="0"/>
              <w:jc w:val="left"/>
              <w:rPr>
                <w:i/>
              </w:rPr>
            </w:pPr>
            <w:r>
              <w:rPr>
                <w:i/>
                <w:iCs/>
                <w:lang w:val="fr-FR"/>
              </w:rPr>
              <w:t>Question(s) de fond</w:t>
            </w:r>
            <w:r>
              <w:rPr>
                <w:i/>
                <w:iCs/>
                <w:lang w:val="fr-FR"/>
              </w:rPr>
              <w:t> </w:t>
            </w:r>
            <w:r w:rsidRPr="00C713E8">
              <w:rPr>
                <w:lang w:val="fr-FR"/>
              </w:rPr>
              <w:t>:</w:t>
            </w:r>
          </w:p>
        </w:tc>
        <w:tc>
          <w:tcPr>
            <w:tcW w:w="4152" w:type="dxa"/>
            <w:vAlign w:val="bottom"/>
          </w:tcPr>
          <w:p w14:paraId="7D49DCDB" w14:textId="4E82B4BC" w:rsidR="00C713E8" w:rsidRPr="005F32FC" w:rsidRDefault="00C713E8" w:rsidP="00172B7C">
            <w:pPr>
              <w:pStyle w:val="SingleTxtG"/>
              <w:ind w:left="0" w:right="0"/>
              <w:jc w:val="left"/>
              <w:rPr>
                <w:lang w:val="fr-FR"/>
              </w:rPr>
            </w:pPr>
            <w:r>
              <w:rPr>
                <w:lang w:val="fr-FR"/>
              </w:rPr>
              <w:t>Intérêt supérieur de l’enfant</w:t>
            </w:r>
            <w:r>
              <w:rPr>
                <w:lang w:val="fr-FR"/>
              </w:rPr>
              <w:t> ;</w:t>
            </w:r>
            <w:r>
              <w:rPr>
                <w:lang w:val="fr-FR"/>
              </w:rPr>
              <w:t xml:space="preserve"> droit de l’enfant de préserver son identité</w:t>
            </w:r>
            <w:r>
              <w:rPr>
                <w:lang w:val="fr-FR"/>
              </w:rPr>
              <w:t> ;</w:t>
            </w:r>
            <w:r>
              <w:rPr>
                <w:lang w:val="fr-FR"/>
              </w:rPr>
              <w:t xml:space="preserve"> droit d’être entendu</w:t>
            </w:r>
            <w:r>
              <w:rPr>
                <w:lang w:val="fr-FR"/>
              </w:rPr>
              <w:t> ;</w:t>
            </w:r>
            <w:r>
              <w:rPr>
                <w:lang w:val="fr-FR"/>
              </w:rPr>
              <w:t xml:space="preserve"> droit à</w:t>
            </w:r>
            <w:r>
              <w:rPr>
                <w:lang w:val="fr-FR"/>
              </w:rPr>
              <w:t> </w:t>
            </w:r>
            <w:r>
              <w:rPr>
                <w:lang w:val="fr-FR"/>
              </w:rPr>
              <w:t>un tuteur</w:t>
            </w:r>
            <w:r>
              <w:rPr>
                <w:lang w:val="fr-FR"/>
              </w:rPr>
              <w:t> ;</w:t>
            </w:r>
            <w:r>
              <w:rPr>
                <w:lang w:val="fr-FR"/>
              </w:rPr>
              <w:t xml:space="preserve"> droit à une protection et à une aide spéciales de l’État</w:t>
            </w:r>
          </w:p>
        </w:tc>
      </w:tr>
      <w:tr w:rsidR="00C713E8" w14:paraId="70451336" w14:textId="77777777" w:rsidTr="00172B7C">
        <w:tc>
          <w:tcPr>
            <w:tcW w:w="2653" w:type="dxa"/>
          </w:tcPr>
          <w:p w14:paraId="4F16F800" w14:textId="3DA41841" w:rsidR="00C713E8" w:rsidRPr="005F32FC" w:rsidRDefault="00C713E8" w:rsidP="00172B7C">
            <w:pPr>
              <w:pStyle w:val="SingleTxtG"/>
              <w:ind w:left="0" w:right="0"/>
              <w:jc w:val="left"/>
              <w:rPr>
                <w:i/>
                <w:lang w:val="fr-FR"/>
              </w:rPr>
            </w:pPr>
            <w:r>
              <w:rPr>
                <w:i/>
                <w:iCs/>
                <w:lang w:val="fr-FR"/>
              </w:rPr>
              <w:t>Article(s) de la Convention</w:t>
            </w:r>
            <w:r>
              <w:rPr>
                <w:i/>
                <w:iCs/>
                <w:lang w:val="fr-FR"/>
              </w:rPr>
              <w:t> </w:t>
            </w:r>
            <w:r w:rsidRPr="00C713E8">
              <w:rPr>
                <w:lang w:val="fr-FR"/>
              </w:rPr>
              <w:t>:</w:t>
            </w:r>
          </w:p>
        </w:tc>
        <w:tc>
          <w:tcPr>
            <w:tcW w:w="4152" w:type="dxa"/>
            <w:vAlign w:val="bottom"/>
          </w:tcPr>
          <w:p w14:paraId="3F350672" w14:textId="7E968C5F" w:rsidR="00C713E8" w:rsidRDefault="00C713E8" w:rsidP="00172B7C">
            <w:pPr>
              <w:pStyle w:val="SingleTxtG"/>
              <w:ind w:left="0" w:right="0"/>
              <w:jc w:val="left"/>
            </w:pPr>
            <w:r>
              <w:rPr>
                <w:lang w:val="fr-FR"/>
              </w:rPr>
              <w:t>3, 8, 12, 18 (par.</w:t>
            </w:r>
            <w:r>
              <w:rPr>
                <w:lang w:val="fr-FR"/>
              </w:rPr>
              <w:t> </w:t>
            </w:r>
            <w:r>
              <w:rPr>
                <w:lang w:val="fr-FR"/>
              </w:rPr>
              <w:t>1) et</w:t>
            </w:r>
            <w:r>
              <w:rPr>
                <w:lang w:val="fr-FR"/>
              </w:rPr>
              <w:t xml:space="preserve"> 20</w:t>
            </w:r>
            <w:r>
              <w:rPr>
                <w:lang w:val="fr-FR"/>
              </w:rPr>
              <w:t xml:space="preserve"> (par. 1)</w:t>
            </w:r>
          </w:p>
        </w:tc>
      </w:tr>
    </w:tbl>
    <w:p w14:paraId="24FEE99E" w14:textId="7F112E53" w:rsidR="00C713E8" w:rsidRPr="005F32FC" w:rsidRDefault="00C713E8" w:rsidP="00C713E8">
      <w:pPr>
        <w:pStyle w:val="Paragraphedeliste"/>
        <w:spacing w:before="240" w:after="120"/>
        <w:ind w:left="1134" w:right="1134"/>
        <w:contextualSpacing w:val="0"/>
        <w:jc w:val="both"/>
        <w:rPr>
          <w:color w:val="000000"/>
          <w:lang w:val="fr-FR"/>
        </w:rPr>
      </w:pPr>
      <w:r>
        <w:rPr>
          <w:lang w:val="fr-FR"/>
        </w:rPr>
        <w:t>1.</w:t>
      </w:r>
      <w:r>
        <w:rPr>
          <w:lang w:val="fr-FR"/>
        </w:rPr>
        <w:tab/>
        <w:t>L’auteur de la communication est M.</w:t>
      </w:r>
      <w:r>
        <w:rPr>
          <w:lang w:val="fr-FR"/>
        </w:rPr>
        <w:t> </w:t>
      </w:r>
      <w:r>
        <w:rPr>
          <w:lang w:val="fr-FR"/>
        </w:rPr>
        <w:t>S.</w:t>
      </w:r>
      <w:r>
        <w:rPr>
          <w:lang w:val="fr-FR"/>
        </w:rPr>
        <w:t> </w:t>
      </w:r>
      <w:r>
        <w:rPr>
          <w:lang w:val="fr-FR"/>
        </w:rPr>
        <w:t>B., de nationalité guinéenne, né le 5 mai</w:t>
      </w:r>
      <w:r>
        <w:rPr>
          <w:lang w:val="fr-FR"/>
        </w:rPr>
        <w:t xml:space="preserve"> 20</w:t>
      </w:r>
      <w:r>
        <w:rPr>
          <w:lang w:val="fr-FR"/>
        </w:rPr>
        <w:t>01. Il affirme que l’État partie a violé les droits qu’il tient des articles 3, 8, 12, 18 (par.</w:t>
      </w:r>
      <w:r>
        <w:rPr>
          <w:lang w:val="fr-FR"/>
        </w:rPr>
        <w:t> </w:t>
      </w:r>
      <w:r>
        <w:rPr>
          <w:lang w:val="fr-FR"/>
        </w:rPr>
        <w:t>1) et</w:t>
      </w:r>
      <w:r>
        <w:rPr>
          <w:lang w:val="fr-FR"/>
        </w:rPr>
        <w:t xml:space="preserve"> 20 </w:t>
      </w:r>
      <w:r>
        <w:rPr>
          <w:lang w:val="fr-FR"/>
        </w:rPr>
        <w:t>(par.</w:t>
      </w:r>
      <w:r>
        <w:rPr>
          <w:lang w:val="fr-FR"/>
        </w:rPr>
        <w:t> </w:t>
      </w:r>
      <w:r>
        <w:rPr>
          <w:lang w:val="fr-FR"/>
        </w:rPr>
        <w:t>1) de la Convention. Le Protocole facultatif est entré en vigueur pour l’État partie le 14 avril</w:t>
      </w:r>
      <w:r>
        <w:rPr>
          <w:lang w:val="fr-FR"/>
        </w:rPr>
        <w:t xml:space="preserve"> 20</w:t>
      </w:r>
      <w:r>
        <w:rPr>
          <w:lang w:val="fr-FR"/>
        </w:rPr>
        <w:t>14.</w:t>
      </w:r>
    </w:p>
    <w:p w14:paraId="6255148F" w14:textId="6F82FD56" w:rsidR="00C713E8" w:rsidRPr="005F32FC" w:rsidRDefault="00C713E8" w:rsidP="00C713E8">
      <w:pPr>
        <w:pStyle w:val="SingleTxtG"/>
        <w:rPr>
          <w:color w:val="000000"/>
          <w:lang w:val="fr-FR"/>
        </w:rPr>
      </w:pPr>
      <w:r>
        <w:rPr>
          <w:lang w:val="fr-FR"/>
        </w:rPr>
        <w:t>2.</w:t>
      </w:r>
      <w:r>
        <w:rPr>
          <w:lang w:val="fr-FR"/>
        </w:rPr>
        <w:tab/>
        <w:t>En septembre</w:t>
      </w:r>
      <w:r>
        <w:rPr>
          <w:lang w:val="fr-FR"/>
        </w:rPr>
        <w:t xml:space="preserve"> 20</w:t>
      </w:r>
      <w:r>
        <w:rPr>
          <w:lang w:val="fr-FR"/>
        </w:rPr>
        <w:t>16, l’auteur est arrivé à Melilla (Espagne) en tant qu’enfant non accompagné. Il a été conduit dans un centre d’hébergement temporaire pour migrants adultes. Le 31 mars</w:t>
      </w:r>
      <w:r>
        <w:rPr>
          <w:lang w:val="fr-FR"/>
        </w:rPr>
        <w:t xml:space="preserve"> 20</w:t>
      </w:r>
      <w:r>
        <w:rPr>
          <w:lang w:val="fr-FR"/>
        </w:rPr>
        <w:t xml:space="preserve">17, l’organisation non gouvernementale </w:t>
      </w:r>
      <w:r w:rsidRPr="00C713E8">
        <w:rPr>
          <w:lang w:val="es-ES"/>
        </w:rPr>
        <w:t>Fundación Raíces</w:t>
      </w:r>
      <w:r>
        <w:rPr>
          <w:lang w:val="fr-FR"/>
        </w:rPr>
        <w:t>, qui représente l’auteur, l’a accompagné à la police (unité spécialisée dans la protection des mineurs) afin de demander sa protection en tant qu’enfant. L’auteur a présenté son acte de naissance original, sa carte d’identité, un certificat d’inscription auprès du consulat de Guinée à Madrid et un certificat consulaire attestant que son passeport était en cours de traitement. Le 4 mai</w:t>
      </w:r>
      <w:r>
        <w:rPr>
          <w:lang w:val="fr-FR"/>
        </w:rPr>
        <w:t xml:space="preserve"> 20</w:t>
      </w:r>
      <w:r>
        <w:rPr>
          <w:lang w:val="fr-FR"/>
        </w:rPr>
        <w:t xml:space="preserve">17, le parquet des mineurs a engagé une procédure interne visant à déterminer l’âge de l’auteur. Celui-ci a demandé à s’entretenir avec ses représentants et à être accompagné par eux pendant la procédure, ce qui lui a été refusé. S’il a d’abord indiqué ne pas vouloir se soumettre à des examens médicaux visant à déterminer son âge, il a finalement, sous la pression, subi un </w:t>
      </w:r>
      <w:r>
        <w:rPr>
          <w:lang w:val="fr-FR"/>
        </w:rPr>
        <w:lastRenderedPageBreak/>
        <w:t>examen médico-légal des dents et des parties génitales et passé une radiographie du poignet gauche et des dents. Le 5 mai</w:t>
      </w:r>
      <w:r>
        <w:rPr>
          <w:lang w:val="fr-FR"/>
        </w:rPr>
        <w:t xml:space="preserve"> 20</w:t>
      </w:r>
      <w:r>
        <w:rPr>
          <w:lang w:val="fr-FR"/>
        </w:rPr>
        <w:t>17, sur la base des résultats de ces examens médicaux, le parquet des mineurs a rendu une décision établissant que l’auteur avait 17 ans, et l’a fait transférer dans un centre de protection des mineurs. Le 9 mai</w:t>
      </w:r>
      <w:r>
        <w:rPr>
          <w:lang w:val="fr-FR"/>
        </w:rPr>
        <w:t xml:space="preserve"> 20</w:t>
      </w:r>
      <w:r>
        <w:rPr>
          <w:lang w:val="fr-FR"/>
        </w:rPr>
        <w:t>17, l’auteur a été informé, par le directeur du centre, que les examens médicaux avaient établi qu’il avait 17 ans, alors qu’il affirmait en avoir 16.</w:t>
      </w:r>
    </w:p>
    <w:p w14:paraId="75029AB2" w14:textId="1885B42C" w:rsidR="00C713E8" w:rsidRPr="00C713E8" w:rsidRDefault="00C713E8" w:rsidP="00C713E8">
      <w:pPr>
        <w:pStyle w:val="SingleTxtG"/>
        <w:rPr>
          <w:color w:val="000000"/>
          <w:spacing w:val="-1"/>
          <w:lang w:val="fr-FR"/>
        </w:rPr>
      </w:pPr>
      <w:r w:rsidRPr="00C713E8">
        <w:rPr>
          <w:spacing w:val="-1"/>
          <w:lang w:val="fr-FR"/>
        </w:rPr>
        <w:t>3.</w:t>
      </w:r>
      <w:r w:rsidRPr="00C713E8">
        <w:rPr>
          <w:spacing w:val="-1"/>
          <w:lang w:val="fr-FR"/>
        </w:rPr>
        <w:tab/>
        <w:t>Le 18 août</w:t>
      </w:r>
      <w:r>
        <w:rPr>
          <w:spacing w:val="-1"/>
          <w:lang w:val="fr-FR"/>
        </w:rPr>
        <w:t xml:space="preserve"> 20</w:t>
      </w:r>
      <w:r w:rsidRPr="00C713E8">
        <w:rPr>
          <w:spacing w:val="-1"/>
          <w:lang w:val="fr-FR"/>
        </w:rPr>
        <w:t>17, l’État partie a fait part de ses commentaires sur la recevabilité de la communication. Il soutenait que la plainte était manifestement mal fondée, étant donné que l’auteur avait déjà été déclaré mineur et qu’il relevait dès lors du système de protection de l’enfance. Il a demandé au Comité d’examiner la recevabilité de la communication séparément du fond ou, à défaut, de mettre un terme à son examen. Le 6 novembre</w:t>
      </w:r>
      <w:r>
        <w:rPr>
          <w:spacing w:val="-1"/>
          <w:lang w:val="fr-FR"/>
        </w:rPr>
        <w:t xml:space="preserve"> 20</w:t>
      </w:r>
      <w:r w:rsidRPr="00C713E8">
        <w:rPr>
          <w:spacing w:val="-1"/>
          <w:lang w:val="fr-FR"/>
        </w:rPr>
        <w:t>17, l’auteur a soumis ses commentaires sur la recevabilité de la communication, dans lesquels il a exprimé son opposition à la demande formulée par l’État partie. Le 26 janvier</w:t>
      </w:r>
      <w:r>
        <w:rPr>
          <w:spacing w:val="-1"/>
          <w:lang w:val="fr-FR"/>
        </w:rPr>
        <w:t xml:space="preserve"> 20</w:t>
      </w:r>
      <w:r w:rsidRPr="00C713E8">
        <w:rPr>
          <w:spacing w:val="-1"/>
          <w:lang w:val="fr-FR"/>
        </w:rPr>
        <w:t>18, le Groupe de travail des communications, agissant au nom du Comité, a décidé de ne pas accéder à la demande de l’État partie tendant à ce que la question de la recevabilité soit examinée séparément du fond ou à ce qu’il soit mis un terme à l’examen de la</w:t>
      </w:r>
      <w:r w:rsidR="0020432D">
        <w:rPr>
          <w:spacing w:val="-1"/>
          <w:lang w:val="fr-FR"/>
        </w:rPr>
        <w:t xml:space="preserve"> </w:t>
      </w:r>
      <w:r w:rsidRPr="00C713E8">
        <w:rPr>
          <w:spacing w:val="-1"/>
          <w:lang w:val="fr-FR"/>
        </w:rPr>
        <w:t>communication.</w:t>
      </w:r>
    </w:p>
    <w:p w14:paraId="7FF59C51" w14:textId="46749C1A" w:rsidR="00C713E8" w:rsidRPr="005F32FC" w:rsidRDefault="00C713E8" w:rsidP="00C713E8">
      <w:pPr>
        <w:pStyle w:val="SingleTxtG"/>
        <w:rPr>
          <w:color w:val="000000"/>
          <w:lang w:val="fr-FR"/>
        </w:rPr>
      </w:pPr>
      <w:r>
        <w:rPr>
          <w:lang w:val="fr-FR"/>
        </w:rPr>
        <w:t>4.</w:t>
      </w:r>
      <w:r>
        <w:rPr>
          <w:lang w:val="fr-FR"/>
        </w:rPr>
        <w:tab/>
        <w:t>Le 21</w:t>
      </w:r>
      <w:r>
        <w:rPr>
          <w:lang w:val="fr-FR"/>
        </w:rPr>
        <w:t> </w:t>
      </w:r>
      <w:r>
        <w:rPr>
          <w:lang w:val="fr-FR"/>
        </w:rPr>
        <w:t>décembre</w:t>
      </w:r>
      <w:r>
        <w:rPr>
          <w:lang w:val="fr-FR"/>
        </w:rPr>
        <w:t xml:space="preserve"> 20</w:t>
      </w:r>
      <w:r>
        <w:rPr>
          <w:lang w:val="fr-FR"/>
        </w:rPr>
        <w:t>17, l’État partie a présenté ses observations sur la recevabilité et sur le fond de la communication. Le 26</w:t>
      </w:r>
      <w:r>
        <w:rPr>
          <w:lang w:val="fr-FR"/>
        </w:rPr>
        <w:t> </w:t>
      </w:r>
      <w:r>
        <w:rPr>
          <w:lang w:val="fr-FR"/>
        </w:rPr>
        <w:t>mars</w:t>
      </w:r>
      <w:r>
        <w:rPr>
          <w:lang w:val="fr-FR"/>
        </w:rPr>
        <w:t xml:space="preserve"> 20</w:t>
      </w:r>
      <w:r>
        <w:rPr>
          <w:lang w:val="fr-FR"/>
        </w:rPr>
        <w:t>18, l’auteur a fait part de ses commentaires sur les observations de l’État partie concernant la recevabilité et le fond.</w:t>
      </w:r>
    </w:p>
    <w:p w14:paraId="0C7AC0CC" w14:textId="050AB409" w:rsidR="00C713E8" w:rsidRPr="005F32FC" w:rsidRDefault="00C713E8" w:rsidP="00C713E8">
      <w:pPr>
        <w:pStyle w:val="SingleTxtG"/>
        <w:rPr>
          <w:color w:val="000000"/>
          <w:lang w:val="fr-FR"/>
        </w:rPr>
      </w:pPr>
      <w:r>
        <w:rPr>
          <w:lang w:val="fr-FR"/>
        </w:rPr>
        <w:t>5.</w:t>
      </w:r>
      <w:r>
        <w:rPr>
          <w:lang w:val="fr-FR"/>
        </w:rPr>
        <w:tab/>
        <w:t>Le 11 juillet</w:t>
      </w:r>
      <w:r>
        <w:rPr>
          <w:lang w:val="fr-FR"/>
        </w:rPr>
        <w:t xml:space="preserve"> 20</w:t>
      </w:r>
      <w:r>
        <w:rPr>
          <w:lang w:val="fr-FR"/>
        </w:rPr>
        <w:t>18, l’auteur a demandé au Comité d’adopter des mesures provisoires. Il a précisé qu’il était, depuis le 5</w:t>
      </w:r>
      <w:r>
        <w:rPr>
          <w:lang w:val="fr-FR"/>
        </w:rPr>
        <w:t> </w:t>
      </w:r>
      <w:r>
        <w:rPr>
          <w:lang w:val="fr-FR"/>
        </w:rPr>
        <w:t>mai</w:t>
      </w:r>
      <w:r>
        <w:rPr>
          <w:lang w:val="fr-FR"/>
        </w:rPr>
        <w:t xml:space="preserve"> 20</w:t>
      </w:r>
      <w:r>
        <w:rPr>
          <w:lang w:val="fr-FR"/>
        </w:rPr>
        <w:t>18, considéré comme un adulte sur la base de la décision relative à la détermination de l’âge, qui établissait qu’il avait un an de plus que son âge réel. Il avait été renvoyé du centre de protection des mineurs et risquait d’être expulsé.</w:t>
      </w:r>
    </w:p>
    <w:p w14:paraId="5C42FED7" w14:textId="2FCF849C" w:rsidR="00C713E8" w:rsidRPr="005F32FC" w:rsidRDefault="00C713E8" w:rsidP="00C713E8">
      <w:pPr>
        <w:pStyle w:val="SingleTxtG"/>
        <w:rPr>
          <w:color w:val="000000"/>
          <w:lang w:val="fr-FR"/>
        </w:rPr>
      </w:pPr>
      <w:r>
        <w:rPr>
          <w:lang w:val="fr-FR"/>
        </w:rPr>
        <w:t>6.</w:t>
      </w:r>
      <w:r>
        <w:rPr>
          <w:lang w:val="fr-FR"/>
        </w:rPr>
        <w:tab/>
        <w:t>Le 11 juillet</w:t>
      </w:r>
      <w:r>
        <w:rPr>
          <w:lang w:val="fr-FR"/>
        </w:rPr>
        <w:t xml:space="preserve"> 20</w:t>
      </w:r>
      <w:r>
        <w:rPr>
          <w:lang w:val="fr-FR"/>
        </w:rPr>
        <w:t>18, le Groupe de travail des communications, agissant au nom du Comité et se fondant sur l’article 6 du Protocole facultatif, a demandé à l’État partie de prendre des mesures provisoires tendant à suspendre la possible expulsion de l’auteur tant que sa communication serait à l’examen, et de transférer l’intéressé dans un centre de protection des mineurs.</w:t>
      </w:r>
    </w:p>
    <w:p w14:paraId="113768CE" w14:textId="49248287" w:rsidR="00C713E8" w:rsidRPr="005F32FC" w:rsidRDefault="00C713E8" w:rsidP="00C713E8">
      <w:pPr>
        <w:pStyle w:val="SingleTxtG"/>
        <w:rPr>
          <w:color w:val="000000"/>
          <w:lang w:val="fr-FR"/>
        </w:rPr>
      </w:pPr>
      <w:r>
        <w:rPr>
          <w:lang w:val="fr-FR"/>
        </w:rPr>
        <w:t>7.</w:t>
      </w:r>
      <w:r>
        <w:rPr>
          <w:lang w:val="fr-FR"/>
        </w:rPr>
        <w:tab/>
        <w:t>Le 24</w:t>
      </w:r>
      <w:r>
        <w:rPr>
          <w:lang w:val="fr-FR"/>
        </w:rPr>
        <w:t> </w:t>
      </w:r>
      <w:r>
        <w:rPr>
          <w:lang w:val="fr-FR"/>
        </w:rPr>
        <w:t>août</w:t>
      </w:r>
      <w:r>
        <w:rPr>
          <w:lang w:val="fr-FR"/>
        </w:rPr>
        <w:t xml:space="preserve"> 20</w:t>
      </w:r>
      <w:r>
        <w:rPr>
          <w:lang w:val="fr-FR"/>
        </w:rPr>
        <w:t>18, l’État partie a demandé au Comité de suspendre l’examen de la communication au motif que des procédures contentieuses administratives et judiciaires civiles étaient toujours en cours devant les tribunaux nationaux. En</w:t>
      </w:r>
      <w:r>
        <w:rPr>
          <w:lang w:val="fr-FR"/>
        </w:rPr>
        <w:t xml:space="preserve"> 20</w:t>
      </w:r>
      <w:r>
        <w:rPr>
          <w:lang w:val="fr-FR"/>
        </w:rPr>
        <w:t>19 et</w:t>
      </w:r>
      <w:r>
        <w:rPr>
          <w:lang w:val="fr-FR"/>
        </w:rPr>
        <w:t xml:space="preserve"> 20</w:t>
      </w:r>
      <w:r>
        <w:rPr>
          <w:lang w:val="fr-FR"/>
        </w:rPr>
        <w:t>20, l’auteur a soumis des observations complémentaires concernant ces procédures. Le 7</w:t>
      </w:r>
      <w:r>
        <w:rPr>
          <w:lang w:val="fr-FR"/>
        </w:rPr>
        <w:t> </w:t>
      </w:r>
      <w:r>
        <w:rPr>
          <w:lang w:val="fr-FR"/>
        </w:rPr>
        <w:t>décembre</w:t>
      </w:r>
      <w:r>
        <w:rPr>
          <w:lang w:val="fr-FR"/>
        </w:rPr>
        <w:t xml:space="preserve"> 20</w:t>
      </w:r>
      <w:r>
        <w:rPr>
          <w:lang w:val="fr-FR"/>
        </w:rPr>
        <w:t>20, le Groupe de travail des communications, agissant au nom du Comité, a accepté la demande de suspension soumise par l’État partie.</w:t>
      </w:r>
    </w:p>
    <w:p w14:paraId="15BC737E" w14:textId="3AE32882" w:rsidR="00C713E8" w:rsidRPr="005F32FC" w:rsidRDefault="00C713E8" w:rsidP="00C713E8">
      <w:pPr>
        <w:pStyle w:val="SingleTxtG"/>
        <w:rPr>
          <w:lang w:val="fr-FR"/>
        </w:rPr>
      </w:pPr>
      <w:r>
        <w:rPr>
          <w:lang w:val="fr-FR"/>
        </w:rPr>
        <w:t>8.</w:t>
      </w:r>
      <w:r>
        <w:rPr>
          <w:lang w:val="fr-FR"/>
        </w:rPr>
        <w:tab/>
        <w:t>Le 30</w:t>
      </w:r>
      <w:r>
        <w:rPr>
          <w:lang w:val="fr-FR"/>
        </w:rPr>
        <w:t> </w:t>
      </w:r>
      <w:r>
        <w:rPr>
          <w:lang w:val="fr-FR"/>
        </w:rPr>
        <w:t>novembre</w:t>
      </w:r>
      <w:r>
        <w:rPr>
          <w:lang w:val="fr-FR"/>
        </w:rPr>
        <w:t xml:space="preserve"> 20</w:t>
      </w:r>
      <w:r>
        <w:rPr>
          <w:lang w:val="fr-FR"/>
        </w:rPr>
        <w:t>21, l’auteur a indiqué que, le</w:t>
      </w:r>
      <w:r>
        <w:rPr>
          <w:lang w:val="fr-FR"/>
        </w:rPr>
        <w:t xml:space="preserve"> 20 </w:t>
      </w:r>
      <w:r>
        <w:rPr>
          <w:lang w:val="fr-FR"/>
        </w:rPr>
        <w:t>septembre</w:t>
      </w:r>
      <w:r>
        <w:rPr>
          <w:lang w:val="fr-FR"/>
        </w:rPr>
        <w:t xml:space="preserve"> 20</w:t>
      </w:r>
      <w:r>
        <w:rPr>
          <w:lang w:val="fr-FR"/>
        </w:rPr>
        <w:t>21, le Tribunal suprême avait fait droit à ses demandes et confirmé le jugement n</w:t>
      </w:r>
      <w:r>
        <w:rPr>
          <w:vertAlign w:val="superscript"/>
          <w:lang w:val="fr-FR"/>
        </w:rPr>
        <w:t>o</w:t>
      </w:r>
      <w:r>
        <w:rPr>
          <w:lang w:val="fr-FR"/>
        </w:rPr>
        <w:t> </w:t>
      </w:r>
      <w:r>
        <w:rPr>
          <w:lang w:val="fr-FR"/>
        </w:rPr>
        <w:t>132/2019 du tribunal de première instance n</w:t>
      </w:r>
      <w:r>
        <w:rPr>
          <w:vertAlign w:val="superscript"/>
          <w:lang w:val="fr-FR"/>
        </w:rPr>
        <w:t>o</w:t>
      </w:r>
      <w:r>
        <w:rPr>
          <w:lang w:val="fr-FR"/>
        </w:rPr>
        <w:t> </w:t>
      </w:r>
      <w:r>
        <w:rPr>
          <w:lang w:val="fr-FR"/>
        </w:rPr>
        <w:t>49 de Madrid, qui reconnaissait son âge réel tel qu’il ressortait des documents d’identité initialement présentés aux autorités de l’État partie.</w:t>
      </w:r>
    </w:p>
    <w:p w14:paraId="79A75547" w14:textId="153D2435" w:rsidR="00C713E8" w:rsidRPr="005F32FC" w:rsidRDefault="00C713E8" w:rsidP="00C713E8">
      <w:pPr>
        <w:pStyle w:val="SingleTxtG"/>
        <w:rPr>
          <w:rFonts w:eastAsia="Times New Roman"/>
          <w:lang w:val="fr-FR"/>
        </w:rPr>
      </w:pPr>
      <w:r>
        <w:rPr>
          <w:lang w:val="fr-FR"/>
        </w:rPr>
        <w:t>9.</w:t>
      </w:r>
      <w:r>
        <w:rPr>
          <w:lang w:val="fr-FR"/>
        </w:rPr>
        <w:tab/>
        <w:t>Réuni le 1</w:t>
      </w:r>
      <w:r>
        <w:rPr>
          <w:vertAlign w:val="superscript"/>
          <w:lang w:val="fr-FR"/>
        </w:rPr>
        <w:t>er</w:t>
      </w:r>
      <w:r w:rsidRPr="00C713E8">
        <w:rPr>
          <w:lang w:val="fr-FR"/>
        </w:rPr>
        <w:t> </w:t>
      </w:r>
      <w:r>
        <w:rPr>
          <w:lang w:val="fr-FR"/>
        </w:rPr>
        <w:t>juin</w:t>
      </w:r>
      <w:r>
        <w:rPr>
          <w:lang w:val="fr-FR"/>
        </w:rPr>
        <w:t xml:space="preserve"> 20</w:t>
      </w:r>
      <w:r>
        <w:rPr>
          <w:lang w:val="fr-FR"/>
        </w:rPr>
        <w:t>22, le Comité, ayant examiné les observations supplémentaires soumises par les représentants de l’auteur et la demande de l’État partie tendant à ce qu’il soit mis un terme à l’examen de la communication, a observé que l’âge réel de l’auteur avait finalement été reconnu par les autorités judiciaires de l’État partie. Même si cela ne constituait pas en soi une pleine réparation du préjudice subi du fait des violations alléguées de la Convention, il a considéré que la reconnaissance de l’âge réel de l’auteur rendait la communication sans objet et a décidé de mettre un terme à l’examen de la communication n</w:t>
      </w:r>
      <w:r w:rsidRPr="00110813">
        <w:rPr>
          <w:vertAlign w:val="superscript"/>
          <w:lang w:val="fr-FR"/>
        </w:rPr>
        <w:t>o</w:t>
      </w:r>
      <w:r w:rsidR="0020432D">
        <w:rPr>
          <w:lang w:val="fr-FR"/>
        </w:rPr>
        <w:t> </w:t>
      </w:r>
      <w:r>
        <w:rPr>
          <w:lang w:val="fr-FR"/>
        </w:rPr>
        <w:t>20</w:t>
      </w:r>
      <w:r>
        <w:rPr>
          <w:lang w:val="fr-FR"/>
        </w:rPr>
        <w:t>/2017, conformément à l’article 26 de son règlement intérieur au titre du Protocole facultatif à la Convention relative aux droits de l’enfant établissant une procédure de présentation de communications.</w:t>
      </w:r>
    </w:p>
    <w:p w14:paraId="636ACE5D" w14:textId="5DF58493" w:rsidR="007341B7" w:rsidRPr="00C713E8" w:rsidRDefault="00C713E8" w:rsidP="00C713E8">
      <w:pPr>
        <w:pStyle w:val="SingleTxtG"/>
        <w:spacing w:before="240" w:after="0"/>
        <w:jc w:val="center"/>
        <w:rPr>
          <w:u w:val="single"/>
        </w:rPr>
      </w:pPr>
      <w:r>
        <w:rPr>
          <w:u w:val="single"/>
        </w:rPr>
        <w:tab/>
      </w:r>
      <w:r>
        <w:rPr>
          <w:u w:val="single"/>
        </w:rPr>
        <w:tab/>
      </w:r>
      <w:r>
        <w:rPr>
          <w:u w:val="single"/>
        </w:rPr>
        <w:tab/>
      </w:r>
    </w:p>
    <w:sectPr w:rsidR="007341B7" w:rsidRPr="00C713E8" w:rsidSect="00E61D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E2F7B" w14:textId="77777777" w:rsidR="003A4B97" w:rsidRDefault="003A4B97" w:rsidP="00F95C08">
      <w:pPr>
        <w:spacing w:line="240" w:lineRule="auto"/>
      </w:pPr>
    </w:p>
  </w:endnote>
  <w:endnote w:type="continuationSeparator" w:id="0">
    <w:p w14:paraId="534DA46D" w14:textId="77777777" w:rsidR="003A4B97" w:rsidRPr="00AC3823" w:rsidRDefault="003A4B97" w:rsidP="00AC3823">
      <w:pPr>
        <w:pStyle w:val="Pieddepage"/>
      </w:pPr>
    </w:p>
  </w:endnote>
  <w:endnote w:type="continuationNotice" w:id="1">
    <w:p w14:paraId="603FAB69" w14:textId="77777777" w:rsidR="003A4B97" w:rsidRDefault="003A4B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D3CF4" w14:textId="712404CE" w:rsidR="00E61D0D" w:rsidRPr="00E61D0D" w:rsidRDefault="00E61D0D" w:rsidP="00E61D0D">
    <w:pPr>
      <w:pStyle w:val="Pieddepage"/>
      <w:tabs>
        <w:tab w:val="right" w:pos="9638"/>
      </w:tabs>
    </w:pPr>
    <w:r w:rsidRPr="00E61D0D">
      <w:rPr>
        <w:b/>
        <w:sz w:val="18"/>
      </w:rPr>
      <w:fldChar w:fldCharType="begin"/>
    </w:r>
    <w:r w:rsidRPr="00E61D0D">
      <w:rPr>
        <w:b/>
        <w:sz w:val="18"/>
      </w:rPr>
      <w:instrText xml:space="preserve"> PAGE  \* MERGEFORMAT </w:instrText>
    </w:r>
    <w:r w:rsidRPr="00E61D0D">
      <w:rPr>
        <w:b/>
        <w:sz w:val="18"/>
      </w:rPr>
      <w:fldChar w:fldCharType="separate"/>
    </w:r>
    <w:r w:rsidRPr="00E61D0D">
      <w:rPr>
        <w:b/>
        <w:noProof/>
        <w:sz w:val="18"/>
      </w:rPr>
      <w:t>2</w:t>
    </w:r>
    <w:r w:rsidRPr="00E61D0D">
      <w:rPr>
        <w:b/>
        <w:sz w:val="18"/>
      </w:rPr>
      <w:fldChar w:fldCharType="end"/>
    </w:r>
    <w:r>
      <w:rPr>
        <w:b/>
        <w:sz w:val="18"/>
      </w:rPr>
      <w:tab/>
    </w:r>
    <w:r>
      <w:t>GE.23-00235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49FE9" w14:textId="7DB9B7BE" w:rsidR="00E61D0D" w:rsidRPr="00E61D0D" w:rsidRDefault="00E61D0D" w:rsidP="00E61D0D">
    <w:pPr>
      <w:pStyle w:val="Pieddepage"/>
      <w:tabs>
        <w:tab w:val="right" w:pos="9638"/>
      </w:tabs>
      <w:rPr>
        <w:b/>
        <w:sz w:val="18"/>
      </w:rPr>
    </w:pPr>
    <w:r>
      <w:t>GE.23-00235</w:t>
    </w:r>
    <w:r>
      <w:tab/>
    </w:r>
    <w:r w:rsidRPr="00E61D0D">
      <w:rPr>
        <w:b/>
        <w:sz w:val="18"/>
      </w:rPr>
      <w:fldChar w:fldCharType="begin"/>
    </w:r>
    <w:r w:rsidRPr="00E61D0D">
      <w:rPr>
        <w:b/>
        <w:sz w:val="18"/>
      </w:rPr>
      <w:instrText xml:space="preserve"> PAGE  \* MERGEFORMAT </w:instrText>
    </w:r>
    <w:r w:rsidRPr="00E61D0D">
      <w:rPr>
        <w:b/>
        <w:sz w:val="18"/>
      </w:rPr>
      <w:fldChar w:fldCharType="separate"/>
    </w:r>
    <w:r w:rsidRPr="00E61D0D">
      <w:rPr>
        <w:b/>
        <w:noProof/>
        <w:sz w:val="18"/>
      </w:rPr>
      <w:t>3</w:t>
    </w:r>
    <w:r w:rsidRPr="00E61D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3F61D" w14:textId="74F6A4F3" w:rsidR="002D14A3" w:rsidRPr="00E61D0D" w:rsidRDefault="00E61D0D" w:rsidP="00E61D0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61CA549" wp14:editId="37C6753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23-00235  (F)</w:t>
    </w:r>
    <w:r>
      <w:rPr>
        <w:noProof/>
        <w:sz w:val="20"/>
      </w:rPr>
      <w:drawing>
        <wp:anchor distT="0" distB="0" distL="114300" distR="114300" simplePos="0" relativeHeight="251660288" behindDoc="0" locked="0" layoutInCell="1" allowOverlap="1" wp14:anchorId="6613BFD0" wp14:editId="7E49BF3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070323    070323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86BDB" w14:textId="77777777" w:rsidR="003A4B97" w:rsidRPr="00AC3823" w:rsidRDefault="003A4B97" w:rsidP="00AC3823">
      <w:pPr>
        <w:pStyle w:val="Pieddepage"/>
        <w:tabs>
          <w:tab w:val="right" w:pos="2155"/>
        </w:tabs>
        <w:spacing w:after="80" w:line="240" w:lineRule="atLeast"/>
        <w:ind w:left="680"/>
        <w:rPr>
          <w:u w:val="single"/>
        </w:rPr>
      </w:pPr>
      <w:r>
        <w:rPr>
          <w:u w:val="single"/>
        </w:rPr>
        <w:tab/>
      </w:r>
    </w:p>
  </w:footnote>
  <w:footnote w:type="continuationSeparator" w:id="0">
    <w:p w14:paraId="6B0326FF" w14:textId="77777777" w:rsidR="003A4B97" w:rsidRPr="00AC3823" w:rsidRDefault="003A4B97" w:rsidP="00AC3823">
      <w:pPr>
        <w:pStyle w:val="Pieddepage"/>
        <w:tabs>
          <w:tab w:val="right" w:pos="2155"/>
        </w:tabs>
        <w:spacing w:after="80" w:line="240" w:lineRule="atLeast"/>
        <w:ind w:left="680"/>
        <w:rPr>
          <w:u w:val="single"/>
        </w:rPr>
      </w:pPr>
      <w:r>
        <w:rPr>
          <w:u w:val="single"/>
        </w:rPr>
        <w:tab/>
      </w:r>
    </w:p>
  </w:footnote>
  <w:footnote w:type="continuationNotice" w:id="1">
    <w:p w14:paraId="48FC41BB" w14:textId="77777777" w:rsidR="003A4B97" w:rsidRPr="00AC3823" w:rsidRDefault="003A4B97">
      <w:pPr>
        <w:spacing w:line="240" w:lineRule="auto"/>
        <w:rPr>
          <w:sz w:val="2"/>
          <w:szCs w:val="2"/>
        </w:rPr>
      </w:pPr>
    </w:p>
  </w:footnote>
  <w:footnote w:id="2">
    <w:p w14:paraId="237F80F4" w14:textId="5B46CF9A" w:rsidR="00C713E8" w:rsidRPr="005F32FC" w:rsidRDefault="00C713E8" w:rsidP="00C713E8">
      <w:pPr>
        <w:pStyle w:val="Notedebasdepage"/>
        <w:rPr>
          <w:lang w:val="fr-FR"/>
        </w:rPr>
      </w:pPr>
      <w:r>
        <w:rPr>
          <w:lang w:val="fr-FR"/>
        </w:rPr>
        <w:tab/>
      </w:r>
      <w:r w:rsidRPr="00C713E8">
        <w:rPr>
          <w:sz w:val="20"/>
          <w:lang w:val="fr-FR"/>
        </w:rPr>
        <w:t>*</w:t>
      </w:r>
      <w:r>
        <w:rPr>
          <w:lang w:val="fr-FR"/>
        </w:rPr>
        <w:tab/>
      </w:r>
      <w:r>
        <w:rPr>
          <w:lang w:val="fr-FR"/>
        </w:rPr>
        <w:t>Adoptée par le Comité à sa quatre-vingt-dixième session (3 mai-3 juin 2022).</w:t>
      </w:r>
    </w:p>
  </w:footnote>
  <w:footnote w:id="3">
    <w:p w14:paraId="4C8DC5DD" w14:textId="403D8776" w:rsidR="00C713E8" w:rsidRPr="005F32FC" w:rsidRDefault="00C713E8" w:rsidP="00C713E8">
      <w:pPr>
        <w:pStyle w:val="Notedebasdepage"/>
        <w:rPr>
          <w:lang w:val="fr-FR"/>
        </w:rPr>
      </w:pPr>
      <w:r>
        <w:rPr>
          <w:lang w:val="fr-FR"/>
        </w:rPr>
        <w:tab/>
      </w:r>
      <w:r w:rsidRPr="00C713E8">
        <w:rPr>
          <w:sz w:val="20"/>
          <w:lang w:val="fr-FR"/>
        </w:rPr>
        <w:t>**</w:t>
      </w:r>
      <w:r>
        <w:rPr>
          <w:lang w:val="fr-FR"/>
        </w:rPr>
        <w:tab/>
      </w:r>
      <w:r>
        <w:rPr>
          <w:lang w:val="fr-FR"/>
        </w:rPr>
        <w:tab/>
        <w:t>Les membres du Comité dont le nom suit ont participé à l’examen de la communication</w:t>
      </w:r>
      <w:r>
        <w:rPr>
          <w:lang w:val="fr-FR"/>
        </w:rPr>
        <w:t> :</w:t>
      </w:r>
      <w:r>
        <w:rPr>
          <w:lang w:val="fr-FR"/>
        </w:rPr>
        <w:t xml:space="preserve"> Suzanne Aho, Hynd </w:t>
      </w:r>
      <w:proofErr w:type="spellStart"/>
      <w:r>
        <w:rPr>
          <w:lang w:val="fr-FR"/>
        </w:rPr>
        <w:t>Ayoubi</w:t>
      </w:r>
      <w:proofErr w:type="spellEnd"/>
      <w:r>
        <w:rPr>
          <w:lang w:val="fr-FR"/>
        </w:rPr>
        <w:t xml:space="preserve"> Idrissi, Bragi </w:t>
      </w:r>
      <w:proofErr w:type="spellStart"/>
      <w:r>
        <w:rPr>
          <w:lang w:val="fr-FR"/>
        </w:rPr>
        <w:t>Gudbrandsson</w:t>
      </w:r>
      <w:proofErr w:type="spellEnd"/>
      <w:r>
        <w:rPr>
          <w:lang w:val="fr-FR"/>
        </w:rPr>
        <w:t xml:space="preserve">, Philip Jaffé, </w:t>
      </w:r>
      <w:proofErr w:type="spellStart"/>
      <w:r>
        <w:rPr>
          <w:lang w:val="fr-FR"/>
        </w:rPr>
        <w:t>Sopio</w:t>
      </w:r>
      <w:proofErr w:type="spellEnd"/>
      <w:r>
        <w:rPr>
          <w:lang w:val="fr-FR"/>
        </w:rPr>
        <w:t xml:space="preserve"> </w:t>
      </w:r>
      <w:proofErr w:type="spellStart"/>
      <w:r>
        <w:rPr>
          <w:lang w:val="fr-FR"/>
        </w:rPr>
        <w:t>Kiladze</w:t>
      </w:r>
      <w:proofErr w:type="spellEnd"/>
      <w:r>
        <w:rPr>
          <w:lang w:val="fr-FR"/>
        </w:rPr>
        <w:t xml:space="preserve">, </w:t>
      </w:r>
      <w:proofErr w:type="spellStart"/>
      <w:r>
        <w:rPr>
          <w:lang w:val="fr-FR"/>
        </w:rPr>
        <w:t>Gehad</w:t>
      </w:r>
      <w:proofErr w:type="spellEnd"/>
      <w:r>
        <w:rPr>
          <w:lang w:val="fr-FR"/>
        </w:rPr>
        <w:t xml:space="preserve"> Madi, Faith Marshall-Harris, </w:t>
      </w:r>
      <w:proofErr w:type="spellStart"/>
      <w:r>
        <w:rPr>
          <w:lang w:val="fr-FR"/>
        </w:rPr>
        <w:t>Benyam</w:t>
      </w:r>
      <w:proofErr w:type="spellEnd"/>
      <w:r>
        <w:rPr>
          <w:lang w:val="fr-FR"/>
        </w:rPr>
        <w:t xml:space="preserve"> </w:t>
      </w:r>
      <w:proofErr w:type="spellStart"/>
      <w:r>
        <w:rPr>
          <w:lang w:val="fr-FR"/>
        </w:rPr>
        <w:t>Dawit</w:t>
      </w:r>
      <w:proofErr w:type="spellEnd"/>
      <w:r>
        <w:rPr>
          <w:lang w:val="fr-FR"/>
        </w:rPr>
        <w:t xml:space="preserve"> </w:t>
      </w:r>
      <w:proofErr w:type="spellStart"/>
      <w:r>
        <w:rPr>
          <w:lang w:val="fr-FR"/>
        </w:rPr>
        <w:t>Mezmur</w:t>
      </w:r>
      <w:proofErr w:type="spellEnd"/>
      <w:r>
        <w:rPr>
          <w:lang w:val="fr-FR"/>
        </w:rPr>
        <w:t xml:space="preserve">, Clarence Nelson, </w:t>
      </w:r>
      <w:proofErr w:type="spellStart"/>
      <w:r>
        <w:rPr>
          <w:lang w:val="fr-FR"/>
        </w:rPr>
        <w:t>Otani</w:t>
      </w:r>
      <w:proofErr w:type="spellEnd"/>
      <w:r>
        <w:rPr>
          <w:lang w:val="fr-FR"/>
        </w:rPr>
        <w:t xml:space="preserve"> </w:t>
      </w:r>
      <w:proofErr w:type="spellStart"/>
      <w:r>
        <w:rPr>
          <w:lang w:val="fr-FR"/>
        </w:rPr>
        <w:t>Mikiko</w:t>
      </w:r>
      <w:proofErr w:type="spellEnd"/>
      <w:r>
        <w:rPr>
          <w:lang w:val="fr-FR"/>
        </w:rPr>
        <w:t xml:space="preserve">, Luis Ernesto </w:t>
      </w:r>
      <w:proofErr w:type="spellStart"/>
      <w:r>
        <w:rPr>
          <w:lang w:val="fr-FR"/>
        </w:rPr>
        <w:t>Pedernera</w:t>
      </w:r>
      <w:proofErr w:type="spellEnd"/>
      <w:r>
        <w:rPr>
          <w:lang w:val="fr-FR"/>
        </w:rPr>
        <w:t xml:space="preserve"> </w:t>
      </w:r>
      <w:proofErr w:type="spellStart"/>
      <w:r>
        <w:rPr>
          <w:lang w:val="fr-FR"/>
        </w:rPr>
        <w:t>Reyna</w:t>
      </w:r>
      <w:proofErr w:type="spellEnd"/>
      <w:r>
        <w:rPr>
          <w:lang w:val="fr-FR"/>
        </w:rPr>
        <w:t xml:space="preserve">, José </w:t>
      </w:r>
      <w:proofErr w:type="spellStart"/>
      <w:r>
        <w:rPr>
          <w:lang w:val="fr-FR"/>
        </w:rPr>
        <w:t>Ángel</w:t>
      </w:r>
      <w:proofErr w:type="spellEnd"/>
      <w:r>
        <w:rPr>
          <w:lang w:val="fr-FR"/>
        </w:rPr>
        <w:t xml:space="preserve"> </w:t>
      </w:r>
      <w:proofErr w:type="spellStart"/>
      <w:r>
        <w:rPr>
          <w:lang w:val="fr-FR"/>
        </w:rPr>
        <w:t>Rodríguez</w:t>
      </w:r>
      <w:proofErr w:type="spellEnd"/>
      <w:r>
        <w:rPr>
          <w:lang w:val="fr-FR"/>
        </w:rPr>
        <w:t xml:space="preserve"> Reyes, Aïssatou Alassane </w:t>
      </w:r>
      <w:proofErr w:type="spellStart"/>
      <w:r>
        <w:rPr>
          <w:lang w:val="fr-FR"/>
        </w:rPr>
        <w:t>Sidikou</w:t>
      </w:r>
      <w:proofErr w:type="spellEnd"/>
      <w:r>
        <w:rPr>
          <w:lang w:val="fr-FR"/>
        </w:rPr>
        <w:t xml:space="preserve">, Ann Skelton, Velina </w:t>
      </w:r>
      <w:proofErr w:type="spellStart"/>
      <w:r>
        <w:rPr>
          <w:lang w:val="fr-FR"/>
        </w:rPr>
        <w:t>Todorova</w:t>
      </w:r>
      <w:proofErr w:type="spellEnd"/>
      <w:r>
        <w:rPr>
          <w:lang w:val="fr-FR"/>
        </w:rPr>
        <w:t xml:space="preserve">, </w:t>
      </w:r>
      <w:proofErr w:type="spellStart"/>
      <w:r>
        <w:rPr>
          <w:lang w:val="fr-FR"/>
        </w:rPr>
        <w:t>Benoit</w:t>
      </w:r>
      <w:proofErr w:type="spellEnd"/>
      <w:r>
        <w:rPr>
          <w:lang w:val="fr-FR"/>
        </w:rPr>
        <w:t xml:space="preserve"> Van </w:t>
      </w:r>
      <w:proofErr w:type="spellStart"/>
      <w:r>
        <w:rPr>
          <w:lang w:val="fr-FR"/>
        </w:rPr>
        <w:t>Keirsbilck</w:t>
      </w:r>
      <w:proofErr w:type="spellEnd"/>
      <w:r>
        <w:rPr>
          <w:lang w:val="fr-FR"/>
        </w:rPr>
        <w:t xml:space="preserve"> et </w:t>
      </w:r>
      <w:proofErr w:type="spellStart"/>
      <w:r>
        <w:rPr>
          <w:lang w:val="fr-FR"/>
        </w:rPr>
        <w:t>Ratou</w:t>
      </w:r>
      <w:proofErr w:type="spellEnd"/>
      <w:r>
        <w:rPr>
          <w:lang w:val="fr-FR"/>
        </w:rPr>
        <w:t xml:space="preserve"> Zara.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7810A" w14:textId="134D901E" w:rsidR="00E61D0D" w:rsidRPr="00E61D0D" w:rsidRDefault="00E61D0D">
    <w:pPr>
      <w:pStyle w:val="En-tte"/>
    </w:pPr>
    <w:fldSimple w:instr=" TITLE  \* MERGEFORMAT ">
      <w:r>
        <w:t>CRC/C/90/D/20/2017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2D238" w14:textId="3B8DE7C0" w:rsidR="00E61D0D" w:rsidRPr="00E61D0D" w:rsidRDefault="00E61D0D" w:rsidP="00E61D0D">
    <w:pPr>
      <w:pStyle w:val="En-tte"/>
      <w:jc w:val="right"/>
    </w:pPr>
    <w:fldSimple w:instr=" TITLE  \* MERGEFORMAT ">
      <w:r>
        <w:t>CRC/C/90/D/20/2017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B97"/>
    <w:rsid w:val="00017F94"/>
    <w:rsid w:val="00023842"/>
    <w:rsid w:val="000334F9"/>
    <w:rsid w:val="000354E9"/>
    <w:rsid w:val="0007796D"/>
    <w:rsid w:val="000B7790"/>
    <w:rsid w:val="00111F2F"/>
    <w:rsid w:val="00137EAC"/>
    <w:rsid w:val="0014365E"/>
    <w:rsid w:val="00176178"/>
    <w:rsid w:val="001C6758"/>
    <w:rsid w:val="001F525A"/>
    <w:rsid w:val="0020432D"/>
    <w:rsid w:val="00223272"/>
    <w:rsid w:val="0024779E"/>
    <w:rsid w:val="00260A30"/>
    <w:rsid w:val="002D14A3"/>
    <w:rsid w:val="00311E81"/>
    <w:rsid w:val="00340ED0"/>
    <w:rsid w:val="003A4B97"/>
    <w:rsid w:val="00411C8E"/>
    <w:rsid w:val="00446FE5"/>
    <w:rsid w:val="00452396"/>
    <w:rsid w:val="00485B35"/>
    <w:rsid w:val="004D7A2C"/>
    <w:rsid w:val="005505B7"/>
    <w:rsid w:val="00573BE5"/>
    <w:rsid w:val="00586ED3"/>
    <w:rsid w:val="00596AA9"/>
    <w:rsid w:val="0071601D"/>
    <w:rsid w:val="007341B7"/>
    <w:rsid w:val="00760CBC"/>
    <w:rsid w:val="007A62E6"/>
    <w:rsid w:val="007F61AD"/>
    <w:rsid w:val="0080684C"/>
    <w:rsid w:val="00840413"/>
    <w:rsid w:val="00871C75"/>
    <w:rsid w:val="008776DC"/>
    <w:rsid w:val="008C54BD"/>
    <w:rsid w:val="008F3CA0"/>
    <w:rsid w:val="009705C8"/>
    <w:rsid w:val="009D4009"/>
    <w:rsid w:val="00A30353"/>
    <w:rsid w:val="00AC3823"/>
    <w:rsid w:val="00AE323C"/>
    <w:rsid w:val="00B00181"/>
    <w:rsid w:val="00B24A9B"/>
    <w:rsid w:val="00B765F7"/>
    <w:rsid w:val="00BA0CA9"/>
    <w:rsid w:val="00C02897"/>
    <w:rsid w:val="00C713E8"/>
    <w:rsid w:val="00D3439C"/>
    <w:rsid w:val="00DB1831"/>
    <w:rsid w:val="00DD3BFD"/>
    <w:rsid w:val="00DF6678"/>
    <w:rsid w:val="00E61D0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E7887"/>
  <w15:docId w15:val="{51D844D7-3E94-4CA9-A6B9-DE34B4551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713E8"/>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C713E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713E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C713E8"/>
    <w:rPr>
      <w:rFonts w:ascii="Times New Roman" w:eastAsiaTheme="minorHAnsi" w:hAnsi="Times New Roman" w:cs="Times New Roman"/>
      <w:sz w:val="20"/>
      <w:szCs w:val="20"/>
      <w:lang w:eastAsia="en-US"/>
    </w:rPr>
  </w:style>
  <w:style w:type="paragraph" w:styleId="Paragraphedeliste">
    <w:name w:val="List Paragraph"/>
    <w:basedOn w:val="Normal"/>
    <w:uiPriority w:val="34"/>
    <w:qFormat/>
    <w:rsid w:val="00C713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946</Words>
  <Characters>5385</Characters>
  <Application>Microsoft Office Word</Application>
  <DocSecurity>0</DocSecurity>
  <Lines>598</Lines>
  <Paragraphs>253</Paragraphs>
  <ScaleCrop>false</ScaleCrop>
  <HeadingPairs>
    <vt:vector size="2" baseType="variant">
      <vt:variant>
        <vt:lpstr>Titre</vt:lpstr>
      </vt:variant>
      <vt:variant>
        <vt:i4>1</vt:i4>
      </vt:variant>
    </vt:vector>
  </HeadingPairs>
  <TitlesOfParts>
    <vt:vector size="1" baseType="lpstr">
      <vt:lpstr>CRC/C/90/D/20/2017</vt:lpstr>
    </vt:vector>
  </TitlesOfParts>
  <Company>DCM</Company>
  <LinksUpToDate>false</LinksUpToDate>
  <CharactersWithSpaces>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CRC/C/90/D/20/2017</dc:title>
  <dc:subject/>
  <dc:creator>Nicolas MORIN</dc:creator>
  <cp:keywords/>
  <cp:lastModifiedBy>Nicolas Morin</cp:lastModifiedBy>
  <cp:revision>2</cp:revision>
  <cp:lastPrinted>2014-05-14T10:59:00Z</cp:lastPrinted>
  <dcterms:created xsi:type="dcterms:W3CDTF">2023-03-07T13:47:00Z</dcterms:created>
  <dcterms:modified xsi:type="dcterms:W3CDTF">2023-03-07T13:47:00Z</dcterms:modified>
</cp:coreProperties>
</file>