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0A3E34A3" w14:textId="77777777" w:rsidTr="00281242">
        <w:trPr>
          <w:trHeight w:hRule="exact" w:val="851"/>
        </w:trPr>
        <w:tc>
          <w:tcPr>
            <w:tcW w:w="1274" w:type="dxa"/>
            <w:tcBorders>
              <w:bottom w:val="single" w:sz="4" w:space="0" w:color="auto"/>
            </w:tcBorders>
            <w:shd w:val="clear" w:color="auto" w:fill="auto"/>
          </w:tcPr>
          <w:p w14:paraId="6E2B333B" w14:textId="77777777" w:rsidR="006B3E27" w:rsidRPr="003E159A" w:rsidRDefault="006B3E27" w:rsidP="00281242">
            <w:pPr>
              <w:pStyle w:val="Roman1GA"/>
            </w:pPr>
            <w:bookmarkStart w:id="0" w:name="_GoBack"/>
            <w:bookmarkEnd w:id="0"/>
          </w:p>
        </w:tc>
        <w:tc>
          <w:tcPr>
            <w:tcW w:w="4963" w:type="dxa"/>
            <w:tcBorders>
              <w:bottom w:val="single" w:sz="4" w:space="0" w:color="auto"/>
            </w:tcBorders>
            <w:shd w:val="clear" w:color="auto" w:fill="auto"/>
            <w:vAlign w:val="bottom"/>
          </w:tcPr>
          <w:p w14:paraId="0A595F64"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21AD23AC" w14:textId="77777777" w:rsidR="006B3E27" w:rsidRPr="00281242" w:rsidRDefault="0056555C" w:rsidP="00AF6A58">
            <w:pPr>
              <w:bidi w:val="0"/>
              <w:spacing w:after="20"/>
              <w:jc w:val="left"/>
              <w:rPr>
                <w:szCs w:val="20"/>
              </w:rPr>
            </w:pPr>
            <w:r w:rsidRPr="0056555C">
              <w:rPr>
                <w:sz w:val="40"/>
                <w:szCs w:val="20"/>
              </w:rPr>
              <w:t>A</w:t>
            </w:r>
            <w:r>
              <w:rPr>
                <w:szCs w:val="20"/>
              </w:rPr>
              <w:t>/HRC/RES/</w:t>
            </w:r>
            <w:r w:rsidRPr="009128C5">
              <w:rPr>
                <w:szCs w:val="20"/>
              </w:rPr>
              <w:t>45</w:t>
            </w:r>
            <w:r>
              <w:rPr>
                <w:szCs w:val="20"/>
              </w:rPr>
              <w:t>/</w:t>
            </w:r>
            <w:r w:rsidRPr="009128C5">
              <w:rPr>
                <w:szCs w:val="20"/>
              </w:rPr>
              <w:t>17</w:t>
            </w:r>
          </w:p>
        </w:tc>
      </w:tr>
      <w:tr w:rsidR="006B3E27" w:rsidRPr="00ED7442" w14:paraId="212914B1" w14:textId="77777777" w:rsidTr="00281242">
        <w:trPr>
          <w:trHeight w:hRule="exact" w:val="2835"/>
        </w:trPr>
        <w:tc>
          <w:tcPr>
            <w:tcW w:w="1274" w:type="dxa"/>
            <w:tcBorders>
              <w:top w:val="single" w:sz="4" w:space="0" w:color="auto"/>
              <w:bottom w:val="single" w:sz="12" w:space="0" w:color="auto"/>
            </w:tcBorders>
            <w:shd w:val="clear" w:color="auto" w:fill="auto"/>
          </w:tcPr>
          <w:p w14:paraId="0F75F8B5" w14:textId="74AACEFB" w:rsidR="006B3E27" w:rsidRPr="00281242" w:rsidRDefault="00F66B5D" w:rsidP="00281242">
            <w:pPr>
              <w:jc w:val="center"/>
              <w:rPr>
                <w:sz w:val="56"/>
                <w:szCs w:val="56"/>
                <w:rtl/>
              </w:rPr>
            </w:pPr>
            <w:r>
              <w:rPr>
                <w:noProof/>
                <w:sz w:val="56"/>
                <w:szCs w:val="56"/>
              </w:rPr>
              <w:drawing>
                <wp:inline distT="0" distB="0" distL="0" distR="0" wp14:anchorId="0C23C269" wp14:editId="58C0B9F5">
                  <wp:extent cx="629285" cy="61468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285" cy="61468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3BD2E0AA"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2401BA58" w14:textId="77777777" w:rsidR="006B3E27" w:rsidRDefault="00AF6A58" w:rsidP="00AF6A58">
            <w:pPr>
              <w:bidi w:val="0"/>
              <w:spacing w:before="240"/>
              <w:jc w:val="left"/>
              <w:rPr>
                <w:szCs w:val="20"/>
              </w:rPr>
            </w:pPr>
            <w:r>
              <w:rPr>
                <w:szCs w:val="20"/>
              </w:rPr>
              <w:t>Distr.: General</w:t>
            </w:r>
          </w:p>
          <w:p w14:paraId="71567A9D" w14:textId="77777777" w:rsidR="00AF6A58" w:rsidRDefault="00AF6A58" w:rsidP="00AF6A58">
            <w:pPr>
              <w:bidi w:val="0"/>
              <w:jc w:val="left"/>
              <w:rPr>
                <w:szCs w:val="20"/>
              </w:rPr>
            </w:pPr>
            <w:r w:rsidRPr="009128C5">
              <w:rPr>
                <w:szCs w:val="20"/>
              </w:rPr>
              <w:t>9</w:t>
            </w:r>
            <w:r>
              <w:rPr>
                <w:szCs w:val="20"/>
              </w:rPr>
              <w:t xml:space="preserve"> October </w:t>
            </w:r>
            <w:r w:rsidRPr="009128C5">
              <w:rPr>
                <w:szCs w:val="20"/>
              </w:rPr>
              <w:t>2020</w:t>
            </w:r>
          </w:p>
          <w:p w14:paraId="1DAABF2A" w14:textId="77777777" w:rsidR="00AF6A58" w:rsidRDefault="00AF6A58" w:rsidP="00AF6A58">
            <w:pPr>
              <w:bidi w:val="0"/>
              <w:jc w:val="left"/>
              <w:rPr>
                <w:szCs w:val="20"/>
              </w:rPr>
            </w:pPr>
            <w:r>
              <w:rPr>
                <w:szCs w:val="20"/>
              </w:rPr>
              <w:t>Arabic</w:t>
            </w:r>
          </w:p>
          <w:p w14:paraId="3A7477EA" w14:textId="77777777" w:rsidR="00AF6A58" w:rsidRPr="00281242" w:rsidRDefault="00AF6A58" w:rsidP="00AF6A58">
            <w:pPr>
              <w:bidi w:val="0"/>
              <w:jc w:val="left"/>
              <w:rPr>
                <w:szCs w:val="20"/>
              </w:rPr>
            </w:pPr>
            <w:r>
              <w:rPr>
                <w:szCs w:val="20"/>
              </w:rPr>
              <w:t>Original: English</w:t>
            </w:r>
          </w:p>
        </w:tc>
      </w:tr>
    </w:tbl>
    <w:p w14:paraId="400B851F" w14:textId="77777777" w:rsidR="00AF6A58" w:rsidRDefault="00673245" w:rsidP="00AF6A58">
      <w:pPr>
        <w:pStyle w:val="SingleTxtGA"/>
        <w:spacing w:before="120" w:after="0"/>
        <w:ind w:left="0" w:right="1253"/>
        <w:rPr>
          <w:b/>
          <w:bCs/>
          <w:sz w:val="36"/>
          <w:szCs w:val="36"/>
          <w:rtl/>
        </w:rPr>
      </w:pPr>
      <w:r w:rsidRPr="00673245">
        <w:rPr>
          <w:rFonts w:hint="cs"/>
          <w:b/>
          <w:bCs/>
          <w:sz w:val="36"/>
          <w:szCs w:val="36"/>
          <w:rtl/>
        </w:rPr>
        <w:t>مجلس حقوق الإنسان</w:t>
      </w:r>
    </w:p>
    <w:p w14:paraId="54E181D1" w14:textId="77777777" w:rsidR="00AF6A58" w:rsidRPr="00AF6A58" w:rsidRDefault="00AF6A58" w:rsidP="00AF6A58">
      <w:pPr>
        <w:spacing w:line="360" w:lineRule="exact"/>
        <w:rPr>
          <w:b/>
          <w:bCs/>
        </w:rPr>
      </w:pPr>
      <w:r w:rsidRPr="00AF6A58">
        <w:rPr>
          <w:b/>
          <w:bCs/>
          <w:rtl/>
        </w:rPr>
        <w:t>الدورة الخامسة والأربعون</w:t>
      </w:r>
    </w:p>
    <w:p w14:paraId="6A3E19C5" w14:textId="77777777" w:rsidR="00AF6A58" w:rsidRDefault="00AF6A58" w:rsidP="00AF6A58">
      <w:pPr>
        <w:spacing w:line="360" w:lineRule="exact"/>
      </w:pPr>
      <w:r w:rsidRPr="009128C5">
        <w:rPr>
          <w:szCs w:val="20"/>
          <w:rtl/>
        </w:rPr>
        <w:t>14</w:t>
      </w:r>
      <w:r>
        <w:rPr>
          <w:rtl/>
        </w:rPr>
        <w:t xml:space="preserve"> أيلول/سبتمبر - </w:t>
      </w:r>
      <w:r w:rsidRPr="009128C5">
        <w:rPr>
          <w:szCs w:val="20"/>
          <w:rtl/>
        </w:rPr>
        <w:t>7</w:t>
      </w:r>
      <w:r>
        <w:rPr>
          <w:rtl/>
        </w:rPr>
        <w:t xml:space="preserve"> تشرين الأول/أكتوبر </w:t>
      </w:r>
      <w:r w:rsidRPr="009128C5">
        <w:rPr>
          <w:szCs w:val="20"/>
          <w:rtl/>
        </w:rPr>
        <w:t>2020</w:t>
      </w:r>
    </w:p>
    <w:p w14:paraId="6B6F9B84" w14:textId="77777777" w:rsidR="00AF6A58" w:rsidRDefault="00AF6A58" w:rsidP="00AF6A58">
      <w:pPr>
        <w:spacing w:line="360" w:lineRule="exact"/>
      </w:pPr>
      <w:r>
        <w:rPr>
          <w:rtl/>
        </w:rPr>
        <w:t xml:space="preserve">البند </w:t>
      </w:r>
      <w:r w:rsidRPr="009128C5">
        <w:rPr>
          <w:szCs w:val="20"/>
          <w:rtl/>
        </w:rPr>
        <w:t>3</w:t>
      </w:r>
      <w:r>
        <w:rPr>
          <w:rtl/>
        </w:rPr>
        <w:t xml:space="preserve"> من جدول الأعمال</w:t>
      </w:r>
    </w:p>
    <w:p w14:paraId="33AE07F2" w14:textId="77777777" w:rsidR="00AF6A58" w:rsidRPr="00AF6A58" w:rsidRDefault="00AF6A58" w:rsidP="00AF6A58">
      <w:pPr>
        <w:spacing w:line="360" w:lineRule="exact"/>
        <w:ind w:right="4770"/>
        <w:rPr>
          <w:b/>
          <w:bCs/>
        </w:rPr>
      </w:pPr>
      <w:r w:rsidRPr="00AF6A58">
        <w:rPr>
          <w:b/>
          <w:bCs/>
          <w:rtl/>
        </w:rPr>
        <w:t>تعزيز وحماية جميع حقوق الإنسان، المدنية والسياسية والاقتصادية والاجتماعية والثقافية، بما في ذلك الحق في التنمية</w:t>
      </w:r>
    </w:p>
    <w:p w14:paraId="3673A575" w14:textId="77777777" w:rsidR="00AF6A58" w:rsidRDefault="00AF6A58" w:rsidP="00AF6A58">
      <w:pPr>
        <w:pStyle w:val="HChGA"/>
      </w:pPr>
      <w:r>
        <w:rPr>
          <w:rtl/>
        </w:rPr>
        <w:tab/>
      </w:r>
      <w:r>
        <w:rPr>
          <w:rtl/>
        </w:rPr>
        <w:tab/>
        <w:t xml:space="preserve"> قرار اعتمده مجلس حقوق الإنسان في </w:t>
      </w:r>
      <w:r w:rsidRPr="009128C5">
        <w:rPr>
          <w:szCs w:val="28"/>
          <w:rtl/>
        </w:rPr>
        <w:t>6</w:t>
      </w:r>
      <w:r>
        <w:rPr>
          <w:rtl/>
        </w:rPr>
        <w:t xml:space="preserve"> تشرين الأول/أكتوبر </w:t>
      </w:r>
      <w:r w:rsidRPr="009128C5">
        <w:rPr>
          <w:szCs w:val="28"/>
          <w:rtl/>
        </w:rPr>
        <w:t>2020</w:t>
      </w:r>
    </w:p>
    <w:p w14:paraId="0D9F4B7B" w14:textId="6A5D96A3" w:rsidR="00AF6A58" w:rsidRDefault="009128C5" w:rsidP="00AF6A58">
      <w:pPr>
        <w:pStyle w:val="H1GA"/>
        <w:ind w:left="1360"/>
      </w:pPr>
      <w:r>
        <w:rPr>
          <w:szCs w:val="24"/>
          <w:rtl/>
        </w:rPr>
        <w:tab/>
      </w:r>
      <w:r w:rsidR="00AF6A58" w:rsidRPr="009128C5">
        <w:rPr>
          <w:szCs w:val="24"/>
          <w:rtl/>
        </w:rPr>
        <w:t>45</w:t>
      </w:r>
      <w:r w:rsidR="00AF6A58">
        <w:rPr>
          <w:rtl/>
        </w:rPr>
        <w:t>/</w:t>
      </w:r>
      <w:r w:rsidR="00AF6A58" w:rsidRPr="009128C5">
        <w:rPr>
          <w:szCs w:val="24"/>
          <w:rtl/>
        </w:rPr>
        <w:t>17</w:t>
      </w:r>
      <w:r w:rsidR="00AF6A58">
        <w:rPr>
          <w:rtl/>
        </w:rPr>
        <w:t>-</w:t>
      </w:r>
      <w:r w:rsidR="00AF6A58">
        <w:rPr>
          <w:rtl/>
        </w:rPr>
        <w:tab/>
        <w:t>ولاية المقرر الخاص المعني بالآثار المترتبة في مجال حقوق الإنسان على إدارة المواد والنفايات الخطرة والتخلص منها بطرق سليمة بيئياً</w:t>
      </w:r>
    </w:p>
    <w:p w14:paraId="331F5639" w14:textId="5EC9AB50" w:rsidR="00AF6A58" w:rsidRDefault="00AF6A58" w:rsidP="007C08B3">
      <w:pPr>
        <w:pStyle w:val="SingleTxtGA"/>
        <w:ind w:left="1253" w:right="1253"/>
      </w:pPr>
      <w:r>
        <w:rPr>
          <w:rtl/>
        </w:rPr>
        <w:tab/>
      </w:r>
      <w:r w:rsidRPr="00AF6A58">
        <w:rPr>
          <w:i/>
          <w:iCs/>
          <w:rtl/>
        </w:rPr>
        <w:t>إن مجلس حقوق الإنسان</w:t>
      </w:r>
      <w:r>
        <w:rPr>
          <w:rtl/>
        </w:rPr>
        <w:t>،</w:t>
      </w:r>
    </w:p>
    <w:p w14:paraId="543B8672" w14:textId="1E1A7BA9" w:rsidR="00AF6A58" w:rsidRDefault="00AF6A58" w:rsidP="007C08B3">
      <w:pPr>
        <w:pStyle w:val="SingleTxtGA"/>
        <w:ind w:left="1253" w:right="1253"/>
      </w:pPr>
      <w:r>
        <w:rPr>
          <w:rtl/>
        </w:rPr>
        <w:tab/>
      </w:r>
      <w:r w:rsidRPr="009128C5">
        <w:rPr>
          <w:i/>
          <w:iCs/>
          <w:rtl/>
        </w:rPr>
        <w:t>إذ يسترشد</w:t>
      </w:r>
      <w:r>
        <w:rPr>
          <w:rtl/>
        </w:rPr>
        <w:t xml:space="preserve"> بميثاق الأمم المتحدة، والإعلان العالمي لحقوق الإنسان، والعهد الدولي الخاص بالحقوق الاقتصادية والاجتماعية والثقافية، والعهد الدولي الخاص بالحقوق المدنية والسياسية، وإعلان وبرنامج عمل فيينا، وإعلان الحق في التنمية،</w:t>
      </w:r>
    </w:p>
    <w:p w14:paraId="0AA1B708" w14:textId="7906D57D" w:rsidR="00AF6A58" w:rsidRDefault="00AF6A58" w:rsidP="007C08B3">
      <w:pPr>
        <w:pStyle w:val="SingleTxtGA"/>
        <w:ind w:left="1253" w:right="1253"/>
      </w:pPr>
      <w:r>
        <w:rPr>
          <w:rtl/>
        </w:rPr>
        <w:tab/>
      </w:r>
      <w:r w:rsidRPr="009128C5">
        <w:rPr>
          <w:i/>
          <w:iCs/>
          <w:rtl/>
        </w:rPr>
        <w:t>وإذ يضع في اعتباره</w:t>
      </w:r>
      <w:r>
        <w:rPr>
          <w:rtl/>
        </w:rPr>
        <w:t xml:space="preserve"> الفقرة </w:t>
      </w:r>
      <w:r w:rsidRPr="009128C5">
        <w:rPr>
          <w:szCs w:val="20"/>
          <w:rtl/>
        </w:rPr>
        <w:t>6</w:t>
      </w:r>
      <w:r>
        <w:rPr>
          <w:rtl/>
        </w:rPr>
        <w:t xml:space="preserve"> من قرار الجمعية العامة </w:t>
      </w:r>
      <w:r w:rsidRPr="009128C5">
        <w:rPr>
          <w:szCs w:val="20"/>
          <w:rtl/>
        </w:rPr>
        <w:t>60</w:t>
      </w:r>
      <w:r>
        <w:rPr>
          <w:rtl/>
        </w:rPr>
        <w:t>/</w:t>
      </w:r>
      <w:r w:rsidRPr="009128C5">
        <w:rPr>
          <w:szCs w:val="20"/>
          <w:rtl/>
        </w:rPr>
        <w:t>251</w:t>
      </w:r>
      <w:r>
        <w:rPr>
          <w:rtl/>
        </w:rPr>
        <w:t xml:space="preserve"> المؤرخ </w:t>
      </w:r>
      <w:r w:rsidRPr="009128C5">
        <w:rPr>
          <w:szCs w:val="20"/>
          <w:rtl/>
        </w:rPr>
        <w:t>15</w:t>
      </w:r>
      <w:r>
        <w:rPr>
          <w:rtl/>
        </w:rPr>
        <w:t xml:space="preserve"> آذار/مارس </w:t>
      </w:r>
      <w:r w:rsidRPr="009128C5">
        <w:rPr>
          <w:szCs w:val="20"/>
          <w:rtl/>
        </w:rPr>
        <w:t>2006</w:t>
      </w:r>
      <w:r>
        <w:rPr>
          <w:rtl/>
        </w:rPr>
        <w:t>،</w:t>
      </w:r>
    </w:p>
    <w:p w14:paraId="78F76BCB" w14:textId="389A9F74" w:rsidR="00AF6A58" w:rsidRDefault="00AF6A58" w:rsidP="007C08B3">
      <w:pPr>
        <w:pStyle w:val="SingleTxtGA"/>
        <w:ind w:left="1253" w:right="1253"/>
      </w:pPr>
      <w:r>
        <w:rPr>
          <w:rtl/>
        </w:rPr>
        <w:tab/>
      </w:r>
      <w:r w:rsidRPr="009128C5">
        <w:rPr>
          <w:i/>
          <w:iCs/>
          <w:rtl/>
        </w:rPr>
        <w:t>وإذ يشير</w:t>
      </w:r>
      <w:r>
        <w:rPr>
          <w:rtl/>
        </w:rPr>
        <w:t xml:space="preserve"> إلى قراريه </w:t>
      </w:r>
      <w:r w:rsidRPr="009128C5">
        <w:rPr>
          <w:szCs w:val="20"/>
          <w:rtl/>
        </w:rPr>
        <w:t>5</w:t>
      </w:r>
      <w:r>
        <w:rPr>
          <w:rtl/>
        </w:rPr>
        <w:t>/</w:t>
      </w:r>
      <w:r w:rsidRPr="009128C5">
        <w:rPr>
          <w:szCs w:val="20"/>
          <w:rtl/>
        </w:rPr>
        <w:t>1</w:t>
      </w:r>
      <w:r>
        <w:rPr>
          <w:rtl/>
        </w:rPr>
        <w:t xml:space="preserve"> بشأن بناء مؤسسات المجلس، و</w:t>
      </w:r>
      <w:r w:rsidRPr="009128C5">
        <w:rPr>
          <w:szCs w:val="20"/>
          <w:rtl/>
        </w:rPr>
        <w:t>5</w:t>
      </w:r>
      <w:r>
        <w:rPr>
          <w:rtl/>
        </w:rPr>
        <w:t>/</w:t>
      </w:r>
      <w:r w:rsidRPr="009128C5">
        <w:rPr>
          <w:szCs w:val="20"/>
          <w:rtl/>
        </w:rPr>
        <w:t>2</w:t>
      </w:r>
      <w:r>
        <w:rPr>
          <w:rtl/>
        </w:rPr>
        <w:t xml:space="preserve"> بشأن مدونة قواعد السلوك لأصحاب الولايات في إطار الإجراءات الخاصة للمجلس، المؤرخين </w:t>
      </w:r>
      <w:r w:rsidRPr="009128C5">
        <w:rPr>
          <w:szCs w:val="20"/>
          <w:rtl/>
        </w:rPr>
        <w:t>18</w:t>
      </w:r>
      <w:r>
        <w:rPr>
          <w:rtl/>
        </w:rPr>
        <w:t xml:space="preserve"> حزيران/يونيه </w:t>
      </w:r>
      <w:r w:rsidRPr="009128C5">
        <w:rPr>
          <w:szCs w:val="20"/>
          <w:rtl/>
        </w:rPr>
        <w:t>2007</w:t>
      </w:r>
      <w:r>
        <w:rPr>
          <w:rtl/>
        </w:rPr>
        <w:t>، وإذ يشدد على ضرورة أن يؤدي المكلفون بالولايات واجباتهم وفقاً لهذين القرارين ومرفقاتهما،</w:t>
      </w:r>
    </w:p>
    <w:p w14:paraId="46EF4C4C" w14:textId="02EA0327" w:rsidR="00AF6A58" w:rsidRDefault="00AF6A58" w:rsidP="007C08B3">
      <w:pPr>
        <w:pStyle w:val="SingleTxtGA"/>
        <w:ind w:left="1253" w:right="1253"/>
      </w:pPr>
      <w:r>
        <w:rPr>
          <w:rtl/>
        </w:rPr>
        <w:tab/>
      </w:r>
      <w:r w:rsidRPr="009128C5">
        <w:rPr>
          <w:i/>
          <w:iCs/>
          <w:rtl/>
        </w:rPr>
        <w:t>وإذ يشير أيضاً</w:t>
      </w:r>
      <w:r>
        <w:rPr>
          <w:rtl/>
        </w:rPr>
        <w:t xml:space="preserve"> إلى قراراته </w:t>
      </w:r>
      <w:r w:rsidRPr="009128C5">
        <w:rPr>
          <w:szCs w:val="20"/>
          <w:rtl/>
        </w:rPr>
        <w:t>9</w:t>
      </w:r>
      <w:r>
        <w:rPr>
          <w:rtl/>
        </w:rPr>
        <w:t>/</w:t>
      </w:r>
      <w:r w:rsidRPr="009128C5">
        <w:rPr>
          <w:szCs w:val="20"/>
          <w:rtl/>
        </w:rPr>
        <w:t>1</w:t>
      </w:r>
      <w:r>
        <w:rPr>
          <w:rtl/>
        </w:rPr>
        <w:t xml:space="preserve"> المؤرخ </w:t>
      </w:r>
      <w:r w:rsidRPr="009128C5">
        <w:rPr>
          <w:szCs w:val="20"/>
          <w:rtl/>
        </w:rPr>
        <w:t>24</w:t>
      </w:r>
      <w:r>
        <w:rPr>
          <w:rtl/>
        </w:rPr>
        <w:t xml:space="preserve"> أيلول/سبتمبر </w:t>
      </w:r>
      <w:r w:rsidRPr="009128C5">
        <w:rPr>
          <w:szCs w:val="20"/>
          <w:rtl/>
        </w:rPr>
        <w:t>2008</w:t>
      </w:r>
      <w:r>
        <w:rPr>
          <w:rtl/>
        </w:rPr>
        <w:t>، و</w:t>
      </w:r>
      <w:r w:rsidRPr="009128C5">
        <w:rPr>
          <w:szCs w:val="20"/>
          <w:rtl/>
        </w:rPr>
        <w:t>18</w:t>
      </w:r>
      <w:r>
        <w:rPr>
          <w:rtl/>
        </w:rPr>
        <w:t>/</w:t>
      </w:r>
      <w:r w:rsidRPr="009128C5">
        <w:rPr>
          <w:szCs w:val="20"/>
          <w:rtl/>
        </w:rPr>
        <w:t>11</w:t>
      </w:r>
      <w:r>
        <w:rPr>
          <w:rtl/>
        </w:rPr>
        <w:t xml:space="preserve"> المؤرخ </w:t>
      </w:r>
      <w:r w:rsidRPr="009128C5">
        <w:rPr>
          <w:szCs w:val="20"/>
          <w:rtl/>
        </w:rPr>
        <w:t>29</w:t>
      </w:r>
      <w:r>
        <w:rPr>
          <w:rtl/>
        </w:rPr>
        <w:t xml:space="preserve"> أيلول/</w:t>
      </w:r>
      <w:r w:rsidR="003D35B0">
        <w:rPr>
          <w:rFonts w:hint="cs"/>
          <w:rtl/>
        </w:rPr>
        <w:t xml:space="preserve"> </w:t>
      </w:r>
      <w:r>
        <w:rPr>
          <w:rtl/>
        </w:rPr>
        <w:t xml:space="preserve">سبتمبر </w:t>
      </w:r>
      <w:r w:rsidRPr="009128C5">
        <w:rPr>
          <w:szCs w:val="20"/>
          <w:rtl/>
        </w:rPr>
        <w:t>2011</w:t>
      </w:r>
      <w:r>
        <w:rPr>
          <w:rtl/>
        </w:rPr>
        <w:t>، و</w:t>
      </w:r>
      <w:r w:rsidRPr="009128C5">
        <w:rPr>
          <w:szCs w:val="20"/>
          <w:rtl/>
        </w:rPr>
        <w:t>21</w:t>
      </w:r>
      <w:r>
        <w:rPr>
          <w:rtl/>
        </w:rPr>
        <w:t>/</w:t>
      </w:r>
      <w:r w:rsidRPr="009128C5">
        <w:rPr>
          <w:szCs w:val="20"/>
          <w:rtl/>
        </w:rPr>
        <w:t>17</w:t>
      </w:r>
      <w:r>
        <w:rPr>
          <w:rtl/>
        </w:rPr>
        <w:t xml:space="preserve"> المؤرخ </w:t>
      </w:r>
      <w:r w:rsidRPr="009128C5">
        <w:rPr>
          <w:szCs w:val="20"/>
          <w:rtl/>
        </w:rPr>
        <w:t>27</w:t>
      </w:r>
      <w:r>
        <w:rPr>
          <w:rtl/>
        </w:rPr>
        <w:t xml:space="preserve"> أيلول/سبتمبر </w:t>
      </w:r>
      <w:r w:rsidRPr="009128C5">
        <w:rPr>
          <w:szCs w:val="20"/>
          <w:rtl/>
        </w:rPr>
        <w:t>2012</w:t>
      </w:r>
      <w:r>
        <w:rPr>
          <w:rtl/>
        </w:rPr>
        <w:t>، و</w:t>
      </w:r>
      <w:r w:rsidRPr="009128C5">
        <w:rPr>
          <w:szCs w:val="20"/>
          <w:rtl/>
        </w:rPr>
        <w:t>27</w:t>
      </w:r>
      <w:r>
        <w:rPr>
          <w:rtl/>
        </w:rPr>
        <w:t>/</w:t>
      </w:r>
      <w:r w:rsidRPr="009128C5">
        <w:rPr>
          <w:szCs w:val="20"/>
          <w:rtl/>
        </w:rPr>
        <w:t>23</w:t>
      </w:r>
      <w:r>
        <w:rPr>
          <w:rtl/>
        </w:rPr>
        <w:t xml:space="preserve"> المؤرخ </w:t>
      </w:r>
      <w:r w:rsidRPr="009128C5">
        <w:rPr>
          <w:szCs w:val="20"/>
          <w:rtl/>
        </w:rPr>
        <w:t>26</w:t>
      </w:r>
      <w:r>
        <w:rPr>
          <w:rtl/>
        </w:rPr>
        <w:t xml:space="preserve"> أيلول/سبتمبر </w:t>
      </w:r>
      <w:r w:rsidRPr="009128C5">
        <w:rPr>
          <w:szCs w:val="20"/>
          <w:rtl/>
        </w:rPr>
        <w:t>2014</w:t>
      </w:r>
      <w:r>
        <w:rPr>
          <w:rtl/>
        </w:rPr>
        <w:t>، و</w:t>
      </w:r>
      <w:r w:rsidRPr="009128C5">
        <w:rPr>
          <w:szCs w:val="20"/>
          <w:rtl/>
        </w:rPr>
        <w:t>36</w:t>
      </w:r>
      <w:r>
        <w:rPr>
          <w:rtl/>
        </w:rPr>
        <w:t>/</w:t>
      </w:r>
      <w:r w:rsidRPr="009128C5">
        <w:rPr>
          <w:szCs w:val="20"/>
          <w:rtl/>
        </w:rPr>
        <w:t>15</w:t>
      </w:r>
      <w:r>
        <w:rPr>
          <w:rtl/>
        </w:rPr>
        <w:t xml:space="preserve"> المؤرخ </w:t>
      </w:r>
      <w:r w:rsidRPr="009128C5">
        <w:rPr>
          <w:szCs w:val="20"/>
          <w:rtl/>
        </w:rPr>
        <w:t>28</w:t>
      </w:r>
      <w:r>
        <w:rPr>
          <w:rtl/>
        </w:rPr>
        <w:t xml:space="preserve"> أيلول/سبتمبر </w:t>
      </w:r>
      <w:r w:rsidRPr="009128C5">
        <w:rPr>
          <w:szCs w:val="20"/>
          <w:rtl/>
        </w:rPr>
        <w:t>2017</w:t>
      </w:r>
      <w:r>
        <w:rPr>
          <w:rtl/>
        </w:rPr>
        <w:t>، وإلى جميع قرارات لجنة حقوق الإنسان بشأن هذه المسألة،</w:t>
      </w:r>
    </w:p>
    <w:p w14:paraId="654EDBB2" w14:textId="51DF8380" w:rsidR="00AF6A58" w:rsidRPr="009A3159" w:rsidRDefault="00AF6A58" w:rsidP="007C08B3">
      <w:pPr>
        <w:pStyle w:val="SingleTxtGA"/>
        <w:ind w:left="1253" w:right="1253"/>
      </w:pPr>
      <w:r>
        <w:rPr>
          <w:rtl/>
        </w:rPr>
        <w:tab/>
      </w:r>
      <w:r w:rsidRPr="009A3159">
        <w:rPr>
          <w:i/>
          <w:iCs/>
          <w:rtl/>
        </w:rPr>
        <w:t>وإذ يشير</w:t>
      </w:r>
      <w:r w:rsidRPr="009A3159">
        <w:rPr>
          <w:rtl/>
        </w:rPr>
        <w:t xml:space="preserve"> </w:t>
      </w:r>
      <w:r w:rsidR="00F140EF" w:rsidRPr="00F140EF">
        <w:rPr>
          <w:rFonts w:hint="cs"/>
          <w:i/>
          <w:iCs/>
          <w:rtl/>
        </w:rPr>
        <w:t>كذلك</w:t>
      </w:r>
      <w:r w:rsidR="00F140EF">
        <w:rPr>
          <w:rFonts w:hint="cs"/>
          <w:rtl/>
        </w:rPr>
        <w:t xml:space="preserve"> </w:t>
      </w:r>
      <w:r w:rsidRPr="009A3159">
        <w:rPr>
          <w:rtl/>
        </w:rPr>
        <w:t xml:space="preserve">إلى قرار الجمعية العامة </w:t>
      </w:r>
      <w:r w:rsidRPr="009A3159">
        <w:rPr>
          <w:szCs w:val="20"/>
          <w:rtl/>
        </w:rPr>
        <w:t>70</w:t>
      </w:r>
      <w:r w:rsidRPr="009A3159">
        <w:rPr>
          <w:rtl/>
        </w:rPr>
        <w:t>/</w:t>
      </w:r>
      <w:r w:rsidRPr="009A3159">
        <w:rPr>
          <w:szCs w:val="20"/>
          <w:rtl/>
        </w:rPr>
        <w:t>1</w:t>
      </w:r>
      <w:r w:rsidRPr="009A3159">
        <w:rPr>
          <w:rtl/>
        </w:rPr>
        <w:t xml:space="preserve"> المؤرخ </w:t>
      </w:r>
      <w:r w:rsidRPr="009A3159">
        <w:rPr>
          <w:szCs w:val="20"/>
          <w:rtl/>
        </w:rPr>
        <w:t>25</w:t>
      </w:r>
      <w:r w:rsidRPr="009A3159">
        <w:rPr>
          <w:rtl/>
        </w:rPr>
        <w:t xml:space="preserve"> أيلول/سبتمبر </w:t>
      </w:r>
      <w:r w:rsidRPr="009A3159">
        <w:rPr>
          <w:szCs w:val="20"/>
          <w:rtl/>
        </w:rPr>
        <w:t>2015</w:t>
      </w:r>
      <w:r w:rsidRPr="009A3159">
        <w:rPr>
          <w:rtl/>
        </w:rPr>
        <w:t>، الذي اعتمدت فيه</w:t>
      </w:r>
      <w:r w:rsidRPr="009A3159">
        <w:rPr>
          <w:spacing w:val="-2"/>
          <w:rtl/>
        </w:rPr>
        <w:t xml:space="preserve"> الجمعية خطة التنمية المستدامة لعام </w:t>
      </w:r>
      <w:r w:rsidRPr="009A3159">
        <w:rPr>
          <w:spacing w:val="-2"/>
          <w:szCs w:val="20"/>
          <w:rtl/>
        </w:rPr>
        <w:t>2030</w:t>
      </w:r>
      <w:r w:rsidRPr="009A3159">
        <w:rPr>
          <w:spacing w:val="-2"/>
          <w:rtl/>
        </w:rPr>
        <w:t xml:space="preserve">، بما فيها الغاية </w:t>
      </w:r>
      <w:r w:rsidRPr="009A3159">
        <w:rPr>
          <w:spacing w:val="-2"/>
          <w:szCs w:val="20"/>
          <w:rtl/>
        </w:rPr>
        <w:t>4</w:t>
      </w:r>
      <w:r w:rsidRPr="009A3159">
        <w:rPr>
          <w:spacing w:val="-2"/>
          <w:rtl/>
        </w:rPr>
        <w:t xml:space="preserve"> من الهدف </w:t>
      </w:r>
      <w:r w:rsidRPr="009A3159">
        <w:rPr>
          <w:spacing w:val="-2"/>
          <w:szCs w:val="20"/>
          <w:rtl/>
        </w:rPr>
        <w:t>12</w:t>
      </w:r>
      <w:r w:rsidRPr="009A3159">
        <w:rPr>
          <w:spacing w:val="-2"/>
          <w:rtl/>
        </w:rPr>
        <w:t xml:space="preserve"> من أهداف التنمية المستدامة، </w:t>
      </w:r>
      <w:r w:rsidRPr="009A3159">
        <w:rPr>
          <w:rtl/>
        </w:rPr>
        <w:t xml:space="preserve">المتوخى بلوغها بحلول عام </w:t>
      </w:r>
      <w:r w:rsidRPr="009A3159">
        <w:rPr>
          <w:szCs w:val="20"/>
          <w:rtl/>
        </w:rPr>
        <w:t>2020</w:t>
      </w:r>
      <w:r w:rsidRPr="009A3159">
        <w:rPr>
          <w:rtl/>
        </w:rPr>
        <w:t xml:space="preserve"> والمتعلقة بالإدارة السليمة بيئياً للمواد والنفايات الخطرة طوال دورة حياتها، وفقاً للمعايير الدولية، وإذ يؤكد ترابط جميع أهداف التنمية المستدامة وطبيعتها المتكاملة،</w:t>
      </w:r>
    </w:p>
    <w:p w14:paraId="1D4F1E92" w14:textId="06421367" w:rsidR="00AF6A58" w:rsidRPr="003D35B0" w:rsidRDefault="00AF6A58" w:rsidP="007C08B3">
      <w:pPr>
        <w:pStyle w:val="SingleTxtGA"/>
        <w:ind w:left="1253" w:right="1253"/>
      </w:pPr>
      <w:r w:rsidRPr="003D35B0">
        <w:rPr>
          <w:spacing w:val="-2"/>
          <w:rtl/>
        </w:rPr>
        <w:lastRenderedPageBreak/>
        <w:tab/>
      </w:r>
      <w:r w:rsidRPr="003D35B0">
        <w:rPr>
          <w:i/>
          <w:iCs/>
          <w:spacing w:val="-2"/>
          <w:rtl/>
        </w:rPr>
        <w:t>وإذ يعرب عن قلقه</w:t>
      </w:r>
      <w:r w:rsidRPr="003D35B0">
        <w:rPr>
          <w:spacing w:val="-2"/>
          <w:rtl/>
        </w:rPr>
        <w:t xml:space="preserve"> إزاء النتيجة الرئيسية التي خلص إليها برنامج الأمم المتحدة للبيئة في الموجز الخاص بصناع السياسات لتقرير التوقعات العالمية للمواد الكيميائية الثاني، وهي أن الهدف العالمي المتمثل</w:t>
      </w:r>
      <w:r w:rsidRPr="003D35B0">
        <w:rPr>
          <w:rtl/>
        </w:rPr>
        <w:t xml:space="preserve"> في تقليل الآثار الضارة للمواد الكيميائية والنفايات إلى أدنى حد لن يتحقق بحلول عام </w:t>
      </w:r>
      <w:r w:rsidRPr="003D35B0">
        <w:rPr>
          <w:szCs w:val="20"/>
          <w:rtl/>
        </w:rPr>
        <w:t>2020</w:t>
      </w:r>
      <w:r w:rsidRPr="003D35B0">
        <w:rPr>
          <w:vertAlign w:val="superscript"/>
          <w:rtl/>
        </w:rPr>
        <w:t>(</w:t>
      </w:r>
      <w:r w:rsidRPr="003D35B0">
        <w:rPr>
          <w:rStyle w:val="FootnoteReference"/>
          <w:rFonts w:ascii="Times New Roman" w:hAnsi="Times New Roman" w:cs="Times New Roman"/>
          <w:b w:val="0"/>
          <w:position w:val="4"/>
          <w:sz w:val="20"/>
        </w:rPr>
        <w:footnoteReference w:id="1"/>
      </w:r>
      <w:r w:rsidRPr="003D35B0">
        <w:rPr>
          <w:vertAlign w:val="superscript"/>
          <w:rtl/>
        </w:rPr>
        <w:t>)</w:t>
      </w:r>
      <w:r w:rsidRPr="003D35B0">
        <w:rPr>
          <w:rtl/>
        </w:rPr>
        <w:t xml:space="preserve">، </w:t>
      </w:r>
    </w:p>
    <w:p w14:paraId="7F5497E2" w14:textId="5D2D6CCF" w:rsidR="00AF6A58" w:rsidRDefault="00AF6A58" w:rsidP="007C08B3">
      <w:pPr>
        <w:pStyle w:val="SingleTxtGA"/>
        <w:ind w:left="1253" w:right="1253"/>
      </w:pPr>
      <w:r>
        <w:rPr>
          <w:rtl/>
        </w:rPr>
        <w:tab/>
      </w:r>
      <w:r w:rsidRPr="009128C5">
        <w:rPr>
          <w:i/>
          <w:iCs/>
          <w:rtl/>
        </w:rPr>
        <w:t>وإذ يشير</w:t>
      </w:r>
      <w:r>
        <w:rPr>
          <w:rtl/>
        </w:rPr>
        <w:t xml:space="preserve"> إلى قراره </w:t>
      </w:r>
      <w:r w:rsidRPr="009128C5">
        <w:rPr>
          <w:szCs w:val="20"/>
          <w:rtl/>
        </w:rPr>
        <w:t>42</w:t>
      </w:r>
      <w:r>
        <w:rPr>
          <w:rtl/>
        </w:rPr>
        <w:t>/</w:t>
      </w:r>
      <w:r w:rsidRPr="009128C5">
        <w:rPr>
          <w:szCs w:val="20"/>
          <w:rtl/>
        </w:rPr>
        <w:t>21</w:t>
      </w:r>
      <w:r>
        <w:rPr>
          <w:rtl/>
        </w:rPr>
        <w:t xml:space="preserve"> المؤرخ </w:t>
      </w:r>
      <w:r w:rsidRPr="009128C5">
        <w:rPr>
          <w:szCs w:val="20"/>
          <w:rtl/>
        </w:rPr>
        <w:t>26</w:t>
      </w:r>
      <w:r>
        <w:rPr>
          <w:rtl/>
        </w:rPr>
        <w:t xml:space="preserve"> أيلول/سبتمبر </w:t>
      </w:r>
      <w:r w:rsidRPr="009128C5">
        <w:rPr>
          <w:szCs w:val="20"/>
          <w:rtl/>
        </w:rPr>
        <w:t>2019</w:t>
      </w:r>
      <w:r>
        <w:rPr>
          <w:rtl/>
        </w:rPr>
        <w:t xml:space="preserve"> بشأن حماية حقوق العمال المعرضين للمواد والنفايات الخطرة، الذي شجع فيه الدول ومؤسسات الأعمال والجهات الفاعلة الأخرى على تنفيذ المبادئ الخمسة عشر المتعلقة بحقوق الإنسان وحماية العمال من التعرض للمواد السمية</w:t>
      </w:r>
      <w:r>
        <w:rPr>
          <w:vertAlign w:val="superscript"/>
          <w:rtl/>
        </w:rPr>
        <w:t>(</w:t>
      </w:r>
      <w:r w:rsidRPr="009128C5">
        <w:rPr>
          <w:rStyle w:val="FootnoteReference"/>
          <w:rFonts w:ascii="Times New Roman" w:hAnsi="Times New Roman" w:cs="Times New Roman"/>
          <w:b w:val="0"/>
          <w:position w:val="4"/>
          <w:sz w:val="20"/>
        </w:rPr>
        <w:footnoteReference w:id="2"/>
      </w:r>
      <w:r>
        <w:rPr>
          <w:vertAlign w:val="superscript"/>
          <w:rtl/>
        </w:rPr>
        <w:t>)</w:t>
      </w:r>
      <w:r>
        <w:rPr>
          <w:rtl/>
        </w:rPr>
        <w:t xml:space="preserve"> بغية مساعدتها على حماية العمال من التعرض غير المأمون للمواد الخطرة وتوفير سبل الانتصاف في حال وقوع انتهاكات وتجاوزات لحقوق العمال،</w:t>
      </w:r>
    </w:p>
    <w:p w14:paraId="6B53B8ED" w14:textId="1D403670" w:rsidR="00AF6A58" w:rsidRDefault="00AF6A58" w:rsidP="007C08B3">
      <w:pPr>
        <w:pStyle w:val="SingleTxtGA"/>
        <w:ind w:left="1253" w:right="1253"/>
      </w:pPr>
      <w:r>
        <w:rPr>
          <w:rtl/>
        </w:rPr>
        <w:tab/>
      </w:r>
      <w:r w:rsidRPr="003D35B0">
        <w:rPr>
          <w:i/>
          <w:iCs/>
          <w:rtl/>
        </w:rPr>
        <w:t>وإذ يؤكد من جديد</w:t>
      </w:r>
      <w:r>
        <w:rPr>
          <w:rtl/>
        </w:rPr>
        <w:t xml:space="preserve"> أن الطريقة التي تجرى بها إدارة المواد والنفايات الخطرة على مدى دورة حياتها، بما في ذلك تصنيعها وتوزيعها واستعمالها والتخلص النهائي منها، قد يكون لها أثر ضار على التمتع الكامل بحقوق الإنسان،</w:t>
      </w:r>
    </w:p>
    <w:p w14:paraId="05EA57CF" w14:textId="1588995D" w:rsidR="00AF6A58" w:rsidRPr="007C08B3" w:rsidRDefault="00AF6A58" w:rsidP="007C08B3">
      <w:pPr>
        <w:pStyle w:val="SingleTxtGA"/>
        <w:ind w:left="1253" w:right="1253"/>
      </w:pPr>
      <w:r w:rsidRPr="007C08B3">
        <w:rPr>
          <w:spacing w:val="-2"/>
          <w:rtl/>
        </w:rPr>
        <w:tab/>
      </w:r>
      <w:r w:rsidRPr="007C08B3">
        <w:rPr>
          <w:i/>
          <w:iCs/>
          <w:spacing w:val="-2"/>
          <w:rtl/>
        </w:rPr>
        <w:t>وإذ يرحب</w:t>
      </w:r>
      <w:r w:rsidRPr="007C08B3">
        <w:rPr>
          <w:spacing w:val="-2"/>
          <w:rtl/>
        </w:rPr>
        <w:t xml:space="preserve"> بالعمل الذي اضطلع به المقرر الخاص المعني بالآثار المترتبة في مجال حقوق الإنسان </w:t>
      </w:r>
      <w:r w:rsidRPr="007C08B3">
        <w:rPr>
          <w:rtl/>
        </w:rPr>
        <w:t>على إدارة المواد والنفايات الخطرة والتخلص منها بطرق سليمة بيئياً، وفقا</w:t>
      </w:r>
      <w:r w:rsidR="003D35B0" w:rsidRPr="007C08B3">
        <w:rPr>
          <w:rFonts w:hint="cs"/>
          <w:rtl/>
        </w:rPr>
        <w:t>ً</w:t>
      </w:r>
      <w:r w:rsidRPr="007C08B3">
        <w:rPr>
          <w:rtl/>
        </w:rPr>
        <w:t xml:space="preserve"> لولايته، بما في ذلك المبادئ التوجيهية للممارسات الجيدة فيما يتعلق بحقوق الإنسان والمواد والنفايات الخطرة؛ وحالة الأشخاص المعرضين أكثر من غيرهم للمواد الكيميائية السمية وللتلوث أثناء مراحل منها الطفولة، وتعرض العمال للمواد الخطرة؛ وحق الحصول على المعلومات المتعلقة بالمواد والنفايات الخطرة؛ ومبيدات الآفات والحق في الغذاء؛ وقضايا حقوق الإنسان المتصلة بجميع مؤسسات الأعمال، عبر الوطنية وغيرها على السواء، فيما يتعلق بإدارة المواد والنفايات الخطرة والتخلص منها بطرق سليمة بيئيا</w:t>
      </w:r>
      <w:r w:rsidR="003D35B0" w:rsidRPr="007C08B3">
        <w:rPr>
          <w:rFonts w:hint="cs"/>
          <w:rtl/>
        </w:rPr>
        <w:t>ً</w:t>
      </w:r>
      <w:r w:rsidRPr="007C08B3">
        <w:rPr>
          <w:rtl/>
        </w:rPr>
        <w:t>،</w:t>
      </w:r>
    </w:p>
    <w:p w14:paraId="0A374F7C" w14:textId="51984396" w:rsidR="00AF6A58" w:rsidRDefault="00AF6A58" w:rsidP="007C08B3">
      <w:pPr>
        <w:pStyle w:val="SingleTxtGA"/>
        <w:ind w:left="1253" w:right="1253"/>
      </w:pPr>
      <w:r>
        <w:rPr>
          <w:rtl/>
        </w:rPr>
        <w:tab/>
      </w:r>
      <w:r w:rsidRPr="009128C5">
        <w:rPr>
          <w:szCs w:val="20"/>
          <w:rtl/>
        </w:rPr>
        <w:t>1</w:t>
      </w:r>
      <w:r>
        <w:rPr>
          <w:rtl/>
        </w:rPr>
        <w:t>-</w:t>
      </w:r>
      <w:r>
        <w:rPr>
          <w:rtl/>
        </w:rPr>
        <w:tab/>
      </w:r>
      <w:r w:rsidRPr="009128C5">
        <w:rPr>
          <w:i/>
          <w:iCs/>
          <w:rtl/>
        </w:rPr>
        <w:t>يحيط علما</w:t>
      </w:r>
      <w:r w:rsidR="003D35B0">
        <w:rPr>
          <w:rFonts w:hint="cs"/>
          <w:i/>
          <w:iCs/>
          <w:rtl/>
        </w:rPr>
        <w:t>ً</w:t>
      </w:r>
      <w:r>
        <w:rPr>
          <w:rtl/>
        </w:rPr>
        <w:t xml:space="preserve"> بالتقرير الذي قدمه المقرر الخاص المعني بالآثار المترتبة في مجال حقوق الإنسان على إدارة المواد والنفايات الخطرة والتخلص منها بطرق سليمة بيئياً إلى مجلس حقوق الإنسان في دورته الخامسة والأربعين</w:t>
      </w:r>
      <w:r>
        <w:rPr>
          <w:vertAlign w:val="superscript"/>
          <w:rtl/>
        </w:rPr>
        <w:t>(</w:t>
      </w:r>
      <w:r w:rsidRPr="009128C5">
        <w:rPr>
          <w:rStyle w:val="FootnoteReference"/>
          <w:rFonts w:ascii="Times New Roman" w:hAnsi="Times New Roman" w:cs="Times New Roman"/>
          <w:b w:val="0"/>
          <w:position w:val="4"/>
          <w:sz w:val="20"/>
        </w:rPr>
        <w:footnoteReference w:id="3"/>
      </w:r>
      <w:r>
        <w:rPr>
          <w:vertAlign w:val="superscript"/>
          <w:rtl/>
        </w:rPr>
        <w:t>)</w:t>
      </w:r>
      <w:r>
        <w:rPr>
          <w:rtl/>
        </w:rPr>
        <w:t>، ويطلب إلى المقرر الخاص أن يواصل، وفقا</w:t>
      </w:r>
      <w:r w:rsidR="003D35B0">
        <w:rPr>
          <w:rFonts w:hint="cs"/>
          <w:rtl/>
        </w:rPr>
        <w:t>ً</w:t>
      </w:r>
      <w:r>
        <w:rPr>
          <w:rtl/>
        </w:rPr>
        <w:t xml:space="preserve"> لولايته، تقديم معلومات مفصلة ومحدثة عن الآثار الضارة المترتبة في التمتع الكامل بحقوق الإنسان على إدارة المواد والنفايات الخطرة والتخلص منها بطريقة غير قانونية، وقد يشمل ذلك معلومات عما يلي:</w:t>
      </w:r>
    </w:p>
    <w:p w14:paraId="06F0ECC4" w14:textId="7C811CD6" w:rsidR="00AF6A58" w:rsidRPr="009A3159" w:rsidRDefault="00AF6A58" w:rsidP="007C08B3">
      <w:pPr>
        <w:pStyle w:val="SingleTxtGA"/>
        <w:ind w:left="1253" w:right="1253"/>
        <w:rPr>
          <w:spacing w:val="-6"/>
        </w:rPr>
      </w:pPr>
      <w:r>
        <w:rPr>
          <w:rtl/>
        </w:rPr>
        <w:tab/>
      </w:r>
      <w:r w:rsidRPr="009A3159">
        <w:rPr>
          <w:spacing w:val="-6"/>
          <w:rtl/>
        </w:rPr>
        <w:t>(أ)</w:t>
      </w:r>
      <w:r w:rsidRPr="009A3159">
        <w:rPr>
          <w:spacing w:val="-6"/>
          <w:rtl/>
        </w:rPr>
        <w:tab/>
        <w:t>الآثار الضارة على الأشخاص الضعفاء والفئات الضعيفة، بمن في ذلك الشعوب الأصلية؛</w:t>
      </w:r>
    </w:p>
    <w:p w14:paraId="63B7CED4" w14:textId="003C25E6" w:rsidR="00AF6A58" w:rsidRDefault="00AF6A58" w:rsidP="007C08B3">
      <w:pPr>
        <w:pStyle w:val="SingleTxtGA"/>
        <w:ind w:left="1253" w:right="1253"/>
      </w:pPr>
      <w:r>
        <w:rPr>
          <w:rtl/>
        </w:rPr>
        <w:tab/>
        <w:t>(ب)</w:t>
      </w:r>
      <w:r>
        <w:rPr>
          <w:rtl/>
        </w:rPr>
        <w:tab/>
        <w:t>التفاعل بين العلوم والسياسات فيما يتعلق بالمخاطر المرتبطة بدورة حياة المواد والنفايات الخطرة، بما في ذلك المخاطر التي تهدد الحق في حرية التعبير، الذي يشمل حرية التماس المعلومات وتلقيها ونقلها، والحق في التمتع بفوائد التقدم العلمي؛</w:t>
      </w:r>
    </w:p>
    <w:p w14:paraId="1D867AA0" w14:textId="1E868840" w:rsidR="00AF6A58" w:rsidRDefault="00AF6A58" w:rsidP="007C08B3">
      <w:pPr>
        <w:pStyle w:val="SingleTxtGA"/>
        <w:ind w:left="1253" w:right="1253"/>
      </w:pPr>
      <w:r>
        <w:rPr>
          <w:rtl/>
        </w:rPr>
        <w:tab/>
        <w:t>(ج)</w:t>
      </w:r>
      <w:r>
        <w:rPr>
          <w:rtl/>
        </w:rPr>
        <w:tab/>
        <w:t xml:space="preserve">التطورات والثغرات وأوجه القصور في فعالية الآليات التنظيمية الدولية المتعلقة بالمواد والنفايات الخطرة وأثرها على التمتع بحقوق الإنسان، بما في ذلك ما يتصل بالمسائل الناشئة المتعلقة بإدارة المواد الكيميائية والنفايات والتخلص منها؛ </w:t>
      </w:r>
    </w:p>
    <w:p w14:paraId="4B1B1D46" w14:textId="655009F7" w:rsidR="00AF6A58" w:rsidRPr="005B42FB" w:rsidRDefault="00AF6A58" w:rsidP="007C08B3">
      <w:pPr>
        <w:pStyle w:val="SingleTxtGA"/>
        <w:ind w:left="1253" w:right="1253"/>
        <w:rPr>
          <w:rFonts w:hint="cs"/>
          <w:rtl/>
          <w:lang w:val="es-ES"/>
        </w:rPr>
      </w:pPr>
      <w:r>
        <w:rPr>
          <w:rtl/>
        </w:rPr>
        <w:tab/>
        <w:t>(د)</w:t>
      </w:r>
      <w:r>
        <w:rPr>
          <w:rtl/>
        </w:rPr>
        <w:tab/>
        <w:t>قضايا حقوق الإنسان المتصلة بجميع مؤسسات الأعمال، عبر الوطنية وغيرها على السواء، فيما يتعلق بإدارة المواد والنفايات الخطرة والتخلص منها بطرق سليمة بيئيا</w:t>
      </w:r>
      <w:r w:rsidR="003D35B0">
        <w:rPr>
          <w:rFonts w:hint="cs"/>
          <w:rtl/>
        </w:rPr>
        <w:t>ً</w:t>
      </w:r>
      <w:r w:rsidR="005B42FB">
        <w:rPr>
          <w:rFonts w:hint="cs"/>
          <w:rtl/>
        </w:rPr>
        <w:t>؛</w:t>
      </w:r>
    </w:p>
    <w:p w14:paraId="6A3ED567" w14:textId="52400A42" w:rsidR="00AF6A58" w:rsidRDefault="00AF6A58" w:rsidP="007C08B3">
      <w:pPr>
        <w:pStyle w:val="SingleTxtGA"/>
        <w:spacing w:line="340" w:lineRule="exact"/>
        <w:ind w:left="1253" w:right="1253"/>
      </w:pPr>
      <w:r>
        <w:rPr>
          <w:rtl/>
        </w:rPr>
        <w:lastRenderedPageBreak/>
        <w:tab/>
      </w:r>
      <w:r w:rsidRPr="009128C5">
        <w:rPr>
          <w:szCs w:val="20"/>
          <w:rtl/>
        </w:rPr>
        <w:t>2</w:t>
      </w:r>
      <w:r>
        <w:rPr>
          <w:rtl/>
        </w:rPr>
        <w:t>-</w:t>
      </w:r>
      <w:r>
        <w:rPr>
          <w:rtl/>
        </w:rPr>
        <w:tab/>
      </w:r>
      <w:r w:rsidRPr="009128C5">
        <w:rPr>
          <w:i/>
          <w:iCs/>
          <w:rtl/>
        </w:rPr>
        <w:t>يقرر</w:t>
      </w:r>
      <w:r>
        <w:rPr>
          <w:rtl/>
        </w:rPr>
        <w:t xml:space="preserve"> أن يمدد لفترة ثلاث سنوات ولاية المقرر الخاص المعني بالآثار المترتبة في مجال حقوق الإنسان على إدارة المواد والنفايات الخطرة والتخلص منها بطرق سليمة بيئياً، ويدعوه إلى أن يقدم تقريراً إلى المجلس وفقاً لبرنامج عمله وتقريرا</w:t>
      </w:r>
      <w:r w:rsidR="003D35B0">
        <w:rPr>
          <w:rFonts w:hint="cs"/>
          <w:rtl/>
        </w:rPr>
        <w:t>ً</w:t>
      </w:r>
      <w:r>
        <w:rPr>
          <w:rtl/>
        </w:rPr>
        <w:t xml:space="preserve"> سنويا</w:t>
      </w:r>
      <w:r w:rsidR="003D35B0">
        <w:rPr>
          <w:rFonts w:hint="cs"/>
          <w:rtl/>
        </w:rPr>
        <w:t>ً</w:t>
      </w:r>
      <w:r>
        <w:rPr>
          <w:rtl/>
        </w:rPr>
        <w:t xml:space="preserve"> إلى الجمعية العامة؛</w:t>
      </w:r>
    </w:p>
    <w:p w14:paraId="078DBB7F" w14:textId="2EC1B966" w:rsidR="00AF6A58" w:rsidRDefault="00AF6A58" w:rsidP="007C08B3">
      <w:pPr>
        <w:pStyle w:val="SingleTxtGA"/>
        <w:spacing w:line="340" w:lineRule="exact"/>
        <w:ind w:left="1253" w:right="1253"/>
      </w:pPr>
      <w:r>
        <w:rPr>
          <w:rtl/>
        </w:rPr>
        <w:tab/>
      </w:r>
      <w:r w:rsidRPr="009128C5">
        <w:rPr>
          <w:szCs w:val="20"/>
          <w:rtl/>
        </w:rPr>
        <w:t>3</w:t>
      </w:r>
      <w:r>
        <w:rPr>
          <w:rtl/>
        </w:rPr>
        <w:t>-</w:t>
      </w:r>
      <w:r>
        <w:rPr>
          <w:rtl/>
        </w:rPr>
        <w:tab/>
      </w:r>
      <w:r w:rsidRPr="009128C5">
        <w:rPr>
          <w:i/>
          <w:iCs/>
          <w:rtl/>
        </w:rPr>
        <w:t>يشجع</w:t>
      </w:r>
      <w:r>
        <w:rPr>
          <w:rtl/>
        </w:rPr>
        <w:t xml:space="preserve"> المقرر الخاص على مواصلة تعاونه الوثيق مع برنامج الأمم المتحدة للبيئة، وجمعية الأمم المتحدة للبيئة، ووكالات الأمم المتحدة المتخصصة المعنية، مثل منظمة الصحة العالمية ومنظمة العمل الدولية، ومع أمانات الاتفاقيات البيئية الدولية، من أجل دمج حقوق الإنسان في أعمالها وتجنب تكرار العمل؛</w:t>
      </w:r>
    </w:p>
    <w:p w14:paraId="635E99E7" w14:textId="58F23AD2" w:rsidR="00AF6A58" w:rsidRDefault="00AF6A58" w:rsidP="007C08B3">
      <w:pPr>
        <w:pStyle w:val="SingleTxtGA"/>
        <w:spacing w:line="340" w:lineRule="exact"/>
        <w:ind w:left="1253" w:right="1253"/>
      </w:pPr>
      <w:r>
        <w:rPr>
          <w:rtl/>
        </w:rPr>
        <w:tab/>
      </w:r>
      <w:r w:rsidRPr="009128C5">
        <w:rPr>
          <w:szCs w:val="20"/>
          <w:rtl/>
        </w:rPr>
        <w:t>4</w:t>
      </w:r>
      <w:r>
        <w:rPr>
          <w:rtl/>
        </w:rPr>
        <w:t>-</w:t>
      </w:r>
      <w:r>
        <w:rPr>
          <w:rtl/>
        </w:rPr>
        <w:tab/>
      </w:r>
      <w:r w:rsidRPr="009128C5">
        <w:rPr>
          <w:i/>
          <w:iCs/>
          <w:rtl/>
        </w:rPr>
        <w:t>يحث</w:t>
      </w:r>
      <w:r>
        <w:rPr>
          <w:rtl/>
        </w:rPr>
        <w:t xml:space="preserve"> المقرّر الخاص على مواصلة مشاوراته مع وكالات الأمم المتحدة وهيئاتها المختصة ومع أمانات الاتفاقيات الدولية المعنية في إطار نهج متعدد التخصصات ومتعمق إزاء المشاكل الحالية، من أجل إيجاد حلول دائمة لإدارة هذه المواد والنفايات، حتى يتسنى له موافاة مجلس حقوق الإنسان، وفقاً لبرنامج عمله، بتقارير سنوية عن تنفيذ القرارات التي اعتمدها، وكذلك بتوصيات ومقترحات محددة بشأن التدابير التي ينبغي اتخاذها على الفور بغية التصدي للآثار الضارة المترتبة في مجال حقوق الإنسان على المواد والنفايات الخطرة؛</w:t>
      </w:r>
    </w:p>
    <w:p w14:paraId="3F43178C" w14:textId="28DA2D00" w:rsidR="00AF6A58" w:rsidRDefault="00AF6A58" w:rsidP="007C08B3">
      <w:pPr>
        <w:pStyle w:val="SingleTxtGA"/>
        <w:spacing w:line="340" w:lineRule="exact"/>
        <w:ind w:left="1253" w:right="1253"/>
      </w:pPr>
      <w:r>
        <w:rPr>
          <w:rtl/>
        </w:rPr>
        <w:tab/>
      </w:r>
      <w:r w:rsidRPr="009128C5">
        <w:rPr>
          <w:szCs w:val="20"/>
          <w:rtl/>
        </w:rPr>
        <w:t>5</w:t>
      </w:r>
      <w:r>
        <w:rPr>
          <w:rtl/>
        </w:rPr>
        <w:t>-</w:t>
      </w:r>
      <w:r>
        <w:rPr>
          <w:rtl/>
        </w:rPr>
        <w:tab/>
      </w:r>
      <w:r w:rsidRPr="009128C5">
        <w:rPr>
          <w:i/>
          <w:iCs/>
          <w:rtl/>
        </w:rPr>
        <w:t>يشجع</w:t>
      </w:r>
      <w:r>
        <w:rPr>
          <w:rtl/>
        </w:rPr>
        <w:t xml:space="preserve"> جميع الدول ووكالات الأمم المتحدة والمنظمات الدولية المعنية الأخرى والجهات الفاعلة في المجتمع المدني، بما فيها المنظمات غير الحكومية، وكذلك القطاعان العام والخاص، وجميع الجهات المعنية الأخرى، على المشاركة في عملية تشاور وحوار وتعاون مع المقرر الخاص بغية تمكينه من تقديم توجيهات وفقا</w:t>
      </w:r>
      <w:r w:rsidR="00E90DC0">
        <w:rPr>
          <w:rFonts w:hint="cs"/>
          <w:rtl/>
        </w:rPr>
        <w:t>ً</w:t>
      </w:r>
      <w:r>
        <w:rPr>
          <w:rtl/>
        </w:rPr>
        <w:t xml:space="preserve"> لولايته؛</w:t>
      </w:r>
    </w:p>
    <w:p w14:paraId="0BEB2D87" w14:textId="0122231A" w:rsidR="00AF6A58" w:rsidRDefault="00AF6A58" w:rsidP="007C08B3">
      <w:pPr>
        <w:pStyle w:val="SingleTxtGA"/>
        <w:spacing w:line="340" w:lineRule="exact"/>
        <w:ind w:left="1253" w:right="1253"/>
      </w:pPr>
      <w:r>
        <w:rPr>
          <w:rtl/>
        </w:rPr>
        <w:tab/>
      </w:r>
      <w:r w:rsidRPr="009128C5">
        <w:rPr>
          <w:szCs w:val="20"/>
          <w:rtl/>
        </w:rPr>
        <w:t>6</w:t>
      </w:r>
      <w:r>
        <w:rPr>
          <w:rtl/>
        </w:rPr>
        <w:t>-</w:t>
      </w:r>
      <w:r>
        <w:rPr>
          <w:rtl/>
        </w:rPr>
        <w:tab/>
      </w:r>
      <w:r w:rsidRPr="00F140EF">
        <w:rPr>
          <w:i/>
          <w:iCs/>
          <w:rtl/>
        </w:rPr>
        <w:t>يشجع</w:t>
      </w:r>
      <w:r>
        <w:rPr>
          <w:rtl/>
        </w:rPr>
        <w:t xml:space="preserve"> المقرر الخاص على أن يواصل، في إطار ولايته وبدعم ومساعدة من مفوضية الأمم المتحدة السامية لحقوق الإنسان، إتاحة فرصة مناسبة للحكومات لكي ترد على الادعاءات التي أحيلت إليه والتي يشير إليها في تقريره، وأن يدرج ملاحظات هذه الحكومات في تقريره إلى مجلس حقوق الإنسان؛</w:t>
      </w:r>
    </w:p>
    <w:p w14:paraId="583E5B73" w14:textId="15A94C67" w:rsidR="00AF6A58" w:rsidRDefault="00AF6A58" w:rsidP="007C08B3">
      <w:pPr>
        <w:pStyle w:val="SingleTxtGA"/>
        <w:spacing w:line="340" w:lineRule="exact"/>
        <w:ind w:left="1253" w:right="1253"/>
      </w:pPr>
      <w:r>
        <w:rPr>
          <w:rtl/>
        </w:rPr>
        <w:tab/>
      </w:r>
      <w:r w:rsidRPr="009128C5">
        <w:rPr>
          <w:szCs w:val="20"/>
          <w:rtl/>
        </w:rPr>
        <w:t>7</w:t>
      </w:r>
      <w:r>
        <w:rPr>
          <w:rtl/>
        </w:rPr>
        <w:t>-</w:t>
      </w:r>
      <w:r>
        <w:rPr>
          <w:rtl/>
        </w:rPr>
        <w:tab/>
      </w:r>
      <w:r w:rsidRPr="005908A1">
        <w:rPr>
          <w:i/>
          <w:iCs/>
          <w:rtl/>
        </w:rPr>
        <w:t>يكرّر مناشدته</w:t>
      </w:r>
      <w:r>
        <w:rPr>
          <w:rtl/>
        </w:rPr>
        <w:t xml:space="preserve"> الدول وغيرها من الجهات المعنية تيسير عمل المقرر الخاص بتزويده بالمعلومات ودعوته إلى القيام بزيارات قطرية؛</w:t>
      </w:r>
    </w:p>
    <w:p w14:paraId="6B472896" w14:textId="54FD2CB2" w:rsidR="00AF6A58" w:rsidRDefault="00AF6A58" w:rsidP="007C08B3">
      <w:pPr>
        <w:pStyle w:val="SingleTxtGA"/>
        <w:spacing w:line="340" w:lineRule="exact"/>
        <w:ind w:left="1253" w:right="1253"/>
      </w:pPr>
      <w:r>
        <w:rPr>
          <w:rtl/>
        </w:rPr>
        <w:tab/>
      </w:r>
      <w:r w:rsidRPr="009128C5">
        <w:rPr>
          <w:szCs w:val="20"/>
          <w:rtl/>
        </w:rPr>
        <w:t>8</w:t>
      </w:r>
      <w:r>
        <w:rPr>
          <w:rtl/>
        </w:rPr>
        <w:t>-</w:t>
      </w:r>
      <w:r>
        <w:rPr>
          <w:rtl/>
        </w:rPr>
        <w:tab/>
      </w:r>
      <w:r w:rsidRPr="005908A1">
        <w:rPr>
          <w:i/>
          <w:iCs/>
          <w:rtl/>
        </w:rPr>
        <w:t>يطلب</w:t>
      </w:r>
      <w:r>
        <w:rPr>
          <w:rtl/>
        </w:rPr>
        <w:t xml:space="preserve"> إلى المقرر الخاص أن يبلغ الدول، ووكالات الأمم المتحدة، والمنظمات الدولية المعنية الأخرى، والمجتمع المدني، والجهات المعنية الأخرى بالآثار المترتبة في مجال حقوق الإنسان على إدارة المواد والنفايات الخطرة والتخلص منها بطرق سليمة بيئياً، بما في ذلك في سياق تنفيذ خطة التنمية المستدامة لعام </w:t>
      </w:r>
      <w:r w:rsidRPr="009128C5">
        <w:rPr>
          <w:szCs w:val="20"/>
          <w:rtl/>
        </w:rPr>
        <w:t>2030</w:t>
      </w:r>
      <w:r>
        <w:rPr>
          <w:rtl/>
        </w:rPr>
        <w:t>، وأن يلتمس آراء ومساهمات الحكومات، ووكالات الأمم المتحدة، والمنظمات الدولية المعنية الأخرى، والمجتمع المدني، والجهات المعنية الأخرى، وفقا</w:t>
      </w:r>
      <w:r w:rsidR="00E90DC0">
        <w:rPr>
          <w:rFonts w:hint="cs"/>
          <w:rtl/>
        </w:rPr>
        <w:t>ً</w:t>
      </w:r>
      <w:r>
        <w:rPr>
          <w:rtl/>
        </w:rPr>
        <w:t xml:space="preserve"> لولايته، وأن يستعرض الجهود الوطنية والإقليمية والدولية المتعلقة بأهداف التنمية المستدامة، وأن يجري بحوثاً مواضيعية بشأن التنفيذ الفعال لخطة عام </w:t>
      </w:r>
      <w:r w:rsidRPr="009128C5">
        <w:rPr>
          <w:szCs w:val="20"/>
          <w:rtl/>
        </w:rPr>
        <w:t>2030</w:t>
      </w:r>
      <w:r>
        <w:rPr>
          <w:rtl/>
        </w:rPr>
        <w:t>؛</w:t>
      </w:r>
    </w:p>
    <w:p w14:paraId="23ECEC38" w14:textId="55EC23CF" w:rsidR="00AF6A58" w:rsidRDefault="00AF6A58" w:rsidP="007C08B3">
      <w:pPr>
        <w:pStyle w:val="SingleTxtGA"/>
        <w:spacing w:line="340" w:lineRule="exact"/>
        <w:ind w:left="1253" w:right="1253"/>
      </w:pPr>
      <w:r>
        <w:rPr>
          <w:rtl/>
        </w:rPr>
        <w:tab/>
      </w:r>
      <w:r w:rsidRPr="009128C5">
        <w:rPr>
          <w:szCs w:val="20"/>
          <w:rtl/>
        </w:rPr>
        <w:t>9</w:t>
      </w:r>
      <w:r>
        <w:rPr>
          <w:rtl/>
        </w:rPr>
        <w:t>-</w:t>
      </w:r>
      <w:r>
        <w:rPr>
          <w:rtl/>
        </w:rPr>
        <w:tab/>
      </w:r>
      <w:r w:rsidRPr="005908A1">
        <w:rPr>
          <w:i/>
          <w:iCs/>
          <w:rtl/>
        </w:rPr>
        <w:t>يكرّر</w:t>
      </w:r>
      <w:r>
        <w:rPr>
          <w:rtl/>
        </w:rPr>
        <w:t xml:space="preserve"> </w:t>
      </w:r>
      <w:r w:rsidRPr="005908A1">
        <w:rPr>
          <w:i/>
          <w:iCs/>
          <w:rtl/>
        </w:rPr>
        <w:t>مناشدته</w:t>
      </w:r>
      <w:r>
        <w:rPr>
          <w:rtl/>
        </w:rPr>
        <w:t xml:space="preserve"> الأمين العام ومفوضة الأمم المتحدة السامية لحقوق الإنسان تزويد المقرر الخاص بكل ما يلزمه من مساعدة للنجاح في أداء ولايته؛</w:t>
      </w:r>
    </w:p>
    <w:p w14:paraId="532EDF35" w14:textId="5F26ADD4" w:rsidR="00AF6A58" w:rsidRDefault="00AF6A58" w:rsidP="007C08B3">
      <w:pPr>
        <w:pStyle w:val="SingleTxtGA"/>
        <w:spacing w:after="0" w:line="340" w:lineRule="exact"/>
        <w:ind w:left="1253" w:right="1253"/>
      </w:pPr>
      <w:r>
        <w:rPr>
          <w:rtl/>
        </w:rPr>
        <w:tab/>
      </w:r>
      <w:r w:rsidRPr="009128C5">
        <w:rPr>
          <w:szCs w:val="20"/>
          <w:rtl/>
        </w:rPr>
        <w:t>10</w:t>
      </w:r>
      <w:r>
        <w:rPr>
          <w:rtl/>
        </w:rPr>
        <w:t>-</w:t>
      </w:r>
      <w:r>
        <w:rPr>
          <w:rtl/>
        </w:rPr>
        <w:tab/>
      </w:r>
      <w:r w:rsidRPr="005908A1">
        <w:rPr>
          <w:i/>
          <w:iCs/>
          <w:rtl/>
        </w:rPr>
        <w:t>يقرر</w:t>
      </w:r>
      <w:r>
        <w:rPr>
          <w:rtl/>
        </w:rPr>
        <w:t xml:space="preserve"> مواصلة نظره في هذه المسألة في إطار البند نفسه من جدول الأعمال وفقاً لبرنامج عمله.</w:t>
      </w:r>
    </w:p>
    <w:p w14:paraId="5577C623" w14:textId="6FB180F2" w:rsidR="00AF6A58" w:rsidRPr="00E90DC0" w:rsidRDefault="00AF6A58" w:rsidP="007C08B3">
      <w:pPr>
        <w:pStyle w:val="SingleTxtGA"/>
        <w:spacing w:line="340" w:lineRule="exact"/>
        <w:jc w:val="right"/>
        <w:rPr>
          <w:i/>
          <w:iCs/>
        </w:rPr>
      </w:pPr>
      <w:r w:rsidRPr="00E90DC0">
        <w:rPr>
          <w:i/>
          <w:iCs/>
          <w:rtl/>
        </w:rPr>
        <w:t xml:space="preserve">الجلسة </w:t>
      </w:r>
      <w:r w:rsidRPr="00E90DC0">
        <w:rPr>
          <w:i/>
          <w:iCs/>
          <w:szCs w:val="20"/>
          <w:rtl/>
        </w:rPr>
        <w:t>37</w:t>
      </w:r>
      <w:r w:rsidRPr="00E90DC0">
        <w:rPr>
          <w:i/>
          <w:iCs/>
          <w:rtl/>
        </w:rPr>
        <w:br/>
      </w:r>
      <w:r w:rsidRPr="00E90DC0">
        <w:rPr>
          <w:i/>
          <w:iCs/>
          <w:szCs w:val="20"/>
          <w:rtl/>
        </w:rPr>
        <w:t>6</w:t>
      </w:r>
      <w:r w:rsidRPr="00E90DC0">
        <w:rPr>
          <w:i/>
          <w:iCs/>
          <w:rtl/>
        </w:rPr>
        <w:t xml:space="preserve"> تشرين الأول/أكتوبر </w:t>
      </w:r>
      <w:r w:rsidRPr="00E90DC0">
        <w:rPr>
          <w:i/>
          <w:iCs/>
          <w:szCs w:val="20"/>
          <w:rtl/>
        </w:rPr>
        <w:t>2020</w:t>
      </w:r>
    </w:p>
    <w:p w14:paraId="6EF90D85" w14:textId="77777777" w:rsidR="00AF6A58" w:rsidRDefault="00AF6A58" w:rsidP="007C08B3">
      <w:pPr>
        <w:pStyle w:val="SingleTxtGA"/>
        <w:spacing w:line="340" w:lineRule="exact"/>
      </w:pPr>
      <w:r>
        <w:rPr>
          <w:rtl/>
        </w:rPr>
        <w:t>[اعتمد دون تصويت.]</w:t>
      </w:r>
    </w:p>
    <w:p w14:paraId="48419BDB" w14:textId="07ACA71F" w:rsidR="00AF6A58" w:rsidRPr="00AF6A58" w:rsidRDefault="00AF6A58" w:rsidP="00AF6A58">
      <w:pPr>
        <w:spacing w:before="120"/>
        <w:jc w:val="center"/>
        <w:rPr>
          <w:u w:val="single"/>
          <w:rtl/>
          <w:lang w:val="es-ES"/>
        </w:rPr>
      </w:pPr>
      <w:r>
        <w:rPr>
          <w:u w:val="single"/>
          <w:rtl/>
          <w:lang w:val="es-ES"/>
        </w:rPr>
        <w:tab/>
      </w:r>
      <w:r>
        <w:rPr>
          <w:u w:val="single"/>
          <w:rtl/>
          <w:lang w:val="es-ES"/>
        </w:rPr>
        <w:tab/>
      </w:r>
      <w:r>
        <w:rPr>
          <w:u w:val="single"/>
          <w:rtl/>
          <w:lang w:val="es-ES"/>
        </w:rPr>
        <w:tab/>
      </w:r>
    </w:p>
    <w:sectPr w:rsidR="00AF6A58" w:rsidRPr="00AF6A58" w:rsidSect="0056555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F7C0C4" w14:textId="77777777" w:rsidR="008120B4" w:rsidRPr="002901D9" w:rsidRDefault="008120B4" w:rsidP="002901D9">
      <w:pPr>
        <w:spacing w:after="60" w:line="240" w:lineRule="auto"/>
        <w:rPr>
          <w:i/>
          <w:iCs/>
        </w:rPr>
      </w:pPr>
      <w:r>
        <w:rPr>
          <w:rFonts w:hint="cs"/>
          <w:i/>
          <w:iCs/>
          <w:rtl/>
        </w:rPr>
        <w:t>الحواشي</w:t>
      </w:r>
    </w:p>
  </w:endnote>
  <w:endnote w:type="continuationSeparator" w:id="0">
    <w:p w14:paraId="6B46F410" w14:textId="77777777" w:rsidR="008120B4" w:rsidRDefault="008120B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B5BD7D" w14:textId="77777777" w:rsidR="0056555C" w:rsidRPr="00AF6A58" w:rsidRDefault="00AF6A58" w:rsidP="00AF6A58">
    <w:pPr>
      <w:pStyle w:val="Footer"/>
      <w:tabs>
        <w:tab w:val="right" w:pos="9598"/>
      </w:tabs>
      <w:rPr>
        <w:sz w:val="17"/>
      </w:rPr>
    </w:pPr>
    <w:r>
      <w:rPr>
        <w:sz w:val="17"/>
      </w:rPr>
      <w:t>GE.20-13331</w:t>
    </w:r>
    <w:r>
      <w:rPr>
        <w:sz w:val="17"/>
      </w:rPr>
      <w:tab/>
    </w:r>
    <w:r w:rsidRPr="00AF6A58">
      <w:rPr>
        <w:b/>
        <w:sz w:val="18"/>
      </w:rPr>
      <w:fldChar w:fldCharType="begin"/>
    </w:r>
    <w:r w:rsidRPr="00AF6A58">
      <w:rPr>
        <w:b/>
        <w:sz w:val="18"/>
      </w:rPr>
      <w:instrText xml:space="preserve"> PAGE  \* MERGEFORMAT </w:instrText>
    </w:r>
    <w:r w:rsidRPr="00AF6A58">
      <w:rPr>
        <w:b/>
        <w:sz w:val="18"/>
      </w:rPr>
      <w:fldChar w:fldCharType="separate"/>
    </w:r>
    <w:r>
      <w:rPr>
        <w:b/>
        <w:sz w:val="18"/>
      </w:rPr>
      <w:t>2</w:t>
    </w:r>
    <w:r w:rsidRPr="00AF6A5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D98F92" w14:textId="77777777" w:rsidR="006959B0" w:rsidRPr="00AF6A58" w:rsidRDefault="00AF6A58" w:rsidP="006959B0">
    <w:pPr>
      <w:pStyle w:val="Footer"/>
      <w:tabs>
        <w:tab w:val="right" w:pos="9599"/>
      </w:tabs>
      <w:jc w:val="left"/>
      <w:rPr>
        <w:b/>
        <w:sz w:val="18"/>
        <w:lang w:val="en-US"/>
      </w:rPr>
    </w:pPr>
    <w:r w:rsidRPr="00AF6A58">
      <w:rPr>
        <w:b/>
        <w:sz w:val="18"/>
        <w:lang w:val="en-US"/>
      </w:rPr>
      <w:fldChar w:fldCharType="begin"/>
    </w:r>
    <w:r w:rsidRPr="00AF6A58">
      <w:rPr>
        <w:b/>
        <w:sz w:val="18"/>
        <w:lang w:val="en-US"/>
      </w:rPr>
      <w:instrText xml:space="preserve"> PAGE  \* MERGEFORMAT </w:instrText>
    </w:r>
    <w:r w:rsidRPr="00AF6A58">
      <w:rPr>
        <w:b/>
        <w:sz w:val="18"/>
        <w:lang w:val="en-US"/>
      </w:rPr>
      <w:fldChar w:fldCharType="separate"/>
    </w:r>
    <w:r w:rsidRPr="00AF6A58">
      <w:rPr>
        <w:b/>
        <w:noProof/>
        <w:sz w:val="18"/>
        <w:lang w:val="en-US"/>
      </w:rPr>
      <w:t>3</w:t>
    </w:r>
    <w:r w:rsidRPr="00AF6A58">
      <w:rPr>
        <w:b/>
        <w:sz w:val="18"/>
        <w:lang w:val="en-US"/>
      </w:rPr>
      <w:fldChar w:fldCharType="end"/>
    </w:r>
    <w:r>
      <w:rPr>
        <w:b/>
        <w:sz w:val="18"/>
        <w:lang w:val="en-US"/>
      </w:rPr>
      <w:tab/>
    </w:r>
    <w:r>
      <w:rPr>
        <w:sz w:val="17"/>
        <w:lang w:val="en-US"/>
      </w:rPr>
      <w:t>GE.20-13331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1E1D7" w14:textId="3C91E6D1" w:rsidR="00FD4BC9" w:rsidRDefault="0056555C" w:rsidP="00F6741C">
    <w:pPr>
      <w:pStyle w:val="Footer"/>
      <w:spacing w:before="360"/>
      <w:jc w:val="right"/>
      <w:rPr>
        <w:sz w:val="20"/>
        <w:szCs w:val="20"/>
      </w:rPr>
    </w:pPr>
    <w:r>
      <w:rPr>
        <w:sz w:val="20"/>
        <w:szCs w:val="20"/>
      </w:rPr>
      <w:t>GE.20-13331</w:t>
    </w:r>
    <w:r w:rsidR="00F66B5D">
      <w:rPr>
        <w:noProof/>
      </w:rPr>
      <w:drawing>
        <wp:anchor distT="0" distB="0" distL="114300" distR="114300" simplePos="0" relativeHeight="251657728" behindDoc="1" locked="1" layoutInCell="0" allowOverlap="1" wp14:anchorId="1F0BA80B" wp14:editId="0544D451">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1711AC1B" w14:textId="66D57A99" w:rsidR="0056555C" w:rsidRPr="0056555C" w:rsidRDefault="0056555C" w:rsidP="0056555C">
    <w:pPr>
      <w:pStyle w:val="Footer"/>
      <w:jc w:val="right"/>
      <w:rPr>
        <w:rFonts w:ascii="C39T30Lfz" w:hAnsi="C39T30Lfz"/>
        <w:sz w:val="56"/>
        <w:szCs w:val="20"/>
      </w:rPr>
    </w:pPr>
    <w:r>
      <w:rPr>
        <w:rFonts w:ascii="C39T30Lfz" w:hAnsi="C39T30Lfz"/>
        <w:sz w:val="56"/>
        <w:szCs w:val="20"/>
      </w:rPr>
      <w:t>*2013331*</w:t>
    </w:r>
    <w:r w:rsidR="00F66B5D">
      <w:rPr>
        <w:noProof/>
      </w:rPr>
      <w:drawing>
        <wp:anchor distT="0" distB="0" distL="114300" distR="114300" simplePos="0" relativeHeight="251659776" behindDoc="0" locked="0" layoutInCell="1" allowOverlap="1" wp14:anchorId="1D3A6DC3" wp14:editId="3F9F8C48">
          <wp:simplePos x="0" y="0"/>
          <wp:positionH relativeFrom="page">
            <wp:posOffset>719455</wp:posOffset>
          </wp:positionH>
          <wp:positionV relativeFrom="page">
            <wp:posOffset>9611995</wp:posOffset>
          </wp:positionV>
          <wp:extent cx="560070" cy="560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CD8BCA" w14:textId="77777777" w:rsidR="008120B4" w:rsidRPr="0054762C" w:rsidRDefault="008120B4" w:rsidP="000E524A">
      <w:pPr>
        <w:pStyle w:val="Footer"/>
        <w:bidi/>
        <w:spacing w:after="80" w:line="200" w:lineRule="exact"/>
        <w:ind w:left="680"/>
      </w:pPr>
      <w:r>
        <w:rPr>
          <w:rtl/>
        </w:rPr>
        <w:t>__________</w:t>
      </w:r>
    </w:p>
  </w:footnote>
  <w:footnote w:type="continuationSeparator" w:id="0">
    <w:p w14:paraId="02EAD2F0" w14:textId="77777777" w:rsidR="008120B4" w:rsidRDefault="008120B4" w:rsidP="00656392">
      <w:pPr>
        <w:spacing w:line="240" w:lineRule="auto"/>
      </w:pPr>
      <w:r>
        <w:continuationSeparator/>
      </w:r>
    </w:p>
  </w:footnote>
  <w:footnote w:id="1">
    <w:p w14:paraId="2FEF1CA1" w14:textId="0C543591" w:rsidR="00AF6A58" w:rsidRPr="00AF6A58" w:rsidRDefault="00AF6A58" w:rsidP="009128C5">
      <w:pPr>
        <w:pStyle w:val="FootnoteText1"/>
      </w:pPr>
      <w:r w:rsidRPr="00AF6A58">
        <w:rPr>
          <w:rtl/>
        </w:rPr>
        <w:t>(</w:t>
      </w:r>
      <w:r w:rsidRPr="009128C5">
        <w:rPr>
          <w:rStyle w:val="FootnoteReference"/>
          <w:rFonts w:ascii="Times New Roman" w:hAnsi="Times New Roman" w:cs="Times New Roman"/>
          <w:b w:val="0"/>
          <w:szCs w:val="18"/>
          <w:vertAlign w:val="baseline"/>
        </w:rPr>
        <w:footnoteRef/>
      </w:r>
      <w:r>
        <w:rPr>
          <w:sz w:val="26"/>
          <w:rtl/>
        </w:rPr>
        <w:t>)</w:t>
      </w:r>
      <w:r>
        <w:rPr>
          <w:sz w:val="26"/>
          <w:rtl/>
        </w:rPr>
        <w:tab/>
      </w:r>
      <w:r w:rsidRPr="0054206C">
        <w:t>UNEP/EA.</w:t>
      </w:r>
      <w:r w:rsidRPr="009128C5">
        <w:rPr>
          <w:szCs w:val="18"/>
        </w:rPr>
        <w:t>4</w:t>
      </w:r>
      <w:r w:rsidRPr="0054206C">
        <w:t>/</w:t>
      </w:r>
      <w:r w:rsidRPr="009128C5">
        <w:rPr>
          <w:szCs w:val="18"/>
        </w:rPr>
        <w:t>21</w:t>
      </w:r>
      <w:r>
        <w:rPr>
          <w:rFonts w:hint="cs"/>
          <w:sz w:val="26"/>
          <w:rtl/>
        </w:rPr>
        <w:t xml:space="preserve">، الصفحة </w:t>
      </w:r>
      <w:r w:rsidRPr="009128C5">
        <w:rPr>
          <w:rFonts w:hint="cs"/>
          <w:sz w:val="26"/>
          <w:szCs w:val="18"/>
          <w:rtl/>
        </w:rPr>
        <w:t>2</w:t>
      </w:r>
      <w:r>
        <w:rPr>
          <w:rFonts w:hint="cs"/>
          <w:sz w:val="26"/>
          <w:rtl/>
        </w:rPr>
        <w:t>.</w:t>
      </w:r>
      <w:r w:rsidRPr="00AF6A58">
        <w:rPr>
          <w:rtl/>
        </w:rPr>
        <w:t xml:space="preserve"> </w:t>
      </w:r>
    </w:p>
  </w:footnote>
  <w:footnote w:id="2">
    <w:p w14:paraId="6C1ADA16" w14:textId="71F911CC" w:rsidR="00AF6A58" w:rsidRPr="00AF6A58" w:rsidRDefault="00AF6A58" w:rsidP="009128C5">
      <w:pPr>
        <w:pStyle w:val="FootnoteText1"/>
      </w:pPr>
      <w:r w:rsidRPr="00AF6A58">
        <w:rPr>
          <w:rtl/>
        </w:rPr>
        <w:t>(</w:t>
      </w:r>
      <w:r w:rsidRPr="009128C5">
        <w:rPr>
          <w:rStyle w:val="FootnoteReference"/>
          <w:rFonts w:ascii="Times New Roman" w:hAnsi="Times New Roman" w:cs="Times New Roman"/>
          <w:b w:val="0"/>
          <w:szCs w:val="18"/>
          <w:vertAlign w:val="baseline"/>
        </w:rPr>
        <w:footnoteRef/>
      </w:r>
      <w:r>
        <w:rPr>
          <w:sz w:val="26"/>
          <w:rtl/>
        </w:rPr>
        <w:t>)</w:t>
      </w:r>
      <w:r>
        <w:rPr>
          <w:sz w:val="26"/>
          <w:rtl/>
        </w:rPr>
        <w:tab/>
      </w:r>
      <w:r>
        <w:rPr>
          <w:rFonts w:hint="cs"/>
          <w:sz w:val="26"/>
          <w:rtl/>
        </w:rPr>
        <w:t xml:space="preserve">انظر الوثيقة </w:t>
      </w:r>
      <w:r>
        <w:t>A/HRC/</w:t>
      </w:r>
      <w:r w:rsidRPr="009128C5">
        <w:rPr>
          <w:szCs w:val="18"/>
        </w:rPr>
        <w:t>42</w:t>
      </w:r>
      <w:r>
        <w:t>/</w:t>
      </w:r>
      <w:r w:rsidRPr="009128C5">
        <w:rPr>
          <w:szCs w:val="18"/>
        </w:rPr>
        <w:t>41</w:t>
      </w:r>
      <w:r>
        <w:rPr>
          <w:rFonts w:hint="cs"/>
          <w:sz w:val="26"/>
          <w:rtl/>
        </w:rPr>
        <w:t>.</w:t>
      </w:r>
      <w:r w:rsidRPr="00AF6A58">
        <w:rPr>
          <w:rtl/>
        </w:rPr>
        <w:t xml:space="preserve"> </w:t>
      </w:r>
    </w:p>
  </w:footnote>
  <w:footnote w:id="3">
    <w:p w14:paraId="4638755E" w14:textId="714257E7" w:rsidR="00AF6A58" w:rsidRPr="00AF6A58" w:rsidRDefault="00AF6A58" w:rsidP="009128C5">
      <w:pPr>
        <w:pStyle w:val="FootnoteText1"/>
      </w:pPr>
      <w:r w:rsidRPr="00AF6A58">
        <w:rPr>
          <w:rtl/>
        </w:rPr>
        <w:t>(</w:t>
      </w:r>
      <w:r w:rsidRPr="009128C5">
        <w:rPr>
          <w:rStyle w:val="FootnoteReference"/>
          <w:rFonts w:ascii="Times New Roman" w:hAnsi="Times New Roman" w:cs="Times New Roman"/>
          <w:b w:val="0"/>
          <w:szCs w:val="18"/>
          <w:vertAlign w:val="baseline"/>
        </w:rPr>
        <w:footnoteRef/>
      </w:r>
      <w:r>
        <w:rPr>
          <w:sz w:val="26"/>
          <w:rtl/>
        </w:rPr>
        <w:t>)</w:t>
      </w:r>
      <w:r>
        <w:rPr>
          <w:sz w:val="26"/>
          <w:rtl/>
        </w:rPr>
        <w:tab/>
      </w:r>
      <w:r>
        <w:t>A/HRC/</w:t>
      </w:r>
      <w:r w:rsidRPr="009128C5">
        <w:rPr>
          <w:szCs w:val="18"/>
        </w:rPr>
        <w:t>45</w:t>
      </w:r>
      <w:r>
        <w:t>/</w:t>
      </w:r>
      <w:r w:rsidRPr="009128C5">
        <w:rPr>
          <w:szCs w:val="18"/>
        </w:rPr>
        <w:t>12</w:t>
      </w:r>
      <w:r>
        <w:rPr>
          <w:rFonts w:hint="cs"/>
          <w:sz w:val="26"/>
          <w:rtl/>
        </w:rPr>
        <w:t>.</w:t>
      </w:r>
      <w:r w:rsidRPr="00AF6A58">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6D4935" w14:textId="77777777" w:rsidR="0056555C" w:rsidRPr="00AF6A58" w:rsidRDefault="00AF6A58" w:rsidP="00AF6A58">
    <w:pPr>
      <w:pStyle w:val="Header"/>
      <w:jc w:val="right"/>
    </w:pPr>
    <w:r w:rsidRPr="00AF6A58">
      <w:t>A/HRC/RES/45/17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7997C" w14:textId="77777777" w:rsidR="0056555C" w:rsidRPr="00AF6A58" w:rsidRDefault="00AF6A58" w:rsidP="00AF6A58">
    <w:pPr>
      <w:pStyle w:val="Header"/>
      <w:jc w:val="left"/>
    </w:pPr>
    <w:r w:rsidRPr="00AF6A58">
      <w:t>A/HRC/RES/45/17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8120B4"/>
    <w:rsid w:val="000076D5"/>
    <w:rsid w:val="00043663"/>
    <w:rsid w:val="000505CF"/>
    <w:rsid w:val="000D701C"/>
    <w:rsid w:val="000E2A71"/>
    <w:rsid w:val="000E524A"/>
    <w:rsid w:val="000F4D63"/>
    <w:rsid w:val="00160263"/>
    <w:rsid w:val="001773DB"/>
    <w:rsid w:val="00181F96"/>
    <w:rsid w:val="001A1371"/>
    <w:rsid w:val="001B346A"/>
    <w:rsid w:val="001E1CAD"/>
    <w:rsid w:val="001E290D"/>
    <w:rsid w:val="002144FA"/>
    <w:rsid w:val="0023469A"/>
    <w:rsid w:val="00243C8A"/>
    <w:rsid w:val="00267A0E"/>
    <w:rsid w:val="00281242"/>
    <w:rsid w:val="002901D9"/>
    <w:rsid w:val="002976C2"/>
    <w:rsid w:val="002F1F9A"/>
    <w:rsid w:val="00325CC1"/>
    <w:rsid w:val="003260FF"/>
    <w:rsid w:val="00343D95"/>
    <w:rsid w:val="00374341"/>
    <w:rsid w:val="003C4A7E"/>
    <w:rsid w:val="003D1062"/>
    <w:rsid w:val="003D35B0"/>
    <w:rsid w:val="003E159A"/>
    <w:rsid w:val="00404E42"/>
    <w:rsid w:val="004205C7"/>
    <w:rsid w:val="00420D7B"/>
    <w:rsid w:val="00442FBA"/>
    <w:rsid w:val="00450B21"/>
    <w:rsid w:val="00453B63"/>
    <w:rsid w:val="00455780"/>
    <w:rsid w:val="004B0A1C"/>
    <w:rsid w:val="004D298E"/>
    <w:rsid w:val="004E32F4"/>
    <w:rsid w:val="00517BC9"/>
    <w:rsid w:val="005212F8"/>
    <w:rsid w:val="00527E4C"/>
    <w:rsid w:val="0054472E"/>
    <w:rsid w:val="0054762C"/>
    <w:rsid w:val="0056555C"/>
    <w:rsid w:val="005662A9"/>
    <w:rsid w:val="005817D9"/>
    <w:rsid w:val="005827D4"/>
    <w:rsid w:val="005908A1"/>
    <w:rsid w:val="0059622A"/>
    <w:rsid w:val="005B42FB"/>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6C2325"/>
    <w:rsid w:val="00733704"/>
    <w:rsid w:val="00740188"/>
    <w:rsid w:val="00764796"/>
    <w:rsid w:val="0078071A"/>
    <w:rsid w:val="007A70BB"/>
    <w:rsid w:val="007C08B3"/>
    <w:rsid w:val="008120B4"/>
    <w:rsid w:val="00852A9A"/>
    <w:rsid w:val="00871544"/>
    <w:rsid w:val="008930DB"/>
    <w:rsid w:val="00895D16"/>
    <w:rsid w:val="008F49E1"/>
    <w:rsid w:val="0090370F"/>
    <w:rsid w:val="009128C5"/>
    <w:rsid w:val="009269D2"/>
    <w:rsid w:val="00942135"/>
    <w:rsid w:val="009521B0"/>
    <w:rsid w:val="009A3159"/>
    <w:rsid w:val="009A7E9F"/>
    <w:rsid w:val="009E5018"/>
    <w:rsid w:val="00A12B37"/>
    <w:rsid w:val="00A50EC0"/>
    <w:rsid w:val="00A74331"/>
    <w:rsid w:val="00AB3BCA"/>
    <w:rsid w:val="00AB6758"/>
    <w:rsid w:val="00AF203E"/>
    <w:rsid w:val="00AF6A58"/>
    <w:rsid w:val="00B13763"/>
    <w:rsid w:val="00B477A4"/>
    <w:rsid w:val="00B54045"/>
    <w:rsid w:val="00B94C29"/>
    <w:rsid w:val="00BA5E8B"/>
    <w:rsid w:val="00C022F5"/>
    <w:rsid w:val="00C06421"/>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75996"/>
    <w:rsid w:val="00E90DC0"/>
    <w:rsid w:val="00EC05A7"/>
    <w:rsid w:val="00EC4B6B"/>
    <w:rsid w:val="00ED7442"/>
    <w:rsid w:val="00EE0B18"/>
    <w:rsid w:val="00EF1EE5"/>
    <w:rsid w:val="00F140EF"/>
    <w:rsid w:val="00F66B5D"/>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6BA600CF"/>
  <w15:docId w15:val="{B3E80DDA-BD3B-4074-AAAD-6B18CBC63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A852F-F93E-40A2-B2C9-24FF4288A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1047</Words>
  <Characters>5985</Characters>
  <Application>Microsoft Office Word</Application>
  <DocSecurity>0</DocSecurity>
  <Lines>106</Lines>
  <Paragraphs>36</Paragraphs>
  <ScaleCrop>false</ScaleCrop>
  <HeadingPairs>
    <vt:vector size="2" baseType="variant">
      <vt:variant>
        <vt:lpstr>Title</vt:lpstr>
      </vt:variant>
      <vt:variant>
        <vt:i4>1</vt:i4>
      </vt:variant>
    </vt:vector>
  </HeadingPairs>
  <TitlesOfParts>
    <vt:vector size="1" baseType="lpstr">
      <vt:lpstr>A/HRC/RES/45/17</vt:lpstr>
    </vt:vector>
  </TitlesOfParts>
  <Company>DCM</Company>
  <LinksUpToDate>false</LinksUpToDate>
  <CharactersWithSpaces>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A/HRC/RES/45/17</dc:title>
  <dc:subject>GE.2013331A</dc:subject>
  <dc:creator>Jamela CHEDAD/Asma</dc:creator>
  <cp:keywords>ODS No.2025910A</cp:keywords>
  <dc:description>Original: English _x000d_
Distribution: General_x000d_
Date: 9 October 2020</dc:description>
  <cp:lastModifiedBy>Jamela CHEDAD</cp:lastModifiedBy>
  <cp:revision>2</cp:revision>
  <dcterms:created xsi:type="dcterms:W3CDTF">2020-10-22T12:30:00Z</dcterms:created>
  <dcterms:modified xsi:type="dcterms:W3CDTF">2020-10-22T12:30:00Z</dcterms:modified>
  <cp:category>Final</cp:category>
</cp:coreProperties>
</file>