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sz w:val="6"/>
          <w:lang w:val="en-US"/>
        </w:rPr>
        <w:t>s</w:t>
      </w:r>
      <w:r>
        <w:rPr>
          <w:rStyle w:val="CommentReference"/>
          <w:vanish/>
        </w:rPr>
        <w:commentReference w:id="0"/>
      </w:r>
    </w:p>
    <w:p w:rsidR="00000000" w:rsidRDefault="00000000">
      <w:pPr>
        <w:pStyle w:val="H1"/>
      </w:pPr>
      <w:r>
        <w:t>Комитет по ликвидации дискриминации</w:t>
      </w:r>
    </w:p>
    <w:p w:rsidR="00000000" w:rsidRDefault="00000000">
      <w:pPr>
        <w:pStyle w:val="H1"/>
      </w:pPr>
      <w:r>
        <w:t xml:space="preserve">в отношении женщин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Объединенные первоначальный, второй и третий периодические доклады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4"/>
          <w:sz w:val="24"/>
        </w:rPr>
        <w:tab/>
      </w:r>
      <w:r>
        <w:rPr>
          <w:spacing w:val="4"/>
          <w:sz w:val="24"/>
        </w:rPr>
        <w:tab/>
      </w:r>
      <w:r>
        <w:rPr>
          <w:spacing w:val="4"/>
        </w:rPr>
        <w:t>Босния и Герцеговина</w:t>
      </w:r>
      <w:r>
        <w:rPr>
          <w:rStyle w:val="FootnoteReference"/>
          <w:b w:val="0"/>
          <w:sz w:val="20"/>
        </w:rPr>
        <w:footnoteReference w:customMarkFollows="1" w:id="1"/>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center"/>
        <w:rPr>
          <w:sz w:val="24"/>
        </w:rPr>
      </w:pPr>
      <w:r>
        <w:br w:type="page"/>
      </w:r>
    </w:p>
    <w:p w:rsidR="00000000" w:rsidRDefault="00000000">
      <w:pPr>
        <w:pStyle w:val="SingleTxt"/>
        <w:spacing w:after="0" w:line="120" w:lineRule="exact"/>
        <w:rPr>
          <w:sz w:val="10"/>
        </w:rPr>
      </w:pPr>
    </w:p>
    <w:p w:rsidR="00000000" w:rsidRDefault="00000000">
      <w:pPr>
        <w:pStyle w:val="H1"/>
      </w:pPr>
      <w:r>
        <w:t>Содержание</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1060"/>
        <w:gridCol w:w="7670"/>
        <w:gridCol w:w="540"/>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670" w:type="dxa"/>
          </w:tcPr>
          <w:p w:rsidR="00000000" w:rsidRDefault="00000000">
            <w:pPr>
              <w:spacing w:after="120" w:line="240" w:lineRule="auto"/>
              <w:rPr>
                <w:i/>
                <w:sz w:val="14"/>
              </w:rPr>
            </w:pPr>
          </w:p>
        </w:tc>
        <w:tc>
          <w:tcPr>
            <w:tcW w:w="540" w:type="dxa"/>
          </w:tcPr>
          <w:p w:rsidR="00000000" w:rsidRDefault="00000000">
            <w:pPr>
              <w:spacing w:after="120" w:line="240" w:lineRule="auto"/>
              <w:jc w:val="right"/>
              <w:rPr>
                <w:i/>
                <w:sz w:val="14"/>
              </w:rPr>
            </w:pPr>
            <w:r>
              <w:rPr>
                <w:i/>
                <w:sz w:val="14"/>
              </w:rPr>
              <w:t>Стр.</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728"/>
                <w:tab w:val="right" w:leader="dot" w:pos="9360"/>
              </w:tabs>
              <w:spacing w:after="120"/>
              <w:ind w:left="1080"/>
              <w:rPr>
                <w:b/>
              </w:rPr>
            </w:pPr>
            <w:r>
              <w:rPr>
                <w:b/>
              </w:rPr>
              <w:t>Вступительные замечания</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728"/>
                <w:tab w:val="right" w:leader="dot" w:pos="9360"/>
              </w:tabs>
              <w:spacing w:after="120"/>
              <w:ind w:left="1080"/>
              <w:rPr>
                <w:b/>
              </w:rPr>
            </w:pPr>
            <w:r>
              <w:rPr>
                <w:b/>
              </w:rPr>
              <w:t>Статья 1. Дискриминация в отношении женщин</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left" w:pos="3024"/>
                <w:tab w:val="left" w:pos="3456"/>
                <w:tab w:val="left" w:pos="3888"/>
                <w:tab w:val="right" w:leader="dot" w:pos="9360"/>
              </w:tabs>
              <w:spacing w:after="120"/>
              <w:ind w:left="1080"/>
              <w:rPr>
                <w:b/>
              </w:rPr>
            </w:pPr>
            <w:r>
              <w:rPr>
                <w:b/>
              </w:rPr>
              <w:t>Статьи 2 и 3. Меры по ликвидации дискриминации в отношении женщин</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left" w:pos="3024"/>
                <w:tab w:val="left" w:pos="3456"/>
                <w:tab w:val="left" w:pos="3888"/>
                <w:tab w:val="right" w:leader="dot" w:pos="9360"/>
              </w:tabs>
              <w:spacing w:after="120"/>
              <w:ind w:left="1728" w:hanging="648"/>
            </w:pPr>
            <w:r>
              <w:tab/>
              <w:t>Защита женщин от любых актов дискриминации</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left" w:pos="3024"/>
                <w:tab w:val="left" w:pos="3456"/>
                <w:tab w:val="left" w:pos="3888"/>
                <w:tab w:val="right" w:leader="dot" w:pos="9360"/>
              </w:tabs>
              <w:spacing w:after="120"/>
              <w:ind w:left="1728" w:hanging="648"/>
            </w:pPr>
            <w:r>
              <w:tab/>
              <w:t>Меры по обеспечению всестороннего развития и улучшения положения женщин</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13</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right" w:leader="dot" w:pos="9360"/>
              </w:tabs>
              <w:spacing w:after="120"/>
              <w:ind w:left="1728" w:hanging="648"/>
            </w:pPr>
            <w:r>
              <w:tab/>
              <w:t>Судебная защита</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right" w:leader="dot" w:pos="9360"/>
              </w:tabs>
              <w:spacing w:after="120"/>
              <w:ind w:left="1728" w:hanging="648"/>
            </w:pPr>
            <w:r>
              <w:tab/>
              <w:t>Санкции</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18</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left" w:pos="3024"/>
                <w:tab w:val="left" w:pos="3456"/>
                <w:tab w:val="left" w:pos="3888"/>
                <w:tab w:val="right" w:leader="dot" w:pos="9360"/>
              </w:tabs>
              <w:spacing w:after="120"/>
              <w:ind w:left="1728" w:hanging="648"/>
              <w:rPr>
                <w:b/>
              </w:rPr>
            </w:pPr>
            <w:r>
              <w:rPr>
                <w:b/>
              </w:rPr>
              <w:t>Статья 4. Поощрение равенства между женщинами и мужчинами</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19</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Охрана материнства</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19</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Приюты и деятельность, связанная с торговлей людьми</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20</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Применение квот на выборах</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21</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Поддержка женщин-предпринимателей</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21</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rPr>
                <w:b/>
              </w:rPr>
            </w:pPr>
            <w:r>
              <w:rPr>
                <w:b/>
              </w:rPr>
              <w:t>Статья 5. Искоренение стереотипных представлений и предрассудков</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21</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Семейная жизнь</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22</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Тенденции к изменению состава семьи</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22</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Средняя численность состава домашних хозяйств</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23</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Дети, рождающиеся вне брака</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23</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Средний возраст матерей при родах</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23</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Заключаемые браки</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23</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right" w:leader="dot" w:pos="9360"/>
              </w:tabs>
              <w:spacing w:after="120"/>
              <w:ind w:left="1728" w:hanging="648"/>
            </w:pPr>
            <w:r>
              <w:tab/>
              <w:t>Разводы</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24</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Объявления о вакансиях</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24</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Роль женщин и мужчин в средствах массовой информации</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25</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Насилие в отношении женщин и насилие в семье</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25</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Результаты некоторых исследований</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26</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Причины насилия в отношении женщин в семье</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28</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Просвещение в интересах обеспечения равенства</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29</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rPr>
                <w:b/>
              </w:rPr>
            </w:pPr>
            <w:r>
              <w:rPr>
                <w:b/>
              </w:rPr>
              <w:t>Статья 6. Торговля женщинами и эксплуатация проституции женщин</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30</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Причины возникновения торговли людьми</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31</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Меры, принятые в области предотвращения торговли людьми</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33</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t>Государственная пограничная служба</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35</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rPr>
                <w:b/>
              </w:rPr>
            </w:pPr>
            <w:r>
              <w:rPr>
                <w:b/>
              </w:rPr>
              <w:t>Статья 7. Политическая и общественная жизнь</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37</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Конституционные и юридические права на пассивное и активное участие в в</w:t>
            </w:r>
            <w:r>
              <w:t>ы</w:t>
            </w:r>
            <w:r>
              <w:t>борах</w:t>
            </w:r>
            <w:r>
              <w:tab/>
            </w:r>
            <w:r>
              <w:tab/>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37</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Предусмотренные Конституцией и юридическими документами активное и пассивное избирательное право</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37</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Участие женщин в политических партиях</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38</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Законодательные органы</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41</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Суды и прокуратуры</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45</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Прокуроры</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46</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Органы исполнительной власти</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47</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Роль женщин в секторе неправительственных организаций</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48</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Женщины и профсоюзы</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49</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Анализ данных по Республике Сербской</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50</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2070" w:hanging="990"/>
              <w:rPr>
                <w:b/>
              </w:rPr>
            </w:pPr>
            <w:r>
              <w:rPr>
                <w:b/>
              </w:rPr>
              <w:t>Статья 8.</w:t>
            </w:r>
            <w:r>
              <w:rPr>
                <w:b/>
              </w:rPr>
              <w:tab/>
              <w:t>Представленность женщин на дипломатической службе и в межд</w:t>
            </w:r>
            <w:r>
              <w:rPr>
                <w:b/>
              </w:rPr>
              <w:t>у</w:t>
            </w:r>
            <w:r>
              <w:rPr>
                <w:b/>
              </w:rPr>
              <w:t>наро</w:t>
            </w:r>
            <w:r>
              <w:rPr>
                <w:b/>
              </w:rPr>
              <w:t>д</w:t>
            </w:r>
            <w:r>
              <w:rPr>
                <w:b/>
              </w:rPr>
              <w:t>ных организациях</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52</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rPr>
                <w:b/>
              </w:rPr>
            </w:pPr>
            <w:r>
              <w:rPr>
                <w:b/>
              </w:rPr>
              <w:t>Статья 9. Гражданство</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52</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rPr>
                <w:b/>
              </w:rPr>
            </w:pPr>
            <w:r>
              <w:rPr>
                <w:b/>
              </w:rPr>
              <w:t>Статья 10. Образование</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54</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Профессиональный рост</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64</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Профессиональное (специализированное) обучение</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65</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rPr>
                <w:b/>
              </w:rPr>
            </w:pPr>
            <w:r>
              <w:rPr>
                <w:b/>
              </w:rPr>
              <w:t>Статья 11. Труд, пенсионное обеспечение и социальная защита</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68</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Труд и связанные с ним права</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68</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Безработица и выбор рода занятий</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70</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Частный сектор</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76</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Право на получение пенсии и страхование на случай инвалидности</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80</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Охрана материнства и детства</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81</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Вредные виды работы</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82</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Социальное обеспечение</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83</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rPr>
                <w:b/>
              </w:rPr>
            </w:pPr>
            <w:r>
              <w:rPr>
                <w:b/>
              </w:rPr>
              <w:t>Статья 12. Равенство в области здравоохранения</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84</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Основные статистические данные</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90</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Состояние здоровья в Боснии и Герцеговине</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91</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Основные заболевания в Боснии и Герцеговине</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92</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Хронические массовые неинфекционные заболевания</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93</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Инфекционные заболевания</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94</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Стратегия борьбы с ВИЧ</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94</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Состояние здоровья уязвимых групп населения</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95</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Состояние здоровья детей и молодежи</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95</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Состояние здоровья женщин</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96</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Система медико-санитарной помощи</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101</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rPr>
                <w:b/>
              </w:rPr>
            </w:pPr>
            <w:r>
              <w:rPr>
                <w:b/>
              </w:rPr>
              <w:t>Статья 13. Другие сферы экономической и общественной жизни</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103</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Семейные доходы</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103</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Банковские ссуды, ипотеки и другие финансовые кредиты</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105</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Отдых, спорт и другие аспекты культурной жизни</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105</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Женщины - члены меньшинств</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105</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Беженцы и перемещенные лица</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105</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rPr>
                <w:b/>
              </w:rPr>
            </w:pPr>
            <w:r>
              <w:rPr>
                <w:b/>
              </w:rPr>
              <w:t>Статья 14. Женщины в сельской местности</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106</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rPr>
                <w:b/>
              </w:rPr>
            </w:pPr>
            <w:r>
              <w:rPr>
                <w:b/>
              </w:rPr>
              <w:t>Статья 15. Равенство перед законом</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109</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rPr>
                <w:b/>
              </w:rPr>
            </w:pPr>
            <w:r>
              <w:rPr>
                <w:b/>
              </w:rPr>
              <w:t>Статья 16. Брак и семейные отношения</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111</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Право родителей</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11</w:t>
            </w:r>
            <w:r>
              <w:rPr>
                <w:lang w:val="en-US"/>
              </w:rPr>
              <w:t>2</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Имущество супругов</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11</w:t>
            </w:r>
            <w:r>
              <w:rPr>
                <w:lang w:val="en-US"/>
              </w:rPr>
              <w:t>3</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Раздел совместно нажитого имущества</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113</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Усыновление</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11</w:t>
            </w:r>
            <w:r>
              <w:rPr>
                <w:lang w:val="en-US"/>
              </w:rPr>
              <w:t>4</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Опекунство</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11</w:t>
            </w:r>
            <w:r>
              <w:rPr>
                <w:lang w:val="en-US"/>
              </w:rPr>
              <w:t>5</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Решение судьбы детей в ходе развода</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115</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Уголовные преступления, направленные против брака и семьи (защита)</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11</w:t>
            </w:r>
            <w:r>
              <w:rPr>
                <w:lang w:val="en-US"/>
              </w:rPr>
              <w:t>6</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rPr>
                <w:b/>
              </w:rPr>
            </w:pPr>
            <w:r>
              <w:rPr>
                <w:b/>
              </w:rPr>
              <w:t xml:space="preserve">Приложение </w:t>
            </w:r>
            <w:r>
              <w:rPr>
                <w:b/>
                <w:lang w:val="en-US"/>
              </w:rPr>
              <w:t>I</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119</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Перечень законов</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119</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rPr>
                <w:b/>
              </w:rPr>
            </w:pPr>
            <w:r>
              <w:rPr>
                <w:b/>
              </w:rPr>
              <w:t xml:space="preserve">Приложение </w:t>
            </w:r>
            <w:r>
              <w:rPr>
                <w:b/>
                <w:lang w:val="en-US"/>
              </w:rPr>
              <w:t>II</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121</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tab/>
              <w:t>Статистические данные и анализ</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121</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rPr>
                <w:b/>
              </w:rPr>
            </w:pPr>
            <w:r>
              <w:rPr>
                <w:b/>
              </w:rPr>
              <w:t xml:space="preserve">Приложение </w:t>
            </w:r>
            <w:r>
              <w:rPr>
                <w:b/>
                <w:lang w:val="en-US"/>
              </w:rPr>
              <w:t>III</w:t>
            </w:r>
            <w:r>
              <w:rPr>
                <w:b/>
              </w:rP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132</w:t>
            </w:r>
          </w:p>
        </w:tc>
      </w:tr>
      <w:tr w:rsidR="00000000">
        <w:tblPrEx>
          <w:tblCellMar>
            <w:top w:w="0" w:type="dxa"/>
            <w:left w:w="0" w:type="dxa"/>
            <w:bottom w:w="0" w:type="dxa"/>
            <w:right w:w="0" w:type="dxa"/>
          </w:tblCellMar>
        </w:tblPrEx>
        <w:trPr>
          <w:cantSplit/>
        </w:trPr>
        <w:tc>
          <w:tcPr>
            <w:tcW w:w="8730" w:type="dxa"/>
            <w:gridSpan w:val="2"/>
          </w:tcPr>
          <w:p w:rsidR="00000000" w:rsidRDefault="00000000">
            <w:pPr>
              <w:tabs>
                <w:tab w:val="right" w:pos="1080"/>
                <w:tab w:val="left" w:pos="1800"/>
                <w:tab w:val="right" w:leader="dot" w:pos="9360"/>
              </w:tabs>
              <w:spacing w:after="120"/>
              <w:ind w:left="1350" w:hanging="270"/>
            </w:pPr>
            <w:r>
              <w:rPr>
                <w:b/>
              </w:rPr>
              <w:tab/>
            </w:r>
            <w:r>
              <w:t>Ответы на вопросник для правительств</w:t>
            </w:r>
            <w:r>
              <w:tab/>
            </w:r>
          </w:p>
        </w:tc>
        <w:tc>
          <w:tcPr>
            <w:tcW w:w="54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132</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br w:type="page"/>
      </w:r>
    </w:p>
    <w:p w:rsidR="00000000" w:rsidRDefault="00000000">
      <w:pPr>
        <w:pStyle w:val="H1"/>
        <w:ind w:left="475" w:firstLine="475"/>
      </w:pPr>
      <w:r>
        <w:t>Вступительные замечания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А.</w:t>
      </w:r>
      <w:r>
        <w:tab/>
        <w:t>Повышение самосознания женщин в Боснии и Герцеговине имеет свой исторический контекст и началось с 1919 года, когда по примеру аналогичных ассоциаций была образована первая неполитическая феминистская ассоциация под названием "Ассоциация за образование женщин и защиту их прав". В ходе второй мировой войны, в 1942 году, женщинами был учрежден Антифашис</w:t>
      </w:r>
      <w:r>
        <w:t>т</w:t>
      </w:r>
      <w:r>
        <w:t>ский фронт женщин. В этот период женщины в Боснии и Герцеговине, или скорее в бывшей Югославии, получили доступ ко всем профессиям, размер их заработной платы был приравнен к размеру заработной платы мужчин, они п</w:t>
      </w:r>
      <w:r>
        <w:t>о</w:t>
      </w:r>
      <w:r>
        <w:t>лучили право на годичный отпуск по беременности и родам и уходу за ребе</w:t>
      </w:r>
      <w:r>
        <w:t>н</w:t>
      </w:r>
      <w:r>
        <w:t>ком, были легализованы аборты, а с 1952 года женщины получили право на развод, совершаемый по соглашению сторон.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ходе первых многопартийных выборов в Боснии и Герцеговине в 1990 году наблюдалась маргинализация женщин, что было парадоксальным по отношению к демократическому процессу. К тому же на роли женщин отриц</w:t>
      </w:r>
      <w:r>
        <w:t>а</w:t>
      </w:r>
      <w:r>
        <w:t>тельно сказалось вторжение в повседневную жизнь милитаризма, что наблюд</w:t>
      </w:r>
      <w:r>
        <w:t>а</w:t>
      </w:r>
      <w:r>
        <w:t>лось в ходе войны в Боснии и Герцеговине. Война сказалась на репродукти</w:t>
      </w:r>
      <w:r>
        <w:t>в</w:t>
      </w:r>
      <w:r>
        <w:t>ном и сексуальном здоровье женщин и девушек, в первую очередь в результате возросших масштабов сексуального насилия: изнасилований, передаваемых половым путем заболеваний, включая ВИЧ/СПИД, а также нежелательных б</w:t>
      </w:r>
      <w:r>
        <w:t>е</w:t>
      </w:r>
      <w:r>
        <w:t>ременностей. Преступление изнасилования стало впервые квалифицироваться как преступление против человечности. В результате войны основные соц</w:t>
      </w:r>
      <w:r>
        <w:t>и</w:t>
      </w:r>
      <w:r>
        <w:t>альные услуги стали недоступными для большинства населения, что сказалось прежде всего на состоянии здоровья женщин, а также всего населения Боснии и Герцеговины. Тем не менее в ходе войны женское движение получило новые стимулы за счет женщин-миротворцев и женщин, работавших в гуманитарной сфере, которые нашли в себе энергию и интеллектуальные возможности для самоорганизации и осуществления в послевоенный период деятельности по определению потребностей, поиску решений и ресурсов для улучшения и у</w:t>
      </w:r>
      <w:r>
        <w:t>к</w:t>
      </w:r>
      <w:r>
        <w:t>репления пол</w:t>
      </w:r>
      <w:r>
        <w:t>о</w:t>
      </w:r>
      <w:r>
        <w:t>жения женщин и самоидентификации.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В.</w:t>
      </w:r>
      <w:r>
        <w:tab/>
        <w:t>Конвенция о ликвидации всех форм дискриминации в отношении женщин (именуемая далее КЛДЖ), в отношении которой Босния и Герцеговина стала правопреемницей 1 сентября 1993 года, вступила для нее в силу 1 октября 1993 года. В период с 1992 по 1995 год Босния и Герцеговина находилась в с</w:t>
      </w:r>
      <w:r>
        <w:t>о</w:t>
      </w:r>
      <w:r>
        <w:t>стоянии войны. Война закончилась в декабре 1995 года с подписанием Дейто</w:t>
      </w:r>
      <w:r>
        <w:t>н</w:t>
      </w:r>
      <w:r>
        <w:t>ского мирного соглашения - "Общего рамочного соглашения о мире в Боснии и Герцеговине", согласно которому Босния и Герцеговина продолжила свое с</w:t>
      </w:r>
      <w:r>
        <w:t>у</w:t>
      </w:r>
      <w:r>
        <w:t>ществование в качестве децентрализованного государства, созданного на осн</w:t>
      </w:r>
      <w:r>
        <w:t>о</w:t>
      </w:r>
      <w:r>
        <w:t xml:space="preserve">ве новых принципов и стандартов, установленных в вышеупомянутом Мирном соглашении и Конституции Боснии и Герцеговины (см. документ </w:t>
      </w:r>
      <w:r>
        <w:rPr>
          <w:lang w:val="en-US"/>
        </w:rPr>
        <w:t>HRI</w:t>
      </w:r>
      <w:r>
        <w:t>/</w:t>
      </w:r>
      <w:r>
        <w:rPr>
          <w:lang w:val="en-US"/>
        </w:rPr>
        <w:t>CORE</w:t>
      </w:r>
      <w:r>
        <w:t>/1/</w:t>
      </w:r>
      <w:r>
        <w:rPr>
          <w:lang w:val="en-US"/>
        </w:rPr>
        <w:t>Add</w:t>
      </w:r>
      <w:r>
        <w:t>.89/</w:t>
      </w:r>
      <w:r>
        <w:rPr>
          <w:lang w:val="en-US"/>
        </w:rPr>
        <w:t>rev</w:t>
      </w:r>
      <w:r>
        <w:t xml:space="preserve">.1).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Положение с правами женщин в Боснии и Герцеговине можно обрисовать на основе ряда примеров общего характера: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а)</w:t>
      </w:r>
      <w:r>
        <w:tab/>
        <w:t>В Боснии и Герцеговине существуют общие законодательные рамки для предотвращения какой-либо дискриминации по признаку пола, получи</w:t>
      </w:r>
      <w:r>
        <w:t>в</w:t>
      </w:r>
      <w:r>
        <w:t>шие дополнительное подкрепление благодаря принятию Закона о равенстве между мужчинами и женщинами в Боснии и Герцеговине. Следует упомянуть о том, что возможности судов по применению этих законов пока что являются весьма ограниченными, поскольку они перегружены рассмотрением большого числа дел. После проведения реформы судебной системы в стране эти условия начали меняться, и мы ожидаем, что в будущем эти изменения станут еще б</w:t>
      </w:r>
      <w:r>
        <w:t>о</w:t>
      </w:r>
      <w:r>
        <w:t>лее заметными. Однако в Боснии и Герцеговине не существует отдельных с</w:t>
      </w:r>
      <w:r>
        <w:t>у</w:t>
      </w:r>
      <w:r>
        <w:t>дов для рассмотрения трудовых конфликтов, которые могли бы в приоритетном порядке рассматривать иски или ходатайства в этой области. Существуют та</w:t>
      </w:r>
      <w:r>
        <w:t>к</w:t>
      </w:r>
      <w:r>
        <w:t>же серьезные опасения относительно того, что ухудшение экономического п</w:t>
      </w:r>
      <w:r>
        <w:t>о</w:t>
      </w:r>
      <w:r>
        <w:t>ложения в Боснии и Герцеговине делает рискованным возбуждение дел для рассмотрения конфликтов судами, поскольку подобная правовая деятельность может еще более осложнить положение в Боснии и Герцеговине. Все это св</w:t>
      </w:r>
      <w:r>
        <w:t>и</w:t>
      </w:r>
      <w:r>
        <w:t>детельствует о совокупном влиянии целого ряда факторов, препятствующих обращению женщинами с исками. Тем не менее неблагоприятное экономич</w:t>
      </w:r>
      <w:r>
        <w:t>е</w:t>
      </w:r>
      <w:r>
        <w:t>ское положение не повлияло на повседневно наблюдаемую активизацию де</w:t>
      </w:r>
      <w:r>
        <w:t>я</w:t>
      </w:r>
      <w:r>
        <w:t>тельности по осуществлению мероприятий и планированию мер по улучшению защ</w:t>
      </w:r>
      <w:r>
        <w:t>и</w:t>
      </w:r>
      <w:r>
        <w:t>ты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lang w:val="en-US"/>
        </w:rPr>
        <w:t>b</w:t>
      </w:r>
      <w:r>
        <w:t>)</w:t>
      </w:r>
      <w:r>
        <w:tab/>
        <w:t>Недостаточная образованность женщин также является одним из факторов сохранения традиционных представлений о роли мужчин и женщин. В период детства и юности большинства проживающих в сельской местности людей старших возрастных групп образование, и в особенности образование девочек, отнюдь не являлось одним из приоритетов. Независимо от того, имели или не имели образование женщины, их ориентировали на замужество, вед</w:t>
      </w:r>
      <w:r>
        <w:t>е</w:t>
      </w:r>
      <w:r>
        <w:t>ние домашнего хозяйства и воспитание детей. Несмотря на высокую процен</w:t>
      </w:r>
      <w:r>
        <w:t>т</w:t>
      </w:r>
      <w:r>
        <w:t>ную долю неграмотного населения среди лиц старших возрастных групп, сег</w:t>
      </w:r>
      <w:r>
        <w:t>о</w:t>
      </w:r>
      <w:r>
        <w:t>дняшние показатели свидетельствуют о том, что уровень образования женщин существенно возрастает. Уже в 1991 году девочки составляли 49 процентов учащихся начальных школ. Наблюдается тенденция к увеличению их числа и после 2000 года, и в настоящее время в Федерации Боснии и Герцеговины д</w:t>
      </w:r>
      <w:r>
        <w:t>е</w:t>
      </w:r>
      <w:r>
        <w:t>вочки составляют 49 процентов учащихся школ, а в Республике Сербской - 50 процентов. По-прежнему заметен водораздел между мужчинами и женщ</w:t>
      </w:r>
      <w:r>
        <w:t>и</w:t>
      </w:r>
      <w:r>
        <w:t>нами в плане профессиональной занятости. Бедность является той причиной, по которой в последнее время уровень образованности как мужчин, так и же</w:t>
      </w:r>
      <w:r>
        <w:t>н</w:t>
      </w:r>
      <w:r>
        <w:t>щин стал снижаться, что может привести к дальнейшему укоренению традиц</w:t>
      </w:r>
      <w:r>
        <w:t>и</w:t>
      </w:r>
      <w:r>
        <w:t>онных представлений.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w:t>
      </w:r>
      <w:r>
        <w:tab/>
        <w:t>Несмотря на охват основными формами охраны здоровья, не охв</w:t>
      </w:r>
      <w:r>
        <w:t>а</w:t>
      </w:r>
      <w:r>
        <w:t>ченными системой здравоохранения остается большое число лиц, в особенн</w:t>
      </w:r>
      <w:r>
        <w:t>о</w:t>
      </w:r>
      <w:r>
        <w:t>сти беженцев и перемещенных лиц. Женщины составляют свыше 51 процента населения, причем 25 процентов из них находятся в репродуктивном возрасте. Общим для женщин репродуктивного возраста является снижение коэффиц</w:t>
      </w:r>
      <w:r>
        <w:t>и</w:t>
      </w:r>
      <w:r>
        <w:t>ента фертильности из-за частых преднамеренных абортов, которые, как прав</w:t>
      </w:r>
      <w:r>
        <w:t>и</w:t>
      </w:r>
      <w:r>
        <w:t>ло, являются единственным способом планирования размера семьи. Половое образование по-прежнему развито в недостаточной степени, и в реальности наблюдается увеличение числа случаев преждевременного вступления в пол</w:t>
      </w:r>
      <w:r>
        <w:t>о</w:t>
      </w:r>
      <w:r>
        <w:t>вую жизнь несовершеннолетних, рост числа нежелательных беременностей и увеличение распространенности инфекционных болезней. Особая проблема в сфере здравоохранения связана с неравенством возможностей в области здр</w:t>
      </w:r>
      <w:r>
        <w:t>а</w:t>
      </w:r>
      <w:r>
        <w:t>воохранения в городских и сельских районах, отсутствием доступных гинек</w:t>
      </w:r>
      <w:r>
        <w:t>о</w:t>
      </w:r>
      <w:r>
        <w:t>логических услуг, недостатками в сфере образования, в особенности юношей и девушек, недостаточным уровнем санитарно-профилактической работы и о</w:t>
      </w:r>
      <w:r>
        <w:t>т</w:t>
      </w:r>
      <w:r>
        <w:t>сутствием междисциплинарного комплексного подхода к проблемам охраны здор</w:t>
      </w:r>
      <w:r>
        <w:t>о</w:t>
      </w:r>
      <w:r>
        <w:t>вья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lang w:val="en-US"/>
        </w:rPr>
        <w:t>d</w:t>
      </w:r>
      <w:r>
        <w:t>)</w:t>
      </w:r>
      <w:r>
        <w:tab/>
        <w:t>Насилие в семье является той проблемой, которая в наибольшей ст</w:t>
      </w:r>
      <w:r>
        <w:t>е</w:t>
      </w:r>
      <w:r>
        <w:t>пени углубляет разрыв между женщинами и мужчинами. Насилие в семье н</w:t>
      </w:r>
      <w:r>
        <w:t>е</w:t>
      </w:r>
      <w:r>
        <w:t>посредственно связано с проблемой бедности и степенью разработки механи</w:t>
      </w:r>
      <w:r>
        <w:t>з</w:t>
      </w:r>
      <w:r>
        <w:t>мов для защиты от насилия в семье. Данные о числе сообщенных случаев н</w:t>
      </w:r>
      <w:r>
        <w:t>а</w:t>
      </w:r>
      <w:r>
        <w:t>силия в семье, собранные и проанализированные НПО, значительно превыш</w:t>
      </w:r>
      <w:r>
        <w:t>а</w:t>
      </w:r>
      <w:r>
        <w:t>ют данные о числе случаев, сообщения о которых были получены органами власти, в связи с чем крайне трудно заниматься отслеживанием проблемы н</w:t>
      </w:r>
      <w:r>
        <w:t>а</w:t>
      </w:r>
      <w:r>
        <w:t>силия в семье в Боснии и Герцеговине. Обнадеживает улучшение осознания этой проблемы в обществе и уделение ей все большего внимания наряду с пр</w:t>
      </w:r>
      <w:r>
        <w:t>и</w:t>
      </w:r>
      <w:r>
        <w:t>нятием мер по профилактике, первые результаты которых уже заметны.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е)</w:t>
      </w:r>
      <w:r>
        <w:tab/>
        <w:t>Результаты выборов свидетельствуют о позитивной тенденции в о</w:t>
      </w:r>
      <w:r>
        <w:t>т</w:t>
      </w:r>
      <w:r>
        <w:t>ношении участия женщин в политической жизни в Боснии и Герцеговине. О</w:t>
      </w:r>
      <w:r>
        <w:t>д</w:t>
      </w:r>
      <w:r>
        <w:t>нако во всех сферах политики по-прежнему доминируют мужчины. Созданная структура центров по гендерным вопросам - вопросам равенства и справедл</w:t>
      </w:r>
      <w:r>
        <w:t>и</w:t>
      </w:r>
      <w:r>
        <w:t>вости в отношениях между мужчинами и женщинами - уже сыграла важную роль в улучшении положения женщин. Все большее число женщин привлек</w:t>
      </w:r>
      <w:r>
        <w:t>а</w:t>
      </w:r>
      <w:r>
        <w:t>ется к участию в общественной и политической жизни при поддержке НПО и женских ассоциаций, которые ведут работу по активизации и поощрению пр</w:t>
      </w:r>
      <w:r>
        <w:t>и</w:t>
      </w:r>
      <w:r>
        <w:t>вл</w:t>
      </w:r>
      <w:r>
        <w:t>е</w:t>
      </w:r>
      <w:r>
        <w:t xml:space="preserve">чения женщин к участию в общественной и политической жизни.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f</w:t>
      </w:r>
      <w:r>
        <w:t>)</w:t>
      </w:r>
      <w:r>
        <w:tab/>
        <w:t>Статистические данные, которые лучше отражали бы положение в Боснии и Герцеговине, в большинстве случаев не являются адекватными пок</w:t>
      </w:r>
      <w:r>
        <w:t>а</w:t>
      </w:r>
      <w:r>
        <w:t>зателями, поскольку они даются без разбивки по признаку пола и как таковые не публикуются для пользования общественностью. В настоящее время пре</w:t>
      </w:r>
      <w:r>
        <w:t>д</w:t>
      </w:r>
      <w:r>
        <w:t>принимаются попытки по корректировке и дополнительной  разбивке этих данных с целью придания им приемлемой формы, и были предприняты пе</w:t>
      </w:r>
      <w:r>
        <w:t>р</w:t>
      </w:r>
      <w:r>
        <w:t>вые, пока что скромные, шаги по проведению исследовательской работы и ра</w:t>
      </w:r>
      <w:r>
        <w:t>з</w:t>
      </w:r>
      <w:r>
        <w:t>работке статистических данных по мужчинам и женщинам раздельно для всей территории Боснии и Герцеговины. Это станет также одним из основных н</w:t>
      </w:r>
      <w:r>
        <w:t>а</w:t>
      </w:r>
      <w:r>
        <w:t>правлений деятельности будущих механизмов, которые будут учреждены в Боснии и Герцег</w:t>
      </w:r>
      <w:r>
        <w:t>о</w:t>
      </w:r>
      <w:r>
        <w:t xml:space="preserve">вине.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2218"/>
          <w:tab w:val="left" w:pos="2693"/>
        </w:tabs>
        <w:ind w:left="2700" w:right="1120" w:hanging="1440"/>
      </w:pPr>
      <w:r>
        <w:t xml:space="preserve">Статья 1. Дискриминация в отношении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w:t>
      </w:r>
      <w:r>
        <w:tab/>
        <w:t>Босния и Герцеговина добилась прогресса в сравнении с тем положением, которое существовало в 1996 году, в частности в отношении разработки нео</w:t>
      </w:r>
      <w:r>
        <w:t>б</w:t>
      </w:r>
      <w:r>
        <w:t>ходимых законодательных рамок для обеспечения женщин защитой. Определ</w:t>
      </w:r>
      <w:r>
        <w:t>е</w:t>
      </w:r>
      <w:r>
        <w:t>ние "дискриминация в отношении женщин", содержащееся в статье 1 Конве</w:t>
      </w:r>
      <w:r>
        <w:t>н</w:t>
      </w:r>
      <w:r>
        <w:t>ции о ликвидации всех форм дискриминации в отношении женщин, является одновременно отправным пунктом для оценки положения женщин в Боснии и Герцеговине, рассмотрения законодательств и изучения вопроса об обращении с женщинами во всех сферах повседневной жизни, а также для подготовки надлежащих предложений по достижению конечной цели, заключающейся в установлении равенства между женщинами и мужчинами в обществе.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w:t>
      </w:r>
      <w:r>
        <w:tab/>
        <w:t>В пункте 4 статьи</w:t>
      </w:r>
      <w:r>
        <w:rPr>
          <w:lang w:val="en-US"/>
        </w:rPr>
        <w:t> II</w:t>
      </w:r>
      <w:r>
        <w:t xml:space="preserve"> Конституции Боснии и Герцеговины, которая полн</w:t>
      </w:r>
      <w:r>
        <w:t>о</w:t>
      </w:r>
      <w:r>
        <w:t xml:space="preserve">стью посвящена вопросам прав человека, содержится положение о запрещении дискриминации в отношении признания, пользования или осуществления прав человека: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pPr>
      <w:r>
        <w:t>Пользование правами и свободами, предусмотренными в соответствии с настоящей статьей или международными соглашениями, перечисленн</w:t>
      </w:r>
      <w:r>
        <w:t>ы</w:t>
      </w:r>
      <w:r>
        <w:t>ми в приложении к настоящей Конституции, гарантируется для всех лиц в Боснии и Герцеговине без какой-либо дискриминации по признаку п</w:t>
      </w:r>
      <w:r>
        <w:t>о</w:t>
      </w:r>
      <w:r>
        <w:t>ла, расы, языка, религии, политических или других взглядов, национал</w:t>
      </w:r>
      <w:r>
        <w:t>ь</w:t>
      </w:r>
      <w:r>
        <w:t>ного или социального происхождения, принадлежности к национальным меньшинствам, собственн</w:t>
      </w:r>
      <w:r>
        <w:t>о</w:t>
      </w:r>
      <w:r>
        <w:t>сти, рождения или любого другого статуса.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w:t>
      </w:r>
      <w:r>
        <w:tab/>
        <w:t>В Конституции Боснии и Герцеговины в рамках ее положения о запрете на дискриминацию также подтверждается равенство между женщинами и мужч</w:t>
      </w:r>
      <w:r>
        <w:t>и</w:t>
      </w:r>
      <w:r>
        <w:t>нами, и это непосредственно закреплено путем упоминания международных документов о правах человека. В соответствии с пунктом 2 статьи</w:t>
      </w:r>
      <w:r>
        <w:rPr>
          <w:lang w:val="en-US"/>
        </w:rPr>
        <w:t> II</w:t>
      </w:r>
      <w:r>
        <w:t>, права и свободы, предусмотренные в Европейской конвенции о защите прав человека и основных свобод и протоколах к ней, непосредственно применимы в Боснии и Герцеговине. Эти документы имеют также преимущественную силу по отн</w:t>
      </w:r>
      <w:r>
        <w:t>о</w:t>
      </w:r>
      <w:r>
        <w:t>шению к любым другим з</w:t>
      </w:r>
      <w:r>
        <w:t>а</w:t>
      </w:r>
      <w:r>
        <w:t>конам.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w:t>
      </w:r>
      <w:r>
        <w:tab/>
        <w:t>Вышеуказанные статьи следует истолковывать в соответствии с пунктом 6 той же статьи Конституции Боснии и Герцеговины, в одном из положений к</w:t>
      </w:r>
      <w:r>
        <w:t>о</w:t>
      </w:r>
      <w:r>
        <w:t>торой говорится, что Босния и Герцеговина и все суды, учреждения, власти и органы, опосредовано управляемые Образованиями или действующие в рамках Образования, которому они подчиняются, применяют таким образом полож</w:t>
      </w:r>
      <w:r>
        <w:t>е</w:t>
      </w:r>
      <w:r>
        <w:t>ния в отношении прав человека и основных свобод, приведенные в пункте 2. Права человека и свободы в соответствии с Конституцией Боснии и Герцегов</w:t>
      </w:r>
      <w:r>
        <w:t>и</w:t>
      </w:r>
      <w:r>
        <w:t>ны применяются в обоих Образованиях Боснии и Герцеговины, взявших на с</w:t>
      </w:r>
      <w:r>
        <w:t>е</w:t>
      </w:r>
      <w:r>
        <w:t>бя обязательство обеспечивать самые высокие стандарты в области осущест</w:t>
      </w:r>
      <w:r>
        <w:t>в</w:t>
      </w:r>
      <w:r>
        <w:t>ления прав челов</w:t>
      </w:r>
      <w:r>
        <w:t>е</w:t>
      </w:r>
      <w:r>
        <w:t xml:space="preserve">ка.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w:t>
      </w:r>
      <w:r>
        <w:tab/>
        <w:t>Начиная с того факта, что в Конституции Боснии и Герцеговины и конст</w:t>
      </w:r>
      <w:r>
        <w:t>и</w:t>
      </w:r>
      <w:r>
        <w:t>туциях Образований указывается, что равенство является одним из основных прав человека, определение дискриминации, включенное в Закон о равенстве между мужчинами и женщинами в Боснии и Герцеговине, способствует выя</w:t>
      </w:r>
      <w:r>
        <w:t>в</w:t>
      </w:r>
      <w:r>
        <w:t>лению практических ситуаций, когда то или иное лицо ставится в иное пол</w:t>
      </w:r>
      <w:r>
        <w:t>о</w:t>
      </w:r>
      <w:r>
        <w:t>жение по признаку пола или по отношению к нему наблюдается иное отнош</w:t>
      </w:r>
      <w:r>
        <w:t>е</w:t>
      </w:r>
      <w:r>
        <w:t>ние из-за пол</w:t>
      </w:r>
      <w:r>
        <w:t>о</w:t>
      </w:r>
      <w:r>
        <w:t>вой принадлежности.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w:t>
      </w:r>
      <w:r>
        <w:tab/>
        <w:t>В данном Законе регулируется, поощряется и защищается равенство ме</w:t>
      </w:r>
      <w:r>
        <w:t>ж</w:t>
      </w:r>
      <w:r>
        <w:t>ду мужчинами и женщинами и гарантируются равные возможности для всех граждан как в общественной, так и в частной жизни. Таким образом, обеспеч</w:t>
      </w:r>
      <w:r>
        <w:t>и</w:t>
      </w:r>
      <w:r>
        <w:t>вается повышение стандарта защиты гарантий прав человека, особенно в о</w:t>
      </w:r>
      <w:r>
        <w:t>т</w:t>
      </w:r>
      <w:r>
        <w:t>ношении женщин, которые наиболее часто становятся потерпевшими. В статье 2 н</w:t>
      </w:r>
      <w:r>
        <w:t>а</w:t>
      </w:r>
      <w:r>
        <w:t xml:space="preserve">стоящего закона говорится: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pPr>
      <w:r>
        <w:t>Мужчины и женщины равны между собой. Полное равенство мужчин и женщин гарантируется во всех сферах жизни, в частности в областях о</w:t>
      </w:r>
      <w:r>
        <w:t>б</w:t>
      </w:r>
      <w:r>
        <w:t>разования, экономики, занятости и работы, социальной защиты и охраны здоровья, спорта, культуры, общественной жизни и средств массовой и</w:t>
      </w:r>
      <w:r>
        <w:t>н</w:t>
      </w:r>
      <w:r>
        <w:t>формации, независимо от семейного положения... Запрещается дискрим</w:t>
      </w:r>
      <w:r>
        <w:t>и</w:t>
      </w:r>
      <w:r>
        <w:t>нация по признаку пола или сексуальной ориентации.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7.</w:t>
      </w:r>
      <w:r>
        <w:tab/>
        <w:t>В статье 3 этого закона приводится базовое определение дискриминации: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pPr>
      <w:r>
        <w:t>Дискриминация по признаку пола, по смыслу настоящего Закона, пре</w:t>
      </w:r>
      <w:r>
        <w:t>д</w:t>
      </w:r>
      <w:r>
        <w:t>ставляет собой любое правовое или фактическое, прямое или косвенное проведение различий, предоставление привилегий, исключений или вв</w:t>
      </w:r>
      <w:r>
        <w:t>е</w:t>
      </w:r>
      <w:r>
        <w:t>дение ограничений по признаку пола, которое затрудняет или сводит на нет право отдельных лиц на признание, пользование или осуществление их прав человека в политической, образовательной, экономической, соц</w:t>
      </w:r>
      <w:r>
        <w:t>и</w:t>
      </w:r>
      <w:r>
        <w:t>альной, культурной, спортивной, гражданской или любой другой области общественной жи</w:t>
      </w:r>
      <w:r>
        <w:t>з</w:t>
      </w:r>
      <w:r>
        <w:t>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8.</w:t>
      </w:r>
      <w:r>
        <w:tab/>
        <w:t>Дискриминация может носить как прямой, так и косвенный характер: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pPr>
      <w:r>
        <w:t>Прямая дискриминация по признаку пола имеет место тогда, когда отн</w:t>
      </w:r>
      <w:r>
        <w:t>о</w:t>
      </w:r>
      <w:r>
        <w:t>шение к тому или иному лицу было, является или может быть менее бл</w:t>
      </w:r>
      <w:r>
        <w:t>а</w:t>
      </w:r>
      <w:r>
        <w:t>гоприятным, чем к другому лицу в том же или аналогичном положении, на основе половой принадлежности.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pPr>
      <w:r>
        <w:t>Косвенная дискриминация по признаку пола имеет место тогда, когда к</w:t>
      </w:r>
      <w:r>
        <w:t>а</w:t>
      </w:r>
      <w:r>
        <w:t>жущиеся нейтральными правовые нормы, критерии или практика, равные для всех, ставят то или иное лицо одного из полов в менее благоприятное полож</w:t>
      </w:r>
      <w:r>
        <w:t>е</w:t>
      </w:r>
      <w:r>
        <w:t xml:space="preserve">ние по сравнению с лицами другого пола.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9.</w:t>
      </w:r>
      <w:r>
        <w:tab/>
        <w:t>Создание норм, критериев или внедрение практики, которые могут быть объективно оправданы достижением законной цели, последствия чего будут соразмерными по отношению к необходимым и оправданным мерам, принятым для достижения этой цели, не считаются дискриминацией по признаку пола. В соответствии с пунктом 5 этой статьи разрешается принимать специальные меры в целях содействия обеспечению равенства и справедливости в отнош</w:t>
      </w:r>
      <w:r>
        <w:t>е</w:t>
      </w:r>
      <w:r>
        <w:t>ниях между мужчинами и женщинами и ликвидации существующего нераве</w:t>
      </w:r>
      <w:r>
        <w:t>н</w:t>
      </w:r>
      <w:r>
        <w:t>ства или обеспечения защиты представителей того или иного пола на основе биологич</w:t>
      </w:r>
      <w:r>
        <w:t>е</w:t>
      </w:r>
      <w:r>
        <w:t xml:space="preserve">ской детерминированности.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10.</w:t>
      </w:r>
      <w:r>
        <w:tab/>
        <w:t>Закон о равенстве между мужчинами и женщинами в Боснии и Герцег</w:t>
      </w:r>
      <w:r>
        <w:t>о</w:t>
      </w:r>
      <w:r>
        <w:t>вины включает дополнительные определения дискриминации по признаку пола в статье 4, кот</w:t>
      </w:r>
      <w:r>
        <w:t>о</w:t>
      </w:r>
      <w:r>
        <w:t>рая гласит: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а)</w:t>
      </w:r>
      <w:r>
        <w:tab/>
        <w:t>Гендерный признак определяет социальную роль женщин и мужчин в общественной и частной жизни иным образом, чем пол в качестве биолог</w:t>
      </w:r>
      <w:r>
        <w:t>и</w:t>
      </w:r>
      <w:r>
        <w:t>ческой предрасположенности. Выражение "гендерный признак" по смыслу н</w:t>
      </w:r>
      <w:r>
        <w:t>а</w:t>
      </w:r>
      <w:r>
        <w:t>стоящего Закона свидетельствует о той важности, которая придается в общес</w:t>
      </w:r>
      <w:r>
        <w:t>т</w:t>
      </w:r>
      <w:r>
        <w:t>ве биологической д</w:t>
      </w:r>
      <w:r>
        <w:t>е</w:t>
      </w:r>
      <w:r>
        <w:t>терминированности пола.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b</w:t>
      </w:r>
      <w:r>
        <w:t>)</w:t>
      </w:r>
      <w:r>
        <w:tab/>
        <w:t>Насилие на основе гендерного признака определяется как любое действие, наносящее физический, психологический, сексуальный или экон</w:t>
      </w:r>
      <w:r>
        <w:t>о</w:t>
      </w:r>
      <w:r>
        <w:t>мический ущерб или страдание, а также как угрозы таких действий, которые серьезно ограничивают осуществление лицами их прав и свобод на основе принципа гендерного равенства в общественной или частной сферах жизни, включая торговлю людьми для цели принудительного труда и ограничение или прои</w:t>
      </w:r>
      <w:r>
        <w:t>з</w:t>
      </w:r>
      <w:r>
        <w:t>вольное задержание лиц, подвергшихся таким действиям.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w:t>
      </w:r>
      <w:r>
        <w:tab/>
        <w:t>Притеснение определяется как создание любой ситуации, связанной с нежелательным поведением в отношении лиц того или иного пола, с целью унижения достоинства того или иного лица или создания атмосферы запугив</w:t>
      </w:r>
      <w:r>
        <w:t>а</w:t>
      </w:r>
      <w:r>
        <w:t>ния, враждебности, униж</w:t>
      </w:r>
      <w:r>
        <w:t>е</w:t>
      </w:r>
      <w:r>
        <w:t>ния или подобных ситуаций.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d</w:t>
      </w:r>
      <w:r>
        <w:t>)</w:t>
      </w:r>
      <w:r>
        <w:tab/>
        <w:t>Сексуальное домогательство определяется как любое поведение с использованием слов, действий или физического воздействия сексуального х</w:t>
      </w:r>
      <w:r>
        <w:t>а</w:t>
      </w:r>
      <w:r>
        <w:t>рактера с целью унижения достоинства того или иного лица или создания а</w:t>
      </w:r>
      <w:r>
        <w:t>т</w:t>
      </w:r>
      <w:r>
        <w:t>мосферы запугивания, враждебности, унижения или угрожающих или подо</w:t>
      </w:r>
      <w:r>
        <w:t>б</w:t>
      </w:r>
      <w:r>
        <w:t>ных ситуаций, которое мотивируется принадлежностью к иному полу или иной сексуальной ориентации, что является по отношению к тому лицу, которому наносится ущерб, нежелательным физическим или словесным воздействием или непр</w:t>
      </w:r>
      <w:r>
        <w:t>и</w:t>
      </w:r>
      <w:r>
        <w:t>стойным или иным поведением.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11.</w:t>
      </w:r>
      <w:r>
        <w:tab/>
        <w:t>В уголовном праве Боснии и Герцеговины нарушение принципа равенства квалифицируется как один из видов преступной деятельности, направленной против прав человека. Лица, совершившие это преступление, или лица, кот</w:t>
      </w:r>
      <w:r>
        <w:t>о</w:t>
      </w:r>
      <w:r>
        <w:t>рые из-за различий по признаку национальности, расы, цвета кожи, религии, этнического происхождения, пола, языка, политических или других взглядов, сексуальной ориентации, материального положения, рождения, образования, социального положения или других обстоятельств, отнимают у другого лица любое из прав человека или основных свобод, признанных международным сообществом или Конституцией, или на основе таких различий предоставляют другому лицу какие-либо особые права или привилегии, подвергаются дене</w:t>
      </w:r>
      <w:r>
        <w:t>ж</w:t>
      </w:r>
      <w:r>
        <w:t>ному штрафу или тюремному заключению на срок до одного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Аналогичное положение применяется к лицам, преследующим других лиц или организации за поддержку равенства среди людей. Если правонарушение, указанное в первом или втором пунктах настоящей статьи, совершается дол</w:t>
      </w:r>
      <w:r>
        <w:t>ж</w:t>
      </w:r>
      <w:r>
        <w:t>ностным лицом путем злоупотребления своим положением, то это лицо приг</w:t>
      </w:r>
      <w:r>
        <w:t>о</w:t>
      </w:r>
      <w:r>
        <w:t>варивается к тюремному заключению на срок до трех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12.</w:t>
      </w:r>
      <w:r>
        <w:tab/>
        <w:t>Закон о труде в Боснии и Герцеговине включил в себя элементы междун</w:t>
      </w:r>
      <w:r>
        <w:t>а</w:t>
      </w:r>
      <w:r>
        <w:t>родных конвенций, регулирующих данный вопрос, которые признаются в ко</w:t>
      </w:r>
      <w:r>
        <w:t>н</w:t>
      </w:r>
      <w:r>
        <w:t>ституциях на всех уровнях территориального устройства Боснии и Герцегов</w:t>
      </w:r>
      <w:r>
        <w:t>и</w:t>
      </w:r>
      <w:r>
        <w:t>ны. Лица, находящиеся в поисках трудоустройства, а также работающие лица не могут быть поставлены в менее благоприятное положение на основе расы, цвета кожи, пола, языка, религии, политических или других взглядов, наци</w:t>
      </w:r>
      <w:r>
        <w:t>о</w:t>
      </w:r>
      <w:r>
        <w:t>нального или социального происхождения, имущественного положения, ро</w:t>
      </w:r>
      <w:r>
        <w:t>ж</w:t>
      </w:r>
      <w:r>
        <w:t>дения или других обстоятельств, членства или неучастия в профсоюзе, физич</w:t>
      </w:r>
      <w:r>
        <w:t>е</w:t>
      </w:r>
      <w:r>
        <w:t>ской или психической неполноценности в отношении найма, образования, пр</w:t>
      </w:r>
      <w:r>
        <w:t>о</w:t>
      </w:r>
      <w:r>
        <w:t>движения по службе, условий и требований к работе, аннулирования трудового соглаш</w:t>
      </w:r>
      <w:r>
        <w:t>е</w:t>
      </w:r>
      <w:r>
        <w:t>ния или других вопросов, вытекающих из трудового соглашения.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13.</w:t>
      </w:r>
      <w:r>
        <w:tab/>
        <w:t>На основе вышесказанного можно сделать следующие выводы: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а)</w:t>
      </w:r>
      <w:r>
        <w:tab/>
        <w:t>Конституция Боснии и Герцеговины гарантирует равенство между мужчинами и же</w:t>
      </w:r>
      <w:r>
        <w:t>н</w:t>
      </w:r>
      <w:r>
        <w:t>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b</w:t>
      </w:r>
      <w:r>
        <w:t>)</w:t>
      </w:r>
      <w:r>
        <w:tab/>
        <w:t>конституции Образований (Федерации Боснии и Герцеговины и Ре</w:t>
      </w:r>
      <w:r>
        <w:t>с</w:t>
      </w:r>
      <w:r>
        <w:t>публики Сербской содержат положения о равенстве между женщинами и му</w:t>
      </w:r>
      <w:r>
        <w:t>ж</w:t>
      </w:r>
      <w:r>
        <w:t>чинами и запрещении дискриминации по призн</w:t>
      </w:r>
      <w:r>
        <w:t>а</w:t>
      </w:r>
      <w:r>
        <w:t>ку пола;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c</w:t>
      </w:r>
      <w:r>
        <w:t>)</w:t>
      </w:r>
      <w:r>
        <w:tab/>
        <w:t>Закон о равенстве между мужчинами и женщинами в Боснии и Ге</w:t>
      </w:r>
      <w:r>
        <w:t>р</w:t>
      </w:r>
      <w:r>
        <w:t>цеговине предусматривает более широкое определение запрета на дискримин</w:t>
      </w:r>
      <w:r>
        <w:t>а</w:t>
      </w:r>
      <w:r>
        <w:t>цию по признаку пола, поскольку оно охватывает как прямую, так и косвенную дискрим</w:t>
      </w:r>
      <w:r>
        <w:t>и</w:t>
      </w:r>
      <w:r>
        <w:t>нацию;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d</w:t>
      </w:r>
      <w:r>
        <w:t>)</w:t>
      </w:r>
      <w:r>
        <w:tab/>
        <w:t>уголовное право Боснии и Герцеговины и Образований определяет нарушение принципа равенства в качестве уголовного преступления в отнош</w:t>
      </w:r>
      <w:r>
        <w:t>е</w:t>
      </w:r>
      <w:r>
        <w:t>нии прав челов</w:t>
      </w:r>
      <w:r>
        <w:t>е</w:t>
      </w:r>
      <w:r>
        <w:t>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e</w:t>
      </w:r>
      <w:r>
        <w:t>)</w:t>
      </w:r>
      <w:r>
        <w:tab/>
        <w:t>законы Образований о труде содержат положения о запрещении ди</w:t>
      </w:r>
      <w:r>
        <w:t>с</w:t>
      </w:r>
      <w:r>
        <w:t>криминации, соответствующие международным конвенциям о труде и занят</w:t>
      </w:r>
      <w:r>
        <w:t>о</w:t>
      </w:r>
      <w:r>
        <w:t>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2218"/>
        </w:tabs>
        <w:ind w:left="2880" w:right="1120" w:hanging="1620"/>
      </w:pPr>
      <w:r>
        <w:t>Статьи 2 и 3.</w:t>
      </w:r>
      <w:r>
        <w:tab/>
        <w:t xml:space="preserve">Меры по ликвидации дискриминации в отношении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14.</w:t>
      </w:r>
      <w:r>
        <w:tab/>
        <w:t>В течение длительного периода времени в Боснии и Герцеговине осущ</w:t>
      </w:r>
      <w:r>
        <w:t>е</w:t>
      </w:r>
      <w:r>
        <w:t>ствлялись широкомасштабные экономические и правовые реформы. Обеспеч</w:t>
      </w:r>
      <w:r>
        <w:t>е</w:t>
      </w:r>
      <w:r>
        <w:t>ние равенства женщин достигается путем укрепления их положения, улучш</w:t>
      </w:r>
      <w:r>
        <w:t>е</w:t>
      </w:r>
      <w:r>
        <w:t>ния их образования и их активного участия в процессе принятия решений во всех секторах общества. Даже в условиях обеспечения равного доступа к обр</w:t>
      </w:r>
      <w:r>
        <w:t>а</w:t>
      </w:r>
      <w:r>
        <w:t>зованию на всех уровнях это не свидетельствует о фактическом наличии ра</w:t>
      </w:r>
      <w:r>
        <w:t>в</w:t>
      </w:r>
      <w:r>
        <w:t>ных возможностей в отношении карьерного роста, выбора профессии, равной заработной платы, возможностей в отношении принятия решений и равного экономического статуса. Экономическое восстановление продвигается очень медленно, население Боснии и Герцеговины доведено до бедности отчасти из-за последствий войны, а отчасти из-за длительного переходного периода, и большинство нас</w:t>
      </w:r>
      <w:r>
        <w:t>е</w:t>
      </w:r>
      <w:r>
        <w:t>ления по-прежнему проживает в условиях больших лишений.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15.</w:t>
      </w:r>
      <w:r>
        <w:tab/>
        <w:t>Параллельно с подготовкой новых законов и положений Босния и Герц</w:t>
      </w:r>
      <w:r>
        <w:t>е</w:t>
      </w:r>
      <w:r>
        <w:t>говина приводит действующее законодательство в соответствие с законод</w:t>
      </w:r>
      <w:r>
        <w:t>а</w:t>
      </w:r>
      <w:r>
        <w:t>тельством Европейского союза. Этот динамичный процесс разработки новой законодательной системы создает возможность для пересмотра предлагаемых законов и других положений (положений, решений, постоянно действующих распоряжений, указов и инструкций), в частности возможность для включения в законы новых решений, которые позволят создать равные возможности во всех сферах жизни как для женщин, так и для мужчин. Наилучшим примером этого является вышеупомянутый Закон о равенстве между мужчинами и же</w:t>
      </w:r>
      <w:r>
        <w:t>н</w:t>
      </w:r>
      <w:r>
        <w:t>щинами в Боснии и Герцеговине, однако в других упомянутых законах также содержится этот компонент, в особенности в тех из них, которые были приняты в течение двух п</w:t>
      </w:r>
      <w:r>
        <w:t>о</w:t>
      </w:r>
      <w:r>
        <w:t>следних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16.</w:t>
      </w:r>
      <w:r>
        <w:tab/>
        <w:t>В пункте 5 статьи 3 Закона о равенстве между мужчинами и женщинами в Боснии и Герцеговины говорится о возможности административно-воспитательных мероприятий, которые не будут считаться дискриминацио</w:t>
      </w:r>
      <w:r>
        <w:t>н</w:t>
      </w:r>
      <w:r>
        <w:t>ными в тех случаях (дискриминация по признаку пола не считается нормой), когда объективно оправдано применение критериев или возможной практики для достижения законной цели соразмерно необходимым и оправданным пр</w:t>
      </w:r>
      <w:r>
        <w:t>и</w:t>
      </w:r>
      <w:r>
        <w:t>нятым мерам.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17.</w:t>
      </w:r>
      <w:r>
        <w:tab/>
        <w:t>Закон о равенстве между мужчинами и женщинами в Боснии и Герцег</w:t>
      </w:r>
      <w:r>
        <w:t>о</w:t>
      </w:r>
      <w:r>
        <w:t>вине предусматривает создание на государственном уровне в Боснии и Герц</w:t>
      </w:r>
      <w:r>
        <w:t>е</w:t>
      </w:r>
      <w:r>
        <w:t>говине агентства по вопросам равенства между мужчинами и женщинами, в з</w:t>
      </w:r>
      <w:r>
        <w:t>а</w:t>
      </w:r>
      <w:r>
        <w:t>дачи котор</w:t>
      </w:r>
      <w:r>
        <w:t>о</w:t>
      </w:r>
      <w:r>
        <w:t>го будет входить: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а)</w:t>
      </w:r>
      <w:r>
        <w:tab/>
        <w:t>разработка (государственного) Национального плана действий по пропагандированию равенства между мужчинами и женщинами на основе предложений всех государственных министерств и планов Центра по генде</w:t>
      </w:r>
      <w:r>
        <w:t>р</w:t>
      </w:r>
      <w:r>
        <w:t>ным вопросам Федерации Боснии и Герцеговины и Комиссии по гендерным вопросам Республики Сербской; министерство по правам человека и делам б</w:t>
      </w:r>
      <w:r>
        <w:t>е</w:t>
      </w:r>
      <w:r>
        <w:t>женцев будет ежегодно представлять национальные планы действий Совету министров для у</w:t>
      </w:r>
      <w:r>
        <w:t>т</w:t>
      </w:r>
      <w:r>
        <w:t>верждения;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b</w:t>
      </w:r>
      <w:r>
        <w:t>)</w:t>
      </w:r>
      <w:r>
        <w:tab/>
        <w:t>мониторинг осуществления и координация деятельности по всем с</w:t>
      </w:r>
      <w:r>
        <w:t>о</w:t>
      </w:r>
      <w:r>
        <w:t>ответствующим направлениям с национальным планом действий, указанным в пун</w:t>
      </w:r>
      <w:r>
        <w:t>к</w:t>
      </w:r>
      <w:r>
        <w:t>те 1 настоящей статьи;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c</w:t>
      </w:r>
      <w:r>
        <w:t>)</w:t>
      </w:r>
      <w:r>
        <w:tab/>
        <w:t>подготовка годового доклада об осуществлении мероприятий по предотвращению дискриминации по признаку пола в Боснии и Герцеговине, который будет основываться на докладах Центра по гендерным вопросам Ф</w:t>
      </w:r>
      <w:r>
        <w:t>е</w:t>
      </w:r>
      <w:r>
        <w:t>дерации Боснии и Герцеговины и Центра по гендерным вопросам Республики Сербской и представление его С</w:t>
      </w:r>
      <w:r>
        <w:t>о</w:t>
      </w:r>
      <w:r>
        <w:t>вету министров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d</w:t>
      </w:r>
      <w:r>
        <w:t>)</w:t>
      </w:r>
      <w:r>
        <w:tab/>
        <w:t>проведение анализа законов, других положений и документов общ</w:t>
      </w:r>
      <w:r>
        <w:t>е</w:t>
      </w:r>
      <w:r>
        <w:t>го характера, принятых Советом министров для отслеживания вопроса о р</w:t>
      </w:r>
      <w:r>
        <w:t>а</w:t>
      </w:r>
      <w:r>
        <w:t>венстве между мужчинами и женщинами и инициирования, на основе предл</w:t>
      </w:r>
      <w:r>
        <w:t>о</w:t>
      </w:r>
      <w:r>
        <w:t>жений министерства по правам человека и по делам беженцев, изменений и поправок к существующему законодательству Боснии и Герцеговины в соо</w:t>
      </w:r>
      <w:r>
        <w:t>т</w:t>
      </w:r>
      <w:r>
        <w:t>ветствии с международными соглашениями и положениями Европейского со</w:t>
      </w:r>
      <w:r>
        <w:t>ю</w:t>
      </w:r>
      <w:r>
        <w:t>за;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e</w:t>
      </w:r>
      <w:r>
        <w:t>)</w:t>
      </w:r>
      <w:r>
        <w:tab/>
        <w:t>разработка методологии оценки эффективности государственной п</w:t>
      </w:r>
      <w:r>
        <w:t>о</w:t>
      </w:r>
      <w:r>
        <w:t>литики и программ, касающихся обеспечения равенства между мужчинами и же</w:t>
      </w:r>
      <w:r>
        <w:t>н</w:t>
      </w:r>
      <w:r>
        <w:t>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f</w:t>
      </w:r>
      <w:r>
        <w:t>)</w:t>
      </w:r>
      <w:r>
        <w:tab/>
        <w:t>выполнение других задач и обязанностей в отношении поощрения равенства между мужчинами и женщинами и достижения целей эт</w:t>
      </w:r>
      <w:r>
        <w:t>о</w:t>
      </w:r>
      <w:r>
        <w:t>го закона.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До создания агентства контроль за осуществлением закона возлагается на министерство по правам человека и по делам беженцев.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b/>
        </w:rPr>
      </w:pPr>
      <w:r>
        <w:rPr>
          <w:b/>
        </w:rPr>
        <w:t>Защита женщин от любых актов дискриминации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lang w:val="en-US"/>
        </w:rPr>
      </w:pPr>
      <w:r>
        <w:t>18.</w:t>
      </w:r>
      <w:r>
        <w:tab/>
        <w:t>Босния и Герцеговина пока что не сформировала какого-либо специальн</w:t>
      </w:r>
      <w:r>
        <w:t>о</w:t>
      </w:r>
      <w:r>
        <w:t>го органа или службы, единственной обязанностью которых была бы защита женщин от любых форм дискриминации. Многие женщины стремятся пол</w:t>
      </w:r>
      <w:r>
        <w:t>у</w:t>
      </w:r>
      <w:r>
        <w:t>чить консультации в центрах по гендерным вопросам, особенно по вопросам, касающимся разводов, содержания себя за счет собственных средств и алиме</w:t>
      </w:r>
      <w:r>
        <w:t>н</w:t>
      </w:r>
      <w:r>
        <w:t>тов на ребенка после развода, занятости и трудовых отношений, а также секс</w:t>
      </w:r>
      <w:r>
        <w:t>у</w:t>
      </w:r>
      <w:r>
        <w:t>альных домогательств. Основывающаяся на трудовых отношениях дискрим</w:t>
      </w:r>
      <w:r>
        <w:t>и</w:t>
      </w:r>
      <w:r>
        <w:t>нациях трудно доказуема. В таких случаях Центр консультирует женщин об их правах и направляет их в органы, отвечающие за разрешение их проблем и з</w:t>
      </w:r>
      <w:r>
        <w:t>а</w:t>
      </w:r>
      <w:r>
        <w:t>щиту прав, которые были нарушены. Защита женщин дополнительно обесп</w:t>
      </w:r>
      <w:r>
        <w:t>е</w:t>
      </w:r>
      <w:r>
        <w:t>чивается через посредство института уполномоченного по правам человека в качестве дополнительного внесудебного органа для защиты женщин от ди</w:t>
      </w:r>
      <w:r>
        <w:t>с</w:t>
      </w:r>
      <w:r>
        <w:t>криминации на практике, которым является лицо, компетентность и ответс</w:t>
      </w:r>
      <w:r>
        <w:t>т</w:t>
      </w:r>
      <w:r>
        <w:t xml:space="preserve">венность которого не подлежат сомнению </w:t>
      </w:r>
      <w:r>
        <w:rPr>
          <w:lang w:val="en-US"/>
        </w:rPr>
        <w:t>(</w:t>
      </w:r>
      <w:r>
        <w:t>см</w:t>
      </w:r>
      <w:r>
        <w:rPr>
          <w:lang w:val="en-US"/>
        </w:rPr>
        <w:t xml:space="preserve">. </w:t>
      </w:r>
      <w:r>
        <w:t>документ</w:t>
      </w:r>
      <w:r>
        <w:rPr>
          <w:lang w:val="en-US"/>
        </w:rPr>
        <w:t xml:space="preserve"> HRI/CORE/1/Add.89/rev.1).</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b/>
        </w:rPr>
      </w:pPr>
      <w:r>
        <w:rPr>
          <w:b/>
        </w:rPr>
        <w:br w:type="page"/>
        <w:t>Меры по обеспечению всестороннего развития и улучшения положения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19.</w:t>
      </w:r>
      <w:r>
        <w:tab/>
        <w:t>Осуществление Конвенции о ликвидации всех форм дискриминации в о</w:t>
      </w:r>
      <w:r>
        <w:t>т</w:t>
      </w:r>
      <w:r>
        <w:t>ношении женщин и мониторинг ее осуществления являются одними из важных предварительных условий защиты и улучшения положения женщин. Одна из основных мер по улучшению положения женщин, а также созданию условий, в которых женщины могли бы пользоваться своими правами и иметь те же самые возможности и в тех же масштабах, что и мужчины, заключается в использов</w:t>
      </w:r>
      <w:r>
        <w:t>а</w:t>
      </w:r>
      <w:r>
        <w:t>нии их полного потенциала для участия в политическом, экономическом, соц</w:t>
      </w:r>
      <w:r>
        <w:t>и</w:t>
      </w:r>
      <w:r>
        <w:t>альном и культурном развитии и для пользования равными привилегиями в с</w:t>
      </w:r>
      <w:r>
        <w:t>о</w:t>
      </w:r>
      <w:r>
        <w:t>ответствии со своим вкладом, а также учета гендерных факторов в проводимой политике, осуществляемых программах и применяемых законах. В этих целях Центр по гендерным вопросам Федерации Боснии и Герцеговины в сотрудн</w:t>
      </w:r>
      <w:r>
        <w:t>и</w:t>
      </w:r>
      <w:r>
        <w:t>честве с Центром по гендерным вопросам Республики Сербской при поддер</w:t>
      </w:r>
      <w:r>
        <w:t>ж</w:t>
      </w:r>
      <w:r>
        <w:t>ке Независимого бюро по гуманитарным вопросам подготовил проект под н</w:t>
      </w:r>
      <w:r>
        <w:t>а</w:t>
      </w:r>
      <w:r>
        <w:t>званием "Равенство и справедливость в отношениях между мужчинами и же</w:t>
      </w:r>
      <w:r>
        <w:t>н</w:t>
      </w:r>
      <w:r>
        <w:t>щинами в Боснии и Герцеговины", в финансировании которого участвует пр</w:t>
      </w:r>
      <w:r>
        <w:t>а</w:t>
      </w:r>
      <w:r>
        <w:t>вительство Финляндской Республики. Цель проекта состоит в укреплении роли и ответственности Центра по гендерным вопросам, который в качестве прав</w:t>
      </w:r>
      <w:r>
        <w:t>и</w:t>
      </w:r>
      <w:r>
        <w:t>тельственного органа должен обеспечиваться финансовой и кадровой поддер</w:t>
      </w:r>
      <w:r>
        <w:t>ж</w:t>
      </w:r>
      <w:r>
        <w:t>кой, а также его работы в качестве учреждения, влияющего на принятие реш</w:t>
      </w:r>
      <w:r>
        <w:t>е</w:t>
      </w:r>
      <w:r>
        <w:t>ний, с тем чтобы он мог эффективным образом выполнять свои зад</w:t>
      </w:r>
      <w:r>
        <w:t>а</w:t>
      </w:r>
      <w:r>
        <w:t>чи.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20.</w:t>
      </w:r>
      <w:r>
        <w:tab/>
        <w:t>Цель проекта заключается также в развитии понимания вопросов раве</w:t>
      </w:r>
      <w:r>
        <w:t>н</w:t>
      </w:r>
      <w:r>
        <w:t>ства мужчин и женщин, с тем чтобы все лица, принимающие решения на всех уровнях правления, осознали необходимость учета вопросов гендерного раве</w:t>
      </w:r>
      <w:r>
        <w:t>н</w:t>
      </w:r>
      <w:r>
        <w:t>ства во всех процессах разработки политики, законов и решений, а также в расширении уровня участия женщин в работе структур, отвечающих за прин</w:t>
      </w:r>
      <w:r>
        <w:t>я</w:t>
      </w:r>
      <w:r>
        <w:t>тие р</w:t>
      </w:r>
      <w:r>
        <w:t>е</w:t>
      </w:r>
      <w:r>
        <w:t>шений политического характера.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соответствии с этим проектом правительства Образований создали це</w:t>
      </w:r>
      <w:r>
        <w:t>н</w:t>
      </w:r>
      <w:r>
        <w:t>тры по гендерным вопросам в качестве своих профессионально функцион</w:t>
      </w:r>
      <w:r>
        <w:t>и</w:t>
      </w:r>
      <w:r>
        <w:t>рующих служб. Центр по гендерным вопросам Федерации Боснии и Герцег</w:t>
      </w:r>
      <w:r>
        <w:t>о</w:t>
      </w:r>
      <w:r>
        <w:t>вины был создан в 2000 году, а Центр по гендерным вопросам Республики Сербской - в 2001 году. Два этих учреждения создали целую структуру для а</w:t>
      </w:r>
      <w:r>
        <w:t>к</w:t>
      </w:r>
      <w:r>
        <w:t>туализации гендерной проблематики, в которой работает порядка 200 человек, занимающихся гендерными вопросами. Эта структура включает представит</w:t>
      </w:r>
      <w:r>
        <w:t>е</w:t>
      </w:r>
      <w:r>
        <w:t>лей органов исполнительной власти всех уровней. Цель создания этой структ</w:t>
      </w:r>
      <w:r>
        <w:t>у</w:t>
      </w:r>
      <w:r>
        <w:t>ры заключается в предоставлении возможностей для вертикальной и горизо</w:t>
      </w:r>
      <w:r>
        <w:t>н</w:t>
      </w:r>
      <w:r>
        <w:t>тальной координации работы учреждений по актуализации гендерной пробл</w:t>
      </w:r>
      <w:r>
        <w:t>е</w:t>
      </w:r>
      <w:r>
        <w:t>матики.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21.</w:t>
      </w:r>
      <w:r>
        <w:tab/>
        <w:t>В структуре органов законодательной власти были сформированы парл</w:t>
      </w:r>
      <w:r>
        <w:t>а</w:t>
      </w:r>
      <w:r>
        <w:t>ментские комиссии по вопросам равенства мужчин и женщин в качестве раб</w:t>
      </w:r>
      <w:r>
        <w:t>о</w:t>
      </w:r>
      <w:r>
        <w:t>чих групп органов законодательной власти. В 1999 году на государственном уровне палата представителей Парламентской ассамблеи Боснии и Герцегов</w:t>
      </w:r>
      <w:r>
        <w:t>и</w:t>
      </w:r>
      <w:r>
        <w:t>ны создала Комиссию по вопросам обеспечения равенства между мужчинами и женщинами в Боснии и Герцеговине. На уровне Федерации в 2000 году палата представителей Скупщины Федерации Боснии и Герцеговины также создала свою Комиссию по вопросам равенства мужчин и женщин, а Народная ску</w:t>
      </w:r>
      <w:r>
        <w:t>п</w:t>
      </w:r>
      <w:r>
        <w:t>щина Республики Сербской образовала Комитет по вопросам социального п</w:t>
      </w:r>
      <w:r>
        <w:t>о</w:t>
      </w:r>
      <w:r>
        <w:t>ложения женщин и равенства мужчин и женщин. В конце 2002 года Центр по гендерным вопросам Федерации Боснии и Герцеговины инициировал деятел</w:t>
      </w:r>
      <w:r>
        <w:t>ь</w:t>
      </w:r>
      <w:r>
        <w:t>ность по созданию таких комиссий и на ка</w:t>
      </w:r>
      <w:r>
        <w:t>н</w:t>
      </w:r>
      <w:r>
        <w:t>тональном уровне.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22.</w:t>
      </w:r>
      <w:r>
        <w:tab/>
        <w:t>Все эти комиссии обладают аналогичными полномочиями, возлагающими на них обязанность за мониторинг издания положений и рассмотрения мат</w:t>
      </w:r>
      <w:r>
        <w:t>е</w:t>
      </w:r>
      <w:r>
        <w:t>риалов, определяющих политику в конкретных областях во всей парламен</w:t>
      </w:r>
      <w:r>
        <w:t>т</w:t>
      </w:r>
      <w:r>
        <w:t>ской деятельности или деятельности ассамблеи и скупщины, а также за разработку и предложение мер, которые обеспечат равный доступ как женщин, так и му</w:t>
      </w:r>
      <w:r>
        <w:t>ж</w:t>
      </w:r>
      <w:r>
        <w:t>чин к процессу развития.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23.</w:t>
      </w:r>
      <w:r>
        <w:tab/>
        <w:t>Парламентская ассамблея Боснии и Герцеговины приняла в 2002 году З</w:t>
      </w:r>
      <w:r>
        <w:t>а</w:t>
      </w:r>
      <w:r>
        <w:t>кон о выборах Боснии и Герцеговины, по которому на политические партии возлагается обязанность обеспечить, чтобы по меньшей мере одна треть ка</w:t>
      </w:r>
      <w:r>
        <w:t>н</w:t>
      </w:r>
      <w:r>
        <w:t>дидатов от "наименее представленного пола" входила в избирательный список кандидатов. В соответствии со статистическими данными за предыдущий п</w:t>
      </w:r>
      <w:r>
        <w:t>е</w:t>
      </w:r>
      <w:r>
        <w:t>риод женщины всегда были в меньшинстве в списке кандидатов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b/>
        </w:rPr>
        <w:t>Закон о Высшем судебном и прокурорском совете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24.</w:t>
      </w:r>
      <w:r>
        <w:tab/>
        <w:t>Критерии работы этого Совета предусматривают, что в случае отбора кандидатов на должности прокуроров и судей среди кандидатов с равной кв</w:t>
      </w:r>
      <w:r>
        <w:t>а</w:t>
      </w:r>
      <w:r>
        <w:t>лификацией и равным опытом и экспертными знаниями преимущество будет отдаваться кандидату от наименее представленного в этом учреждении на м</w:t>
      </w:r>
      <w:r>
        <w:t>о</w:t>
      </w:r>
      <w:r>
        <w:t>мент назначения пола.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25.</w:t>
      </w:r>
      <w:r>
        <w:tab/>
        <w:t>Совет министров принял План действий по борьбе с торговлей людьми, в котором, среди прочего, предусмотрены меры по повышению осведомленн</w:t>
      </w:r>
      <w:r>
        <w:t>о</w:t>
      </w:r>
      <w:r>
        <w:t>сти, а также меры по полной защите лиц, являющихся жертвами торговли людьми, в соответствии с принципами и международными стандартами в о</w:t>
      </w:r>
      <w:r>
        <w:t>б</w:t>
      </w:r>
      <w:r>
        <w:t>ласти прав человека. Министерству по правам человека и по делам беженцев были предоставлены полномочия для ведения деятельности, связанной с ос</w:t>
      </w:r>
      <w:r>
        <w:t>у</w:t>
      </w:r>
      <w:r>
        <w:t>ществлением и отслеживанием осуществления конвенций в области прав чел</w:t>
      </w:r>
      <w:r>
        <w:t>о</w:t>
      </w:r>
      <w:r>
        <w:t>века, а, следовательно, и конвенции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26.</w:t>
      </w:r>
      <w:r>
        <w:tab/>
        <w:t>Начало осуществлению этой инициативы было положено статистическ</w:t>
      </w:r>
      <w:r>
        <w:t>и</w:t>
      </w:r>
      <w:r>
        <w:t>ми учреждениями (агентством и двумя институтами Образований), и начиная с 2003 года все собранные этими институтами данные приводятся с разбивкой по признаку пола и публикуются в таком виде в их официальных изданиях. Это обязательство было предусмотрено в соответствии с новым Законом о равенс</w:t>
      </w:r>
      <w:r>
        <w:t>т</w:t>
      </w:r>
      <w:r>
        <w:t>ве между мужчинами и женщинами в Боснии и Герцеговины в отношении всех учреждений, уполномоченных заниматься сбором статистических данных (ст</w:t>
      </w:r>
      <w:r>
        <w:t>а</w:t>
      </w:r>
      <w:r>
        <w:t>тья 18 Закона). Статистические бюро приступили также к деятельности по сб</w:t>
      </w:r>
      <w:r>
        <w:t>о</w:t>
      </w:r>
      <w:r>
        <w:t>ру ряда новых данных, сбор которых ранее не проводился, с подразбивкой по признаку пола, что делается по инициативе и при поддержке центров по ге</w:t>
      </w:r>
      <w:r>
        <w:t>н</w:t>
      </w:r>
      <w:r>
        <w:t>дерным вопросам. Для выполнения обязательств, предписанных в соответс</w:t>
      </w:r>
      <w:r>
        <w:t>т</w:t>
      </w:r>
      <w:r>
        <w:t>вии с Законом о равенстве между мужчинами и женщинами в Боснии и Герц</w:t>
      </w:r>
      <w:r>
        <w:t>е</w:t>
      </w:r>
      <w:r>
        <w:t>говине, обязательство по сбору, систематизации и публикации всех данных с разбивкой по полу будет предусматриваться в существующих программах ст</w:t>
      </w:r>
      <w:r>
        <w:t>а</w:t>
      </w:r>
      <w:r>
        <w:t>тистических исследований, принимаемых парламентами Образований для всех статистич</w:t>
      </w:r>
      <w:r>
        <w:t>е</w:t>
      </w:r>
      <w:r>
        <w:t>ских учреждений всех уровней.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27.</w:t>
      </w:r>
      <w:r>
        <w:tab/>
        <w:t>Для улучшения осуществления законов и политики был инициирован проект реализации Закона о равенстве между мужчинами и женщинами. Пре</w:t>
      </w:r>
      <w:r>
        <w:t>д</w:t>
      </w:r>
      <w:r>
        <w:t>ложение по проекту было принято группой Организации Объединенных Н</w:t>
      </w:r>
      <w:r>
        <w:t>а</w:t>
      </w:r>
      <w:r>
        <w:t xml:space="preserve">ций, возглавляемой Программой развития Организации Объединенных Наций.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28.</w:t>
      </w:r>
      <w:r>
        <w:tab/>
        <w:t>Предусматривается, что проект будет охватывать всех участников его осуществления, включая как представителей законодательных органов гос</w:t>
      </w:r>
      <w:r>
        <w:t>у</w:t>
      </w:r>
      <w:r>
        <w:t>дарственных учреждений, так и представителей негосударственного сектора. В результате этого появится возможность укреплять сотрудничество между г</w:t>
      </w:r>
      <w:r>
        <w:t>о</w:t>
      </w:r>
      <w:r>
        <w:t>сударственным и н</w:t>
      </w:r>
      <w:r>
        <w:t>е</w:t>
      </w:r>
      <w:r>
        <w:t xml:space="preserve">государственным секторами.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pPr>
      <w:r>
        <w:tab/>
        <w:t>Осуществление проекта предусматривает несколько этапов и будет охватывать несколько областей: а) укрепление институциональных мех</w:t>
      </w:r>
      <w:r>
        <w:t>а</w:t>
      </w:r>
      <w:r>
        <w:t xml:space="preserve">низмов (агентства по вопросам равенства мужчин и женщин в Боснии и Герцеговины и центры по гендерным вопросам Образований); </w:t>
      </w:r>
      <w:r>
        <w:rPr>
          <w:lang w:val="en-US"/>
        </w:rPr>
        <w:t>b</w:t>
      </w:r>
      <w:r>
        <w:t>)</w:t>
      </w:r>
      <w:r>
        <w:rPr>
          <w:lang w:val="en-US"/>
        </w:rPr>
        <w:t> </w:t>
      </w:r>
      <w:r>
        <w:t>подготовка кадров в интересах учреждений, занимающихся реализац</w:t>
      </w:r>
      <w:r>
        <w:t>и</w:t>
      </w:r>
      <w:r>
        <w:t xml:space="preserve">ей Закона (судьи, прокуроры, сотрудники полиции, адвокаты); </w:t>
      </w:r>
      <w:r>
        <w:rPr>
          <w:lang w:val="en-US"/>
        </w:rPr>
        <w:t>c</w:t>
      </w:r>
      <w:r>
        <w:t>)</w:t>
      </w:r>
      <w:r>
        <w:rPr>
          <w:lang w:val="en-US"/>
        </w:rPr>
        <w:t> </w:t>
      </w:r>
      <w:r>
        <w:t>система образования в качестве специальной целевой области (для осуществл</w:t>
      </w:r>
      <w:r>
        <w:t>е</w:t>
      </w:r>
      <w:r>
        <w:t>ния реформ и Стратегии, подготовленной в рамках Проекта по обеспеч</w:t>
      </w:r>
      <w:r>
        <w:t>е</w:t>
      </w:r>
      <w:r>
        <w:t xml:space="preserve">нию равенства мужчин и женщин с целью учета гендерной концепции в системе образования); </w:t>
      </w:r>
      <w:r>
        <w:rPr>
          <w:lang w:val="en-US"/>
        </w:rPr>
        <w:t>d</w:t>
      </w:r>
      <w:r>
        <w:t>)</w:t>
      </w:r>
      <w:r>
        <w:rPr>
          <w:lang w:val="en-US"/>
        </w:rPr>
        <w:t> </w:t>
      </w:r>
      <w:r>
        <w:t>государственные административные органы (выполнение обязательств, вытекающих из Закона, и разработка проц</w:t>
      </w:r>
      <w:r>
        <w:t>е</w:t>
      </w:r>
      <w:r>
        <w:t xml:space="preserve">дур); </w:t>
      </w:r>
      <w:r>
        <w:rPr>
          <w:lang w:val="en-US"/>
        </w:rPr>
        <w:t>e</w:t>
      </w:r>
      <w:r>
        <w:t>)</w:t>
      </w:r>
      <w:r>
        <w:rPr>
          <w:lang w:val="en-US"/>
        </w:rPr>
        <w:t> </w:t>
      </w:r>
      <w:r>
        <w:t>кампания в СМИ.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Запланированы также мероприятия по разработке процедуры применения закона во всех предусмотренных в нем областях (общественная жизнь, полит</w:t>
      </w:r>
      <w:r>
        <w:t>и</w:t>
      </w:r>
      <w:r>
        <w:t>ческое представительство, занятость, социальная защита и охрана здоровья, защита от насилия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29.</w:t>
      </w:r>
      <w:r>
        <w:tab/>
        <w:t>В начале апреля 2003 года центры по гендерным вопросам начали работу по проекту учета принципов равенства в системе образования. Данный проект охватывает дошкольные учреждения и начальные и средние школы, благодаря чему он позволит учитывать гендерную концепцию в учебных планах и уче</w:t>
      </w:r>
      <w:r>
        <w:t>б</w:t>
      </w:r>
      <w:r>
        <w:t>никах. Кроме того, предусматривается разработка пособия по гендерным в</w:t>
      </w:r>
      <w:r>
        <w:t>о</w:t>
      </w:r>
      <w:r>
        <w:t>просам, а также обучение учителей и воспитателей. Данный проект является частью общей реформы системы образования, и его осуществление начнется в 2004/2005 учебном году. Его цель заключается во внедрении актуализации ге</w:t>
      </w:r>
      <w:r>
        <w:t>н</w:t>
      </w:r>
      <w:r>
        <w:t>дерной проблематики в системах образования, на первых порах при обучении в классах, где для преподавания по теме поощрения равенства между мужчинами и женщинами будет выделено по одному учебному часу в каждом семестре. На следующем этапе предусматривается проведение анализа учебников с точки зрения гендерных аспектов и приведение их в соответствие с общей реформой системы образования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30.</w:t>
      </w:r>
      <w:r>
        <w:tab/>
        <w:t>В сотрудничестве со статистическими учреждениями Образований це</w:t>
      </w:r>
      <w:r>
        <w:t>н</w:t>
      </w:r>
      <w:r>
        <w:t xml:space="preserve">тры по гендерным вопросам: </w:t>
      </w:r>
      <w:r>
        <w:rPr>
          <w:lang w:val="en-US"/>
        </w:rPr>
        <w:t>a</w:t>
      </w:r>
      <w:r>
        <w:t>)</w:t>
      </w:r>
      <w:r>
        <w:rPr>
          <w:lang w:val="en-US"/>
        </w:rPr>
        <w:t> </w:t>
      </w:r>
      <w:r>
        <w:t xml:space="preserve">провели исследование "Гендерный барометр", которое даст наглядную картину отношений между женщинами и мужчинами в общественной и частной жизни в Боснии и Герцеговине; </w:t>
      </w:r>
      <w:r>
        <w:rPr>
          <w:lang w:val="en-US"/>
        </w:rPr>
        <w:t>b</w:t>
      </w:r>
      <w:r>
        <w:t>)</w:t>
      </w:r>
      <w:r>
        <w:rPr>
          <w:lang w:val="en-US"/>
        </w:rPr>
        <w:t> </w:t>
      </w:r>
      <w:r>
        <w:t>начали проведение исследования о насилии в семье. На основе результатов этого исследования, опыта и заключений представителей негосударственного сектора в данной о</w:t>
      </w:r>
      <w:r>
        <w:t>б</w:t>
      </w:r>
      <w:r>
        <w:t>ласти будут предприняты инициативы по разработке правовых рамок, регул</w:t>
      </w:r>
      <w:r>
        <w:t>и</w:t>
      </w:r>
      <w:r>
        <w:t xml:space="preserve">рующих данную сферу; </w:t>
      </w:r>
      <w:r>
        <w:rPr>
          <w:lang w:val="en-US"/>
        </w:rPr>
        <w:t>c</w:t>
      </w:r>
      <w:r>
        <w:t>)</w:t>
      </w:r>
      <w:r>
        <w:rPr>
          <w:lang w:val="en-US"/>
        </w:rPr>
        <w:t> </w:t>
      </w:r>
      <w:r>
        <w:t>провели исследование по теме сексуальных домог</w:t>
      </w:r>
      <w:r>
        <w:t>а</w:t>
      </w:r>
      <w:r>
        <w:t>тельств в высших учебных заведениях и профсоюзах. Результаты этого иссл</w:t>
      </w:r>
      <w:r>
        <w:t>е</w:t>
      </w:r>
      <w:r>
        <w:t>дования помогут идентифицировать эти проблемы в контексте Боснии и Герц</w:t>
      </w:r>
      <w:r>
        <w:t>е</w:t>
      </w:r>
      <w:r>
        <w:t>говины и будут опубликованы в студенческих и молодежных журналах, а также в изданиях центров по гендерным вопросам. Результаты этих обследований и исследований существенно повлияли на улучшение практической работы це</w:t>
      </w:r>
      <w:r>
        <w:t>н</w:t>
      </w:r>
      <w:r>
        <w:t>тров по гендерным вопр</w:t>
      </w:r>
      <w:r>
        <w:t>о</w:t>
      </w:r>
      <w:r>
        <w:t xml:space="preserve">сам.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31.</w:t>
      </w:r>
      <w:r>
        <w:tab/>
        <w:t>По предложению Комиссии по гендерным вопросам муниципалитета Травника Центр по гендерным вопросам Федерации Боснии и Герцеговины инициировал процесс актуализации гендерной проблематики в местных общ</w:t>
      </w:r>
      <w:r>
        <w:t>и</w:t>
      </w:r>
      <w:r>
        <w:t>нах. При финансовой поддержке со стороны Проекта по обеспечению равенс</w:t>
      </w:r>
      <w:r>
        <w:t>т</w:t>
      </w:r>
      <w:r>
        <w:t>ва мужчин и женщин было открыто оснащенное компьютером бюро для же</w:t>
      </w:r>
      <w:r>
        <w:t>н</w:t>
      </w:r>
      <w:r>
        <w:t>щин в двух местных общинах. Это дало возможность привлечь большое число женщин к работе в органах местных общин. Результатом осуществления этой меры стали два проекта, которые были предложены женщинами и приняты и профинансированы муниципальным советом. Один проект носит экологич</w:t>
      </w:r>
      <w:r>
        <w:t>е</w:t>
      </w:r>
      <w:r>
        <w:t>ский характер и касается удаления отходов, а другой проект относится к сфере безопасности и касается электрификации мест расселения возвращающихся лиц. Центр по гендерным вопросам Республики Сербской открыл отделения в Баня-Луке, Приедоре, Градишке и Лакташи для рассмотрения вопросов раве</w:t>
      </w:r>
      <w:r>
        <w:t>н</w:t>
      </w:r>
      <w:r>
        <w:t>ства мужчин и женщин на уровне местных общин.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32.</w:t>
      </w:r>
      <w:r>
        <w:tab/>
        <w:t>Центры по гендерным вопросам Образований в сотрудничестве с мин</w:t>
      </w:r>
      <w:r>
        <w:t>и</w:t>
      </w:r>
      <w:r>
        <w:t>стерством по правам человека и по делам беженцев Боснии и Герцеговины и на основе Пекинской декларации начали процесс разработки Национального пл</w:t>
      </w:r>
      <w:r>
        <w:t>а</w:t>
      </w:r>
      <w:r>
        <w:t>на действий (НПД) с целью определения обязательств всех субъектов и пре</w:t>
      </w:r>
      <w:r>
        <w:t>д</w:t>
      </w:r>
      <w:r>
        <w:t>писанных сроков принятия конкретных мер по искоренению дискриминации женщин во всех сферах общественной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33.</w:t>
      </w:r>
      <w:r>
        <w:tab/>
        <w:t>Существует ряд препятствий, мешающих женщинам в полной мере разв</w:t>
      </w:r>
      <w:r>
        <w:t>и</w:t>
      </w:r>
      <w:r>
        <w:t>ваться и пользоваться основными свободами или равными правами. Традиция и культура разделения функций и обязанностей в семье существует издавна. Главная роль женщин заключается в воспитании детей и обустройстве семе</w:t>
      </w:r>
      <w:r>
        <w:t>й</w:t>
      </w:r>
      <w:r>
        <w:t>ной жизни, тогда как мужчины берут на себя заботу о материальном обеспеч</w:t>
      </w:r>
      <w:r>
        <w:t>е</w:t>
      </w:r>
      <w:r>
        <w:t>нии семьи. Девочки, как правило, менее образованны, чем мальчики. Особо подчеркивается проблема неграмотности среди женщин. В средних школах и в высших учебных заведениях женщины, как правило, предпочитают гуманита</w:t>
      </w:r>
      <w:r>
        <w:t>р</w:t>
      </w:r>
      <w:r>
        <w:t>ные науки, тогда как мужчины обычно предпочитают технические, естестве</w:t>
      </w:r>
      <w:r>
        <w:t>н</w:t>
      </w:r>
      <w:r>
        <w:t>ные и математические науки. Одним из важных препятствий является также правовая неграмотность или безграмотность женщин. В соответствии с трад</w:t>
      </w:r>
      <w:r>
        <w:t>и</w:t>
      </w:r>
      <w:r>
        <w:t>циями даже в случае занятости женщины занимаются той же работы, которой они занимаются и в семье. В большинстве случаев при обсуждении вопросов о профессиях и рабочих местах проводится четкое различие между "мужскими" и "женскими" профессиями. Женщины представлены в недостаточной степени или вообще не представлены в СМИ, а связанное с переходным периодом бр</w:t>
      </w:r>
      <w:r>
        <w:t>е</w:t>
      </w:r>
      <w:r>
        <w:t>мя в отношении занятости в о</w:t>
      </w:r>
      <w:r>
        <w:t>с</w:t>
      </w:r>
      <w:r>
        <w:t>новном коснулось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34.</w:t>
      </w:r>
      <w:r>
        <w:tab/>
        <w:t>Применение Закона о равенстве между мужчинами и женщинами в Бо</w:t>
      </w:r>
      <w:r>
        <w:t>с</w:t>
      </w:r>
      <w:r>
        <w:t>нии и Герцеговине должно сказаться на положении женщин в отношении их участия во всех сферах общественной жизни (экономической, культурной и т.д.). В процессе принятия этого закона участвовали женщины, предста</w:t>
      </w:r>
      <w:r>
        <w:t>в</w:t>
      </w:r>
      <w:r>
        <w:t>ляющие все сектора общественной жизни (проведение обсуждений за круглым столом, общественных прений, участие в рабочих группах и работе НПО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35.</w:t>
      </w:r>
      <w:r>
        <w:tab/>
        <w:t>В послевоенный период международные организации осуществили ряд мероприятий в целях расширения участия женщин во всех секторах общес</w:t>
      </w:r>
      <w:r>
        <w:t>т</w:t>
      </w:r>
      <w:r>
        <w:t>венной жизни. Организация по безопасности и сотрудничеству в Европе в с</w:t>
      </w:r>
      <w:r>
        <w:t>о</w:t>
      </w:r>
      <w:r>
        <w:t>трудничестве с сетью неправительственных организаций начала осуществл</w:t>
      </w:r>
      <w:r>
        <w:t>е</w:t>
      </w:r>
      <w:r>
        <w:t>ние проекта "Женщины в с</w:t>
      </w:r>
      <w:r>
        <w:t>о</w:t>
      </w:r>
      <w:r>
        <w:t>стоянии сделать это", в рамках которого женщины-кандидаты и женщины, избранные в законодательные и исполнительные орг</w:t>
      </w:r>
      <w:r>
        <w:t>а</w:t>
      </w:r>
      <w:r>
        <w:t>ны власти, проходят соответствующую подготовку. В 2001 году правительство Норвегии оказало поддержку этому проекту, и работа по нему продолжается. По состоянию на сер</w:t>
      </w:r>
      <w:r>
        <w:t>е</w:t>
      </w:r>
      <w:r>
        <w:t>дину 2003 года проектом было охвачено 2500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36.</w:t>
      </w:r>
      <w:r>
        <w:tab/>
        <w:t>Власти Боснии и Герцеговины вместе с представителями негосударстве</w:t>
      </w:r>
      <w:r>
        <w:t>н</w:t>
      </w:r>
      <w:r>
        <w:t>ного сектора провели ряд мероприятий по анализу существующих законов для обеспечения надлежащей защиты женщин и детей в соответствии с междун</w:t>
      </w:r>
      <w:r>
        <w:t>а</w:t>
      </w:r>
      <w:r>
        <w:t>родными стандартами. Были сформированы рабочие группы, состоящие из экспертов от государственного и негосударственного секторов, среди которых были как ученые, так и прихожане, которые провели анализ уголовного зак</w:t>
      </w:r>
      <w:r>
        <w:t>о</w:t>
      </w:r>
      <w:r>
        <w:t>нодательства Боснии и Герцеговины и семейного кодекса и направили свои з</w:t>
      </w:r>
      <w:r>
        <w:t>а</w:t>
      </w:r>
      <w:r>
        <w:t>мечания компетентным учреждениям, которые учли их в упомянутых законах. В настоящее время формируется новая рабочая группа, которая будет работать над текстом закона о запрещении нас</w:t>
      </w:r>
      <w:r>
        <w:t>и</w:t>
      </w:r>
      <w:r>
        <w:t>лия в семье.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b/>
        </w:rPr>
      </w:pPr>
      <w:r>
        <w:rPr>
          <w:b/>
        </w:rPr>
        <w:t>Судебная защита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37.</w:t>
      </w:r>
      <w:r>
        <w:tab/>
        <w:t>Если будет сочтено, что в результате решения, отдельного акта или дейс</w:t>
      </w:r>
      <w:r>
        <w:t>т</w:t>
      </w:r>
      <w:r>
        <w:t>вий сотрудника административного органа или ответственного работника у</w:t>
      </w:r>
      <w:r>
        <w:t>ч</w:t>
      </w:r>
      <w:r>
        <w:t>реждения имело место нарушение гарантированных Конституцией прав (вкл</w:t>
      </w:r>
      <w:r>
        <w:t>ю</w:t>
      </w:r>
      <w:r>
        <w:t>чая дискриминацию по признаку пола и нарушение принципа равенства перед законом), что противоречит законам и препятствует осуществлению этих прав и ограничивает их, то это может послужить основанием для инициирования судебного разбирательства в суде надлежащей юрисдикции. Предложения в о</w:t>
      </w:r>
      <w:r>
        <w:t>т</w:t>
      </w:r>
      <w:r>
        <w:t>ношении защиты гарантированных Конституцией прав могут представляться до тех пор, пока подобная деятельность продолжается, а суд надлежащей юрисдикции Боснии и Герцеговины принимает решение по этому вопросу с учетом того, о каком учреждении идет речь. Подобные дела рассматриваются в рамках ускоре</w:t>
      </w:r>
      <w:r>
        <w:t>н</w:t>
      </w:r>
      <w:r>
        <w:t xml:space="preserve">ной процедуры.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38.</w:t>
      </w:r>
      <w:r>
        <w:tab/>
        <w:t>После получения предложения, в зависимости от обстоятельств дела и после рассмотрения его обоснованности, суд может принять решение о запрете продолжения подобных действий. Если информация является вполне обосн</w:t>
      </w:r>
      <w:r>
        <w:t>о</w:t>
      </w:r>
      <w:r>
        <w:t>ванной, суд может принимать решение по предложению немедленно, без пре</w:t>
      </w:r>
      <w:r>
        <w:t>д</w:t>
      </w:r>
      <w:r>
        <w:t>варительного направления запроса в компетентный орган. Важно отметить, что обжалование такого решения не влечет за собой приостановку его осуществл</w:t>
      </w:r>
      <w:r>
        <w:t>е</w:t>
      </w:r>
      <w:r>
        <w:t>ния. Если орган не обеспечит исполнение решения в указанные сроки, то суд обладает компетенцией в отношении конкретного приведения в исполнение с</w:t>
      </w:r>
      <w:r>
        <w:t>у</w:t>
      </w:r>
      <w:r>
        <w:t>дебного решения или косвенного его исполнения через посредство другого с</w:t>
      </w:r>
      <w:r>
        <w:t>у</w:t>
      </w:r>
      <w:r>
        <w:t>да. Помимо этих полномочий суд может рекомендовать компетентному органу снять ответственного работника с должности и может при необходимости н</w:t>
      </w:r>
      <w:r>
        <w:t>а</w:t>
      </w:r>
      <w:r>
        <w:t>ложить денежный штраф на это лицо, а также применить к нему другие аде</w:t>
      </w:r>
      <w:r>
        <w:t>к</w:t>
      </w:r>
      <w:r>
        <w:t>ватные меры (запрет на работу в административных орг</w:t>
      </w:r>
      <w:r>
        <w:t>а</w:t>
      </w:r>
      <w:r>
        <w:t>нах).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39.</w:t>
      </w:r>
      <w:r>
        <w:tab/>
        <w:t>В статье 19 Закона о равенстве между мужчинами и женщинами в Боснии и Герцеговины судебная защита определена следующим образом: "Каждый ч</w:t>
      </w:r>
      <w:r>
        <w:t>е</w:t>
      </w:r>
      <w:r>
        <w:t>ловек, чье гарантируемое этим законом право было нарушено, может возбудить соответствующее разбирательство в суде надлежащей юрисдикции. Исковое заявление может быть подано в суд надлежащей юрисдикции до завершения разбирательства или даже без инициирования разбирательства о защите от н</w:t>
      </w:r>
      <w:r>
        <w:t>а</w:t>
      </w:r>
      <w:r>
        <w:t xml:space="preserve">нимателя. </w:t>
      </w:r>
      <w:r>
        <w:tab/>
        <w:t>При толковании статьи 20 вышеупомянутого закона бремя доказ</w:t>
      </w:r>
      <w:r>
        <w:t>а</w:t>
      </w:r>
      <w:r>
        <w:t>тельства возлагается не на пострадавшую сторону, а на ответчика, что является также одной из мер защиты в плане более эффективного осуществления прав, в первую очередь женщин, которые чаще всего становятся поте</w:t>
      </w:r>
      <w:r>
        <w:t>р</w:t>
      </w:r>
      <w:r>
        <w:t xml:space="preserve">певшими.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0"/>
          <w:tab w:val="left" w:pos="184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76"/>
        <w:rPr>
          <w:b/>
        </w:rPr>
      </w:pPr>
      <w:r>
        <w:rPr>
          <w:b/>
        </w:rPr>
        <w:t>Санкции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40.</w:t>
      </w:r>
      <w:r>
        <w:tab/>
        <w:t>В статье 27 Закона о равенстве между мужчинами и женщинами в Боснии и Герцеговине предусмотрены следующие санкции: "Лица, виновные в сове</w:t>
      </w:r>
      <w:r>
        <w:t>р</w:t>
      </w:r>
      <w:r>
        <w:t>шении актов насилия по признаку пола, притеснениях и сексуальных домог</w:t>
      </w:r>
      <w:r>
        <w:t>а</w:t>
      </w:r>
      <w:r>
        <w:t>тельствах, описанных в положениях статьи 4 настоящего Закона, подлежат н</w:t>
      </w:r>
      <w:r>
        <w:t>а</w:t>
      </w:r>
      <w:r>
        <w:t>казанию в виде тюремного заключения сроком от шести месяцев до пяти лет. Обвинение базируется на факте выполнения служебных обязанностей". В статье 28 предусмотрены штрафные санкции: "Юридическое лицо подверг</w:t>
      </w:r>
      <w:r>
        <w:t>а</w:t>
      </w:r>
      <w:r>
        <w:t>ется штрафным санкциям в сумме от 1000 конв. марок до 30 000 конв. марок за с</w:t>
      </w:r>
      <w:r>
        <w:t>о</w:t>
      </w:r>
      <w:r>
        <w:t>вершение правонарушения, если оно: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a</w:t>
      </w:r>
      <w:r>
        <w:t>)</w:t>
      </w:r>
      <w:r>
        <w:tab/>
        <w:t>не приняло адекватных мер и не задействовало эффективные мех</w:t>
      </w:r>
      <w:r>
        <w:t>а</w:t>
      </w:r>
      <w:r>
        <w:t>низмы защиты от дискриминации по признаку пола, притеснений и сексуал</w:t>
      </w:r>
      <w:r>
        <w:t>ь</w:t>
      </w:r>
      <w:r>
        <w:t>ных д</w:t>
      </w:r>
      <w:r>
        <w:t>о</w:t>
      </w:r>
      <w:r>
        <w:t>могательств;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b</w:t>
      </w:r>
      <w:r>
        <w:t>)</w:t>
      </w:r>
      <w:r>
        <w:tab/>
        <w:t>не приняло мер по искоренению и предотвращению запрещенной дискриминации по признаку пола в рамках занятости и трудовых отношений, как это определено в статьях 7 и 8 настоящего закона;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c</w:t>
      </w:r>
      <w:r>
        <w:t>)</w:t>
      </w:r>
      <w:r>
        <w:tab/>
        <w:t>не обеспечило подготовку учебных планов и методологий в учебных заведениях, которые гарантировали бы искоренение стереотипных представл</w:t>
      </w:r>
      <w:r>
        <w:t>е</w:t>
      </w:r>
      <w:r>
        <w:t>ний, что привело к дискриминации и неравенству между мужчинами и женщ</w:t>
      </w:r>
      <w:r>
        <w:t>и</w:t>
      </w:r>
      <w:r>
        <w:t xml:space="preserve">нами;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d</w:t>
      </w:r>
      <w:r>
        <w:t>)</w:t>
      </w:r>
      <w:r>
        <w:tab/>
        <w:t>не осуществило разбивку по признаку пола статистических данных и информации, сбор, регистрация и анализ которых осуществляю</w:t>
      </w:r>
      <w:r>
        <w:t>т</w:t>
      </w:r>
      <w:r>
        <w:t>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e</w:t>
      </w:r>
      <w:r>
        <w:t>)</w:t>
      </w:r>
      <w:r>
        <w:tab/>
        <w:t>не допустило введения контроля за публичным доступом к статист</w:t>
      </w:r>
      <w:r>
        <w:t>и</w:t>
      </w:r>
      <w:r>
        <w:t>ческим данным, полученным в соответствии с настоящим Зак</w:t>
      </w:r>
      <w:r>
        <w:t>о</w:t>
      </w:r>
      <w:r>
        <w:t>ном;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f</w:t>
      </w:r>
      <w:r>
        <w:t>)</w:t>
      </w:r>
      <w:r>
        <w:tab/>
        <w:t>публично представляет какое-либо лицо оскорбительным, униз</w:t>
      </w:r>
      <w:r>
        <w:t>и</w:t>
      </w:r>
      <w:r>
        <w:t>тельным или уничижительным образом в отношении пола этого л</w:t>
      </w:r>
      <w:r>
        <w:t>и</w:t>
      </w:r>
      <w:r>
        <w:t>ца.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41.</w:t>
      </w:r>
      <w:r>
        <w:tab/>
        <w:t>За совершение нарушения в соответствии с пунктом 1 настоящей статьи штрафные санкции в размере от 100 конв. марок до 1000 конв. марок могут н</w:t>
      </w:r>
      <w:r>
        <w:t>а</w:t>
      </w:r>
      <w:r>
        <w:t>лагаться на ответственных должностных лиц в рамках данного правового суб</w:t>
      </w:r>
      <w:r>
        <w:t>ъ</w:t>
      </w:r>
      <w:r>
        <w:t>екта, а также на лиц, исполняющих свою работу с использованием ресурсов, принадлежащих гражданам. Положения настоящей статьи не могут истолков</w:t>
      </w:r>
      <w:r>
        <w:t>ы</w:t>
      </w:r>
      <w:r>
        <w:t>ваться как ограничивающие или уменьшающие право на разбирательство в уголовном или административном порядке в соответствии с предписанными настоящим законом условиями. На основе вышесказанного можно сделать сл</w:t>
      </w:r>
      <w:r>
        <w:t>е</w:t>
      </w:r>
      <w:r>
        <w:t>дующий вывод: государство Босния и Герцеговина принимает меры по обесп</w:t>
      </w:r>
      <w:r>
        <w:t>е</w:t>
      </w:r>
      <w:r>
        <w:t>чению равенства женщин и мужчин в Боснии и Герцеговине. Эти меры связаны с подготовкой законов и других положений с целью приведения внутреннего законодательства в соответствие с законодательством ЕС. Создание агентства по вопросам равенства между мужчинами и женщинами в Боснии и Герцегов</w:t>
      </w:r>
      <w:r>
        <w:t>и</w:t>
      </w:r>
      <w:r>
        <w:t>не практически означает введение механизма для обеспечения более надежной защиты. Подобные активные меры принимались в тех областях, где такие меры необходимы для улучшения положения женщин в Боснии и Герцег</w:t>
      </w:r>
      <w:r>
        <w:t>о</w:t>
      </w:r>
      <w:r>
        <w:t>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Что касается организации и функционирования центров по гендерным вопросам в Образованиях Федерации Боснии и Герцеговины и Республики Сербской, то их главная задача заключается, наряду с другими видами де</w:t>
      </w:r>
      <w:r>
        <w:t>я</w:t>
      </w:r>
      <w:r>
        <w:t>тельности, в учете вопросов обеспечения равенства между мужчинами и же</w:t>
      </w:r>
      <w:r>
        <w:t>н</w:t>
      </w:r>
      <w:r>
        <w:t>щинами в законах, программах и п</w:t>
      </w:r>
      <w:r>
        <w:t>о</w:t>
      </w:r>
      <w:r>
        <w:t>литике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2218"/>
          <w:tab w:val="left" w:pos="2693"/>
        </w:tabs>
        <w:ind w:left="2700" w:right="1120" w:hanging="1440"/>
      </w:pPr>
      <w:r>
        <w:t>Статья 4.</w:t>
      </w:r>
      <w:r>
        <w:tab/>
        <w:t>Поощрение равенства между женщинами и мужчинами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42.</w:t>
      </w:r>
      <w:r>
        <w:tab/>
        <w:t>Босния и Герцеговина достигла значительного прогресса в гарантиров</w:t>
      </w:r>
      <w:r>
        <w:t>а</w:t>
      </w:r>
      <w:r>
        <w:t>нии правового равенства для женщин, поскольку де-юре не существует препя</w:t>
      </w:r>
      <w:r>
        <w:t>т</w:t>
      </w:r>
      <w:r>
        <w:t>ствий для улучшения положения женщин в обществе и их самоутверждения. Судя по статистическим данным, в отдельных областях жизни условия де</w:t>
      </w:r>
      <w:r>
        <w:noBreakHyphen/>
        <w:t>факто свидетельствуют о том, что положение женщин в обществе Боснии и Герцеговины характеризуется стагнацией, в особенности в послевоенный п</w:t>
      </w:r>
      <w:r>
        <w:t>е</w:t>
      </w:r>
      <w:r>
        <w:t>риод, а их участие в общественной жизни уменьшилось до столь низкого уро</w:t>
      </w:r>
      <w:r>
        <w:t>в</w:t>
      </w:r>
      <w:r>
        <w:t>ня, что это вызывает тревогу. Однако, хотя темпы экономического развития и улучшения положения женщин в негосударственном секторе и в сфере общес</w:t>
      </w:r>
      <w:r>
        <w:t>т</w:t>
      </w:r>
      <w:r>
        <w:t>венной жизни и являются медленными, в некоторых сферах общественной жизни условия улучшаются более быстро, а в отдельных сферах общественной жизни, в частности в деле укрепления политического влияния женщин и более равноправного участия женщин во всех формах организации органов власти в Боснии и Герцеговине, женщинам удалось значительно улучшить свое полож</w:t>
      </w:r>
      <w:r>
        <w:t>е</w:t>
      </w:r>
      <w:r>
        <w:t>ние. По трудовому законодательству Боснии и Герцеговины женщинам и ранее гарантировалась равная оплата за равный труд, а специальные меры по охране материнства, здоровья и социальной защите принимались на основе тех же принципов.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b/>
        </w:rPr>
      </w:pPr>
      <w:r>
        <w:rPr>
          <w:b/>
        </w:rPr>
        <w:t>Охрана материнства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43.</w:t>
      </w:r>
      <w:r>
        <w:tab/>
        <w:t>Положения законов Образований о труде гарантируют специальную з</w:t>
      </w:r>
      <w:r>
        <w:t>а</w:t>
      </w:r>
      <w:r>
        <w:t xml:space="preserve">щиту женщин и охрану материнства и касаются следующего: </w:t>
      </w:r>
      <w:r>
        <w:rPr>
          <w:lang w:val="en-US"/>
        </w:rPr>
        <w:t>a</w:t>
      </w:r>
      <w:r>
        <w:t>)</w:t>
      </w:r>
      <w:r>
        <w:rPr>
          <w:lang w:val="en-US"/>
        </w:rPr>
        <w:t> </w:t>
      </w:r>
      <w:r>
        <w:t xml:space="preserve">запрета на применение труда женщин на подземных работах в шахтах; </w:t>
      </w:r>
      <w:r>
        <w:rPr>
          <w:lang w:val="en-US"/>
        </w:rPr>
        <w:t>b</w:t>
      </w:r>
      <w:r>
        <w:t>)</w:t>
      </w:r>
      <w:r>
        <w:rPr>
          <w:lang w:val="en-US"/>
        </w:rPr>
        <w:t> </w:t>
      </w:r>
      <w:r>
        <w:t>запрета дискр</w:t>
      </w:r>
      <w:r>
        <w:t>и</w:t>
      </w:r>
      <w:r>
        <w:t>минации женщин при занятости или увольнении с работы по причинам бер</w:t>
      </w:r>
      <w:r>
        <w:t>е</w:t>
      </w:r>
      <w:r>
        <w:t xml:space="preserve">менности или использования отпуска по беременности и родам; </w:t>
      </w:r>
      <w:r>
        <w:rPr>
          <w:lang w:val="en-US"/>
        </w:rPr>
        <w:t>c</w:t>
      </w:r>
      <w:r>
        <w:t>)</w:t>
      </w:r>
      <w:r>
        <w:rPr>
          <w:lang w:val="en-US"/>
        </w:rPr>
        <w:t> </w:t>
      </w:r>
      <w:r>
        <w:t>права на временный отпуск в период беременности и кормления грудью по рекоменд</w:t>
      </w:r>
      <w:r>
        <w:t>а</w:t>
      </w:r>
      <w:r>
        <w:t xml:space="preserve">ции уполномоченного врача; </w:t>
      </w:r>
      <w:r>
        <w:rPr>
          <w:lang w:val="en-US"/>
        </w:rPr>
        <w:t>d</w:t>
      </w:r>
      <w:r>
        <w:t>)</w:t>
      </w:r>
      <w:r>
        <w:rPr>
          <w:lang w:val="en-US"/>
        </w:rPr>
        <w:t> </w:t>
      </w:r>
      <w:r>
        <w:t>отпуска по беременности и родам продолж</w:t>
      </w:r>
      <w:r>
        <w:t>и</w:t>
      </w:r>
      <w:r>
        <w:t>тельностью один год, а в случае рождения близнецов, третьего ребенка и п</w:t>
      </w:r>
      <w:r>
        <w:t>о</w:t>
      </w:r>
      <w:r>
        <w:t xml:space="preserve">следующих детей - продолжительностью 18 месяцев; </w:t>
      </w:r>
      <w:r>
        <w:rPr>
          <w:lang w:val="en-US"/>
        </w:rPr>
        <w:t>e</w:t>
      </w:r>
      <w:r>
        <w:t>)</w:t>
      </w:r>
      <w:r>
        <w:rPr>
          <w:lang w:val="en-US"/>
        </w:rPr>
        <w:t> </w:t>
      </w:r>
      <w:r>
        <w:t>права женщин на во</w:t>
      </w:r>
      <w:r>
        <w:t>з</w:t>
      </w:r>
      <w:r>
        <w:t xml:space="preserve">вращение на работу до окончания отпуска по беременности и родам и права женщин на дополнительный отгул, помимо ежедневного перерыва на 60 минут для кормления ребенка грудью; </w:t>
      </w:r>
      <w:r>
        <w:rPr>
          <w:lang w:val="en-US"/>
        </w:rPr>
        <w:t>f</w:t>
      </w:r>
      <w:r>
        <w:t>)</w:t>
      </w:r>
      <w:r>
        <w:rPr>
          <w:lang w:val="en-US"/>
        </w:rPr>
        <w:t> </w:t>
      </w:r>
      <w:r>
        <w:t>права женщин на более короткий рабочий день после окончания отпуска по беременности и родам для ухода за ребенком в соответствии с заключением и рекомендацией уполномоченного врача (ст</w:t>
      </w:r>
      <w:r>
        <w:t>а</w:t>
      </w:r>
      <w:r>
        <w:t>тьи 70-79 закона).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44.</w:t>
      </w:r>
      <w:r>
        <w:tab/>
        <w:t>Запрет на вредную для женщин работу в качестве предварительной меры был введен в соответствии с Законом о труде и Законом о защите на работе с целью охраны женщин и их здоровья в период исключительных обстоятельств и связан с запрещением сверхурочной работы для беременных женщин и мат</w:t>
      </w:r>
      <w:r>
        <w:t>е</w:t>
      </w:r>
      <w:r>
        <w:t>рей с детьми в возрасте до трех лет, запрещением работы в ночную смену для беременных женщин начиная с шестого месяца беременности и матерей с детьми до одного года. Для охраны здоровья женщин в Законе о труде пред</w:t>
      </w:r>
      <w:r>
        <w:t>у</w:t>
      </w:r>
      <w:r>
        <w:t>смотрена постоянная мера по запрету применения труда женщин на подземных работах в шахтах, за исключением тех случаев, когда женщина занимает рук</w:t>
      </w:r>
      <w:r>
        <w:t>о</w:t>
      </w:r>
      <w:r>
        <w:t>водящую должность, не требующую физического труда, или работает в слу</w:t>
      </w:r>
      <w:r>
        <w:t>ж</w:t>
      </w:r>
      <w:r>
        <w:t>бах здравоохранения и социальной защиты. Запрет на вредную работу или п</w:t>
      </w:r>
      <w:r>
        <w:t>о</w:t>
      </w:r>
      <w:r>
        <w:t>ложения о запрете на такую работу соответствуют следующим конвенциям Международной организации труда: Конвенция № 3 о труде женщин до и после родов от 1919 года, Конвенция № 103 об охране материнства от 1952 года, Ко</w:t>
      </w:r>
      <w:r>
        <w:t>н</w:t>
      </w:r>
      <w:r>
        <w:t>венция № 45 о применении труда женщин на подземных работах в шахтах л</w:t>
      </w:r>
      <w:r>
        <w:t>ю</w:t>
      </w:r>
      <w:r>
        <w:t>бого рода от 1935 года и Конвенция № 89 о ночном труде женщин в промы</w:t>
      </w:r>
      <w:r>
        <w:t>ш</w:t>
      </w:r>
      <w:r>
        <w:t>ленности, пересмотренная в 1948 году, положения которых включены в законы Боснии и Герцеговины. Охрана беременных женщин и детей полностью рег</w:t>
      </w:r>
      <w:r>
        <w:t>у</w:t>
      </w:r>
      <w:r>
        <w:t>лируется законами. Закон о труде регулирует охрану и права работающих б</w:t>
      </w:r>
      <w:r>
        <w:t>е</w:t>
      </w:r>
      <w:r>
        <w:t>ременных женщин, а закон о защите детей регулирует и устанавливает права детей и неработающих беременных женщин. Основные права работающих б</w:t>
      </w:r>
      <w:r>
        <w:t>е</w:t>
      </w:r>
      <w:r>
        <w:t>ременных женщин сводятся к следующему: предоставление консультационных услуг женщинам в качестве одного из путей поддержки осуществления же</w:t>
      </w:r>
      <w:r>
        <w:t>н</w:t>
      </w:r>
      <w:r>
        <w:t>щинами своих прав законами не предусмотрено, но эта работа возлагается на организации, занимающиеся поощрением и защитой прав женщин в качестве неправительственных организаций, целенаправленно занимающихся работой по оказанию поддержки женщинам.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40"/>
      </w:pPr>
      <w:r>
        <w:t>45.</w:t>
      </w:r>
      <w:r>
        <w:tab/>
        <w:t>Растущие масштабы насилия в отношении женщин являются одной из крупнейших проблем в Боснии и Герцеговине в связи с поощрением и защитой прав женщин. Реформирование законов в области уголовного законодательства способствовало принятию мер по предотвращению насилия в отношении же</w:t>
      </w:r>
      <w:r>
        <w:t>н</w:t>
      </w:r>
      <w:r>
        <w:t>щин, но рамки для обеспечения лучшей и более эффективной защиты пока что не разработаны ввиду того, что изменение законодательных рамок не дало во</w:t>
      </w:r>
      <w:r>
        <w:t>з</w:t>
      </w:r>
      <w:r>
        <w:t>можности для законодательного оформления временных мер по более эффе</w:t>
      </w:r>
      <w:r>
        <w:t>к</w:t>
      </w:r>
      <w:r>
        <w:t>тивной защите женщин от насилия, и того, что практика защиты женщин на основе новых принципов пока что разработана в недостаточной степени.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40"/>
      </w:pPr>
      <w:r>
        <w:t>46.</w:t>
      </w:r>
      <w:r>
        <w:tab/>
        <w:t>Рациональной мерой, способствующей улучшению положения в данной области, стало введение телефонных линий для оказания чрезвычайной пом</w:t>
      </w:r>
      <w:r>
        <w:t>о</w:t>
      </w:r>
      <w:r>
        <w:t>щи жертвам насилия, которые функционируют почти во всех крупных городах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b/>
        </w:rPr>
      </w:pPr>
      <w:r>
        <w:rPr>
          <w:b/>
        </w:rPr>
        <w:t>Приюты и деятельность, связанная с торговлей людьми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40"/>
      </w:pPr>
      <w:r>
        <w:t>47.</w:t>
      </w:r>
      <w:r>
        <w:tab/>
        <w:t>Ранее Босния и Герцеговина не имела опыта борьбы с торговлей людьми, с которой она столкнулась в период после 1996 года. Босния и Герцеговина приняла План действий по предотвращению торговли людьми в Боснии и Ге</w:t>
      </w:r>
      <w:r>
        <w:t>р</w:t>
      </w:r>
      <w:r>
        <w:t>цеговине и образовала Государственную комиссию для мониторинга осущест</w:t>
      </w:r>
      <w:r>
        <w:t>в</w:t>
      </w:r>
      <w:r>
        <w:t>ления Плана действий по предотвращению торговли людьми в Боснии и Герц</w:t>
      </w:r>
      <w:r>
        <w:t>е</w:t>
      </w:r>
      <w:r>
        <w:t>говине. В министерствах внутренних дел Образований были созданы целевые рабочие группы по предотвращению торговли людьми и проституции, а также группы СТОП, куда вошли представители министерств внутренних дел и ме</w:t>
      </w:r>
      <w:r>
        <w:t>ж</w:t>
      </w:r>
      <w:r>
        <w:t>дународного сообщества - Европейской полиции.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40"/>
      </w:pPr>
      <w:r>
        <w:t>48.</w:t>
      </w:r>
      <w:r>
        <w:tab/>
        <w:t>Для искоренения торговли людьми в Боснии и Герцеговине и принятия более активных и эффективных мер Совет министров Боснии и Герцеговины ввел в июне 2003 года должность Государственного координатора для Боснии и Герцеговины. Министерство по правам человека и по делам беженцев оказало поддержку восьми местным неправительственным организациям, обладающим потенциалом для проявления заботы о жертвах торговли людьми в Боснии и Герцеговине (которые в состоянии оказывать содействие потерпевшим в кол</w:t>
      </w:r>
      <w:r>
        <w:t>и</w:t>
      </w:r>
      <w:r>
        <w:t>честве до 100 человек) и заключило с ними протокол о сотрудничестве. На</w:t>
      </w:r>
      <w:r>
        <w:t>и</w:t>
      </w:r>
      <w:r>
        <w:t>большая проблема заключается в отсутствии финансовых ресурсов для осущ</w:t>
      </w:r>
      <w:r>
        <w:t>е</w:t>
      </w:r>
      <w:r>
        <w:t>ствления плана действий, подготовленного властями Боснии и Герцеговины. Для обеспечения надлежащей защиты жертв торговли людьми была издана временная инструкция об обращении с жертвами торговли людьми, главная цель которой заключается в предотвращении дискриминации и защите жертв (женщин и девочек, которые наиболее часто становятся жертвами этого вида организованной преступности). Уже подготовлен план работы на год (на 2003 год), и его цель заключается в подключении и укреплении потенциала вновь образованного министерства безопасности Боснии и Герцеговины, кот</w:t>
      </w:r>
      <w:r>
        <w:t>о</w:t>
      </w:r>
      <w:r>
        <w:t>рое отвечает за координацию с министерствами внутренних дел Образований и ведение деятельности по предотвращению организованной преступности и торговли людьми.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40"/>
        <w:rPr>
          <w:b/>
        </w:rPr>
      </w:pPr>
      <w:r>
        <w:rPr>
          <w:b/>
        </w:rPr>
        <w:t>Применение квот на выборах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40"/>
      </w:pPr>
      <w:r>
        <w:t>49.</w:t>
      </w:r>
      <w:r>
        <w:tab/>
        <w:t>В Законе о выборах Боснии и Герцеговины предусматривается, что ка</w:t>
      </w:r>
      <w:r>
        <w:t>ж</w:t>
      </w:r>
      <w:r>
        <w:t>дый список кандидатов должен включать как кандидатов-мужчин, так и канд</w:t>
      </w:r>
      <w:r>
        <w:t>и</w:t>
      </w:r>
      <w:r>
        <w:t>датов-женщин. Кандидат от представленного в недостаточной мере пола вкл</w:t>
      </w:r>
      <w:r>
        <w:t>ю</w:t>
      </w:r>
      <w:r>
        <w:t>чается в списки кандидатов следующим образом: по крайней мере один канд</w:t>
      </w:r>
      <w:r>
        <w:t>и</w:t>
      </w:r>
      <w:r>
        <w:t>дат от представленного в меньшей степени пола в числе первых двух кандид</w:t>
      </w:r>
      <w:r>
        <w:t>а</w:t>
      </w:r>
      <w:r>
        <w:t xml:space="preserve">тов, два кандидата от представленного в меньшей степени пола в числе первых пяти кандидатов и три кандидата от представленного в меньшей степени пола в числе первых восьми кандидатов и т.д. Число кандидатов от представленного в меньшей степени пола должно быть по меньшей мере равным общему числу кандидатов в списке, деленному на три, с округлением до меньшего целого числа.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80"/>
        <w:rPr>
          <w:b/>
        </w:rPr>
      </w:pPr>
      <w:r>
        <w:rPr>
          <w:b/>
        </w:rPr>
        <w:t>Поддержка женщин-предпринимателей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40"/>
      </w:pPr>
      <w:r>
        <w:t>50.</w:t>
      </w:r>
      <w:r>
        <w:tab/>
        <w:t>Центры по гендерным вопросам Образований разработали также пр</w:t>
      </w:r>
      <w:r>
        <w:t>о</w:t>
      </w:r>
      <w:r>
        <w:t>грамму обучения и поддержки для женщин-предпринимателей, цель которой заключается в предоставлении им возможности для независимого руководства новыми предприятиями и расширения существующих предприятий в рамках малых и средних предприятий. Цель проекта заключается в улучшении экон</w:t>
      </w:r>
      <w:r>
        <w:t>о</w:t>
      </w:r>
      <w:r>
        <w:t>мического положения женщин за счет повышения уровня их образования и информированности, к которым мужская часть населения имеет более свобо</w:t>
      </w:r>
      <w:r>
        <w:t>д</w:t>
      </w:r>
      <w:r>
        <w:t xml:space="preserve">ный доступ. </w:t>
      </w:r>
    </w:p>
    <w:p w:rsidR="00000000" w:rsidRDefault="00000000">
      <w:pPr>
        <w:pStyle w:val="H1"/>
        <w:tabs>
          <w:tab w:val="left" w:pos="2218"/>
          <w:tab w:val="left" w:pos="2693"/>
        </w:tabs>
        <w:ind w:left="2700" w:right="1120" w:hanging="1440"/>
      </w:pPr>
      <w:r>
        <w:t>Статья 5.</w:t>
      </w:r>
      <w:r>
        <w:tab/>
        <w:t>Искоренение стереотипных представлений и предрассудков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51.</w:t>
      </w:r>
      <w:r>
        <w:tab/>
        <w:t>Босния и Герцеговина является полиэтнической и многоконфессионал</w:t>
      </w:r>
      <w:r>
        <w:t>ь</w:t>
      </w:r>
      <w:r>
        <w:t>ной страной, где традиции и культура оказывают значительное влияние на п</w:t>
      </w:r>
      <w:r>
        <w:t>о</w:t>
      </w:r>
      <w:r>
        <w:t>ведение женщин и мужчин и где они глубоко укоренились в общественном сознании. В сознании женщин сохранение семьи и воспитание детей являются их главнейшей задачей, а проживают они в условиях строгой неприкоснове</w:t>
      </w:r>
      <w:r>
        <w:t>н</w:t>
      </w:r>
      <w:r>
        <w:t xml:space="preserve">ности частной жизни.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b/>
        </w:rPr>
      </w:pPr>
      <w:r>
        <w:rPr>
          <w:b/>
        </w:rPr>
        <w:t>Семейная жизнь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52.</w:t>
      </w:r>
      <w:r>
        <w:tab/>
        <w:t>В Боснии и Герцеговине по-прежнему существует традиционное распр</w:t>
      </w:r>
      <w:r>
        <w:t>е</w:t>
      </w:r>
      <w:r>
        <w:t>деление ролей и обязанностей по признаку пола. Мужчина выполняет в семье функции технического характера (мелкий ремонт в квартире или доме или вне квартиры или дома) и заботится о финансовых вопросах. Женщины более ча</w:t>
      </w:r>
      <w:r>
        <w:t>с</w:t>
      </w:r>
      <w:r>
        <w:t>то занимаются приготовлением пищи, стиркой и глажением белья или работой, которая квалифицируется как "повседневная". Распределение труда, связанного с уходом за детьми и их воспитанием, более сбалансировано между мужем и женой, хотя женщины по-прежнему в большей степени ухаживают за пожил</w:t>
      </w:r>
      <w:r>
        <w:t>ы</w:t>
      </w:r>
      <w:r>
        <w:t>ми людьми и детьми в семье, т.е. они по-прежнему выполняют роль неофиц</w:t>
      </w:r>
      <w:r>
        <w:t>и</w:t>
      </w:r>
      <w:r>
        <w:t>ального опекуна.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53.</w:t>
      </w:r>
      <w:r>
        <w:tab/>
        <w:t>Проведенный в 1994 году опрос в рамках исследовательского проекта под названием "Качество жизни" содержал следующий вопрос: "Кто выполняет р</w:t>
      </w:r>
      <w:r>
        <w:t>а</w:t>
      </w:r>
      <w:r>
        <w:t>боту по уборке дома, приготовлению пищи, стирке белья, ежедневной закупке продуктов и т.д. в вашем домашнем хозяйстве?" По результатам исследования 32,8 процента мужчин в равной мере со своими женами занимаются этой раб</w:t>
      </w:r>
      <w:r>
        <w:t>о</w:t>
      </w:r>
      <w:r>
        <w:t>той, тогда как 39,3 процента мужчин полностью предоставили выполнение этих функций своим партнерам-женщинам.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54.</w:t>
      </w:r>
      <w:r>
        <w:tab/>
        <w:t>Безусловно, для молодых людей более характерно равномерное распред</w:t>
      </w:r>
      <w:r>
        <w:t>е</w:t>
      </w:r>
      <w:r>
        <w:t>ление обязанностей в домашних хозяйствах. Молодые люди, принявшие уч</w:t>
      </w:r>
      <w:r>
        <w:t>а</w:t>
      </w:r>
      <w:r>
        <w:t xml:space="preserve">стие в программе под названием "Жизнь и система ценностей студенчества", отвергают "патриархальную" концепцию семьи, по которой отец обеспечивает семью материально, а мать ведет домашнее хозяйство и ухаживает за детьми (83,7 процента), и поддержала равномерное распределение труда в домашних хозяйствах (73,6 процента).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b/>
        </w:rPr>
      </w:pPr>
      <w:r>
        <w:rPr>
          <w:b/>
        </w:rPr>
        <w:t>Тенденции к изменению состава семьи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55.</w:t>
      </w:r>
      <w:r>
        <w:tab/>
        <w:t>Для Боснии и Герцеговины характерно увеличивающееся разнообразие форм семьи и семейных образов жизни. Наряду с "классической" семьей, в к</w:t>
      </w:r>
      <w:r>
        <w:t>о</w:t>
      </w:r>
      <w:r>
        <w:t>торой в браке проживают супруги с детьми и которая по-прежнему является доминирующей формой семьи, растет число одиноких родителей, а также ра</w:t>
      </w:r>
      <w:r>
        <w:t>с</w:t>
      </w:r>
      <w:r>
        <w:t>ширенных или реорганизованных семей и внебрачных союзов. Тенденции, о</w:t>
      </w:r>
      <w:r>
        <w:t>т</w:t>
      </w:r>
      <w:r>
        <w:t>ражающие эти изменения в составе семьи, аналогичны тенденциям, наблюда</w:t>
      </w:r>
      <w:r>
        <w:t>е</w:t>
      </w:r>
      <w:r>
        <w:t>мым в странах Западной Европы. Официальные статистические данные, свид</w:t>
      </w:r>
      <w:r>
        <w:t>е</w:t>
      </w:r>
      <w:r>
        <w:t>тельствующие об этих изменениях и являющиеся показателями демографич</w:t>
      </w:r>
      <w:r>
        <w:t>е</w:t>
      </w:r>
      <w:r>
        <w:t>ских изменений, говорят о следующем: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a</w:t>
      </w:r>
      <w:r>
        <w:t>)</w:t>
      </w:r>
      <w:r>
        <w:tab/>
        <w:t>уменьшении средней численности состава членов домашних х</w:t>
      </w:r>
      <w:r>
        <w:t>о</w:t>
      </w:r>
      <w:r>
        <w:t>зяйств;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b</w:t>
      </w:r>
      <w:r>
        <w:t>)</w:t>
      </w:r>
      <w:r>
        <w:tab/>
        <w:t>увеличении числа детей, родивших вне брака;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c</w:t>
      </w:r>
      <w:r>
        <w:t>)</w:t>
      </w:r>
      <w:r>
        <w:tab/>
        <w:t>увеличении среднего возраста матерей, родивших ребенка и перве</w:t>
      </w:r>
      <w:r>
        <w:t>н</w:t>
      </w:r>
      <w:r>
        <w:t>ца;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d</w:t>
      </w:r>
      <w:r>
        <w:t>)</w:t>
      </w:r>
      <w:r>
        <w:tab/>
        <w:t>сокращении числа заключаемых браков;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r>
      <w:r>
        <w:rPr>
          <w:lang w:val="en-US"/>
        </w:rPr>
        <w:t>e</w:t>
      </w:r>
      <w:r>
        <w:t>)</w:t>
      </w:r>
      <w:r>
        <w:tab/>
        <w:t>сокращении числа разводов.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b/>
        </w:rPr>
      </w:pPr>
      <w:r>
        <w:rPr>
          <w:b/>
        </w:rPr>
        <w:t>Средняя численность состава домашних хозяйств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56.</w:t>
      </w:r>
      <w:r>
        <w:tab/>
        <w:t>В довоенный период отмечалась тенденция к постоянному снижению средней численности лиц, проживающих в рамках одного домашнего хозяйс</w:t>
      </w:r>
      <w:r>
        <w:t>т</w:t>
      </w:r>
      <w:r>
        <w:t>ва. По данным за 1991 год средняя численность лиц в расчете на одно дома</w:t>
      </w:r>
      <w:r>
        <w:t>ш</w:t>
      </w:r>
      <w:r>
        <w:t>нее хозяйство составляла 3,1, тогда как по данным переписи 1931 года эта цифра составляла 4,9. Один из факторов, влияющих на сокращение числа лиц, проживающих в одном домашнем хозяйстве, заключается в сокращении чи</w:t>
      </w:r>
      <w:r>
        <w:t>с</w:t>
      </w:r>
      <w:r>
        <w:t>ленности рождающихся в семье детей; по данным переписи населения за 1991 год средний показатель численности детей в одной семье составил 1,3. Аналогичная ситуация наблюдается в отношении данных о числе живорожд</w:t>
      </w:r>
      <w:r>
        <w:t>е</w:t>
      </w:r>
      <w:r>
        <w:t>ний в расчете на одну женщину.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b/>
        </w:rPr>
      </w:pPr>
      <w:r>
        <w:rPr>
          <w:b/>
        </w:rPr>
        <w:t>Дети, рождающиеся вне брака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57.</w:t>
      </w:r>
      <w:r>
        <w:tab/>
        <w:t>В довоенный период, с 1980 по 1992 год, отмечалось увеличение числа детей, рождающихся в Боснии и Герцеговине вне брака. Однако в Федерации Боснии и Герцеговины в период 1996-2001 годов численность детей, роди</w:t>
      </w:r>
      <w:r>
        <w:t>в</w:t>
      </w:r>
      <w:r>
        <w:t>шихся вне брака, сокращалась. В</w:t>
      </w:r>
      <w:r>
        <w:rPr>
          <w:lang w:val="en-US"/>
        </w:rPr>
        <w:t> </w:t>
      </w:r>
      <w:r>
        <w:t>Республике Сербской в период 1996-2002 годов также наблюдалось сокращение численности детей, рожденных вне брака. В 1996 году из общего числа 12 324 рожденных детей 1762, или 14,3 процента, были рождены вне брака. В</w:t>
      </w:r>
      <w:r>
        <w:rPr>
          <w:lang w:val="en-US"/>
        </w:rPr>
        <w:t> </w:t>
      </w:r>
      <w:r>
        <w:t>2002 году из общего числа 12 376 рожденных детей 1415, или 11,5 процента, были рождены вне брака. Рожденными в браке детьми считаются только те дети, которые родились в браке, заключенном в соответствии с положениями Основного закона о браке.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1996 году из 30 481 новорожденного 26 631 ребенок, или 87,37 процента, были рождены в браке, а 3850, или 12,63 процента, вне брака. В 2001 году из общего числа 24 134 детей 21 531, или 89,21 процента, были рождены в браке, а 2487, или 10,79 процента, - вне брака.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Считается, что наибольшее число родившихся вне брака детей приходи</w:t>
      </w:r>
      <w:r>
        <w:t>т</w:t>
      </w:r>
      <w:r>
        <w:t>ся на 1996 год, что стало результатом миграции (большое число разделенных семей, беженцев и перемещенных лиц).</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b/>
        </w:rPr>
      </w:pPr>
      <w:r>
        <w:rPr>
          <w:b/>
        </w:rPr>
        <w:t>Средний возраст матерей при родах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58.</w:t>
      </w:r>
      <w:r>
        <w:tab/>
        <w:t>Средний возраст партнеров при рождении их первенца составляет 26 лет. Средний возраст матерей при рождении их первого ребенка составляет 24 года, тогда как средний возраст матерей, рожающих своего второго ребенка, соста</w:t>
      </w:r>
      <w:r>
        <w:t>в</w:t>
      </w:r>
      <w:r>
        <w:t>ляет 27 лет. Мы можем констатировать, что, несмотря на экономические пр</w:t>
      </w:r>
      <w:r>
        <w:t>о</w:t>
      </w:r>
      <w:r>
        <w:t>блемы, являющиеся препятствием для создания семьи (проблемы с жильем, безработица и т.д.), средний возраст матерей, рожающих своего первого ребе</w:t>
      </w:r>
      <w:r>
        <w:t>н</w:t>
      </w:r>
      <w:r>
        <w:t>ка, является в Боснии и Герцеговине ниже среднего показателя для стран З</w:t>
      </w:r>
      <w:r>
        <w:t>а</w:t>
      </w:r>
      <w:r>
        <w:t>падной Европы. При этом следует иметь в виду различия между сельскими и городскими районами. По оценке, средний возраст матерей в городских ра</w:t>
      </w:r>
      <w:r>
        <w:t>й</w:t>
      </w:r>
      <w:r>
        <w:t>онах, рожающих своего первенца, ближе к среднему показателю стран Запа</w:t>
      </w:r>
      <w:r>
        <w:t>д</w:t>
      </w:r>
      <w:r>
        <w:t>ной Европы.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b/>
        </w:rPr>
      </w:pPr>
      <w:r>
        <w:rPr>
          <w:b/>
        </w:rPr>
        <w:t>Заключаемые браки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59.</w:t>
      </w:r>
      <w:r>
        <w:tab/>
        <w:t>Как мы уже упоминали, институт брака теряет свое значение, но это не означает снижения того значения, которое люди придают семейной жизни. Тем не менее это, несомненно, свидетельствует о факте плюрализации семейных форм, что подтверждается данными о незначительном сокращении числа вновь заключаемых браков. Данные за 1996 год показывают, что на территории Фед</w:t>
      </w:r>
      <w:r>
        <w:t>е</w:t>
      </w:r>
      <w:r>
        <w:t>рации Боснии и Герцеговины было заключено 14 692 новых брака, а в 2000 году - 13 894 новых брака. В Республике Сербской в 1996 году было з</w:t>
      </w:r>
      <w:r>
        <w:t>а</w:t>
      </w:r>
      <w:r>
        <w:t>ключено 6415 новых браков, а в 2002 году - 8003, что свидетельствует о росте числа вновь заключаемых браков. Большинство женщин вступают в брак в во</w:t>
      </w:r>
      <w:r>
        <w:t>з</w:t>
      </w:r>
      <w:r>
        <w:t>расте 25-29 лет. Возраст мужчин и женщин, вступающих в брак в настоящее время, увеличивается. Большинство женщин вступают в настоящее время в брак в во</w:t>
      </w:r>
      <w:r>
        <w:t>з</w:t>
      </w:r>
      <w:r>
        <w:t>расте 20-24 лет, а большинство мужчин - в возрасте 25-29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b/>
        </w:rPr>
      </w:pPr>
      <w:r>
        <w:rPr>
          <w:b/>
        </w:rPr>
        <w:t>Разводы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60.</w:t>
      </w:r>
      <w:r>
        <w:tab/>
        <w:t>В период 1996-2002 годов отмечался рост числа разводов. В 1996 году их число составило 378. Уже в 1997 году эта цифра увеличилась до 1098, а в 2002 году - до 1286 разводов. Основные причины этой тенденции к увелич</w:t>
      </w:r>
      <w:r>
        <w:t>е</w:t>
      </w:r>
      <w:r>
        <w:t>нию числа разводов в Боснии и Герцеговине состоят в последствиях войны. В период войны многие семьи были разделенными в течение длительного п</w:t>
      </w:r>
      <w:r>
        <w:t>е</w:t>
      </w:r>
      <w:r>
        <w:t>риода времени. Многие супруги вступали во внебрачные связи с другими пар</w:t>
      </w:r>
      <w:r>
        <w:t>т</w:t>
      </w:r>
      <w:r>
        <w:t>нерами, что привело к росту числа разводов после прекращения военных де</w:t>
      </w:r>
      <w:r>
        <w:t>й</w:t>
      </w:r>
      <w:r>
        <w:t>ствий и появления возможности для воссоединения семей. В структуре разв</w:t>
      </w:r>
      <w:r>
        <w:t>о</w:t>
      </w:r>
      <w:r>
        <w:t>дов в 2002 году, когда их было зарегистрировано 1286, доминируют разводы без детей - 512 случаев, имело место 355 разводов с одним ребенком и 312 разводов с двумя или более детьми. В Республике Сербской имеются да</w:t>
      </w:r>
      <w:r>
        <w:t>н</w:t>
      </w:r>
      <w:r>
        <w:t>ные о разводах за период с 1997 по 2002 год. В 1997 году было зарегистрир</w:t>
      </w:r>
      <w:r>
        <w:t>о</w:t>
      </w:r>
      <w:r>
        <w:t>вано 737 разводов, а в 2002 году - 848 разводов. Судя по приведенным выше данным, мы не можем ответственно заявить, что наблюдается небольшое ув</w:t>
      </w:r>
      <w:r>
        <w:t>е</w:t>
      </w:r>
      <w:r>
        <w:t>личение числа разводов (о чем можно судить по прилагаемой таблице за эти годы, из которой видно, что число разводов за тот или иной год меняется и при этом возрастает роль судебных разб</w:t>
      </w:r>
      <w:r>
        <w:t>и</w:t>
      </w:r>
      <w:r>
        <w:t>рательств и эффективности работы судов).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 xml:space="preserve">В структуре разводов в 2002 году из общего числа 848 разводов 415 были разводами в бездетных браках, 228 разводов с одним ребенком, 163 - с двумя детьми и 42 - с тремя или более детьми.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b/>
        </w:rPr>
      </w:pPr>
      <w:r>
        <w:rPr>
          <w:b/>
        </w:rPr>
        <w:t>Объявления о вакансиях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61.</w:t>
      </w:r>
      <w:r>
        <w:tab/>
        <w:t>Объявления о вакансиях в Боснии и Герцеговине по-прежнему содержат  указания относительно предпочтительности того или иного конкретного пола; аналогичная дискриминация существует и в отношении возраста. Объявления о вакансиях свидетельствуют о том, что мужчины и женщины представляются как выполняющие различную социальную роль при традиционном разделении ролей между представителями мужского и женского полов.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62.</w:t>
      </w:r>
      <w:r>
        <w:tab/>
        <w:t>Одна из стратегий привлечения внимания к тому или иному продукту или услуге в Боснии и Герцеговине заключается в привлечении людей, которые н</w:t>
      </w:r>
      <w:r>
        <w:t>а</w:t>
      </w:r>
      <w:r>
        <w:t>прямую не связаны с тем, что анонсируется или рекламируется, а лишь явл</w:t>
      </w:r>
      <w:r>
        <w:t>я</w:t>
      </w:r>
      <w:r>
        <w:t>ются частью антуража или эстетического фона. Для достижения этого эффекта рекламодат</w:t>
      </w:r>
      <w:r>
        <w:t>е</w:t>
      </w:r>
      <w:r>
        <w:t xml:space="preserve">ли зачастую используют сексуальные ассоциации.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0"/>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63.</w:t>
      </w:r>
      <w:r>
        <w:tab/>
        <w:t>По действующим законам о труде работодателям запрещается давать об</w:t>
      </w:r>
      <w:r>
        <w:t>ъ</w:t>
      </w:r>
      <w:r>
        <w:t>явления о вакансиях только для мужчин или только для женщин, если для в</w:t>
      </w:r>
      <w:r>
        <w:t>ы</w:t>
      </w:r>
      <w:r>
        <w:t>полнения той или иной конкретной задачи не является необходимым присутс</w:t>
      </w:r>
      <w:r>
        <w:t>т</w:t>
      </w:r>
      <w:r>
        <w:t>вие лица того или иного пола. По тем же законам предусмотрены штрафные санкции для работодателя, ставящего то или иное лицо в неблагоприятное п</w:t>
      </w:r>
      <w:r>
        <w:t>о</w:t>
      </w:r>
      <w:r>
        <w:t>лож</w:t>
      </w:r>
      <w:r>
        <w:t>е</w:t>
      </w:r>
      <w:r>
        <w:t>ние на основе половой принадлежности.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64.</w:t>
      </w:r>
      <w:r>
        <w:tab/>
        <w:t>В области средств информации в Боснии и Герцеговине было проведено относительно небольшое число исследований по таким вопросам, как освещ</w:t>
      </w:r>
      <w:r>
        <w:t>е</w:t>
      </w:r>
      <w:r>
        <w:t>ние гендерных аспектов в средствах массовой информации, гендерная структ</w:t>
      </w:r>
      <w:r>
        <w:t>у</w:t>
      </w:r>
      <w:r>
        <w:t>ра специалистов по подготовке информационных материалов, гендерная стру</w:t>
      </w:r>
      <w:r>
        <w:t>к</w:t>
      </w:r>
      <w:r>
        <w:t>тура директивных органов, ответственных за проведение информационных кампаний, влияние средств массовой информации на характер общественных отношений с точки зрения изменения роли женщин и мужчин. В 2002 году центры по гендерным вопросам первыми среди государственных институтов провели анализ телевизионных компаний, а также структуры должностей р</w:t>
      </w:r>
      <w:r>
        <w:t>у</w:t>
      </w:r>
      <w:r>
        <w:t>ководящего зв</w:t>
      </w:r>
      <w:r>
        <w:t>е</w:t>
      </w:r>
      <w:r>
        <w:t>на в электронных средствах информации.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65.</w:t>
      </w:r>
      <w:r>
        <w:tab/>
        <w:t>Как правило, в средствах информации, формирующих общественное мн</w:t>
      </w:r>
      <w:r>
        <w:t>е</w:t>
      </w:r>
      <w:r>
        <w:t>ние, роль мужчин и женщин отображается различным образом, однако здесь могут быть отмечены некоторые общие особенности. В том, что касается раб</w:t>
      </w:r>
      <w:r>
        <w:t>о</w:t>
      </w:r>
      <w:r>
        <w:t>ты на руководящих должностях и уровня профессиональной подготовки, о</w:t>
      </w:r>
      <w:r>
        <w:t>с</w:t>
      </w:r>
      <w:r>
        <w:t>новное внимание в средствах информации значительно чаще уделяется мужч</w:t>
      </w:r>
      <w:r>
        <w:t>и</w:t>
      </w:r>
      <w:r>
        <w:t>нам, а не женщинам, что частично отражает "социальную реальность", а также применение "явно сексистского подхода и, в частности, отсутствие политики по обеспечению равных возможностей в сфере общественных средств инфо</w:t>
      </w:r>
      <w:r>
        <w:t>р</w:t>
      </w:r>
      <w:r>
        <w:t>мации". С другой стороны, женщины, которые располагают более ограниче</w:t>
      </w:r>
      <w:r>
        <w:t>н</w:t>
      </w:r>
      <w:r>
        <w:t>ными возможностями в секторах, имеющих большое общественное значение, доминируют в сфере частной жизни. Здесь они выступают в роли матерей, д</w:t>
      </w:r>
      <w:r>
        <w:t>о</w:t>
      </w:r>
      <w:r>
        <w:t>мох</w:t>
      </w:r>
      <w:r>
        <w:t>о</w:t>
      </w:r>
      <w:r>
        <w:t>зяек, потребителей, пассивных спутников жизни своих супругов.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tab/>
        <w:t>Насилие в отношении женщин и насилие в семье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66.</w:t>
      </w:r>
      <w:r>
        <w:tab/>
        <w:t>В соответствии с проектом Декларации Организации Объединенных Н</w:t>
      </w:r>
      <w:r>
        <w:t>а</w:t>
      </w:r>
      <w:r>
        <w:t>ций об искоренении насилия в отношении женщин, насилие означает "любой акт насилия, совершенный на основании полового признака, который причин</w:t>
      </w:r>
      <w:r>
        <w:t>я</w:t>
      </w:r>
      <w:r>
        <w:t>ет или может причинить физический, половой или психологический ущерб или страдания женщинам". Поэтому насилие можно рассматривать с учетом его последствий, а не места, в котором оно совершается. Поскольку большинство случаев насилия происходит в семье, необходимо подчеркнуть, что "с этой точки зрения насилие в семье представляет собой любую форму контроля или доминирования, которая ставит под угрозу или ущемляет физическую или м</w:t>
      </w:r>
      <w:r>
        <w:t>о</w:t>
      </w:r>
      <w:r>
        <w:t>ральную неприкоснове</w:t>
      </w:r>
      <w:r>
        <w:t>н</w:t>
      </w:r>
      <w:r>
        <w:t>ность женщины в семье". (</w:t>
      </w:r>
      <w:r>
        <w:rPr>
          <w:lang w:val="en-US"/>
        </w:rPr>
        <w:t>Luki</w:t>
      </w:r>
      <w:r>
        <w:t>ć, 1997).</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67.</w:t>
      </w:r>
      <w:r>
        <w:tab/>
        <w:t>Несмотря на наличие относительно подробного законодательства, каса</w:t>
      </w:r>
      <w:r>
        <w:t>ю</w:t>
      </w:r>
      <w:r>
        <w:t>щегося уголовных деяний и отношений в семье, на практике дело обстоит н</w:t>
      </w:r>
      <w:r>
        <w:t>е</w:t>
      </w:r>
      <w:r>
        <w:t>сколько по-иному. К сожалению, в Боснии и Герцеговине отсутствуют спец</w:t>
      </w:r>
      <w:r>
        <w:t>и</w:t>
      </w:r>
      <w:r>
        <w:t>альные институты, занимающиеся вопросами насилия в семье и способные предоставить поддержку жертвам такого насилия. Центры для проведения с</w:t>
      </w:r>
      <w:r>
        <w:t>о</w:t>
      </w:r>
      <w:r>
        <w:t>циальной работы, организованные по территориальному принципу и сущес</w:t>
      </w:r>
      <w:r>
        <w:t>т</w:t>
      </w:r>
      <w:r>
        <w:t>вующие в каждом муниципальном образовании, функционируют на основе п</w:t>
      </w:r>
      <w:r>
        <w:t>о</w:t>
      </w:r>
      <w:r>
        <w:t>ложений Закона о социальной защите и защите детей. Их сфера деятельности определена в соответствии с вышеупомянутыми законами, они финансируются из средств бюджета, однако в большинстве случаев предоставляемых им ф</w:t>
      </w:r>
      <w:r>
        <w:t>и</w:t>
      </w:r>
      <w:r>
        <w:t>нансовых ресурсов недостаточно для осуществления основных видов деятел</w:t>
      </w:r>
      <w:r>
        <w:t>ь</w:t>
      </w:r>
      <w:r>
        <w:t>ности, которыми им п</w:t>
      </w:r>
      <w:r>
        <w:t>о</w:t>
      </w:r>
      <w:r>
        <w:t>ручено заниматься.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68.</w:t>
      </w:r>
      <w:r>
        <w:tab/>
        <w:t>Существует большое число организаций гражданского общества, которые оказывают поддержку жертвам насилия в семье (путем организации телефонов доверия для оказания помощи, убежищ для жертв семейного насилия и т.д.) и которые посредством борьбы с насилием и создания механизмов для принятия мер дополняют функции государства, а также его институтов и структур, зан</w:t>
      </w:r>
      <w:r>
        <w:t>и</w:t>
      </w:r>
      <w:r>
        <w:t>мающихся проблемами насилия в семье (полиция, суды, центры социальной защиты). В Федерации Боснии и Герцеговины функционируют два центра или убежища для женщин и детей, являющихся жертвами насилия: “АДЛ Барсел</w:t>
      </w:r>
      <w:r>
        <w:t>о</w:t>
      </w:r>
      <w:r>
        <w:t>на” и ”Женщины Боснии и Герцеговины”. Недавно на территории Республики Сербская в Банье-Лука при поддержке правительства был создан приют, а в Модрице находится убежище НПО "Будущность", предназначенное для ухода за жертвами насилия в семье и предоставления им поддер</w:t>
      </w:r>
      <w:r>
        <w:t>ж</w:t>
      </w:r>
      <w:r>
        <w:t>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69.</w:t>
      </w:r>
      <w:r>
        <w:tab/>
        <w:t>Сотрудничество между компетентными государственными институтами и некоторыми НПО до настоящего времени носило вполне эффективный хара</w:t>
      </w:r>
      <w:r>
        <w:t>к</w:t>
      </w:r>
      <w:r>
        <w:t>тер. Однако на систематической основе оно не изучалось, поэтому опыт такой деятельности можно использовать только в качестве примеров надлежащей пра</w:t>
      </w:r>
      <w:r>
        <w:t>к</w:t>
      </w:r>
      <w:r>
        <w:t>тики по выявлению системных решений данной проблемы.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70.</w:t>
      </w:r>
      <w:r>
        <w:tab/>
        <w:t>В стране отсутствуют конкретный план действий и стратегия в области борьбы с насилием. Центр по гендерным вопросам в сотрудничестве с мин</w:t>
      </w:r>
      <w:r>
        <w:t>и</w:t>
      </w:r>
      <w:r>
        <w:t>стерством по правам человека и делам беженцев Боснии и Герцеговины, и та</w:t>
      </w:r>
      <w:r>
        <w:t>к</w:t>
      </w:r>
      <w:r>
        <w:t>же представители сектора НПО планируют приступить к деятельности по со</w:t>
      </w:r>
      <w:r>
        <w:t>з</w:t>
      </w:r>
      <w:r>
        <w:t>данию рабочей группы, которая будет заниматься разработкой такой стратегии. Имеющиеся данные и показатели не унифицированы и между официальными статистическими данными и неофициальными сведениями о реальных ма</w:t>
      </w:r>
      <w:r>
        <w:t>с</w:t>
      </w:r>
      <w:r>
        <w:t>штабах насилия в отношении женщин, собранными НПО, занимающимися борьбой с этим явлением (телефоны доверия для оказания помощи, ассоциации и т.д.), существуют значительные расхождения. Согласно данным НПО, ма</w:t>
      </w:r>
      <w:r>
        <w:t>с</w:t>
      </w:r>
      <w:r>
        <w:t>штабы н</w:t>
      </w:r>
      <w:r>
        <w:t>а</w:t>
      </w:r>
      <w:r>
        <w:t xml:space="preserve">силия значительно выше сообщаемых уровней.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tab/>
        <w:t xml:space="preserve">Результаты некоторых исследований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71.</w:t>
      </w:r>
      <w:r>
        <w:tab/>
        <w:t>На территории Боснии и Герцеговины не проводилось никакого всест</w:t>
      </w:r>
      <w:r>
        <w:t>о</w:t>
      </w:r>
      <w:r>
        <w:t>роннего исследования по отдельным видам насилия, однако эту проблему с</w:t>
      </w:r>
      <w:r>
        <w:t>а</w:t>
      </w:r>
      <w:r>
        <w:t>мостоятельно изучали некоторые НПО. Таким образом, результаты анализа м</w:t>
      </w:r>
      <w:r>
        <w:t>о</w:t>
      </w:r>
      <w:r>
        <w:t>гут быть использованы в качестве рамочных показателей, характеризующих положение в отдельных регионах, однако они не являются статистическими данными по с</w:t>
      </w:r>
      <w:r>
        <w:t>и</w:t>
      </w:r>
      <w:r>
        <w:t>туации в Боснии и Герцеговине в целом.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При поддержке Студенческого союза учащихся социальных факультетов Университета в Банье-Лука были проведены подробные исследования по в</w:t>
      </w:r>
      <w:r>
        <w:t>о</w:t>
      </w:r>
      <w:r>
        <w:t>просам насилия в семье в ряде местных общин, таких, например, как Банья-Л</w:t>
      </w:r>
      <w:r>
        <w:t>у</w:t>
      </w:r>
      <w:r>
        <w:t>ка и Требинье.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Согласно данным о насилии в семье в разбивке по возрасту и полу, пре</w:t>
      </w:r>
      <w:r>
        <w:t>д</w:t>
      </w:r>
      <w:r>
        <w:t>ставленным местными службами социальной защиты, в семи кантонах Фед</w:t>
      </w:r>
      <w:r>
        <w:t>е</w:t>
      </w:r>
      <w:r>
        <w:t>рации Боснии и Герцеговины почти все виды насилия (физического, моральн</w:t>
      </w:r>
      <w:r>
        <w:t>о</w:t>
      </w:r>
      <w:r>
        <w:t>го, сексуального и другого) особо широко распространены среди девочек во</w:t>
      </w:r>
      <w:r>
        <w:t>з</w:t>
      </w:r>
      <w:r>
        <w:t>растом 15-18 лет и же</w:t>
      </w:r>
      <w:r>
        <w:t>н</w:t>
      </w:r>
      <w:r>
        <w:t>щин старше 19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5.1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Случаи насилия в семье, совершенного в отношении детей, подростков и взрослых в Федерации Боснии и Герцеговины в 2001 году</w:t>
      </w:r>
    </w:p>
    <w:p w:rsidR="00000000" w:rsidRDefault="00000000">
      <w:pPr>
        <w:pStyle w:val="SingleTxt"/>
        <w:spacing w:after="0"/>
        <w:jc w:val="left"/>
        <w:rPr>
          <w:sz w:val="10"/>
        </w:rPr>
      </w:pPr>
    </w:p>
    <w:tbl>
      <w:tblPr>
        <w:tblW w:w="0" w:type="auto"/>
        <w:tblInd w:w="127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72"/>
        <w:gridCol w:w="495"/>
        <w:gridCol w:w="495"/>
        <w:gridCol w:w="450"/>
        <w:gridCol w:w="450"/>
        <w:gridCol w:w="540"/>
        <w:gridCol w:w="540"/>
        <w:gridCol w:w="540"/>
        <w:gridCol w:w="540"/>
        <w:gridCol w:w="511"/>
        <w:gridCol w:w="512"/>
        <w:gridCol w:w="512"/>
      </w:tblGrid>
      <w:tr w:rsidR="00000000">
        <w:tblPrEx>
          <w:tblCellMar>
            <w:top w:w="0" w:type="dxa"/>
            <w:left w:w="0" w:type="dxa"/>
            <w:bottom w:w="0" w:type="dxa"/>
            <w:right w:w="0" w:type="dxa"/>
          </w:tblCellMar>
        </w:tblPrEx>
        <w:trPr>
          <w:cantSplit/>
          <w:trHeight w:val="471"/>
          <w:tblHeader/>
        </w:trPr>
        <w:tc>
          <w:tcPr>
            <w:tcW w:w="1972" w:type="dxa"/>
            <w:tcBorders>
              <w:left w:val="nil"/>
              <w:bottom w:val="single" w:sz="4"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r>
              <w:rPr>
                <w:i/>
                <w:sz w:val="14"/>
              </w:rPr>
              <w:t>Вид нас</w:t>
            </w:r>
            <w:r>
              <w:rPr>
                <w:i/>
                <w:sz w:val="14"/>
              </w:rPr>
              <w:t>и</w:t>
            </w:r>
            <w:r>
              <w:rPr>
                <w:i/>
                <w:sz w:val="14"/>
              </w:rPr>
              <w:t>лия</w:t>
            </w:r>
          </w:p>
        </w:tc>
        <w:tc>
          <w:tcPr>
            <w:tcW w:w="990" w:type="dxa"/>
            <w:gridSpan w:val="2"/>
            <w:tcBorders>
              <w:left w:val="nil"/>
              <w:bottom w:val="single" w:sz="4"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0"/>
              <w:jc w:val="right"/>
              <w:rPr>
                <w:i/>
                <w:sz w:val="14"/>
              </w:rPr>
            </w:pPr>
            <w:r>
              <w:rPr>
                <w:i/>
                <w:sz w:val="14"/>
              </w:rPr>
              <w:t>Физическое насилие</w:t>
            </w:r>
          </w:p>
        </w:tc>
        <w:tc>
          <w:tcPr>
            <w:tcW w:w="900" w:type="dxa"/>
            <w:gridSpan w:val="2"/>
            <w:tcBorders>
              <w:left w:val="nil"/>
              <w:bottom w:val="single" w:sz="4"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0"/>
              <w:jc w:val="right"/>
              <w:rPr>
                <w:i/>
                <w:sz w:val="14"/>
              </w:rPr>
            </w:pPr>
            <w:r>
              <w:rPr>
                <w:i/>
                <w:sz w:val="14"/>
              </w:rPr>
              <w:t>Моральное нас</w:t>
            </w:r>
            <w:r>
              <w:rPr>
                <w:i/>
                <w:sz w:val="14"/>
              </w:rPr>
              <w:t>и</w:t>
            </w:r>
            <w:r>
              <w:rPr>
                <w:i/>
                <w:sz w:val="14"/>
              </w:rPr>
              <w:t>лие</w:t>
            </w:r>
          </w:p>
        </w:tc>
        <w:tc>
          <w:tcPr>
            <w:tcW w:w="1080" w:type="dxa"/>
            <w:gridSpan w:val="2"/>
            <w:tcBorders>
              <w:left w:val="nil"/>
              <w:bottom w:val="single" w:sz="4"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0"/>
              <w:jc w:val="right"/>
              <w:rPr>
                <w:i/>
                <w:sz w:val="14"/>
              </w:rPr>
            </w:pPr>
            <w:r>
              <w:rPr>
                <w:i/>
                <w:sz w:val="14"/>
              </w:rPr>
              <w:t>Сексуальное нас</w:t>
            </w:r>
            <w:r>
              <w:rPr>
                <w:i/>
                <w:sz w:val="14"/>
              </w:rPr>
              <w:t>и</w:t>
            </w:r>
            <w:r>
              <w:rPr>
                <w:i/>
                <w:sz w:val="14"/>
              </w:rPr>
              <w:t>лие</w:t>
            </w:r>
          </w:p>
        </w:tc>
        <w:tc>
          <w:tcPr>
            <w:tcW w:w="1080" w:type="dxa"/>
            <w:gridSpan w:val="2"/>
            <w:tcBorders>
              <w:left w:val="nil"/>
              <w:bottom w:val="single" w:sz="4" w:space="0" w:color="auto"/>
              <w:right w:val="nil"/>
            </w:tcBorders>
            <w:vAlign w:val="bottom"/>
          </w:tcPr>
          <w:p w:rsidR="00000000" w:rsidRDefault="00000000">
            <w:pPr>
              <w:spacing w:before="100" w:after="81" w:line="210" w:lineRule="exact"/>
              <w:ind w:right="43"/>
              <w:jc w:val="right"/>
              <w:rPr>
                <w:i/>
                <w:sz w:val="14"/>
              </w:rPr>
            </w:pPr>
            <w:r>
              <w:rPr>
                <w:i/>
                <w:sz w:val="14"/>
              </w:rPr>
              <w:t>Другие виды насилия</w:t>
            </w:r>
          </w:p>
        </w:tc>
        <w:tc>
          <w:tcPr>
            <w:tcW w:w="1535" w:type="dxa"/>
            <w:gridSpan w:val="3"/>
            <w:tcBorders>
              <w:left w:val="nil"/>
              <w:bottom w:val="single" w:sz="4"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0"/>
              <w:jc w:val="right"/>
              <w:rPr>
                <w:i/>
                <w:sz w:val="14"/>
              </w:rPr>
            </w:pPr>
            <w:r>
              <w:rPr>
                <w:i/>
                <w:sz w:val="14"/>
              </w:rPr>
              <w:t>Всего</w:t>
            </w:r>
          </w:p>
        </w:tc>
      </w:tr>
      <w:tr w:rsidR="00000000">
        <w:tblPrEx>
          <w:tblCellMar>
            <w:top w:w="0" w:type="dxa"/>
            <w:left w:w="0" w:type="dxa"/>
            <w:bottom w:w="0" w:type="dxa"/>
            <w:right w:w="0" w:type="dxa"/>
          </w:tblCellMar>
        </w:tblPrEx>
        <w:trPr>
          <w:cantSplit/>
          <w:trHeight w:val="192"/>
          <w:tblHeader/>
        </w:trPr>
        <w:tc>
          <w:tcPr>
            <w:tcW w:w="1972"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before="100" w:after="81" w:line="210" w:lineRule="exact"/>
              <w:ind w:right="43"/>
              <w:rPr>
                <w:i/>
                <w:sz w:val="14"/>
              </w:rPr>
            </w:pPr>
            <w:r>
              <w:rPr>
                <w:i/>
                <w:sz w:val="14"/>
              </w:rPr>
              <w:t>Возраст</w:t>
            </w:r>
          </w:p>
        </w:tc>
        <w:tc>
          <w:tcPr>
            <w:tcW w:w="495" w:type="dxa"/>
            <w:tcBorders>
              <w:top w:val="nil"/>
              <w:left w:val="nil"/>
              <w:bottom w:val="single" w:sz="12" w:space="0" w:color="auto"/>
              <w:right w:val="nil"/>
            </w:tcBorders>
          </w:tcPr>
          <w:p w:rsidR="00000000" w:rsidRDefault="00000000">
            <w:pPr>
              <w:tabs>
                <w:tab w:val="left" w:pos="864"/>
                <w:tab w:val="left" w:pos="1152"/>
              </w:tabs>
              <w:spacing w:before="100" w:after="81" w:line="210" w:lineRule="exact"/>
              <w:ind w:right="40"/>
              <w:jc w:val="right"/>
              <w:rPr>
                <w:i/>
                <w:sz w:val="14"/>
              </w:rPr>
            </w:pPr>
            <w:r>
              <w:rPr>
                <w:i/>
                <w:sz w:val="14"/>
              </w:rPr>
              <w:t>М</w:t>
            </w:r>
          </w:p>
        </w:tc>
        <w:tc>
          <w:tcPr>
            <w:tcW w:w="495"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before="100" w:after="81" w:line="210" w:lineRule="exact"/>
              <w:ind w:right="40"/>
              <w:jc w:val="right"/>
              <w:rPr>
                <w:i/>
                <w:sz w:val="14"/>
              </w:rPr>
            </w:pPr>
            <w:r>
              <w:rPr>
                <w:i/>
                <w:sz w:val="14"/>
              </w:rPr>
              <w:t>Ж</w:t>
            </w:r>
          </w:p>
        </w:tc>
        <w:tc>
          <w:tcPr>
            <w:tcW w:w="450"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before="100" w:after="81" w:line="210" w:lineRule="exact"/>
              <w:ind w:right="40"/>
              <w:jc w:val="right"/>
              <w:rPr>
                <w:i/>
                <w:sz w:val="14"/>
              </w:rPr>
            </w:pPr>
            <w:r>
              <w:rPr>
                <w:i/>
                <w:sz w:val="14"/>
              </w:rPr>
              <w:t>М</w:t>
            </w:r>
          </w:p>
        </w:tc>
        <w:tc>
          <w:tcPr>
            <w:tcW w:w="450"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before="100" w:after="81" w:line="210" w:lineRule="exact"/>
              <w:ind w:right="40"/>
              <w:jc w:val="right"/>
              <w:rPr>
                <w:i/>
                <w:sz w:val="14"/>
              </w:rPr>
            </w:pPr>
            <w:r>
              <w:rPr>
                <w:i/>
                <w:sz w:val="14"/>
              </w:rPr>
              <w:t>Ж</w:t>
            </w:r>
          </w:p>
        </w:tc>
        <w:tc>
          <w:tcPr>
            <w:tcW w:w="540"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before="100" w:after="81" w:line="210" w:lineRule="exact"/>
              <w:ind w:right="40"/>
              <w:jc w:val="right"/>
              <w:rPr>
                <w:i/>
                <w:sz w:val="14"/>
              </w:rPr>
            </w:pPr>
            <w:r>
              <w:rPr>
                <w:i/>
                <w:sz w:val="14"/>
              </w:rPr>
              <w:t>М</w:t>
            </w:r>
          </w:p>
        </w:tc>
        <w:tc>
          <w:tcPr>
            <w:tcW w:w="540"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before="100" w:after="81" w:line="210" w:lineRule="exact"/>
              <w:ind w:right="40"/>
              <w:jc w:val="right"/>
              <w:rPr>
                <w:i/>
                <w:sz w:val="14"/>
              </w:rPr>
            </w:pPr>
            <w:r>
              <w:rPr>
                <w:i/>
                <w:sz w:val="14"/>
              </w:rPr>
              <w:t>Ж</w:t>
            </w:r>
          </w:p>
        </w:tc>
        <w:tc>
          <w:tcPr>
            <w:tcW w:w="540"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before="100" w:after="81" w:line="210" w:lineRule="exact"/>
              <w:ind w:right="40"/>
              <w:jc w:val="right"/>
              <w:rPr>
                <w:i/>
                <w:sz w:val="14"/>
              </w:rPr>
            </w:pPr>
            <w:r>
              <w:rPr>
                <w:i/>
                <w:sz w:val="14"/>
              </w:rPr>
              <w:t>М</w:t>
            </w:r>
          </w:p>
        </w:tc>
        <w:tc>
          <w:tcPr>
            <w:tcW w:w="540"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Ж</w:t>
            </w:r>
          </w:p>
        </w:tc>
        <w:tc>
          <w:tcPr>
            <w:tcW w:w="511"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М</w:t>
            </w:r>
          </w:p>
        </w:tc>
        <w:tc>
          <w:tcPr>
            <w:tcW w:w="512"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before="100" w:after="81" w:line="210" w:lineRule="exact"/>
              <w:ind w:right="40"/>
              <w:jc w:val="right"/>
              <w:rPr>
                <w:i/>
                <w:sz w:val="14"/>
              </w:rPr>
            </w:pPr>
            <w:r>
              <w:rPr>
                <w:i/>
                <w:sz w:val="14"/>
              </w:rPr>
              <w:t>Ж</w:t>
            </w:r>
          </w:p>
        </w:tc>
        <w:tc>
          <w:tcPr>
            <w:tcW w:w="512"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before="100" w:after="81" w:line="210" w:lineRule="exact"/>
              <w:ind w:right="40"/>
              <w:jc w:val="right"/>
              <w:rPr>
                <w:i/>
                <w:sz w:val="14"/>
              </w:rPr>
            </w:pPr>
            <w:r>
              <w:rPr>
                <w:i/>
                <w:sz w:val="14"/>
              </w:rPr>
              <w:t>М+Ж</w:t>
            </w:r>
          </w:p>
        </w:tc>
      </w:tr>
      <w:tr w:rsidR="00000000">
        <w:tblPrEx>
          <w:tblCellMar>
            <w:top w:w="0" w:type="dxa"/>
            <w:left w:w="0" w:type="dxa"/>
            <w:bottom w:w="0" w:type="dxa"/>
            <w:right w:w="0" w:type="dxa"/>
          </w:tblCellMar>
        </w:tblPrEx>
        <w:trPr>
          <w:cantSplit/>
          <w:trHeight w:hRule="exact" w:val="133"/>
          <w:tblHeader/>
        </w:trPr>
        <w:tc>
          <w:tcPr>
            <w:tcW w:w="1972" w:type="dxa"/>
            <w:tcBorders>
              <w:top w:val="nil"/>
              <w:left w:val="nil"/>
              <w:bottom w:val="nil"/>
              <w:right w:val="nil"/>
            </w:tcBorders>
          </w:tcPr>
          <w:p w:rsidR="00000000" w:rsidRDefault="00000000">
            <w:pPr>
              <w:tabs>
                <w:tab w:val="left" w:pos="288"/>
                <w:tab w:val="left" w:pos="576"/>
                <w:tab w:val="left" w:pos="864"/>
                <w:tab w:val="left" w:pos="1152"/>
              </w:tabs>
              <w:spacing w:before="40" w:after="40" w:line="240" w:lineRule="auto"/>
              <w:ind w:right="40"/>
              <w:rPr>
                <w:sz w:val="14"/>
              </w:rPr>
            </w:pPr>
          </w:p>
        </w:tc>
        <w:tc>
          <w:tcPr>
            <w:tcW w:w="495" w:type="dxa"/>
            <w:tcBorders>
              <w:top w:val="nil"/>
              <w:left w:val="nil"/>
              <w:bottom w:val="nil"/>
              <w:right w:val="nil"/>
            </w:tcBorders>
          </w:tcPr>
          <w:p w:rsidR="00000000" w:rsidRDefault="00000000">
            <w:pPr>
              <w:tabs>
                <w:tab w:val="left" w:pos="288"/>
                <w:tab w:val="left" w:pos="576"/>
                <w:tab w:val="left" w:pos="864"/>
                <w:tab w:val="left" w:pos="1152"/>
              </w:tabs>
              <w:spacing w:before="40" w:after="40" w:line="240" w:lineRule="auto"/>
              <w:ind w:right="40"/>
              <w:rPr>
                <w:sz w:val="14"/>
              </w:rPr>
            </w:pPr>
          </w:p>
        </w:tc>
        <w:tc>
          <w:tcPr>
            <w:tcW w:w="495" w:type="dxa"/>
            <w:tcBorders>
              <w:top w:val="nil"/>
              <w:left w:val="nil"/>
              <w:bottom w:val="nil"/>
              <w:right w:val="nil"/>
            </w:tcBorders>
          </w:tcPr>
          <w:p w:rsidR="00000000" w:rsidRDefault="00000000">
            <w:pPr>
              <w:tabs>
                <w:tab w:val="left" w:pos="288"/>
                <w:tab w:val="left" w:pos="576"/>
                <w:tab w:val="left" w:pos="864"/>
                <w:tab w:val="left" w:pos="1152"/>
              </w:tabs>
              <w:spacing w:before="40" w:after="40" w:line="240" w:lineRule="auto"/>
              <w:ind w:right="40"/>
              <w:rPr>
                <w:sz w:val="14"/>
              </w:rPr>
            </w:pPr>
          </w:p>
        </w:tc>
        <w:tc>
          <w:tcPr>
            <w:tcW w:w="450" w:type="dxa"/>
            <w:tcBorders>
              <w:top w:val="nil"/>
              <w:left w:val="nil"/>
              <w:bottom w:val="nil"/>
              <w:right w:val="nil"/>
            </w:tcBorders>
          </w:tcPr>
          <w:p w:rsidR="00000000" w:rsidRDefault="00000000">
            <w:pPr>
              <w:tabs>
                <w:tab w:val="left" w:pos="288"/>
                <w:tab w:val="left" w:pos="576"/>
                <w:tab w:val="left" w:pos="864"/>
                <w:tab w:val="left" w:pos="1152"/>
              </w:tabs>
              <w:spacing w:before="40" w:after="40" w:line="240" w:lineRule="auto"/>
              <w:ind w:right="40"/>
              <w:rPr>
                <w:sz w:val="14"/>
              </w:rPr>
            </w:pPr>
          </w:p>
        </w:tc>
        <w:tc>
          <w:tcPr>
            <w:tcW w:w="450" w:type="dxa"/>
            <w:tcBorders>
              <w:top w:val="nil"/>
              <w:left w:val="nil"/>
              <w:bottom w:val="nil"/>
              <w:right w:val="nil"/>
            </w:tcBorders>
          </w:tcPr>
          <w:p w:rsidR="00000000" w:rsidRDefault="00000000">
            <w:pPr>
              <w:tabs>
                <w:tab w:val="left" w:pos="288"/>
                <w:tab w:val="left" w:pos="576"/>
                <w:tab w:val="left" w:pos="864"/>
                <w:tab w:val="left" w:pos="1152"/>
              </w:tabs>
              <w:spacing w:before="40" w:after="40" w:line="240" w:lineRule="auto"/>
              <w:ind w:right="40"/>
              <w:rPr>
                <w:sz w:val="14"/>
              </w:rPr>
            </w:pPr>
          </w:p>
        </w:tc>
        <w:tc>
          <w:tcPr>
            <w:tcW w:w="540" w:type="dxa"/>
            <w:tcBorders>
              <w:top w:val="nil"/>
              <w:left w:val="nil"/>
              <w:bottom w:val="nil"/>
              <w:right w:val="nil"/>
            </w:tcBorders>
          </w:tcPr>
          <w:p w:rsidR="00000000" w:rsidRDefault="00000000">
            <w:pPr>
              <w:tabs>
                <w:tab w:val="left" w:pos="288"/>
                <w:tab w:val="left" w:pos="576"/>
                <w:tab w:val="left" w:pos="864"/>
                <w:tab w:val="left" w:pos="1152"/>
              </w:tabs>
              <w:spacing w:before="40" w:after="40" w:line="240" w:lineRule="auto"/>
              <w:ind w:right="40"/>
              <w:rPr>
                <w:sz w:val="14"/>
              </w:rPr>
            </w:pPr>
          </w:p>
        </w:tc>
        <w:tc>
          <w:tcPr>
            <w:tcW w:w="540" w:type="dxa"/>
            <w:tcBorders>
              <w:top w:val="nil"/>
              <w:left w:val="nil"/>
              <w:bottom w:val="nil"/>
              <w:right w:val="nil"/>
            </w:tcBorders>
          </w:tcPr>
          <w:p w:rsidR="00000000" w:rsidRDefault="00000000">
            <w:pPr>
              <w:tabs>
                <w:tab w:val="left" w:pos="288"/>
                <w:tab w:val="left" w:pos="576"/>
                <w:tab w:val="left" w:pos="864"/>
                <w:tab w:val="left" w:pos="1152"/>
              </w:tabs>
              <w:spacing w:before="40" w:after="40" w:line="240" w:lineRule="auto"/>
              <w:ind w:right="40"/>
              <w:jc w:val="right"/>
              <w:rPr>
                <w:sz w:val="14"/>
              </w:rPr>
            </w:pPr>
          </w:p>
        </w:tc>
        <w:tc>
          <w:tcPr>
            <w:tcW w:w="540" w:type="dxa"/>
            <w:tcBorders>
              <w:top w:val="nil"/>
              <w:left w:val="nil"/>
              <w:bottom w:val="nil"/>
              <w:right w:val="nil"/>
            </w:tcBorders>
          </w:tcPr>
          <w:p w:rsidR="00000000" w:rsidRDefault="00000000">
            <w:pPr>
              <w:tabs>
                <w:tab w:val="left" w:pos="288"/>
                <w:tab w:val="left" w:pos="576"/>
                <w:tab w:val="left" w:pos="864"/>
                <w:tab w:val="left" w:pos="1152"/>
              </w:tabs>
              <w:spacing w:before="40" w:after="40" w:line="240" w:lineRule="auto"/>
              <w:ind w:right="40"/>
              <w:jc w:val="right"/>
              <w:rPr>
                <w:sz w:val="14"/>
              </w:rPr>
            </w:pPr>
          </w:p>
        </w:tc>
        <w:tc>
          <w:tcPr>
            <w:tcW w:w="540" w:type="dxa"/>
            <w:tcBorders>
              <w:top w:val="nil"/>
              <w:left w:val="nil"/>
              <w:bottom w:val="nil"/>
              <w:right w:val="nil"/>
            </w:tcBorders>
          </w:tcPr>
          <w:p w:rsidR="00000000" w:rsidRDefault="00000000">
            <w:pPr>
              <w:tabs>
                <w:tab w:val="left" w:pos="288"/>
                <w:tab w:val="left" w:pos="576"/>
                <w:tab w:val="left" w:pos="864"/>
                <w:tab w:val="left" w:pos="1152"/>
              </w:tabs>
              <w:spacing w:before="40" w:after="40" w:line="240" w:lineRule="auto"/>
              <w:ind w:right="40"/>
              <w:jc w:val="right"/>
              <w:rPr>
                <w:sz w:val="14"/>
              </w:rPr>
            </w:pPr>
          </w:p>
        </w:tc>
        <w:tc>
          <w:tcPr>
            <w:tcW w:w="511" w:type="dxa"/>
            <w:tcBorders>
              <w:top w:val="nil"/>
              <w:left w:val="nil"/>
              <w:bottom w:val="nil"/>
              <w:right w:val="nil"/>
            </w:tcBorders>
          </w:tcPr>
          <w:p w:rsidR="00000000" w:rsidRDefault="00000000">
            <w:pPr>
              <w:tabs>
                <w:tab w:val="left" w:pos="288"/>
                <w:tab w:val="left" w:pos="576"/>
                <w:tab w:val="left" w:pos="864"/>
                <w:tab w:val="left" w:pos="1152"/>
              </w:tabs>
              <w:spacing w:before="40" w:after="40" w:line="240" w:lineRule="auto"/>
              <w:ind w:right="40"/>
              <w:jc w:val="right"/>
              <w:rPr>
                <w:sz w:val="14"/>
              </w:rPr>
            </w:pPr>
          </w:p>
        </w:tc>
        <w:tc>
          <w:tcPr>
            <w:tcW w:w="512" w:type="dxa"/>
            <w:tcBorders>
              <w:top w:val="nil"/>
              <w:left w:val="nil"/>
              <w:bottom w:val="nil"/>
              <w:right w:val="nil"/>
            </w:tcBorders>
          </w:tcPr>
          <w:p w:rsidR="00000000" w:rsidRDefault="00000000">
            <w:pPr>
              <w:tabs>
                <w:tab w:val="left" w:pos="288"/>
                <w:tab w:val="left" w:pos="576"/>
                <w:tab w:val="left" w:pos="864"/>
                <w:tab w:val="left" w:pos="1152"/>
              </w:tabs>
              <w:spacing w:before="40" w:after="40" w:line="240" w:lineRule="auto"/>
              <w:ind w:right="40"/>
              <w:jc w:val="right"/>
              <w:rPr>
                <w:sz w:val="14"/>
              </w:rPr>
            </w:pPr>
          </w:p>
        </w:tc>
        <w:tc>
          <w:tcPr>
            <w:tcW w:w="512" w:type="dxa"/>
            <w:tcBorders>
              <w:top w:val="nil"/>
              <w:left w:val="nil"/>
              <w:bottom w:val="nil"/>
              <w:right w:val="nil"/>
            </w:tcBorders>
          </w:tcPr>
          <w:p w:rsidR="00000000" w:rsidRDefault="00000000">
            <w:pPr>
              <w:tabs>
                <w:tab w:val="left" w:pos="288"/>
                <w:tab w:val="left" w:pos="576"/>
                <w:tab w:val="left" w:pos="864"/>
                <w:tab w:val="left" w:pos="1152"/>
              </w:tabs>
              <w:spacing w:before="40" w:after="40" w:line="240" w:lineRule="auto"/>
              <w:ind w:right="40"/>
              <w:jc w:val="right"/>
              <w:rPr>
                <w:sz w:val="14"/>
              </w:rPr>
            </w:pPr>
          </w:p>
        </w:tc>
      </w:tr>
      <w:tr w:rsidR="00000000">
        <w:tblPrEx>
          <w:tblCellMar>
            <w:top w:w="0" w:type="dxa"/>
            <w:left w:w="0" w:type="dxa"/>
            <w:bottom w:w="0" w:type="dxa"/>
            <w:right w:w="0" w:type="dxa"/>
          </w:tblCellMar>
        </w:tblPrEx>
        <w:trPr>
          <w:cantSplit/>
        </w:trPr>
        <w:tc>
          <w:tcPr>
            <w:tcW w:w="197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0 - 3</w:t>
            </w:r>
          </w:p>
        </w:tc>
        <w:tc>
          <w:tcPr>
            <w:tcW w:w="49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49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45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w:t>
            </w:r>
          </w:p>
        </w:tc>
        <w:tc>
          <w:tcPr>
            <w:tcW w:w="45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18</w:t>
            </w:r>
          </w:p>
        </w:tc>
        <w:tc>
          <w:tcPr>
            <w:tcW w:w="54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tcBorders>
              <w:top w:val="nil"/>
              <w:left w:val="nil"/>
              <w:bottom w:val="nil"/>
              <w:right w:val="nil"/>
            </w:tcBorders>
            <w:vAlign w:val="bottom"/>
          </w:tcPr>
          <w:p w:rsidR="00000000" w:rsidRDefault="00000000">
            <w:pPr>
              <w:tabs>
                <w:tab w:val="left" w:pos="288"/>
                <w:tab w:val="left" w:pos="624"/>
                <w:tab w:val="left" w:pos="864"/>
                <w:tab w:val="left" w:pos="1152"/>
              </w:tabs>
              <w:spacing w:before="40" w:after="40" w:line="210" w:lineRule="exact"/>
              <w:ind w:right="40"/>
              <w:jc w:val="right"/>
              <w:rPr>
                <w:sz w:val="16"/>
              </w:rPr>
            </w:pPr>
            <w:r>
              <w:rPr>
                <w:sz w:val="16"/>
              </w:rPr>
              <w:t>0</w:t>
            </w:r>
          </w:p>
        </w:tc>
        <w:tc>
          <w:tcPr>
            <w:tcW w:w="540"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40"/>
              <w:jc w:val="right"/>
              <w:rPr>
                <w:sz w:val="16"/>
              </w:rPr>
            </w:pPr>
            <w:r>
              <w:rPr>
                <w:sz w:val="16"/>
              </w:rPr>
              <w:t>1</w:t>
            </w:r>
          </w:p>
        </w:tc>
        <w:tc>
          <w:tcPr>
            <w:tcW w:w="540"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5"/>
              <w:jc w:val="right"/>
              <w:rPr>
                <w:sz w:val="16"/>
              </w:rPr>
            </w:pPr>
            <w:r>
              <w:rPr>
                <w:sz w:val="16"/>
              </w:rPr>
              <w:t>0</w:t>
            </w:r>
          </w:p>
        </w:tc>
        <w:tc>
          <w:tcPr>
            <w:tcW w:w="511"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jc w:val="right"/>
              <w:rPr>
                <w:sz w:val="16"/>
              </w:rPr>
            </w:pPr>
            <w:r>
              <w:rPr>
                <w:sz w:val="16"/>
              </w:rPr>
              <w:t>26</w:t>
            </w:r>
          </w:p>
        </w:tc>
        <w:tc>
          <w:tcPr>
            <w:tcW w:w="512"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5"/>
              <w:jc w:val="right"/>
              <w:rPr>
                <w:sz w:val="16"/>
              </w:rPr>
            </w:pPr>
            <w:r>
              <w:rPr>
                <w:sz w:val="16"/>
              </w:rPr>
              <w:t>21</w:t>
            </w:r>
          </w:p>
        </w:tc>
        <w:tc>
          <w:tcPr>
            <w:tcW w:w="512"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5"/>
              <w:jc w:val="right"/>
              <w:rPr>
                <w:sz w:val="16"/>
              </w:rPr>
            </w:pPr>
            <w:r>
              <w:rPr>
                <w:sz w:val="16"/>
              </w:rPr>
              <w:t>47</w:t>
            </w:r>
          </w:p>
        </w:tc>
      </w:tr>
      <w:tr w:rsidR="00000000">
        <w:tblPrEx>
          <w:tblCellMar>
            <w:top w:w="0" w:type="dxa"/>
            <w:left w:w="0" w:type="dxa"/>
            <w:bottom w:w="0" w:type="dxa"/>
            <w:right w:w="0" w:type="dxa"/>
          </w:tblCellMar>
        </w:tblPrEx>
        <w:trPr>
          <w:cantSplit/>
        </w:trPr>
        <w:tc>
          <w:tcPr>
            <w:tcW w:w="197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4 - 6</w:t>
            </w:r>
          </w:p>
        </w:tc>
        <w:tc>
          <w:tcPr>
            <w:tcW w:w="49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w:t>
            </w:r>
          </w:p>
        </w:tc>
        <w:tc>
          <w:tcPr>
            <w:tcW w:w="49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w:t>
            </w:r>
          </w:p>
        </w:tc>
        <w:tc>
          <w:tcPr>
            <w:tcW w:w="45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62</w:t>
            </w:r>
          </w:p>
        </w:tc>
        <w:tc>
          <w:tcPr>
            <w:tcW w:w="45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51</w:t>
            </w:r>
          </w:p>
        </w:tc>
        <w:tc>
          <w:tcPr>
            <w:tcW w:w="54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tcBorders>
              <w:top w:val="nil"/>
              <w:left w:val="nil"/>
              <w:bottom w:val="nil"/>
              <w:right w:val="nil"/>
            </w:tcBorders>
            <w:vAlign w:val="bottom"/>
          </w:tcPr>
          <w:p w:rsidR="00000000" w:rsidRDefault="00000000">
            <w:pPr>
              <w:tabs>
                <w:tab w:val="left" w:pos="288"/>
                <w:tab w:val="left" w:pos="624"/>
                <w:tab w:val="left" w:pos="864"/>
                <w:tab w:val="left" w:pos="1152"/>
              </w:tabs>
              <w:spacing w:before="40" w:after="40" w:line="210" w:lineRule="exact"/>
              <w:ind w:right="40"/>
              <w:jc w:val="right"/>
              <w:rPr>
                <w:sz w:val="16"/>
              </w:rPr>
            </w:pPr>
            <w:r>
              <w:rPr>
                <w:sz w:val="16"/>
              </w:rPr>
              <w:t>0</w:t>
            </w:r>
          </w:p>
        </w:tc>
        <w:tc>
          <w:tcPr>
            <w:tcW w:w="540" w:type="dxa"/>
            <w:tcBorders>
              <w:top w:val="nil"/>
              <w:left w:val="nil"/>
              <w:bottom w:val="nil"/>
              <w:right w:val="nil"/>
            </w:tcBorders>
            <w:vAlign w:val="bottom"/>
          </w:tcPr>
          <w:p w:rsidR="00000000" w:rsidRDefault="00000000">
            <w:pPr>
              <w:tabs>
                <w:tab w:val="left" w:pos="288"/>
                <w:tab w:val="left" w:pos="630"/>
                <w:tab w:val="left" w:pos="864"/>
                <w:tab w:val="left" w:pos="1152"/>
              </w:tabs>
              <w:spacing w:before="40" w:after="40" w:line="210" w:lineRule="exact"/>
              <w:ind w:right="40"/>
              <w:jc w:val="right"/>
              <w:rPr>
                <w:sz w:val="16"/>
              </w:rPr>
            </w:pPr>
            <w:r>
              <w:rPr>
                <w:sz w:val="16"/>
              </w:rPr>
              <w:t>0</w:t>
            </w:r>
          </w:p>
        </w:tc>
        <w:tc>
          <w:tcPr>
            <w:tcW w:w="540"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jc w:val="right"/>
              <w:rPr>
                <w:sz w:val="16"/>
              </w:rPr>
            </w:pPr>
            <w:r>
              <w:rPr>
                <w:sz w:val="16"/>
              </w:rPr>
              <w:t>4</w:t>
            </w:r>
          </w:p>
        </w:tc>
        <w:tc>
          <w:tcPr>
            <w:tcW w:w="51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jc w:val="right"/>
              <w:rPr>
                <w:sz w:val="16"/>
              </w:rPr>
            </w:pPr>
            <w:r>
              <w:rPr>
                <w:sz w:val="16"/>
              </w:rPr>
              <w:t>78</w:t>
            </w:r>
          </w:p>
        </w:tc>
        <w:tc>
          <w:tcPr>
            <w:tcW w:w="512"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5"/>
              <w:jc w:val="right"/>
              <w:rPr>
                <w:sz w:val="16"/>
              </w:rPr>
            </w:pPr>
            <w:r>
              <w:rPr>
                <w:sz w:val="16"/>
              </w:rPr>
              <w:t>72</w:t>
            </w:r>
          </w:p>
        </w:tc>
        <w:tc>
          <w:tcPr>
            <w:tcW w:w="512"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5"/>
              <w:jc w:val="right"/>
              <w:rPr>
                <w:sz w:val="16"/>
              </w:rPr>
            </w:pPr>
            <w:r>
              <w:rPr>
                <w:sz w:val="16"/>
              </w:rPr>
              <w:t>150</w:t>
            </w:r>
          </w:p>
        </w:tc>
      </w:tr>
      <w:tr w:rsidR="00000000">
        <w:tblPrEx>
          <w:tblCellMar>
            <w:top w:w="0" w:type="dxa"/>
            <w:left w:w="0" w:type="dxa"/>
            <w:bottom w:w="0" w:type="dxa"/>
            <w:right w:w="0" w:type="dxa"/>
          </w:tblCellMar>
        </w:tblPrEx>
        <w:trPr>
          <w:cantSplit/>
        </w:trPr>
        <w:tc>
          <w:tcPr>
            <w:tcW w:w="197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7 - 14</w:t>
            </w:r>
          </w:p>
        </w:tc>
        <w:tc>
          <w:tcPr>
            <w:tcW w:w="49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67</w:t>
            </w:r>
          </w:p>
        </w:tc>
        <w:tc>
          <w:tcPr>
            <w:tcW w:w="49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54</w:t>
            </w:r>
          </w:p>
        </w:tc>
        <w:tc>
          <w:tcPr>
            <w:tcW w:w="45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55</w:t>
            </w:r>
          </w:p>
        </w:tc>
        <w:tc>
          <w:tcPr>
            <w:tcW w:w="45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83</w:t>
            </w:r>
          </w:p>
        </w:tc>
        <w:tc>
          <w:tcPr>
            <w:tcW w:w="54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tcBorders>
              <w:top w:val="nil"/>
              <w:left w:val="nil"/>
              <w:bottom w:val="nil"/>
              <w:right w:val="nil"/>
            </w:tcBorders>
            <w:vAlign w:val="bottom"/>
          </w:tcPr>
          <w:p w:rsidR="00000000" w:rsidRDefault="00000000">
            <w:pPr>
              <w:tabs>
                <w:tab w:val="left" w:pos="288"/>
                <w:tab w:val="left" w:pos="624"/>
                <w:tab w:val="left" w:pos="864"/>
                <w:tab w:val="left" w:pos="1152"/>
              </w:tabs>
              <w:spacing w:before="40" w:after="40" w:line="210" w:lineRule="exact"/>
              <w:ind w:right="40"/>
              <w:jc w:val="right"/>
              <w:rPr>
                <w:sz w:val="16"/>
              </w:rPr>
            </w:pPr>
            <w:r>
              <w:rPr>
                <w:sz w:val="16"/>
              </w:rPr>
              <w:t>5</w:t>
            </w:r>
          </w:p>
        </w:tc>
        <w:tc>
          <w:tcPr>
            <w:tcW w:w="540" w:type="dxa"/>
            <w:tcBorders>
              <w:top w:val="nil"/>
              <w:left w:val="nil"/>
              <w:bottom w:val="nil"/>
              <w:right w:val="nil"/>
            </w:tcBorders>
            <w:vAlign w:val="bottom"/>
          </w:tcPr>
          <w:p w:rsidR="00000000" w:rsidRDefault="00000000">
            <w:pPr>
              <w:tabs>
                <w:tab w:val="left" w:pos="288"/>
                <w:tab w:val="left" w:pos="630"/>
                <w:tab w:val="left" w:pos="864"/>
                <w:tab w:val="left" w:pos="1152"/>
              </w:tabs>
              <w:spacing w:before="40" w:after="40" w:line="210" w:lineRule="exact"/>
              <w:ind w:right="40"/>
              <w:jc w:val="right"/>
              <w:rPr>
                <w:sz w:val="16"/>
              </w:rPr>
            </w:pPr>
            <w:r>
              <w:rPr>
                <w:sz w:val="16"/>
              </w:rPr>
              <w:t>7</w:t>
            </w:r>
          </w:p>
        </w:tc>
        <w:tc>
          <w:tcPr>
            <w:tcW w:w="540"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jc w:val="right"/>
              <w:rPr>
                <w:sz w:val="16"/>
              </w:rPr>
            </w:pPr>
            <w:r>
              <w:rPr>
                <w:sz w:val="16"/>
              </w:rPr>
              <w:t>4</w:t>
            </w:r>
          </w:p>
        </w:tc>
        <w:tc>
          <w:tcPr>
            <w:tcW w:w="51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jc w:val="right"/>
              <w:rPr>
                <w:sz w:val="16"/>
              </w:rPr>
            </w:pPr>
            <w:r>
              <w:rPr>
                <w:sz w:val="16"/>
              </w:rPr>
              <w:t>129</w:t>
            </w:r>
          </w:p>
        </w:tc>
        <w:tc>
          <w:tcPr>
            <w:tcW w:w="512"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5"/>
              <w:jc w:val="right"/>
              <w:rPr>
                <w:sz w:val="16"/>
              </w:rPr>
            </w:pPr>
            <w:r>
              <w:rPr>
                <w:sz w:val="16"/>
              </w:rPr>
              <w:t>147</w:t>
            </w:r>
          </w:p>
        </w:tc>
        <w:tc>
          <w:tcPr>
            <w:tcW w:w="512"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5"/>
              <w:jc w:val="right"/>
              <w:rPr>
                <w:sz w:val="16"/>
              </w:rPr>
            </w:pPr>
            <w:r>
              <w:rPr>
                <w:sz w:val="16"/>
              </w:rPr>
              <w:t>276</w:t>
            </w:r>
          </w:p>
        </w:tc>
      </w:tr>
      <w:tr w:rsidR="00000000">
        <w:tblPrEx>
          <w:tblCellMar>
            <w:top w:w="0" w:type="dxa"/>
            <w:left w:w="0" w:type="dxa"/>
            <w:bottom w:w="0" w:type="dxa"/>
            <w:right w:w="0" w:type="dxa"/>
          </w:tblCellMar>
        </w:tblPrEx>
        <w:trPr>
          <w:cantSplit/>
        </w:trPr>
        <w:tc>
          <w:tcPr>
            <w:tcW w:w="197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15 - 18</w:t>
            </w:r>
          </w:p>
        </w:tc>
        <w:tc>
          <w:tcPr>
            <w:tcW w:w="49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w:t>
            </w:r>
          </w:p>
        </w:tc>
        <w:tc>
          <w:tcPr>
            <w:tcW w:w="49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w:t>
            </w:r>
          </w:p>
        </w:tc>
        <w:tc>
          <w:tcPr>
            <w:tcW w:w="45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60</w:t>
            </w:r>
          </w:p>
        </w:tc>
        <w:tc>
          <w:tcPr>
            <w:tcW w:w="45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78</w:t>
            </w:r>
          </w:p>
        </w:tc>
        <w:tc>
          <w:tcPr>
            <w:tcW w:w="54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tcBorders>
              <w:top w:val="nil"/>
              <w:left w:val="nil"/>
              <w:bottom w:val="nil"/>
              <w:right w:val="nil"/>
            </w:tcBorders>
            <w:vAlign w:val="bottom"/>
          </w:tcPr>
          <w:p w:rsidR="00000000" w:rsidRDefault="00000000">
            <w:pPr>
              <w:tabs>
                <w:tab w:val="left" w:pos="288"/>
                <w:tab w:val="left" w:pos="624"/>
                <w:tab w:val="left" w:pos="864"/>
                <w:tab w:val="left" w:pos="1152"/>
              </w:tabs>
              <w:spacing w:before="40" w:after="40" w:line="210" w:lineRule="exact"/>
              <w:ind w:right="40"/>
              <w:jc w:val="right"/>
              <w:rPr>
                <w:sz w:val="16"/>
              </w:rPr>
            </w:pPr>
            <w:r>
              <w:rPr>
                <w:sz w:val="16"/>
              </w:rPr>
              <w:t>10</w:t>
            </w:r>
          </w:p>
        </w:tc>
        <w:tc>
          <w:tcPr>
            <w:tcW w:w="540" w:type="dxa"/>
            <w:tcBorders>
              <w:top w:val="nil"/>
              <w:left w:val="nil"/>
              <w:bottom w:val="nil"/>
              <w:right w:val="nil"/>
            </w:tcBorders>
            <w:vAlign w:val="bottom"/>
          </w:tcPr>
          <w:p w:rsidR="00000000" w:rsidRDefault="00000000">
            <w:pPr>
              <w:tabs>
                <w:tab w:val="left" w:pos="288"/>
                <w:tab w:val="left" w:pos="630"/>
                <w:tab w:val="left" w:pos="864"/>
                <w:tab w:val="left" w:pos="1152"/>
              </w:tabs>
              <w:spacing w:before="40" w:after="40" w:line="210" w:lineRule="exact"/>
              <w:ind w:right="40"/>
              <w:jc w:val="right"/>
              <w:rPr>
                <w:sz w:val="16"/>
              </w:rPr>
            </w:pPr>
            <w:r>
              <w:rPr>
                <w:sz w:val="16"/>
              </w:rPr>
              <w:t>13</w:t>
            </w:r>
          </w:p>
        </w:tc>
        <w:tc>
          <w:tcPr>
            <w:tcW w:w="540"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jc w:val="right"/>
              <w:rPr>
                <w:sz w:val="16"/>
              </w:rPr>
            </w:pPr>
            <w:r>
              <w:rPr>
                <w:sz w:val="16"/>
              </w:rPr>
              <w:t>18</w:t>
            </w:r>
          </w:p>
        </w:tc>
        <w:tc>
          <w:tcPr>
            <w:tcW w:w="51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jc w:val="right"/>
              <w:rPr>
                <w:sz w:val="16"/>
              </w:rPr>
            </w:pPr>
            <w:r>
              <w:rPr>
                <w:sz w:val="16"/>
              </w:rPr>
              <w:t>102</w:t>
            </w:r>
          </w:p>
        </w:tc>
        <w:tc>
          <w:tcPr>
            <w:tcW w:w="512"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5"/>
              <w:jc w:val="right"/>
              <w:rPr>
                <w:sz w:val="16"/>
              </w:rPr>
            </w:pPr>
            <w:r>
              <w:rPr>
                <w:sz w:val="16"/>
              </w:rPr>
              <w:t>139</w:t>
            </w:r>
          </w:p>
        </w:tc>
        <w:tc>
          <w:tcPr>
            <w:tcW w:w="512"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5"/>
              <w:jc w:val="right"/>
              <w:rPr>
                <w:sz w:val="16"/>
              </w:rPr>
            </w:pPr>
            <w:r>
              <w:rPr>
                <w:sz w:val="16"/>
              </w:rPr>
              <w:t>241</w:t>
            </w:r>
          </w:p>
        </w:tc>
      </w:tr>
      <w:tr w:rsidR="00000000">
        <w:tblPrEx>
          <w:tblCellMar>
            <w:top w:w="0" w:type="dxa"/>
            <w:left w:w="0" w:type="dxa"/>
            <w:bottom w:w="0" w:type="dxa"/>
            <w:right w:w="0" w:type="dxa"/>
          </w:tblCellMar>
        </w:tblPrEx>
        <w:trPr>
          <w:cantSplit/>
        </w:trPr>
        <w:tc>
          <w:tcPr>
            <w:tcW w:w="197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19 - 27</w:t>
            </w:r>
          </w:p>
        </w:tc>
        <w:tc>
          <w:tcPr>
            <w:tcW w:w="49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w:t>
            </w:r>
          </w:p>
        </w:tc>
        <w:tc>
          <w:tcPr>
            <w:tcW w:w="49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110</w:t>
            </w:r>
          </w:p>
        </w:tc>
        <w:tc>
          <w:tcPr>
            <w:tcW w:w="45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w:t>
            </w:r>
          </w:p>
        </w:tc>
        <w:tc>
          <w:tcPr>
            <w:tcW w:w="45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82</w:t>
            </w:r>
          </w:p>
        </w:tc>
        <w:tc>
          <w:tcPr>
            <w:tcW w:w="54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tcBorders>
              <w:top w:val="nil"/>
              <w:left w:val="nil"/>
              <w:bottom w:val="nil"/>
              <w:right w:val="nil"/>
            </w:tcBorders>
            <w:vAlign w:val="bottom"/>
          </w:tcPr>
          <w:p w:rsidR="00000000" w:rsidRDefault="00000000">
            <w:pPr>
              <w:tabs>
                <w:tab w:val="left" w:pos="288"/>
                <w:tab w:val="left" w:pos="624"/>
                <w:tab w:val="left" w:pos="864"/>
                <w:tab w:val="left" w:pos="1152"/>
              </w:tabs>
              <w:spacing w:before="40" w:after="40" w:line="210" w:lineRule="exact"/>
              <w:ind w:right="40"/>
              <w:jc w:val="right"/>
              <w:rPr>
                <w:sz w:val="16"/>
              </w:rPr>
            </w:pPr>
            <w:r>
              <w:rPr>
                <w:sz w:val="16"/>
              </w:rPr>
              <w:t>13</w:t>
            </w:r>
          </w:p>
        </w:tc>
        <w:tc>
          <w:tcPr>
            <w:tcW w:w="540" w:type="dxa"/>
            <w:tcBorders>
              <w:top w:val="nil"/>
              <w:left w:val="nil"/>
              <w:bottom w:val="nil"/>
              <w:right w:val="nil"/>
            </w:tcBorders>
            <w:vAlign w:val="bottom"/>
          </w:tcPr>
          <w:p w:rsidR="00000000" w:rsidRDefault="00000000">
            <w:pPr>
              <w:tabs>
                <w:tab w:val="left" w:pos="288"/>
                <w:tab w:val="left" w:pos="630"/>
                <w:tab w:val="left" w:pos="864"/>
                <w:tab w:val="left" w:pos="1152"/>
              </w:tabs>
              <w:spacing w:before="40" w:after="40" w:line="210" w:lineRule="exact"/>
              <w:ind w:right="40"/>
              <w:jc w:val="right"/>
              <w:rPr>
                <w:sz w:val="16"/>
              </w:rPr>
            </w:pPr>
            <w:r>
              <w:rPr>
                <w:sz w:val="16"/>
              </w:rPr>
              <w:t>19</w:t>
            </w:r>
          </w:p>
        </w:tc>
        <w:tc>
          <w:tcPr>
            <w:tcW w:w="540"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jc w:val="right"/>
              <w:rPr>
                <w:sz w:val="16"/>
              </w:rPr>
            </w:pPr>
            <w:r>
              <w:rPr>
                <w:sz w:val="16"/>
              </w:rPr>
              <w:t>28</w:t>
            </w:r>
          </w:p>
        </w:tc>
        <w:tc>
          <w:tcPr>
            <w:tcW w:w="51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jc w:val="right"/>
              <w:rPr>
                <w:sz w:val="16"/>
              </w:rPr>
            </w:pPr>
            <w:r>
              <w:rPr>
                <w:sz w:val="16"/>
              </w:rPr>
              <w:t>50</w:t>
            </w:r>
          </w:p>
        </w:tc>
        <w:tc>
          <w:tcPr>
            <w:tcW w:w="512"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5"/>
              <w:jc w:val="right"/>
              <w:rPr>
                <w:sz w:val="16"/>
              </w:rPr>
            </w:pPr>
            <w:r>
              <w:rPr>
                <w:sz w:val="16"/>
              </w:rPr>
              <w:t>233</w:t>
            </w:r>
          </w:p>
        </w:tc>
        <w:tc>
          <w:tcPr>
            <w:tcW w:w="512"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5"/>
              <w:jc w:val="right"/>
              <w:rPr>
                <w:sz w:val="16"/>
              </w:rPr>
            </w:pPr>
            <w:r>
              <w:rPr>
                <w:sz w:val="16"/>
              </w:rPr>
              <w:t>283</w:t>
            </w:r>
          </w:p>
        </w:tc>
      </w:tr>
      <w:tr w:rsidR="00000000">
        <w:tblPrEx>
          <w:tblCellMar>
            <w:top w:w="0" w:type="dxa"/>
            <w:left w:w="0" w:type="dxa"/>
            <w:bottom w:w="0" w:type="dxa"/>
            <w:right w:w="0" w:type="dxa"/>
          </w:tblCellMar>
        </w:tblPrEx>
        <w:trPr>
          <w:cantSplit/>
        </w:trPr>
        <w:tc>
          <w:tcPr>
            <w:tcW w:w="197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28 - 45</w:t>
            </w:r>
          </w:p>
        </w:tc>
        <w:tc>
          <w:tcPr>
            <w:tcW w:w="49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w:t>
            </w:r>
          </w:p>
        </w:tc>
        <w:tc>
          <w:tcPr>
            <w:tcW w:w="49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111</w:t>
            </w:r>
          </w:p>
        </w:tc>
        <w:tc>
          <w:tcPr>
            <w:tcW w:w="45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49</w:t>
            </w:r>
          </w:p>
        </w:tc>
        <w:tc>
          <w:tcPr>
            <w:tcW w:w="45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88</w:t>
            </w:r>
          </w:p>
        </w:tc>
        <w:tc>
          <w:tcPr>
            <w:tcW w:w="54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tcBorders>
              <w:top w:val="nil"/>
              <w:left w:val="nil"/>
              <w:bottom w:val="nil"/>
              <w:right w:val="nil"/>
            </w:tcBorders>
            <w:vAlign w:val="bottom"/>
          </w:tcPr>
          <w:p w:rsidR="00000000" w:rsidRDefault="00000000">
            <w:pPr>
              <w:tabs>
                <w:tab w:val="left" w:pos="288"/>
                <w:tab w:val="left" w:pos="624"/>
                <w:tab w:val="left" w:pos="864"/>
                <w:tab w:val="left" w:pos="1152"/>
              </w:tabs>
              <w:spacing w:before="40" w:after="40" w:line="210" w:lineRule="exact"/>
              <w:ind w:right="40"/>
              <w:jc w:val="right"/>
              <w:rPr>
                <w:sz w:val="16"/>
              </w:rPr>
            </w:pPr>
            <w:r>
              <w:rPr>
                <w:sz w:val="16"/>
              </w:rPr>
              <w:t>8</w:t>
            </w:r>
          </w:p>
        </w:tc>
        <w:tc>
          <w:tcPr>
            <w:tcW w:w="540" w:type="dxa"/>
            <w:tcBorders>
              <w:top w:val="nil"/>
              <w:left w:val="nil"/>
              <w:bottom w:val="nil"/>
              <w:right w:val="nil"/>
            </w:tcBorders>
            <w:vAlign w:val="bottom"/>
          </w:tcPr>
          <w:p w:rsidR="00000000" w:rsidRDefault="00000000">
            <w:pPr>
              <w:tabs>
                <w:tab w:val="left" w:pos="288"/>
                <w:tab w:val="left" w:pos="630"/>
                <w:tab w:val="left" w:pos="864"/>
                <w:tab w:val="left" w:pos="1152"/>
              </w:tabs>
              <w:spacing w:before="40" w:after="40" w:line="210" w:lineRule="exact"/>
              <w:ind w:right="40"/>
              <w:jc w:val="right"/>
              <w:rPr>
                <w:sz w:val="16"/>
              </w:rPr>
            </w:pPr>
            <w:r>
              <w:rPr>
                <w:sz w:val="16"/>
              </w:rPr>
              <w:t>42</w:t>
            </w:r>
          </w:p>
        </w:tc>
        <w:tc>
          <w:tcPr>
            <w:tcW w:w="540"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jc w:val="right"/>
              <w:rPr>
                <w:sz w:val="16"/>
              </w:rPr>
            </w:pPr>
            <w:r>
              <w:rPr>
                <w:sz w:val="16"/>
              </w:rPr>
              <w:t>48</w:t>
            </w:r>
          </w:p>
        </w:tc>
        <w:tc>
          <w:tcPr>
            <w:tcW w:w="51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jc w:val="right"/>
              <w:rPr>
                <w:sz w:val="16"/>
              </w:rPr>
            </w:pPr>
            <w:r>
              <w:rPr>
                <w:sz w:val="16"/>
              </w:rPr>
              <w:t>113</w:t>
            </w:r>
          </w:p>
        </w:tc>
        <w:tc>
          <w:tcPr>
            <w:tcW w:w="512"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5"/>
              <w:jc w:val="right"/>
              <w:rPr>
                <w:sz w:val="16"/>
              </w:rPr>
            </w:pPr>
            <w:r>
              <w:rPr>
                <w:sz w:val="16"/>
              </w:rPr>
              <w:t>255</w:t>
            </w:r>
          </w:p>
        </w:tc>
        <w:tc>
          <w:tcPr>
            <w:tcW w:w="512"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5"/>
              <w:jc w:val="right"/>
              <w:rPr>
                <w:sz w:val="16"/>
              </w:rPr>
            </w:pPr>
            <w:r>
              <w:rPr>
                <w:sz w:val="16"/>
              </w:rPr>
              <w:t>368</w:t>
            </w:r>
          </w:p>
        </w:tc>
      </w:tr>
      <w:tr w:rsidR="00000000">
        <w:tblPrEx>
          <w:tblCellMar>
            <w:top w:w="0" w:type="dxa"/>
            <w:left w:w="0" w:type="dxa"/>
            <w:bottom w:w="0" w:type="dxa"/>
            <w:right w:w="0" w:type="dxa"/>
          </w:tblCellMar>
        </w:tblPrEx>
        <w:trPr>
          <w:cantSplit/>
        </w:trPr>
        <w:tc>
          <w:tcPr>
            <w:tcW w:w="197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Старше 46</w:t>
            </w:r>
          </w:p>
        </w:tc>
        <w:tc>
          <w:tcPr>
            <w:tcW w:w="49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w:t>
            </w:r>
          </w:p>
        </w:tc>
        <w:tc>
          <w:tcPr>
            <w:tcW w:w="49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w:t>
            </w:r>
          </w:p>
        </w:tc>
        <w:tc>
          <w:tcPr>
            <w:tcW w:w="45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w:t>
            </w:r>
          </w:p>
        </w:tc>
        <w:tc>
          <w:tcPr>
            <w:tcW w:w="45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47</w:t>
            </w:r>
          </w:p>
        </w:tc>
        <w:tc>
          <w:tcPr>
            <w:tcW w:w="54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tcBorders>
              <w:top w:val="nil"/>
              <w:left w:val="nil"/>
              <w:bottom w:val="nil"/>
              <w:right w:val="nil"/>
            </w:tcBorders>
            <w:vAlign w:val="bottom"/>
          </w:tcPr>
          <w:p w:rsidR="00000000" w:rsidRDefault="00000000">
            <w:pPr>
              <w:tabs>
                <w:tab w:val="left" w:pos="288"/>
                <w:tab w:val="left" w:pos="624"/>
                <w:tab w:val="left" w:pos="864"/>
                <w:tab w:val="left" w:pos="1152"/>
              </w:tabs>
              <w:spacing w:before="40" w:after="40" w:line="210" w:lineRule="exact"/>
              <w:ind w:right="40"/>
              <w:jc w:val="right"/>
              <w:rPr>
                <w:sz w:val="16"/>
              </w:rPr>
            </w:pPr>
            <w:r>
              <w:rPr>
                <w:sz w:val="16"/>
              </w:rPr>
              <w:t>3</w:t>
            </w:r>
          </w:p>
        </w:tc>
        <w:tc>
          <w:tcPr>
            <w:tcW w:w="540" w:type="dxa"/>
            <w:tcBorders>
              <w:top w:val="nil"/>
              <w:left w:val="nil"/>
              <w:bottom w:val="nil"/>
              <w:right w:val="nil"/>
            </w:tcBorders>
            <w:vAlign w:val="bottom"/>
          </w:tcPr>
          <w:p w:rsidR="00000000" w:rsidRDefault="00000000">
            <w:pPr>
              <w:tabs>
                <w:tab w:val="left" w:pos="288"/>
                <w:tab w:val="left" w:pos="630"/>
                <w:tab w:val="left" w:pos="864"/>
                <w:tab w:val="left" w:pos="1152"/>
              </w:tabs>
              <w:spacing w:before="40" w:after="40" w:line="210" w:lineRule="exact"/>
              <w:ind w:right="40"/>
              <w:jc w:val="right"/>
              <w:rPr>
                <w:sz w:val="16"/>
              </w:rPr>
            </w:pPr>
            <w:r>
              <w:rPr>
                <w:sz w:val="16"/>
              </w:rPr>
              <w:t>19</w:t>
            </w:r>
          </w:p>
        </w:tc>
        <w:tc>
          <w:tcPr>
            <w:tcW w:w="540"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jc w:val="right"/>
              <w:rPr>
                <w:sz w:val="16"/>
              </w:rPr>
            </w:pPr>
            <w:r>
              <w:rPr>
                <w:sz w:val="16"/>
              </w:rPr>
              <w:t>40</w:t>
            </w:r>
          </w:p>
        </w:tc>
        <w:tc>
          <w:tcPr>
            <w:tcW w:w="51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jc w:val="right"/>
              <w:rPr>
                <w:sz w:val="16"/>
              </w:rPr>
            </w:pPr>
            <w:r>
              <w:rPr>
                <w:sz w:val="16"/>
              </w:rPr>
              <w:t>67</w:t>
            </w:r>
          </w:p>
        </w:tc>
        <w:tc>
          <w:tcPr>
            <w:tcW w:w="512"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5"/>
              <w:jc w:val="right"/>
              <w:rPr>
                <w:sz w:val="16"/>
              </w:rPr>
            </w:pPr>
            <w:r>
              <w:rPr>
                <w:sz w:val="16"/>
              </w:rPr>
              <w:t>124</w:t>
            </w:r>
          </w:p>
        </w:tc>
        <w:tc>
          <w:tcPr>
            <w:tcW w:w="512"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5"/>
              <w:jc w:val="right"/>
              <w:rPr>
                <w:sz w:val="16"/>
              </w:rPr>
            </w:pPr>
            <w:r>
              <w:rPr>
                <w:sz w:val="16"/>
              </w:rPr>
              <w:t>191</w:t>
            </w:r>
          </w:p>
        </w:tc>
      </w:tr>
      <w:tr w:rsidR="00000000">
        <w:tblPrEx>
          <w:tblCellMar>
            <w:top w:w="0" w:type="dxa"/>
            <w:left w:w="0" w:type="dxa"/>
            <w:bottom w:w="0" w:type="dxa"/>
            <w:right w:w="0" w:type="dxa"/>
          </w:tblCellMar>
        </w:tblPrEx>
        <w:trPr>
          <w:cantSplit/>
        </w:trPr>
        <w:tc>
          <w:tcPr>
            <w:tcW w:w="197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b/>
                <w:sz w:val="16"/>
              </w:rPr>
            </w:pPr>
            <w:r>
              <w:rPr>
                <w:b/>
                <w:sz w:val="16"/>
              </w:rPr>
              <w:t>Всего</w:t>
            </w:r>
          </w:p>
        </w:tc>
        <w:tc>
          <w:tcPr>
            <w:tcW w:w="495"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164</w:t>
            </w:r>
          </w:p>
        </w:tc>
        <w:tc>
          <w:tcPr>
            <w:tcW w:w="495"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362</w:t>
            </w:r>
          </w:p>
        </w:tc>
        <w:tc>
          <w:tcPr>
            <w:tcW w:w="45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297</w:t>
            </w:r>
          </w:p>
        </w:tc>
        <w:tc>
          <w:tcPr>
            <w:tcW w:w="45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447</w:t>
            </w:r>
          </w:p>
        </w:tc>
        <w:tc>
          <w:tcPr>
            <w:tcW w:w="54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w:t>
            </w:r>
          </w:p>
        </w:tc>
        <w:tc>
          <w:tcPr>
            <w:tcW w:w="540" w:type="dxa"/>
            <w:tcBorders>
              <w:top w:val="nil"/>
              <w:left w:val="nil"/>
              <w:bottom w:val="single" w:sz="12" w:space="0" w:color="auto"/>
              <w:right w:val="nil"/>
            </w:tcBorders>
            <w:vAlign w:val="bottom"/>
          </w:tcPr>
          <w:p w:rsidR="00000000" w:rsidRDefault="00000000">
            <w:pPr>
              <w:tabs>
                <w:tab w:val="left" w:pos="288"/>
                <w:tab w:val="left" w:pos="624"/>
                <w:tab w:val="left" w:pos="864"/>
                <w:tab w:val="left" w:pos="1152"/>
              </w:tabs>
              <w:spacing w:before="40" w:after="40" w:line="210" w:lineRule="exact"/>
              <w:ind w:right="40"/>
              <w:jc w:val="right"/>
              <w:rPr>
                <w:b/>
                <w:sz w:val="16"/>
              </w:rPr>
            </w:pPr>
            <w:r>
              <w:rPr>
                <w:b/>
                <w:sz w:val="16"/>
              </w:rPr>
              <w:t>39</w:t>
            </w:r>
          </w:p>
        </w:tc>
        <w:tc>
          <w:tcPr>
            <w:tcW w:w="540" w:type="dxa"/>
            <w:tcBorders>
              <w:top w:val="nil"/>
              <w:left w:val="nil"/>
              <w:bottom w:val="single" w:sz="12" w:space="0" w:color="auto"/>
              <w:right w:val="nil"/>
            </w:tcBorders>
            <w:vAlign w:val="bottom"/>
          </w:tcPr>
          <w:p w:rsidR="00000000" w:rsidRDefault="00000000">
            <w:pPr>
              <w:tabs>
                <w:tab w:val="left" w:pos="288"/>
                <w:tab w:val="left" w:pos="630"/>
                <w:tab w:val="left" w:pos="864"/>
                <w:tab w:val="left" w:pos="1152"/>
              </w:tabs>
              <w:spacing w:before="40" w:after="40" w:line="210" w:lineRule="exact"/>
              <w:ind w:right="40"/>
              <w:jc w:val="right"/>
              <w:rPr>
                <w:b/>
                <w:sz w:val="16"/>
              </w:rPr>
            </w:pPr>
            <w:r>
              <w:rPr>
                <w:b/>
                <w:sz w:val="16"/>
              </w:rPr>
              <w:t>101</w:t>
            </w:r>
          </w:p>
        </w:tc>
        <w:tc>
          <w:tcPr>
            <w:tcW w:w="540" w:type="dxa"/>
            <w:tcBorders>
              <w:top w:val="nil"/>
              <w:left w:val="nil"/>
              <w:bottom w:val="single" w:sz="12" w:space="0" w:color="auto"/>
              <w:right w:val="nil"/>
            </w:tcBorders>
            <w:vAlign w:val="bottom"/>
          </w:tcPr>
          <w:p w:rsidR="00000000" w:rsidRDefault="00000000">
            <w:pPr>
              <w:tabs>
                <w:tab w:val="left" w:pos="288"/>
                <w:tab w:val="left" w:pos="864"/>
                <w:tab w:val="left" w:pos="1152"/>
              </w:tabs>
              <w:spacing w:before="40" w:after="40" w:line="210" w:lineRule="exact"/>
              <w:jc w:val="right"/>
              <w:rPr>
                <w:b/>
                <w:sz w:val="16"/>
              </w:rPr>
            </w:pPr>
            <w:r>
              <w:rPr>
                <w:b/>
                <w:sz w:val="16"/>
              </w:rPr>
              <w:t>142</w:t>
            </w:r>
          </w:p>
        </w:tc>
        <w:tc>
          <w:tcPr>
            <w:tcW w:w="511"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jc w:val="right"/>
              <w:rPr>
                <w:b/>
                <w:sz w:val="16"/>
              </w:rPr>
            </w:pPr>
            <w:r>
              <w:rPr>
                <w:b/>
                <w:sz w:val="16"/>
              </w:rPr>
              <w:t>565</w:t>
            </w:r>
          </w:p>
        </w:tc>
        <w:tc>
          <w:tcPr>
            <w:tcW w:w="512" w:type="dxa"/>
            <w:tcBorders>
              <w:top w:val="nil"/>
              <w:left w:val="nil"/>
              <w:bottom w:val="single" w:sz="12" w:space="0" w:color="auto"/>
              <w:right w:val="nil"/>
            </w:tcBorders>
            <w:vAlign w:val="bottom"/>
          </w:tcPr>
          <w:p w:rsidR="00000000" w:rsidRDefault="00000000">
            <w:pPr>
              <w:tabs>
                <w:tab w:val="left" w:pos="288"/>
                <w:tab w:val="left" w:pos="864"/>
                <w:tab w:val="left" w:pos="1152"/>
              </w:tabs>
              <w:spacing w:before="40" w:after="40" w:line="210" w:lineRule="exact"/>
              <w:ind w:right="5"/>
              <w:jc w:val="right"/>
              <w:rPr>
                <w:b/>
                <w:sz w:val="16"/>
              </w:rPr>
            </w:pPr>
            <w:r>
              <w:rPr>
                <w:b/>
                <w:sz w:val="16"/>
              </w:rPr>
              <w:t>991</w:t>
            </w:r>
          </w:p>
        </w:tc>
        <w:tc>
          <w:tcPr>
            <w:tcW w:w="512" w:type="dxa"/>
            <w:tcBorders>
              <w:top w:val="nil"/>
              <w:left w:val="nil"/>
              <w:bottom w:val="single" w:sz="12" w:space="0" w:color="auto"/>
              <w:right w:val="nil"/>
            </w:tcBorders>
            <w:vAlign w:val="bottom"/>
          </w:tcPr>
          <w:p w:rsidR="00000000" w:rsidRDefault="00000000">
            <w:pPr>
              <w:tabs>
                <w:tab w:val="left" w:pos="288"/>
                <w:tab w:val="left" w:pos="864"/>
                <w:tab w:val="left" w:pos="1152"/>
              </w:tabs>
              <w:spacing w:before="40" w:after="40" w:line="210" w:lineRule="exact"/>
              <w:ind w:right="5"/>
              <w:jc w:val="right"/>
              <w:rPr>
                <w:b/>
                <w:sz w:val="16"/>
              </w:rPr>
            </w:pPr>
            <w:r>
              <w:rPr>
                <w:b/>
                <w:sz w:val="16"/>
              </w:rPr>
              <w:t>1556</w:t>
            </w:r>
          </w:p>
        </w:tc>
      </w:tr>
    </w:tbl>
    <w:p w:rsidR="00000000" w:rsidRDefault="00000000">
      <w:pPr>
        <w:pStyle w:val="SingleTxt"/>
        <w:spacing w:after="0" w:line="100" w:lineRule="exact"/>
        <w:ind w:left="1264" w:right="1264"/>
        <w:jc w:val="left"/>
        <w:rPr>
          <w:sz w:val="10"/>
        </w:rPr>
      </w:pPr>
    </w:p>
    <w:p w:rsidR="00000000" w:rsidRDefault="00000000">
      <w:pPr>
        <w:pStyle w:val="SingleTxt"/>
        <w:spacing w:after="0" w:line="10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5.2</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b/>
        </w:rPr>
        <w:tab/>
      </w:r>
      <w:r>
        <w:rPr>
          <w:b/>
        </w:rPr>
        <w:tab/>
        <w:t>Насилие в отношении детей (уголовные преступления, совершенные против сексуальной неприкосновенности детей в Республике Сербской), 1996-2002 годы</w:t>
      </w:r>
    </w:p>
    <w:p w:rsidR="00000000" w:rsidRDefault="00000000">
      <w:pPr>
        <w:pStyle w:val="SingleTxt"/>
        <w:spacing w:after="0"/>
        <w:jc w:val="left"/>
        <w:rPr>
          <w:sz w:val="10"/>
        </w:rPr>
      </w:pPr>
    </w:p>
    <w:tbl>
      <w:tblPr>
        <w:tblW w:w="0" w:type="auto"/>
        <w:tblInd w:w="1334" w:type="dxa"/>
        <w:tblBorders>
          <w:top w:val="single" w:sz="4" w:space="0" w:color="auto"/>
        </w:tblBorders>
        <w:tblLayout w:type="fixed"/>
        <w:tblCellMar>
          <w:left w:w="36" w:type="dxa"/>
          <w:right w:w="36" w:type="dxa"/>
        </w:tblCellMar>
        <w:tblLook w:val="0000" w:firstRow="0" w:lastRow="0" w:firstColumn="0" w:lastColumn="0" w:noHBand="0" w:noVBand="0"/>
      </w:tblPr>
      <w:tblGrid>
        <w:gridCol w:w="828"/>
        <w:gridCol w:w="315"/>
        <w:gridCol w:w="315"/>
        <w:gridCol w:w="360"/>
        <w:gridCol w:w="360"/>
        <w:gridCol w:w="270"/>
        <w:gridCol w:w="270"/>
        <w:gridCol w:w="315"/>
        <w:gridCol w:w="315"/>
        <w:gridCol w:w="360"/>
        <w:gridCol w:w="360"/>
        <w:gridCol w:w="360"/>
        <w:gridCol w:w="360"/>
        <w:gridCol w:w="315"/>
        <w:gridCol w:w="315"/>
        <w:gridCol w:w="405"/>
        <w:gridCol w:w="405"/>
        <w:gridCol w:w="270"/>
        <w:gridCol w:w="270"/>
        <w:gridCol w:w="258"/>
        <w:gridCol w:w="4"/>
        <w:gridCol w:w="255"/>
        <w:gridCol w:w="7"/>
        <w:gridCol w:w="252"/>
      </w:tblGrid>
      <w:tr w:rsidR="00000000">
        <w:tblPrEx>
          <w:tblCellMar>
            <w:top w:w="0" w:type="dxa"/>
            <w:bottom w:w="0" w:type="dxa"/>
          </w:tblCellMar>
        </w:tblPrEx>
        <w:tc>
          <w:tcPr>
            <w:tcW w:w="828" w:type="dxa"/>
            <w:tcBorders>
              <w:top w:val="single" w:sz="4" w:space="0" w:color="auto"/>
              <w:bottom w:val="nil"/>
            </w:tcBorders>
            <w:vAlign w:val="bottom"/>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left"/>
              <w:rPr>
                <w:i/>
                <w:sz w:val="13"/>
              </w:rPr>
            </w:pPr>
            <w:r>
              <w:rPr>
                <w:i/>
                <w:sz w:val="13"/>
              </w:rPr>
              <w:t>Классиф</w:t>
            </w:r>
            <w:r>
              <w:rPr>
                <w:i/>
                <w:sz w:val="13"/>
              </w:rPr>
              <w:t>и</w:t>
            </w:r>
            <w:r>
              <w:rPr>
                <w:i/>
                <w:sz w:val="13"/>
              </w:rPr>
              <w:t>кация сл</w:t>
            </w:r>
            <w:r>
              <w:rPr>
                <w:i/>
                <w:sz w:val="13"/>
              </w:rPr>
              <w:t>у</w:t>
            </w:r>
            <w:r>
              <w:rPr>
                <w:i/>
                <w:sz w:val="13"/>
              </w:rPr>
              <w:t>чаев нас</w:t>
            </w:r>
            <w:r>
              <w:rPr>
                <w:i/>
                <w:sz w:val="13"/>
              </w:rPr>
              <w:t>и</w:t>
            </w:r>
            <w:r>
              <w:rPr>
                <w:i/>
                <w:sz w:val="13"/>
              </w:rPr>
              <w:t>лия по в</w:t>
            </w:r>
            <w:r>
              <w:rPr>
                <w:i/>
                <w:sz w:val="13"/>
              </w:rPr>
              <w:t>и</w:t>
            </w:r>
            <w:r>
              <w:rPr>
                <w:i/>
                <w:sz w:val="13"/>
              </w:rPr>
              <w:t>дам уголо</w:t>
            </w:r>
            <w:r>
              <w:rPr>
                <w:i/>
                <w:sz w:val="13"/>
              </w:rPr>
              <w:t>в</w:t>
            </w:r>
            <w:r>
              <w:rPr>
                <w:i/>
                <w:sz w:val="13"/>
              </w:rPr>
              <w:t>ных пр</w:t>
            </w:r>
            <w:r>
              <w:rPr>
                <w:i/>
                <w:sz w:val="13"/>
              </w:rPr>
              <w:t>е</w:t>
            </w:r>
            <w:r>
              <w:rPr>
                <w:i/>
                <w:sz w:val="13"/>
              </w:rPr>
              <w:t>ступлений</w:t>
            </w:r>
          </w:p>
        </w:tc>
        <w:tc>
          <w:tcPr>
            <w:tcW w:w="630" w:type="dxa"/>
            <w:gridSpan w:val="2"/>
            <w:tcBorders>
              <w:top w:val="single" w:sz="4" w:space="0" w:color="auto"/>
              <w:bottom w:val="nil"/>
            </w:tcBorders>
            <w:vAlign w:val="bottom"/>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Изнас</w:t>
            </w:r>
            <w:r>
              <w:rPr>
                <w:i/>
                <w:sz w:val="13"/>
              </w:rPr>
              <w:t>и</w:t>
            </w:r>
            <w:r>
              <w:rPr>
                <w:i/>
                <w:sz w:val="13"/>
              </w:rPr>
              <w:t>лование или пр</w:t>
            </w:r>
            <w:r>
              <w:rPr>
                <w:i/>
                <w:sz w:val="13"/>
              </w:rPr>
              <w:t>о</w:t>
            </w:r>
            <w:r>
              <w:rPr>
                <w:i/>
                <w:sz w:val="13"/>
              </w:rPr>
              <w:t>тиво</w:t>
            </w:r>
            <w:r>
              <w:rPr>
                <w:i/>
                <w:sz w:val="13"/>
              </w:rPr>
              <w:t>е</w:t>
            </w:r>
            <w:r>
              <w:rPr>
                <w:i/>
                <w:sz w:val="13"/>
              </w:rPr>
              <w:t>стес</w:t>
            </w:r>
            <w:r>
              <w:rPr>
                <w:i/>
                <w:sz w:val="13"/>
              </w:rPr>
              <w:t>т</w:t>
            </w:r>
            <w:r>
              <w:rPr>
                <w:i/>
                <w:sz w:val="13"/>
              </w:rPr>
              <w:t>венные деяния, блуд</w:t>
            </w:r>
          </w:p>
        </w:tc>
        <w:tc>
          <w:tcPr>
            <w:tcW w:w="720" w:type="dxa"/>
            <w:gridSpan w:val="2"/>
            <w:tcBorders>
              <w:top w:val="single" w:sz="4" w:space="0" w:color="auto"/>
              <w:bottom w:val="nil"/>
            </w:tcBorders>
            <w:vAlign w:val="bottom"/>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Покуш</w:t>
            </w:r>
            <w:r>
              <w:rPr>
                <w:i/>
                <w:sz w:val="13"/>
              </w:rPr>
              <w:t>е</w:t>
            </w:r>
            <w:r>
              <w:rPr>
                <w:i/>
                <w:sz w:val="13"/>
              </w:rPr>
              <w:t>ние на и</w:t>
            </w:r>
            <w:r>
              <w:rPr>
                <w:i/>
                <w:sz w:val="13"/>
              </w:rPr>
              <w:t>з</w:t>
            </w:r>
            <w:r>
              <w:rPr>
                <w:i/>
                <w:sz w:val="13"/>
              </w:rPr>
              <w:t>насилов</w:t>
            </w:r>
            <w:r>
              <w:rPr>
                <w:i/>
                <w:sz w:val="13"/>
              </w:rPr>
              <w:t>а</w:t>
            </w:r>
            <w:r>
              <w:rPr>
                <w:i/>
                <w:sz w:val="13"/>
              </w:rPr>
              <w:t>ние, се</w:t>
            </w:r>
            <w:r>
              <w:rPr>
                <w:i/>
                <w:sz w:val="13"/>
              </w:rPr>
              <w:t>к</w:t>
            </w:r>
            <w:r>
              <w:rPr>
                <w:i/>
                <w:sz w:val="13"/>
              </w:rPr>
              <w:t>суальное насилия, покушение на сове</w:t>
            </w:r>
            <w:r>
              <w:rPr>
                <w:i/>
                <w:sz w:val="13"/>
              </w:rPr>
              <w:t>р</w:t>
            </w:r>
            <w:r>
              <w:rPr>
                <w:i/>
                <w:sz w:val="13"/>
              </w:rPr>
              <w:t>шение развра</w:t>
            </w:r>
            <w:r>
              <w:rPr>
                <w:i/>
                <w:sz w:val="13"/>
              </w:rPr>
              <w:t>т</w:t>
            </w:r>
            <w:r>
              <w:rPr>
                <w:i/>
                <w:sz w:val="13"/>
              </w:rPr>
              <w:t>ных де</w:t>
            </w:r>
            <w:r>
              <w:rPr>
                <w:i/>
                <w:sz w:val="13"/>
              </w:rPr>
              <w:t>й</w:t>
            </w:r>
            <w:r>
              <w:rPr>
                <w:i/>
                <w:sz w:val="13"/>
              </w:rPr>
              <w:t>ствий</w:t>
            </w:r>
          </w:p>
        </w:tc>
        <w:tc>
          <w:tcPr>
            <w:tcW w:w="540" w:type="dxa"/>
            <w:gridSpan w:val="2"/>
            <w:tcBorders>
              <w:top w:val="single" w:sz="4" w:space="0" w:color="auto"/>
              <w:bottom w:val="nil"/>
            </w:tcBorders>
            <w:vAlign w:val="bottom"/>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Изн</w:t>
            </w:r>
            <w:r>
              <w:rPr>
                <w:i/>
                <w:sz w:val="13"/>
              </w:rPr>
              <w:t>а</w:t>
            </w:r>
            <w:r>
              <w:rPr>
                <w:i/>
                <w:sz w:val="13"/>
              </w:rPr>
              <w:t>сил</w:t>
            </w:r>
            <w:r>
              <w:rPr>
                <w:i/>
                <w:sz w:val="13"/>
              </w:rPr>
              <w:t>о</w:t>
            </w:r>
            <w:r>
              <w:rPr>
                <w:i/>
                <w:sz w:val="13"/>
              </w:rPr>
              <w:t>вание</w:t>
            </w:r>
          </w:p>
        </w:tc>
        <w:tc>
          <w:tcPr>
            <w:tcW w:w="630" w:type="dxa"/>
            <w:gridSpan w:val="2"/>
            <w:tcBorders>
              <w:top w:val="single" w:sz="4" w:space="0" w:color="auto"/>
              <w:bottom w:val="nil"/>
            </w:tcBorders>
            <w:vAlign w:val="bottom"/>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Небра</w:t>
            </w:r>
            <w:r>
              <w:rPr>
                <w:i/>
                <w:sz w:val="13"/>
              </w:rPr>
              <w:t>ч</w:t>
            </w:r>
            <w:r>
              <w:rPr>
                <w:i/>
                <w:sz w:val="13"/>
              </w:rPr>
              <w:t>ное с</w:t>
            </w:r>
            <w:r>
              <w:rPr>
                <w:i/>
                <w:sz w:val="13"/>
              </w:rPr>
              <w:t>о</w:t>
            </w:r>
            <w:r>
              <w:rPr>
                <w:i/>
                <w:sz w:val="13"/>
              </w:rPr>
              <w:t>жител</w:t>
            </w:r>
            <w:r>
              <w:rPr>
                <w:i/>
                <w:sz w:val="13"/>
              </w:rPr>
              <w:t>ь</w:t>
            </w:r>
            <w:r>
              <w:rPr>
                <w:i/>
                <w:sz w:val="13"/>
              </w:rPr>
              <w:t>ство с нес</w:t>
            </w:r>
            <w:r>
              <w:rPr>
                <w:i/>
                <w:sz w:val="13"/>
              </w:rPr>
              <w:t>о</w:t>
            </w:r>
            <w:r>
              <w:rPr>
                <w:i/>
                <w:sz w:val="13"/>
              </w:rPr>
              <w:t>верше</w:t>
            </w:r>
            <w:r>
              <w:rPr>
                <w:i/>
                <w:sz w:val="13"/>
              </w:rPr>
              <w:t>н</w:t>
            </w:r>
            <w:r>
              <w:rPr>
                <w:i/>
                <w:sz w:val="13"/>
              </w:rPr>
              <w:t>ноле</w:t>
            </w:r>
            <w:r>
              <w:rPr>
                <w:i/>
                <w:sz w:val="13"/>
              </w:rPr>
              <w:t>т</w:t>
            </w:r>
            <w:r>
              <w:rPr>
                <w:i/>
                <w:sz w:val="13"/>
              </w:rPr>
              <w:t>ним л</w:t>
            </w:r>
            <w:r>
              <w:rPr>
                <w:i/>
                <w:sz w:val="13"/>
              </w:rPr>
              <w:t>и</w:t>
            </w:r>
            <w:r>
              <w:rPr>
                <w:i/>
                <w:sz w:val="13"/>
              </w:rPr>
              <w:t>цом</w:t>
            </w:r>
          </w:p>
        </w:tc>
        <w:tc>
          <w:tcPr>
            <w:tcW w:w="720" w:type="dxa"/>
            <w:gridSpan w:val="2"/>
            <w:tcBorders>
              <w:top w:val="single" w:sz="4" w:space="0" w:color="auto"/>
              <w:bottom w:val="nil"/>
            </w:tcBorders>
            <w:vAlign w:val="bottom"/>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Своднич</w:t>
            </w:r>
            <w:r>
              <w:rPr>
                <w:i/>
                <w:sz w:val="13"/>
              </w:rPr>
              <w:t>е</w:t>
            </w:r>
            <w:r>
              <w:rPr>
                <w:i/>
                <w:sz w:val="13"/>
              </w:rPr>
              <w:t>ство или прину</w:t>
            </w:r>
            <w:r>
              <w:rPr>
                <w:i/>
                <w:sz w:val="13"/>
              </w:rPr>
              <w:t>ж</w:t>
            </w:r>
            <w:r>
              <w:rPr>
                <w:i/>
                <w:sz w:val="13"/>
              </w:rPr>
              <w:t>дение к занятием прост</w:t>
            </w:r>
            <w:r>
              <w:rPr>
                <w:i/>
                <w:sz w:val="13"/>
              </w:rPr>
              <w:t>и</w:t>
            </w:r>
            <w:r>
              <w:rPr>
                <w:i/>
                <w:sz w:val="13"/>
              </w:rPr>
              <w:t>туц</w:t>
            </w:r>
            <w:r>
              <w:rPr>
                <w:i/>
                <w:sz w:val="13"/>
              </w:rPr>
              <w:t>и</w:t>
            </w:r>
            <w:r>
              <w:rPr>
                <w:i/>
                <w:sz w:val="13"/>
              </w:rPr>
              <w:t>ей</w:t>
            </w:r>
          </w:p>
        </w:tc>
        <w:tc>
          <w:tcPr>
            <w:tcW w:w="720" w:type="dxa"/>
            <w:gridSpan w:val="2"/>
            <w:tcBorders>
              <w:top w:val="single" w:sz="4" w:space="0" w:color="auto"/>
              <w:bottom w:val="nil"/>
            </w:tcBorders>
            <w:vAlign w:val="bottom"/>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Удовл</w:t>
            </w:r>
            <w:r>
              <w:rPr>
                <w:i/>
                <w:sz w:val="13"/>
              </w:rPr>
              <w:t>е</w:t>
            </w:r>
            <w:r>
              <w:rPr>
                <w:i/>
                <w:sz w:val="13"/>
              </w:rPr>
              <w:t>творение сексуал</w:t>
            </w:r>
            <w:r>
              <w:rPr>
                <w:i/>
                <w:sz w:val="13"/>
              </w:rPr>
              <w:t>ь</w:t>
            </w:r>
            <w:r>
              <w:rPr>
                <w:i/>
                <w:sz w:val="13"/>
              </w:rPr>
              <w:t>ных п</w:t>
            </w:r>
            <w:r>
              <w:rPr>
                <w:i/>
                <w:sz w:val="13"/>
              </w:rPr>
              <w:t>о</w:t>
            </w:r>
            <w:r>
              <w:rPr>
                <w:i/>
                <w:sz w:val="13"/>
              </w:rPr>
              <w:t>требн</w:t>
            </w:r>
            <w:r>
              <w:rPr>
                <w:i/>
                <w:sz w:val="13"/>
              </w:rPr>
              <w:t>о</w:t>
            </w:r>
            <w:r>
              <w:rPr>
                <w:i/>
                <w:sz w:val="13"/>
              </w:rPr>
              <w:t>стей в прису</w:t>
            </w:r>
            <w:r>
              <w:rPr>
                <w:i/>
                <w:sz w:val="13"/>
              </w:rPr>
              <w:t>т</w:t>
            </w:r>
            <w:r>
              <w:rPr>
                <w:i/>
                <w:sz w:val="13"/>
              </w:rPr>
              <w:t>ствии других лиц</w:t>
            </w:r>
          </w:p>
        </w:tc>
        <w:tc>
          <w:tcPr>
            <w:tcW w:w="630" w:type="dxa"/>
            <w:gridSpan w:val="2"/>
            <w:tcBorders>
              <w:top w:val="single" w:sz="4" w:space="0" w:color="auto"/>
              <w:bottom w:val="nil"/>
            </w:tcBorders>
            <w:vAlign w:val="bottom"/>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Насилие в семье, физич</w:t>
            </w:r>
            <w:r>
              <w:rPr>
                <w:i/>
                <w:sz w:val="13"/>
              </w:rPr>
              <w:t>е</w:t>
            </w:r>
            <w:r>
              <w:rPr>
                <w:i/>
                <w:sz w:val="13"/>
              </w:rPr>
              <w:t>ское, морал</w:t>
            </w:r>
            <w:r>
              <w:rPr>
                <w:i/>
                <w:sz w:val="13"/>
              </w:rPr>
              <w:t>ь</w:t>
            </w:r>
            <w:r>
              <w:rPr>
                <w:i/>
                <w:sz w:val="13"/>
              </w:rPr>
              <w:t>ное н</w:t>
            </w:r>
            <w:r>
              <w:rPr>
                <w:i/>
                <w:sz w:val="13"/>
              </w:rPr>
              <w:t>а</w:t>
            </w:r>
            <w:r>
              <w:rPr>
                <w:i/>
                <w:sz w:val="13"/>
              </w:rPr>
              <w:t>силие</w:t>
            </w:r>
          </w:p>
        </w:tc>
        <w:tc>
          <w:tcPr>
            <w:tcW w:w="810" w:type="dxa"/>
            <w:gridSpan w:val="2"/>
            <w:tcBorders>
              <w:top w:val="single" w:sz="4" w:space="0" w:color="auto"/>
              <w:bottom w:val="nil"/>
            </w:tcBorders>
            <w:vAlign w:val="bottom"/>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Внебрачное сожител</w:t>
            </w:r>
            <w:r>
              <w:rPr>
                <w:i/>
                <w:sz w:val="13"/>
              </w:rPr>
              <w:t>ь</w:t>
            </w:r>
            <w:r>
              <w:rPr>
                <w:i/>
                <w:sz w:val="13"/>
              </w:rPr>
              <w:t>ство с н</w:t>
            </w:r>
            <w:r>
              <w:rPr>
                <w:i/>
                <w:sz w:val="13"/>
              </w:rPr>
              <w:t>е</w:t>
            </w:r>
            <w:r>
              <w:rPr>
                <w:i/>
                <w:sz w:val="13"/>
              </w:rPr>
              <w:t>соверше</w:t>
            </w:r>
            <w:r>
              <w:rPr>
                <w:i/>
                <w:sz w:val="13"/>
              </w:rPr>
              <w:t>н</w:t>
            </w:r>
            <w:r>
              <w:rPr>
                <w:i/>
                <w:sz w:val="13"/>
              </w:rPr>
              <w:t>нолетним лицом, удовлетв</w:t>
            </w:r>
            <w:r>
              <w:rPr>
                <w:i/>
                <w:sz w:val="13"/>
              </w:rPr>
              <w:t>о</w:t>
            </w:r>
            <w:r>
              <w:rPr>
                <w:i/>
                <w:sz w:val="13"/>
              </w:rPr>
              <w:t>рение се</w:t>
            </w:r>
            <w:r>
              <w:rPr>
                <w:i/>
                <w:sz w:val="13"/>
              </w:rPr>
              <w:t>к</w:t>
            </w:r>
            <w:r>
              <w:rPr>
                <w:i/>
                <w:sz w:val="13"/>
              </w:rPr>
              <w:t>суальных потребн</w:t>
            </w:r>
            <w:r>
              <w:rPr>
                <w:i/>
                <w:sz w:val="13"/>
              </w:rPr>
              <w:t>о</w:t>
            </w:r>
            <w:r>
              <w:rPr>
                <w:i/>
                <w:sz w:val="13"/>
              </w:rPr>
              <w:t>стей в пр</w:t>
            </w:r>
            <w:r>
              <w:rPr>
                <w:i/>
                <w:sz w:val="13"/>
              </w:rPr>
              <w:t>и</w:t>
            </w:r>
            <w:r>
              <w:rPr>
                <w:i/>
                <w:sz w:val="13"/>
              </w:rPr>
              <w:t>сутствии других лиц</w:t>
            </w:r>
          </w:p>
        </w:tc>
        <w:tc>
          <w:tcPr>
            <w:tcW w:w="540" w:type="dxa"/>
            <w:gridSpan w:val="2"/>
            <w:tcBorders>
              <w:top w:val="single" w:sz="4" w:space="0" w:color="auto"/>
              <w:bottom w:val="nil"/>
            </w:tcBorders>
            <w:vAlign w:val="bottom"/>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И</w:t>
            </w:r>
            <w:r>
              <w:rPr>
                <w:i/>
                <w:sz w:val="13"/>
              </w:rPr>
              <w:t>н</w:t>
            </w:r>
            <w:r>
              <w:rPr>
                <w:i/>
                <w:sz w:val="13"/>
              </w:rPr>
              <w:t>цест</w:t>
            </w:r>
          </w:p>
        </w:tc>
        <w:tc>
          <w:tcPr>
            <w:tcW w:w="776" w:type="dxa"/>
            <w:gridSpan w:val="5"/>
            <w:tcBorders>
              <w:top w:val="single" w:sz="4" w:space="0" w:color="auto"/>
              <w:bottom w:val="nil"/>
            </w:tcBorders>
            <w:vAlign w:val="bottom"/>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Вс</w:t>
            </w:r>
            <w:r>
              <w:rPr>
                <w:i/>
                <w:sz w:val="13"/>
              </w:rPr>
              <w:t>е</w:t>
            </w:r>
            <w:r>
              <w:rPr>
                <w:i/>
                <w:sz w:val="13"/>
              </w:rPr>
              <w:t>го</w:t>
            </w:r>
          </w:p>
        </w:tc>
      </w:tr>
      <w:tr w:rsidR="00000000">
        <w:tblPrEx>
          <w:tblCellMar>
            <w:top w:w="0" w:type="dxa"/>
            <w:bottom w:w="0" w:type="dxa"/>
          </w:tblCellMar>
        </w:tblPrEx>
        <w:trPr>
          <w:cantSplit/>
        </w:trPr>
        <w:tc>
          <w:tcPr>
            <w:tcW w:w="828"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left"/>
              <w:rPr>
                <w:i/>
                <w:sz w:val="13"/>
              </w:rPr>
            </w:pPr>
            <w:r>
              <w:rPr>
                <w:i/>
                <w:sz w:val="13"/>
              </w:rPr>
              <w:t>Возраст</w:t>
            </w:r>
          </w:p>
        </w:tc>
        <w:tc>
          <w:tcPr>
            <w:tcW w:w="315"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М</w:t>
            </w:r>
          </w:p>
        </w:tc>
        <w:tc>
          <w:tcPr>
            <w:tcW w:w="315"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Ж</w:t>
            </w:r>
          </w:p>
        </w:tc>
        <w:tc>
          <w:tcPr>
            <w:tcW w:w="360"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М</w:t>
            </w:r>
          </w:p>
        </w:tc>
        <w:tc>
          <w:tcPr>
            <w:tcW w:w="360"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Ж</w:t>
            </w:r>
          </w:p>
        </w:tc>
        <w:tc>
          <w:tcPr>
            <w:tcW w:w="270"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М</w:t>
            </w:r>
          </w:p>
        </w:tc>
        <w:tc>
          <w:tcPr>
            <w:tcW w:w="270"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Ж</w:t>
            </w:r>
          </w:p>
        </w:tc>
        <w:tc>
          <w:tcPr>
            <w:tcW w:w="315"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М</w:t>
            </w:r>
          </w:p>
        </w:tc>
        <w:tc>
          <w:tcPr>
            <w:tcW w:w="315"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Ж</w:t>
            </w:r>
          </w:p>
        </w:tc>
        <w:tc>
          <w:tcPr>
            <w:tcW w:w="360"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М</w:t>
            </w:r>
          </w:p>
        </w:tc>
        <w:tc>
          <w:tcPr>
            <w:tcW w:w="360"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Ж</w:t>
            </w:r>
          </w:p>
        </w:tc>
        <w:tc>
          <w:tcPr>
            <w:tcW w:w="360"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М</w:t>
            </w:r>
          </w:p>
        </w:tc>
        <w:tc>
          <w:tcPr>
            <w:tcW w:w="360"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Ж</w:t>
            </w:r>
          </w:p>
        </w:tc>
        <w:tc>
          <w:tcPr>
            <w:tcW w:w="315"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М</w:t>
            </w:r>
          </w:p>
        </w:tc>
        <w:tc>
          <w:tcPr>
            <w:tcW w:w="315"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Ж</w:t>
            </w:r>
          </w:p>
        </w:tc>
        <w:tc>
          <w:tcPr>
            <w:tcW w:w="405"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М</w:t>
            </w:r>
          </w:p>
        </w:tc>
        <w:tc>
          <w:tcPr>
            <w:tcW w:w="405"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Ж</w:t>
            </w:r>
          </w:p>
        </w:tc>
        <w:tc>
          <w:tcPr>
            <w:tcW w:w="270"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М</w:t>
            </w:r>
          </w:p>
        </w:tc>
        <w:tc>
          <w:tcPr>
            <w:tcW w:w="270"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Ж</w:t>
            </w:r>
          </w:p>
        </w:tc>
        <w:tc>
          <w:tcPr>
            <w:tcW w:w="258"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М</w:t>
            </w:r>
          </w:p>
        </w:tc>
        <w:tc>
          <w:tcPr>
            <w:tcW w:w="259" w:type="dxa"/>
            <w:gridSpan w:val="2"/>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Ж</w:t>
            </w:r>
          </w:p>
        </w:tc>
        <w:tc>
          <w:tcPr>
            <w:tcW w:w="259" w:type="dxa"/>
            <w:gridSpan w:val="2"/>
            <w:tcBorders>
              <w:top w:val="single" w:sz="4" w:space="0" w:color="auto"/>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i/>
                <w:sz w:val="13"/>
              </w:rPr>
            </w:pPr>
            <w:r>
              <w:rPr>
                <w:i/>
                <w:sz w:val="13"/>
              </w:rPr>
              <w:t>М</w:t>
            </w:r>
          </w:p>
        </w:tc>
      </w:tr>
      <w:tr w:rsidR="00000000">
        <w:tblPrEx>
          <w:tblCellMar>
            <w:top w:w="0" w:type="dxa"/>
            <w:bottom w:w="0" w:type="dxa"/>
          </w:tblCellMar>
        </w:tblPrEx>
        <w:trPr>
          <w:cantSplit/>
        </w:trPr>
        <w:tc>
          <w:tcPr>
            <w:tcW w:w="828"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left"/>
              <w:rPr>
                <w:i/>
                <w:sz w:val="14"/>
              </w:rPr>
            </w:pPr>
          </w:p>
        </w:tc>
        <w:tc>
          <w:tcPr>
            <w:tcW w:w="315"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315"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360"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360"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270"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270"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315"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315"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360"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360"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360"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360"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315"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315"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405"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405"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270"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270"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258" w:type="dxa"/>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259" w:type="dxa"/>
            <w:gridSpan w:val="2"/>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c>
          <w:tcPr>
            <w:tcW w:w="259" w:type="dxa"/>
            <w:gridSpan w:val="2"/>
            <w:tcBorders>
              <w:top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80" w:lineRule="exact"/>
              <w:ind w:left="0" w:right="0"/>
              <w:jc w:val="right"/>
              <w:rPr>
                <w:i/>
                <w:sz w:val="14"/>
              </w:rPr>
            </w:pPr>
          </w:p>
        </w:tc>
      </w:tr>
      <w:tr w:rsidR="00000000">
        <w:tblPrEx>
          <w:tblCellMar>
            <w:top w:w="0" w:type="dxa"/>
            <w:bottom w:w="0" w:type="dxa"/>
          </w:tblCellMar>
        </w:tblPrEx>
        <w:tc>
          <w:tcPr>
            <w:tcW w:w="828"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left"/>
              <w:rPr>
                <w:sz w:val="16"/>
              </w:rPr>
            </w:pPr>
            <w:r>
              <w:rPr>
                <w:sz w:val="16"/>
              </w:rPr>
              <w:t>0-3 года</w:t>
            </w: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1</w:t>
            </w: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7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7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40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40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7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7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62" w:type="dxa"/>
            <w:gridSpan w:val="2"/>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1</w:t>
            </w:r>
          </w:p>
        </w:tc>
        <w:tc>
          <w:tcPr>
            <w:tcW w:w="262" w:type="dxa"/>
            <w:gridSpan w:val="2"/>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52"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1</w:t>
            </w:r>
          </w:p>
        </w:tc>
      </w:tr>
      <w:tr w:rsidR="00000000">
        <w:tblPrEx>
          <w:tblCellMar>
            <w:top w:w="0" w:type="dxa"/>
            <w:bottom w:w="0" w:type="dxa"/>
          </w:tblCellMar>
        </w:tblPrEx>
        <w:tc>
          <w:tcPr>
            <w:tcW w:w="828"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left"/>
              <w:rPr>
                <w:sz w:val="16"/>
              </w:rPr>
            </w:pPr>
            <w:r>
              <w:rPr>
                <w:sz w:val="16"/>
              </w:rPr>
              <w:t>4-6 лет</w:t>
            </w: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4</w:t>
            </w: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4</w:t>
            </w: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7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7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40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40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7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7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62" w:type="dxa"/>
            <w:gridSpan w:val="2"/>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4</w:t>
            </w:r>
          </w:p>
        </w:tc>
        <w:tc>
          <w:tcPr>
            <w:tcW w:w="262" w:type="dxa"/>
            <w:gridSpan w:val="2"/>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4</w:t>
            </w:r>
          </w:p>
        </w:tc>
        <w:tc>
          <w:tcPr>
            <w:tcW w:w="252"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8</w:t>
            </w:r>
          </w:p>
        </w:tc>
      </w:tr>
      <w:tr w:rsidR="00000000">
        <w:tblPrEx>
          <w:tblCellMar>
            <w:top w:w="0" w:type="dxa"/>
            <w:bottom w:w="0" w:type="dxa"/>
          </w:tblCellMar>
        </w:tblPrEx>
        <w:tc>
          <w:tcPr>
            <w:tcW w:w="828"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left"/>
              <w:rPr>
                <w:sz w:val="16"/>
              </w:rPr>
            </w:pPr>
            <w:r>
              <w:rPr>
                <w:sz w:val="16"/>
              </w:rPr>
              <w:t>7-10 лет</w:t>
            </w: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3</w:t>
            </w: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8</w:t>
            </w: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2</w:t>
            </w: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6</w:t>
            </w:r>
          </w:p>
        </w:tc>
        <w:tc>
          <w:tcPr>
            <w:tcW w:w="27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7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1</w:t>
            </w:r>
          </w:p>
        </w:tc>
        <w:tc>
          <w:tcPr>
            <w:tcW w:w="31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40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405"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7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7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1</w:t>
            </w:r>
          </w:p>
        </w:tc>
        <w:tc>
          <w:tcPr>
            <w:tcW w:w="262" w:type="dxa"/>
            <w:gridSpan w:val="2"/>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6</w:t>
            </w:r>
          </w:p>
        </w:tc>
        <w:tc>
          <w:tcPr>
            <w:tcW w:w="262" w:type="dxa"/>
            <w:gridSpan w:val="2"/>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16</w:t>
            </w:r>
          </w:p>
        </w:tc>
        <w:tc>
          <w:tcPr>
            <w:tcW w:w="252"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22</w:t>
            </w:r>
          </w:p>
        </w:tc>
      </w:tr>
      <w:tr w:rsidR="00000000">
        <w:tblPrEx>
          <w:tblCellMar>
            <w:top w:w="0" w:type="dxa"/>
            <w:bottom w:w="0" w:type="dxa"/>
          </w:tblCellMar>
        </w:tblPrEx>
        <w:tc>
          <w:tcPr>
            <w:tcW w:w="828"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left"/>
              <w:rPr>
                <w:sz w:val="16"/>
              </w:rPr>
            </w:pPr>
            <w:r>
              <w:rPr>
                <w:sz w:val="16"/>
              </w:rPr>
              <w:t>11-14 лет</w:t>
            </w:r>
          </w:p>
        </w:tc>
        <w:tc>
          <w:tcPr>
            <w:tcW w:w="315"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9</w:t>
            </w:r>
          </w:p>
        </w:tc>
        <w:tc>
          <w:tcPr>
            <w:tcW w:w="315"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14</w:t>
            </w:r>
          </w:p>
        </w:tc>
        <w:tc>
          <w:tcPr>
            <w:tcW w:w="360"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2</w:t>
            </w:r>
          </w:p>
        </w:tc>
        <w:tc>
          <w:tcPr>
            <w:tcW w:w="360"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19</w:t>
            </w:r>
          </w:p>
        </w:tc>
        <w:tc>
          <w:tcPr>
            <w:tcW w:w="270"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70"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4</w:t>
            </w:r>
          </w:p>
        </w:tc>
        <w:tc>
          <w:tcPr>
            <w:tcW w:w="315"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15"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1</w:t>
            </w:r>
          </w:p>
        </w:tc>
        <w:tc>
          <w:tcPr>
            <w:tcW w:w="360"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3</w:t>
            </w:r>
          </w:p>
        </w:tc>
        <w:tc>
          <w:tcPr>
            <w:tcW w:w="360"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360"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2</w:t>
            </w:r>
          </w:p>
        </w:tc>
        <w:tc>
          <w:tcPr>
            <w:tcW w:w="315"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1</w:t>
            </w:r>
          </w:p>
        </w:tc>
        <w:tc>
          <w:tcPr>
            <w:tcW w:w="315"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405"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405"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2</w:t>
            </w:r>
          </w:p>
        </w:tc>
        <w:tc>
          <w:tcPr>
            <w:tcW w:w="270"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p>
        </w:tc>
        <w:tc>
          <w:tcPr>
            <w:tcW w:w="270"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2</w:t>
            </w:r>
          </w:p>
        </w:tc>
        <w:tc>
          <w:tcPr>
            <w:tcW w:w="262" w:type="dxa"/>
            <w:gridSpan w:val="2"/>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12</w:t>
            </w:r>
          </w:p>
        </w:tc>
        <w:tc>
          <w:tcPr>
            <w:tcW w:w="262" w:type="dxa"/>
            <w:gridSpan w:val="2"/>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47</w:t>
            </w:r>
          </w:p>
        </w:tc>
        <w:tc>
          <w:tcPr>
            <w:tcW w:w="252" w:type="dxa"/>
            <w:tcBorders>
              <w:bottom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59</w:t>
            </w:r>
          </w:p>
        </w:tc>
      </w:tr>
      <w:tr w:rsidR="00000000">
        <w:tblPrEx>
          <w:tblCellMar>
            <w:top w:w="0" w:type="dxa"/>
            <w:bottom w:w="0" w:type="dxa"/>
          </w:tblCellMar>
        </w:tblPrEx>
        <w:tc>
          <w:tcPr>
            <w:tcW w:w="828"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left"/>
              <w:rPr>
                <w:sz w:val="16"/>
              </w:rPr>
            </w:pPr>
            <w:r>
              <w:rPr>
                <w:sz w:val="16"/>
              </w:rPr>
              <w:t>Всего</w:t>
            </w:r>
          </w:p>
        </w:tc>
        <w:tc>
          <w:tcPr>
            <w:tcW w:w="315"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16</w:t>
            </w:r>
          </w:p>
        </w:tc>
        <w:tc>
          <w:tcPr>
            <w:tcW w:w="315"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27</w:t>
            </w:r>
          </w:p>
        </w:tc>
        <w:tc>
          <w:tcPr>
            <w:tcW w:w="360"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4</w:t>
            </w:r>
          </w:p>
        </w:tc>
        <w:tc>
          <w:tcPr>
            <w:tcW w:w="360"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25</w:t>
            </w:r>
          </w:p>
        </w:tc>
        <w:tc>
          <w:tcPr>
            <w:tcW w:w="270"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0</w:t>
            </w:r>
          </w:p>
        </w:tc>
        <w:tc>
          <w:tcPr>
            <w:tcW w:w="270"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4</w:t>
            </w:r>
          </w:p>
        </w:tc>
        <w:tc>
          <w:tcPr>
            <w:tcW w:w="315"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0</w:t>
            </w:r>
          </w:p>
        </w:tc>
        <w:tc>
          <w:tcPr>
            <w:tcW w:w="315"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1</w:t>
            </w:r>
          </w:p>
        </w:tc>
        <w:tc>
          <w:tcPr>
            <w:tcW w:w="360"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0</w:t>
            </w:r>
          </w:p>
        </w:tc>
        <w:tc>
          <w:tcPr>
            <w:tcW w:w="360"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3</w:t>
            </w:r>
          </w:p>
        </w:tc>
        <w:tc>
          <w:tcPr>
            <w:tcW w:w="360"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0</w:t>
            </w:r>
          </w:p>
        </w:tc>
        <w:tc>
          <w:tcPr>
            <w:tcW w:w="360"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2</w:t>
            </w:r>
          </w:p>
        </w:tc>
        <w:tc>
          <w:tcPr>
            <w:tcW w:w="315"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2</w:t>
            </w:r>
          </w:p>
        </w:tc>
        <w:tc>
          <w:tcPr>
            <w:tcW w:w="315"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1</w:t>
            </w:r>
          </w:p>
        </w:tc>
        <w:tc>
          <w:tcPr>
            <w:tcW w:w="405"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0</w:t>
            </w:r>
          </w:p>
        </w:tc>
        <w:tc>
          <w:tcPr>
            <w:tcW w:w="405"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2</w:t>
            </w:r>
          </w:p>
        </w:tc>
        <w:tc>
          <w:tcPr>
            <w:tcW w:w="270"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0</w:t>
            </w:r>
          </w:p>
        </w:tc>
        <w:tc>
          <w:tcPr>
            <w:tcW w:w="270"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3</w:t>
            </w:r>
          </w:p>
        </w:tc>
        <w:tc>
          <w:tcPr>
            <w:tcW w:w="262" w:type="dxa"/>
            <w:gridSpan w:val="2"/>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22</w:t>
            </w:r>
          </w:p>
        </w:tc>
        <w:tc>
          <w:tcPr>
            <w:tcW w:w="262" w:type="dxa"/>
            <w:gridSpan w:val="2"/>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68</w:t>
            </w:r>
          </w:p>
        </w:tc>
        <w:tc>
          <w:tcPr>
            <w:tcW w:w="252" w:type="dxa"/>
            <w:tcBorders>
              <w:top w:val="nil"/>
              <w:bottom w:val="single" w:sz="12"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00" w:lineRule="exact"/>
              <w:ind w:left="0" w:right="0"/>
              <w:jc w:val="right"/>
              <w:rPr>
                <w:sz w:val="16"/>
              </w:rPr>
            </w:pPr>
            <w:r>
              <w:rPr>
                <w:sz w:val="16"/>
              </w:rPr>
              <w:t>90</w:t>
            </w:r>
          </w:p>
        </w:tc>
      </w:tr>
    </w:tbl>
    <w:p w:rsidR="00000000" w:rsidRDefault="00000000">
      <w:pPr>
        <w:pStyle w:val="SingleTxt"/>
        <w:spacing w:after="0" w:line="100" w:lineRule="exact"/>
        <w:ind w:left="1264" w:right="1264"/>
        <w:jc w:val="left"/>
        <w:rPr>
          <w:sz w:val="10"/>
        </w:rPr>
      </w:pPr>
    </w:p>
    <w:p w:rsidR="00000000" w:rsidRDefault="00000000">
      <w:pPr>
        <w:pStyle w:val="SingleTxt"/>
        <w:spacing w:after="0" w:line="10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72.</w:t>
      </w:r>
      <w:r>
        <w:tab/>
        <w:t>Федеральным министерством внутренних дел были собраны данные за период 1996-2201 годов в отношении в общей сложности 954 случаев предъя</w:t>
      </w:r>
      <w:r>
        <w:t>в</w:t>
      </w:r>
      <w:r>
        <w:t>ления обвинений в совершении уголовных преступлений, связанных, напр</w:t>
      </w:r>
      <w:r>
        <w:t>и</w:t>
      </w:r>
      <w:r>
        <w:t>мер, с изнасилованием, блудом, осуществлением противоестественных актов и изнасилованием в отношении несовершеннолетних лиц, принуждением к зан</w:t>
      </w:r>
      <w:r>
        <w:t>я</w:t>
      </w:r>
      <w:r>
        <w:t>тию проституцией и 27 961 случаев вмешательства полиции в связи с грубым и жестоким обращением с женщинами, а также 116 случаев принятия полицией мер по фактам занятия проституцией и то</w:t>
      </w:r>
      <w:r>
        <w:t>р</w:t>
      </w:r>
      <w:r>
        <w:t>говли людьми.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73.</w:t>
      </w:r>
      <w:r>
        <w:tab/>
        <w:t>Общие данные о случаях насилия в отношении женщин в Республике Сербская также отсутствуют. Имеются сведения о функционирующем в Б</w:t>
      </w:r>
      <w:r>
        <w:t>а</w:t>
      </w:r>
      <w:r>
        <w:t>нье-Лука с 1 мая 1997 года Центре экстренной помощи, в который обратились б</w:t>
      </w:r>
      <w:r>
        <w:t>о</w:t>
      </w:r>
      <w:r>
        <w:t>лее 2000 женщин. Свыше 70 процентов этих женщин являются матерями с детьми, в 90 процентах случаев такое обращение практикуется одним из чл</w:t>
      </w:r>
      <w:r>
        <w:t>е</w:t>
      </w:r>
      <w:r>
        <w:t>нов семьи, как правило, мужем, а в 5 процентах случаев – другими родстве</w:t>
      </w:r>
      <w:r>
        <w:t>н</w:t>
      </w:r>
      <w:r>
        <w:t>никами. 80 процентов случаев связано с физическим насилием, а 6 процентов - с сексуальными преступл</w:t>
      </w:r>
      <w:r>
        <w:t>е</w:t>
      </w:r>
      <w:r>
        <w:t>ниями.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74.</w:t>
      </w:r>
      <w:r>
        <w:tab/>
        <w:t>В настоящее время телефоны экстренной помощи для жертв насилия со</w:t>
      </w:r>
      <w:r>
        <w:t>з</w:t>
      </w:r>
      <w:r>
        <w:t>даны в Сараево, Банье-Лука, Модрице и Прижедоре. Согласно данным фун</w:t>
      </w:r>
      <w:r>
        <w:t>к</w:t>
      </w:r>
      <w:r>
        <w:t>ционирующей на территории Федерации Боснии и Герцеговины службы эк</w:t>
      </w:r>
      <w:r>
        <w:t>с</w:t>
      </w:r>
      <w:r>
        <w:t>тренной помощи, за один год - с 5 октября 2000 года по 5 октября 2001 года - по номерам телефонов-СОС позвонили 329 лиц, которые в основном сообщали о своей неудовлетворенности социальными условиями, а остальные звонки к</w:t>
      </w:r>
      <w:r>
        <w:t>а</w:t>
      </w:r>
      <w:r>
        <w:t>сались случаев физического насилия и насилия, вызванного алког</w:t>
      </w:r>
      <w:r>
        <w:t>о</w:t>
      </w:r>
      <w:r>
        <w:t>лизмом.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75.</w:t>
      </w:r>
      <w:r>
        <w:tab/>
        <w:t>С целью предоставления защиты женщинам - жертвам насилия по номеру 1209 начнет работать новая служба экстренной помощи, предназначенная для защиты женщин и детей от насилия в семье. Этот номер телефона будет ед</w:t>
      </w:r>
      <w:r>
        <w:t>и</w:t>
      </w:r>
      <w:r>
        <w:t>ным для всей территории Боснии и Герцеговины, поскольку органы государс</w:t>
      </w:r>
      <w:r>
        <w:t>т</w:t>
      </w:r>
      <w:r>
        <w:t>венного регулирования коммуникаций выдали лицензию на использование единого короткого номера 1209 всеми телефонными службами, предназначе</w:t>
      </w:r>
      <w:r>
        <w:t>н</w:t>
      </w:r>
      <w:r>
        <w:t>ными для предотвращения случ</w:t>
      </w:r>
      <w:r>
        <w:t>а</w:t>
      </w:r>
      <w:r>
        <w:t>ев насилия в семье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76.</w:t>
      </w:r>
      <w:r>
        <w:tab/>
        <w:t>Общая база данных о числе уголовных обвинений, предъявленных на местах в связи с любыми видами насилия, отсутствует. В соответствии с да</w:t>
      </w:r>
      <w:r>
        <w:t>н</w:t>
      </w:r>
      <w:r>
        <w:t>ными, полученными на местах, в одном образовании - Федерации Боснии и Герцеговины - за период 1996-2002 год было предъявлено 954 уголовных обв</w:t>
      </w:r>
      <w:r>
        <w:t>и</w:t>
      </w:r>
      <w:r>
        <w:t>нения в связи с любыми видами преступлений, совершенных в отношении ф</w:t>
      </w:r>
      <w:r>
        <w:t>и</w:t>
      </w:r>
      <w:r>
        <w:t>зической неприкосновенности, включая принуждение к занятию проституцией. За тот же период было отмечено 27 961 случай вмешательства полиции. В Ре</w:t>
      </w:r>
      <w:r>
        <w:t>с</w:t>
      </w:r>
      <w:r>
        <w:t>публике Сербская за период с 2002 по 2003 годы было зарегистрировано 332 связанных с насилием в семье уголовных преступления и прокуратурой было предъявлено 313 уголовных обвинения. Из общего числа зарегистрированных сообщений в 97,4 процента случаев насилие осуществлялось мужчинами. В 80 процентах случаев жертвами насилия являлись женщины, за которыми след</w:t>
      </w:r>
      <w:r>
        <w:t>о</w:t>
      </w:r>
      <w:r>
        <w:t>вали дети. С 1996 по 2002 год было зарегистрировано 90 жертв уголовных пр</w:t>
      </w:r>
      <w:r>
        <w:t>е</w:t>
      </w:r>
      <w:r>
        <w:t>ступлений, совершенных в отношении сексуальной неприкосновенности детей младше 14 лет, из которых 68 являлись девочками.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tab/>
        <w:t>Причины насилия в отношении женщин в семье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77.</w:t>
      </w:r>
      <w:r>
        <w:tab/>
        <w:t>В большинстве случаев причины такого насилия связаны с алкоголизмом, посттравматическим синдромом войны или тяжелым экономическим полож</w:t>
      </w:r>
      <w:r>
        <w:t>е</w:t>
      </w:r>
      <w:r>
        <w:t>нием. Ряд НПО провели на территории Боснии и Герцеговины общее исслед</w:t>
      </w:r>
      <w:r>
        <w:t>о</w:t>
      </w:r>
      <w:r>
        <w:t>вание по теме "Насилие в отношении женщин", в котором рассматривались причины возникновения этого явления. Согласно выводам этого исследования, женщины не готовы сообщать о насилии, которое совершается дома и в семье. Причина этого заключается в том, что женщины, обремененные обязанностями по воспитанию детей в соответствии с патриархальными обычаями, имеют и</w:t>
      </w:r>
      <w:r>
        <w:t>с</w:t>
      </w:r>
      <w:r>
        <w:t>каженное представление о насилии и даже терпимо к нему относятся. Многие женщины не сознают, что в отношении их совершается насилие, и даже в тех случаях, когда они понимают это, 73 процента женщин, обследованных с п</w:t>
      </w:r>
      <w:r>
        <w:t>о</w:t>
      </w:r>
      <w:r>
        <w:t>мощью "информационных библиотек" НПО, заявили, что для женщин главная задача должна заключаться в том, чтобы сохранить семью. В соответствии с результатами исследования, проведенного этими НПО, только 40 процентов женщин, ставших объектом насилия, обращались за защитой в суд или пол</w:t>
      </w:r>
      <w:r>
        <w:t>и</w:t>
      </w:r>
      <w:r>
        <w:t>цию или в центры по предоставлению социальных услуг. НПО пришли к выв</w:t>
      </w:r>
      <w:r>
        <w:t>о</w:t>
      </w:r>
      <w:r>
        <w:t>ду о том, что сотрудники полиции либо недостаточно хорошо обучены, либо не прошли вообще никакой подготовки в области расследований сексуальных преступлений или домашнего насилия, и поэтому полиция может выступать в роли препятствия для женщин, вынуждая их испытывать полностью или ча</w:t>
      </w:r>
      <w:r>
        <w:t>с</w:t>
      </w:r>
      <w:r>
        <w:t>тично чувство вины за такие случаи. Кроме того, отмечено, что жертвы нас</w:t>
      </w:r>
      <w:r>
        <w:t>и</w:t>
      </w:r>
      <w:r>
        <w:t>лия, особенно сексуального насилия, часто испытывают стыд и настолько ун</w:t>
      </w:r>
      <w:r>
        <w:t>и</w:t>
      </w:r>
      <w:r>
        <w:t>жены, что не желают рассказывать о том, что с ними произошло и проходить через все связанные с обращением в суд процедуры, в ходе которых они по</w:t>
      </w:r>
      <w:r>
        <w:t>д</w:t>
      </w:r>
      <w:r>
        <w:t>вергаются дополнительному психологическому насилию во время допросов в полиции и слушаний в суде. Эта процедура действительно приводит к возни</w:t>
      </w:r>
      <w:r>
        <w:t>к</w:t>
      </w:r>
      <w:r>
        <w:t>новению у женщин ощущения, что они сами виноваты в том, что в отношении их применялось или пр</w:t>
      </w:r>
      <w:r>
        <w:t>и</w:t>
      </w:r>
      <w:r>
        <w:t>меняется насилие.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78.</w:t>
      </w:r>
      <w:r>
        <w:tab/>
        <w:t>Необходимо также отметить, что ни министерства внутренних дел, ни другие институты не занимаются сбором и обработкой статистических данных, касающихся насилия в отношении женщин. Это, безусловно, говорит о том, что данной проблеме не уделяется первостепенное внимание, поскольку любая просьба о применении более серьезного подхода к рассмотрению этого вопр</w:t>
      </w:r>
      <w:r>
        <w:t>о</w:t>
      </w:r>
      <w:r>
        <w:t>са будет предусматривать прежде всего проведение общего анализа случаев пр</w:t>
      </w:r>
      <w:r>
        <w:t>о</w:t>
      </w:r>
      <w:r>
        <w:t>явления насилия в Боснии и Герцеговине и проблемы увеличения его масшт</w:t>
      </w:r>
      <w:r>
        <w:t>а</w:t>
      </w:r>
      <w:r>
        <w:t>бов. По-видимому, сделан первый шаг на пути к инкриминированию насилия, свидетельствующий о том, что этот вид насилия получил свою характеристику и определение, однако только одного этого недостаточно в отсутствие общих мер повышения осведомленности в вопросах, касающихся неприкосновенн</w:t>
      </w:r>
      <w:r>
        <w:t>о</w:t>
      </w:r>
      <w:r>
        <w:t>сти и достоинства личности, равенства, обязанностей каждого отдельного лица укреплять роль, которую он игр</w:t>
      </w:r>
      <w:r>
        <w:t>а</w:t>
      </w:r>
      <w:r>
        <w:t>ет в семье и общине.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tab/>
        <w:t>Просвещение в интересах обеспечения равенства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79.</w:t>
      </w:r>
      <w:r>
        <w:tab/>
        <w:t>В настоящее время эта тема отсутствует в учебных планах, принятых в системе образования на территории Боснии и Герцеговины. Учитывая тот факт, что сейчас проводится активная деятельность в поддержку реформы системы образования на всей территории Боснии и Герцеговины, можно ожидать, что при изучении предметов и в новых учебных планах как на уровне начальной, так и средней школы особое внимание будет уделено вопросам образования, касающихся участия в демократическом процесса просвещения в интересах обеспечения равенства, включая право на свободу и право на свободу быть другим.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80.</w:t>
      </w:r>
      <w:r>
        <w:tab/>
        <w:t>Большая часть новых учебных планов будет направлена главным образом на информирование населения по вопросам налаживания ответственного и г</w:t>
      </w:r>
      <w:r>
        <w:t>у</w:t>
      </w:r>
      <w:r>
        <w:t>манитарного партнерства, проблемам наркомании и преступности, инвалидн</w:t>
      </w:r>
      <w:r>
        <w:t>о</w:t>
      </w:r>
      <w:r>
        <w:t>сти и существования отличий, ухода за детьми, создания полноценных условий для жизни в семьях с детьми, страдающими психической и физической непо</w:t>
      </w:r>
      <w:r>
        <w:t>л</w:t>
      </w:r>
      <w:r>
        <w:t>ноценностью, решения проблем воспитания, сексуальных отношений и фо</w:t>
      </w:r>
      <w:r>
        <w:t>р</w:t>
      </w:r>
      <w:r>
        <w:t>мирования ответственного поведения, предотвращения любых видов насилия, преодоления предубеждений, стереотипов и предрассудков в отношении му</w:t>
      </w:r>
      <w:r>
        <w:t>ж</w:t>
      </w:r>
      <w:r>
        <w:t>чин и женщин и их роли, оказания поддержки различным типам семей, таким, как приемные семьи, однополые партнерства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81.</w:t>
      </w:r>
      <w:r>
        <w:tab/>
        <w:t>Тем временем некоторые местные институты при поддержке междун</w:t>
      </w:r>
      <w:r>
        <w:t>а</w:t>
      </w:r>
      <w:r>
        <w:t>родных организаций и с участием многих НПО подготовили целый ряд изд</w:t>
      </w:r>
      <w:r>
        <w:t>а</w:t>
      </w:r>
      <w:r>
        <w:t>ний, в том числе публикацию по вопросу о предотвращению случаев жестокого обращения с детьми и предоставлении поддержки таким детям, а также уче</w:t>
      </w:r>
      <w:r>
        <w:t>б</w:t>
      </w:r>
      <w:r>
        <w:t>ные пособия по темам, касающимся семейного образования, обучения по и</w:t>
      </w:r>
      <w:r>
        <w:t>н</w:t>
      </w:r>
      <w:r>
        <w:t>див</w:t>
      </w:r>
      <w:r>
        <w:t>и</w:t>
      </w:r>
      <w:r>
        <w:t>дуальным программам и формирования жизненных навыков.</w:t>
      </w:r>
    </w:p>
    <w:p w:rsidR="00000000" w:rsidRDefault="00000000">
      <w:pPr>
        <w:pStyle w:val="H1"/>
        <w:tabs>
          <w:tab w:val="left" w:pos="2218"/>
          <w:tab w:val="left" w:pos="2693"/>
        </w:tabs>
        <w:ind w:left="2700" w:right="1120" w:hanging="1440"/>
      </w:pPr>
      <w:r>
        <w:t>Статья 6.</w:t>
      </w:r>
      <w:r>
        <w:tab/>
        <w:t>Торговля женщинами и эксплуатация проституции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82.</w:t>
      </w:r>
      <w:r>
        <w:tab/>
        <w:t>В Конституции Боснии и Герцеговины вопрос о предотвращении всех форм торговли женщинами или проституции регулируется косвенным образом путем определения прав человека и основных свобод. В статье 2 указаны права и свободы, предусмотренные в Европейской конвенции по защите прав челов</w:t>
      </w:r>
      <w:r>
        <w:t>е</w:t>
      </w:r>
      <w:r>
        <w:t>ка и основных свобод и протоколах к ней, которые прямо применяются на те</w:t>
      </w:r>
      <w:r>
        <w:t>р</w:t>
      </w:r>
      <w:r>
        <w:t>ритории Боснии и Герцеговины, и говорится о том, что эти документы имеют преобладающую силу перед любым другим законом. В пункте 3 этой статьи перечислены следующие основные права и свободы, осуществляемые всеми гражданами Боснии и Герцеговины и гарантир</w:t>
      </w:r>
      <w:r>
        <w:t>о</w:t>
      </w:r>
      <w:r>
        <w:t>ванные Конституцией:</w:t>
      </w:r>
    </w:p>
    <w:p w:rsidR="00000000" w:rsidRDefault="00000000">
      <w:pPr>
        <w:pStyle w:val="SingleTxt"/>
        <w:ind w:left="1742" w:hanging="475"/>
      </w:pPr>
      <w:r>
        <w:tab/>
        <w:t>а)</w:t>
      </w:r>
      <w:r>
        <w:tab/>
        <w:t>право на жизнь, личную свободу и безопасность,</w:t>
      </w:r>
    </w:p>
    <w:p w:rsidR="00000000" w:rsidRDefault="00000000">
      <w:pPr>
        <w:pStyle w:val="SingleTxt"/>
        <w:tabs>
          <w:tab w:val="clear" w:pos="1742"/>
          <w:tab w:val="left" w:pos="1710"/>
        </w:tabs>
        <w:ind w:left="1260" w:firstLine="7"/>
      </w:pPr>
      <w:r>
        <w:tab/>
        <w:t>b)</w:t>
      </w:r>
      <w:r>
        <w:tab/>
        <w:t>право не подвергаться пыткам или бесчеловечным и унижающим дост</w:t>
      </w:r>
      <w:r>
        <w:t>о</w:t>
      </w:r>
      <w:r>
        <w:t>инство процедурам или наказаниям,</w:t>
      </w:r>
    </w:p>
    <w:p w:rsidR="00000000" w:rsidRDefault="00000000">
      <w:pPr>
        <w:pStyle w:val="SingleTxt"/>
        <w:tabs>
          <w:tab w:val="clear" w:pos="1742"/>
          <w:tab w:val="left" w:pos="1710"/>
        </w:tabs>
        <w:ind w:left="1260" w:firstLine="7"/>
      </w:pPr>
      <w:r>
        <w:tab/>
        <w:t>c)</w:t>
      </w:r>
      <w:r>
        <w:tab/>
        <w:t>право не содержаться в рабстве, в подневольном состоянии или не зан</w:t>
      </w:r>
      <w:r>
        <w:t>и</w:t>
      </w:r>
      <w:r>
        <w:t xml:space="preserve">маться подневольным или обязательным трудом, </w:t>
      </w:r>
    </w:p>
    <w:p w:rsidR="00000000" w:rsidRDefault="00000000">
      <w:pPr>
        <w:pStyle w:val="SingleTxt"/>
        <w:tabs>
          <w:tab w:val="clear" w:pos="1742"/>
          <w:tab w:val="left" w:pos="1710"/>
        </w:tabs>
        <w:ind w:left="1260" w:firstLine="7"/>
      </w:pPr>
      <w:r>
        <w:tab/>
        <w:t>d)</w:t>
      </w:r>
      <w:r>
        <w:tab/>
        <w:t>право на справедливое разбирательства по гражданским или уголо</w:t>
      </w:r>
      <w:r>
        <w:t>в</w:t>
      </w:r>
      <w:r>
        <w:t>ным делам и другие права, касающиеся уголовного судопроизводства.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Босния и Герцеговина ратифицировали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от 2000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83.</w:t>
      </w:r>
      <w:r>
        <w:tab/>
        <w:t xml:space="preserve">В главе </w:t>
      </w:r>
      <w:r>
        <w:rPr>
          <w:lang w:val="en-US"/>
        </w:rPr>
        <w:t>XVII</w:t>
      </w:r>
      <w:r>
        <w:t xml:space="preserve"> Уголовного кодекса Боснии и Герцеговины предусмотрены уголовные преступления против человечности и ценности, находящиеся под защитой международного права (статья 186).</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lang w:val="en-US"/>
        </w:rPr>
        <w:t>a</w:t>
      </w:r>
      <w:r>
        <w:t>)</w:t>
      </w:r>
      <w:r>
        <w:tab/>
        <w:t>любое лицо, участвующее в вербовке, перевозке, укрывательстве или получении людей путем угрозы силой или ее применения или других форм принуждения, похищения, мошенничества, злоупотребления властью или уя</w:t>
      </w:r>
      <w:r>
        <w:t>з</w:t>
      </w:r>
      <w:r>
        <w:t>вимостью положения, либо путем подкупа в виде платежей или выгод, для п</w:t>
      </w:r>
      <w:r>
        <w:t>о</w:t>
      </w:r>
      <w:r>
        <w:t>лучения согласия лица, контролирующего другое лицо с целью его эксплуат</w:t>
      </w:r>
      <w:r>
        <w:t>а</w:t>
      </w:r>
      <w:r>
        <w:t>ции, подлежит наказанию в виде лишения свободы сроком на один год или 10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80"/>
      </w:pPr>
      <w:r>
        <w:tab/>
      </w:r>
      <w:r>
        <w:rPr>
          <w:lang w:val="en-US"/>
        </w:rPr>
        <w:t>b</w:t>
      </w:r>
      <w:r>
        <w:t>)</w:t>
      </w:r>
      <w:r>
        <w:tab/>
        <w:t>любое лицо, совершающее предусмотренное в пункте 1 настоящей статьи уголовное преступление в отношении несовершеннолетнего лица, по</w:t>
      </w:r>
      <w:r>
        <w:t>д</w:t>
      </w:r>
      <w:r>
        <w:t>лежит наказанию в виде лишения свободы на минимальный срок 5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80"/>
      </w:pPr>
      <w:r>
        <w:tab/>
        <w:t>с)</w:t>
      </w:r>
      <w:r>
        <w:tab/>
        <w:t>любое лицо, которое организует группу лиц с целью совершения уголовного преступления, предусмотренного пунктами 1 и 2 этой статьи, по</w:t>
      </w:r>
      <w:r>
        <w:t>д</w:t>
      </w:r>
      <w:r>
        <w:t>лежит наказанию в виде лишения свободы на минимальный срок 10 или более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80"/>
      </w:pPr>
      <w:r>
        <w:tab/>
      </w:r>
      <w:r>
        <w:rPr>
          <w:lang w:val="en-US"/>
        </w:rPr>
        <w:t>d</w:t>
      </w:r>
      <w:r>
        <w:t>)</w:t>
      </w:r>
      <w:r>
        <w:tab/>
        <w:t>любое лицо, которое по небрежности способствует совершению уг</w:t>
      </w:r>
      <w:r>
        <w:t>о</w:t>
      </w:r>
      <w:r>
        <w:t>ловного преступления, предусмотренного пунктами 1-3 этой статьи, подлежит наказанию в виде тюремного заключения сроком от шести месяцев до пяти лет. Упомянутая в пункте 1 этой статьи эксплуатация предусматривает, в частности, эксплуатацию проституции других лиц или другие формы сексуальной эк</w:t>
      </w:r>
      <w:r>
        <w:t>с</w:t>
      </w:r>
      <w:r>
        <w:t>плуатации, принудительный труд или услуги, рабство или обычаи, сходные с рабством, подневольное состояние или извлечение органов в целях транспла</w:t>
      </w:r>
      <w:r>
        <w:t>н</w:t>
      </w:r>
      <w:r>
        <w:t>тации.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80"/>
      </w:pPr>
      <w:r>
        <w:t>84.</w:t>
      </w:r>
      <w:r>
        <w:tab/>
        <w:t>Статья 187 гласит, что: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80"/>
      </w:pPr>
      <w:r>
        <w:tab/>
        <w:t>а)</w:t>
      </w:r>
      <w:r>
        <w:tab/>
        <w:t>любое лицо, занимающееся вербовкой, обманом или принуждением другого лица к предоставлению сексуальных услуг с целью получения приб</w:t>
      </w:r>
      <w:r>
        <w:t>ы</w:t>
      </w:r>
      <w:r>
        <w:t>ли в одной из стран, исключая страны, в которых это лицо постоянно прожив</w:t>
      </w:r>
      <w:r>
        <w:t>а</w:t>
      </w:r>
      <w:r>
        <w:t>ет или гражданином которых оно является, подлежит наказанию в виде тюре</w:t>
      </w:r>
      <w:r>
        <w:t>м</w:t>
      </w:r>
      <w:r>
        <w:t>ного з</w:t>
      </w:r>
      <w:r>
        <w:t>а</w:t>
      </w:r>
      <w:r>
        <w:t xml:space="preserve">ключения сроком от шести месяцев до пяти лет;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lang w:val="en-US"/>
        </w:rPr>
        <w:t>b</w:t>
      </w:r>
      <w:r>
        <w:t>)</w:t>
      </w:r>
      <w:r>
        <w:tab/>
        <w:t>любое лицо, которое путем угрозы или применения силы или м</w:t>
      </w:r>
      <w:r>
        <w:t>о</w:t>
      </w:r>
      <w:r>
        <w:t>шенничества вынуждает или заставляет другое лицо выехать в страну, в кот</w:t>
      </w:r>
      <w:r>
        <w:t>о</w:t>
      </w:r>
      <w:r>
        <w:t>рой это лицо постоянно не проживает или гражданином которой оно не являе</w:t>
      </w:r>
      <w:r>
        <w:t>т</w:t>
      </w:r>
      <w:r>
        <w:t>ся, с целью предоставления сексуальных услуг за плату, подлежит лишению свободы в виде т</w:t>
      </w:r>
      <w:r>
        <w:t>ю</w:t>
      </w:r>
      <w:r>
        <w:t xml:space="preserve">ремного заключения сроком от шести месяцев до пяти лет;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w:t>
      </w:r>
      <w:r>
        <w:tab/>
        <w:t>если предусмотренное пунктами 1 и 2 этой статьи уголовное пр</w:t>
      </w:r>
      <w:r>
        <w:t>е</w:t>
      </w:r>
      <w:r>
        <w:t>ступление было совершено в отношении детей или несовершеннолетних, то лицо, виновное в этом преступлении, подлежит лишению свободы в виде т</w:t>
      </w:r>
      <w:r>
        <w:t>ю</w:t>
      </w:r>
      <w:r>
        <w:t>ремного заключения сроком от одного года до десяти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lang w:val="en-US"/>
        </w:rPr>
        <w:t>d</w:t>
      </w:r>
      <w:r>
        <w:t>)</w:t>
      </w:r>
      <w:r>
        <w:tab/>
        <w:t>тот факт, что завербованное лицо, вовлеченное путем обмана, пр</w:t>
      </w:r>
      <w:r>
        <w:t>и</w:t>
      </w:r>
      <w:r>
        <w:t>нуждения, применения силы или предоставления недостоверной информации, уже занималось проституцией, не влияет на уголовный характер этого прав</w:t>
      </w:r>
      <w:r>
        <w:t>о</w:t>
      </w:r>
      <w:r>
        <w:t>нар</w:t>
      </w:r>
      <w:r>
        <w:t>у</w:t>
      </w:r>
      <w:r>
        <w:t>шения.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Определения согласованы с определениями международных конвенций и служат достаточным предварительным условием для рассмотрения таких пр</w:t>
      </w:r>
      <w:r>
        <w:t>а</w:t>
      </w:r>
      <w:r>
        <w:t>вонарушений. В уголовных кодекса образований также предусмотрены уголо</w:t>
      </w:r>
      <w:r>
        <w:t>в</w:t>
      </w:r>
      <w:r>
        <w:t>ные преступления, связанные с торговлей людьми.</w:t>
      </w:r>
    </w:p>
    <w:p w:rsidR="00000000" w:rsidRDefault="00000000">
      <w:pPr>
        <w:pStyle w:val="H23"/>
        <w:tabs>
          <w:tab w:val="right" w:pos="1021"/>
          <w:tab w:val="left" w:pos="1264"/>
          <w:tab w:val="left" w:pos="1684"/>
          <w:tab w:val="left" w:pos="1741"/>
        </w:tabs>
        <w:ind w:right="1203"/>
      </w:pPr>
      <w:r>
        <w:tab/>
      </w:r>
      <w:r>
        <w:tab/>
        <w:t xml:space="preserve">Причины возникновения торговли людьми </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85.</w:t>
      </w:r>
      <w:r>
        <w:tab/>
        <w:t>Торговля людьми, особенно женщинами, в целях вовлечения их в прост</w:t>
      </w:r>
      <w:r>
        <w:t>и</w:t>
      </w:r>
      <w:r>
        <w:t>туцию, представляет собой проблему, которая в последнее время приобрела чрезвычайно острый характер на территории Боснии и Герцеговины. В частн</w:t>
      </w:r>
      <w:r>
        <w:t>о</w:t>
      </w:r>
      <w:r>
        <w:t>сти, открытие государственных границ, переход к рыночной экономике, рост безработицы и нищеты, распад государственной структуры, ослабление ко</w:t>
      </w:r>
      <w:r>
        <w:t>н</w:t>
      </w:r>
      <w:r>
        <w:t>троля за перемещением населения в некоторых районах Европы, в частности в Центральной и Восточной Европе, создали благоприятные условия для разв</w:t>
      </w:r>
      <w:r>
        <w:t>и</w:t>
      </w:r>
      <w:r>
        <w:t>тия незаконной торговли, особенно торговли людьми, для целей сексуальной эксплуат</w:t>
      </w:r>
      <w:r>
        <w:t>а</w:t>
      </w:r>
      <w:r>
        <w:t>ции и на территории нашей страны.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86.</w:t>
      </w:r>
      <w:r>
        <w:tab/>
        <w:t>В послевоенные годы, особенно в период с 1999 по 2000 год, в Боснии и Герцеговине отмечалось увеличение роста масштабов торговли женщинами и проституции. Официальные данные за период с 1996 года по апрель 1999 года отсутствуют, поскольку этой проблеме не уделялось достаточного внимания.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Согласно имеющимся данным, начиная с 1996 года Босния и Герцеговина становится одной из основных стран назначения для женщин из Восточной Европы, которые стали жертвами торговли людьми. Как и в других странах р</w:t>
      </w:r>
      <w:r>
        <w:t>е</w:t>
      </w:r>
      <w:r>
        <w:t>гиона, в Боснии и Герцеговине также происходило разрушение эффективных структур, действующих в области правовой системы и правоприменения, н</w:t>
      </w:r>
      <w:r>
        <w:t>а</w:t>
      </w:r>
      <w:r>
        <w:t>блюдалось широкое международное присутствие, ослабление контроля на гр</w:t>
      </w:r>
      <w:r>
        <w:t>а</w:t>
      </w:r>
      <w:r>
        <w:t>ницах и ув</w:t>
      </w:r>
      <w:r>
        <w:t>е</w:t>
      </w:r>
      <w:r>
        <w:t xml:space="preserve">личение масштабов нелегального перемещения населения.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87.</w:t>
      </w:r>
      <w:r>
        <w:tab/>
        <w:t>В апреле 1999 года министерства внутренних дел впервые представили данные о торговли женщинами и детьми. Согласно этой информации, женщ</w:t>
      </w:r>
      <w:r>
        <w:t>и</w:t>
      </w:r>
      <w:r>
        <w:t>ны – жертвы торговли людьми в основном состояли из граждан Молдовы, У</w:t>
      </w:r>
      <w:r>
        <w:t>к</w:t>
      </w:r>
      <w:r>
        <w:t>раины, Румынии и Болгарии. Они пребывали в Боснии и Герцеговине, как пр</w:t>
      </w:r>
      <w:r>
        <w:t>а</w:t>
      </w:r>
      <w:r>
        <w:t>вило, в качестве официанток, танцовщиц, а затем в ряде случаев их принужд</w:t>
      </w:r>
      <w:r>
        <w:t>а</w:t>
      </w:r>
      <w:r>
        <w:t>ли к занятию проституцией, они попадали в порочный круг долгового рабства и подверг</w:t>
      </w:r>
      <w:r>
        <w:t>а</w:t>
      </w:r>
      <w:r>
        <w:t>лись сексуальному насилию и домогательствам.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88.</w:t>
      </w:r>
      <w:r>
        <w:tab/>
        <w:t>Согласно оценке Специальных международных полицейских сил (СМПС), приблизительно 33 процента женщин утверждали, что они являются жертвами торговли людьми и обращались за содействием в возвращении д</w:t>
      </w:r>
      <w:r>
        <w:t>о</w:t>
      </w:r>
      <w:r>
        <w:t>мой. Другие сообщали, что они приехали добровольно, что у них есть разр</w:t>
      </w:r>
      <w:r>
        <w:t>е</w:t>
      </w:r>
      <w:r>
        <w:t>шение на работу в качестве танцовщиц или официанток и в случае отсутствия причинной связи между этими женщинами и торговлей людьми не было ник</w:t>
      </w:r>
      <w:r>
        <w:t>а</w:t>
      </w:r>
      <w:r>
        <w:t>ких оснований для принятия мер по предотвращению торговли людьми. По данным Центра по гендерным вопросам Республики Сербской, характерной особенностью торговли женщинами в Боснии и Герцеговине является то, что 40 процентов торговцев являются же</w:t>
      </w:r>
      <w:r>
        <w:t>н</w:t>
      </w:r>
      <w:r>
        <w:t>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89.</w:t>
      </w:r>
      <w:r>
        <w:tab/>
        <w:t>В большинстве случаев проститутки работают в ночных клубах, барах и стриптиз-клубах. Помимо местных клиентов спрос на рынке сексуальных у</w:t>
      </w:r>
      <w:r>
        <w:t>с</w:t>
      </w:r>
      <w:r>
        <w:t>луг, как правило, создают иностранцы (сотрудники многочисленных междун</w:t>
      </w:r>
      <w:r>
        <w:t>а</w:t>
      </w:r>
      <w:r>
        <w:t>родных правительственных и неправительственных организаций). Согласно имеющимся данным за период 1999 по 2000 год, местная полиция, междун</w:t>
      </w:r>
      <w:r>
        <w:t>а</w:t>
      </w:r>
      <w:r>
        <w:t>родная полиция и Силы по стабилизации участвовали в торговле женщинами и тесно сотру</w:t>
      </w:r>
      <w:r>
        <w:t>д</w:t>
      </w:r>
      <w:r>
        <w:t>ничали в этой области.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90.</w:t>
      </w:r>
      <w:r>
        <w:tab/>
        <w:t>Из анализа данных, имеющихся в этой области (за период с 25 июля 2001 года по 2002 год были проведены собеседования с 2120 девушками и женщинами) и касающихся количества клубов, в которых, согласно сведениям оперативных работников, девушки работали в качестве танцовщиц, а также к</w:t>
      </w:r>
      <w:r>
        <w:t>о</w:t>
      </w:r>
      <w:r>
        <w:t>личества работающих девушек, можно сделать вывод о значительном сокращ</w:t>
      </w:r>
      <w:r>
        <w:t>е</w:t>
      </w:r>
      <w:r>
        <w:t>нии числа таких клубов и числа девушек, не имеющих вида на жительство. Однако это не говорит о том, что данная проблема стала менее острой. Это может свидетельствовать о том, что деятельность в сфере проституции или торговли людьми приняла более сложный и организованный характер. Деву</w:t>
      </w:r>
      <w:r>
        <w:t>ш</w:t>
      </w:r>
      <w:r>
        <w:t>ки стали чаще получать разрешение на работу или выполнять предусмотре</w:t>
      </w:r>
      <w:r>
        <w:t>н</w:t>
      </w:r>
      <w:r>
        <w:t>ные законом условия выдачи таких разрешений, а контакты между владельц</w:t>
      </w:r>
      <w:r>
        <w:t>а</w:t>
      </w:r>
      <w:r>
        <w:t>ми клубов и должностными лицами, которые должны заниматься предотвр</w:t>
      </w:r>
      <w:r>
        <w:t>а</w:t>
      </w:r>
      <w:r>
        <w:t>щением всех форм торговли людьми, осуществляются на тщательно спланир</w:t>
      </w:r>
      <w:r>
        <w:t>о</w:t>
      </w:r>
      <w:r>
        <w:t>ванной и организованной основе, в результате чего информация о предстоящих действиях или мероприятиях очень быстро поступает к тем, кто должен мен</w:t>
      </w:r>
      <w:r>
        <w:t>ь</w:t>
      </w:r>
      <w:r>
        <w:t>ше всех знать об этом. Девушки, которые, несмотря на риск, желают зараб</w:t>
      </w:r>
      <w:r>
        <w:t>о</w:t>
      </w:r>
      <w:r>
        <w:t>тать, как правило, не заявляют о том, что они являются жертвами торговли людьми. Обычно они сообщают, что они приехали по собственной воле, что они сделали все возможное для выполнения всех предписанных законом тр</w:t>
      </w:r>
      <w:r>
        <w:t>е</w:t>
      </w:r>
      <w:r>
        <w:t>бований, касающихся законного пребывания в стране, что у них все в порядке, что они могут заработать и не хотят возвращаться в свою страну, поскольку там они жили в нищете или их семьи находятся в тяжелом положении и т.д. По нашему мнению, тенденция к сокращению числа клубов и девушек, вовлече</w:t>
      </w:r>
      <w:r>
        <w:t>н</w:t>
      </w:r>
      <w:r>
        <w:t>ных в цепочку торговли людьми, частично является результатом согласования законодательства по данному вопросу, а также организации регулярного обуч</w:t>
      </w:r>
      <w:r>
        <w:t>е</w:t>
      </w:r>
      <w:r>
        <w:t>ния должностных лиц, отвечающих за соблюдение правил, или активной де</w:t>
      </w:r>
      <w:r>
        <w:t>я</w:t>
      </w:r>
      <w:r>
        <w:t>тельности оперативных групп, в частности групп, учрежденных в рамках ми</w:t>
      </w:r>
      <w:r>
        <w:t>с</w:t>
      </w:r>
      <w:r>
        <w:t>сии Организации Объединенных Наций, создания и функционирования ряда институтов на уровне государства и образований и, прежде всего, следствием активного и надлежащего участия в этой деятельности сотрудников мин</w:t>
      </w:r>
      <w:r>
        <w:t>и</w:t>
      </w:r>
      <w:r>
        <w:t xml:space="preserve">стерств внутренних дел и должностных лиц государственных пограничных служб.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91.</w:t>
      </w:r>
      <w:r>
        <w:tab/>
        <w:t>В 2001 году, согласно данным, полученным от министерств внутренних дел, на всей территории Боснии и Герцеговины, 98 уголовных обвинений было предъявлено 158 лицам, из которых 116 являлись гражданами Боснии и Герц</w:t>
      </w:r>
      <w:r>
        <w:t>е</w:t>
      </w:r>
      <w:r>
        <w:t>говины и 42 – гражданами иностранных государств. Предъявленные им уг</w:t>
      </w:r>
      <w:r>
        <w:t>о</w:t>
      </w:r>
      <w:r>
        <w:t>ловные обвинения были связаны с существованием обоснованного подозрения в совершении ими следующих уголовных преступлений: торговля людьми с целью принуждения их к занятию проституцией (53 лица), принуждение к з</w:t>
      </w:r>
      <w:r>
        <w:t>а</w:t>
      </w:r>
      <w:r>
        <w:t>нятию проституцией (44 лица), принуждение к рабскому труду (4 лица) и нез</w:t>
      </w:r>
      <w:r>
        <w:t>а</w:t>
      </w:r>
      <w:r>
        <w:t>конное содержание под стражей (5 лиц). 42 женщины, являющиеся гражданами иностранных государств, предстали перед судом за использование поддельных паспортов.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eading4"/>
      </w:pPr>
      <w:r>
        <w:t>Меры, принятые в области предотвращения торговли людьми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92.</w:t>
      </w:r>
      <w:r>
        <w:tab/>
        <w:t>В предыдущем Законе об иммиграции и убежище в Боснии и Герцеговине не содержалось ни одного положения по вопросу торговли людьми и прост</w:t>
      </w:r>
      <w:r>
        <w:t>и</w:t>
      </w:r>
      <w:r>
        <w:t>туции; он регулировал вопросы въезда, пребывания и частичного перемещения иностранцев и определял условия для предоставления или отказа в предоста</w:t>
      </w:r>
      <w:r>
        <w:t>в</w:t>
      </w:r>
      <w:r>
        <w:t xml:space="preserve">лении убежища.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Новый принятый в Боснии и Герцеговине Закон о перемещении, постоя</w:t>
      </w:r>
      <w:r>
        <w:t>н</w:t>
      </w:r>
      <w:r>
        <w:t>ном проживании и предоставлении убежища для иностранцев конкретно рег</w:t>
      </w:r>
      <w:r>
        <w:t>у</w:t>
      </w:r>
      <w:r>
        <w:t>лирует вопросы, касающиеся жертв торговли людьми. Его цель заключается в том, чтобы определить процедуры, применяемые в отношении лиц, являющи</w:t>
      </w:r>
      <w:r>
        <w:t>х</w:t>
      </w:r>
      <w:r>
        <w:t>ся жертвами торговли людьми, путем создания условий для их освобождения и возвращения в первоначальную страну назначения, а также посредством во</w:t>
      </w:r>
      <w:r>
        <w:t>з</w:t>
      </w:r>
      <w:r>
        <w:t>можного размещения их в специальных институтах, занимающихся приемом жертв торговли людьми. Любому лицу, являющему жертвой торговли людьми, предоставляется возможность получить временное разрешение на жительство для участия в судебном разбирательстве в качестве жертвы или пострадавшей стороны, с целью возмещения ущерба, получения защиты от государственных институтов и возвращения в его/ее страну. В настоящее время этот процесс осуществляется при поддержке МОМ (Международной организации по мигр</w:t>
      </w:r>
      <w:r>
        <w:t>а</w:t>
      </w:r>
      <w:r>
        <w:t>ции), однако он применяется в отношении только тех лиц, которые добровол</w:t>
      </w:r>
      <w:r>
        <w:t>ь</w:t>
      </w:r>
      <w:r>
        <w:t>но желают ве</w:t>
      </w:r>
      <w:r>
        <w:t>р</w:t>
      </w:r>
      <w:r>
        <w:t xml:space="preserve">нуться.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93.</w:t>
      </w:r>
      <w:r>
        <w:tab/>
        <w:t>6 декабря 2001 года был принят на государственном уровне План дейс</w:t>
      </w:r>
      <w:r>
        <w:t>т</w:t>
      </w:r>
      <w:r>
        <w:t>вий по предотвращению торговли людьми. В Плане предусмотрено учрежд</w:t>
      </w:r>
      <w:r>
        <w:t>е</w:t>
      </w:r>
      <w:r>
        <w:t>ние государственной комиссии по его реализации, обеспечение пограничного контроля и применение законодательства, создание центра по приему и разр</w:t>
      </w:r>
      <w:r>
        <w:t>а</w:t>
      </w:r>
      <w:r>
        <w:t>ботка программы по защите жертв, оказание содействия в репатриации, р</w:t>
      </w:r>
      <w:r>
        <w:t>е</w:t>
      </w:r>
      <w:r>
        <w:t>форма законодательства, организация обучения, подготовки и принятия мер по повышению осведомленности. В Плане также указан порядок координации деятельности и обмена информацией между образованием и другими зан</w:t>
      </w:r>
      <w:r>
        <w:t>и</w:t>
      </w:r>
      <w:r>
        <w:t>мающимися этим вопросом институтами с министерством по правам человека и делам беженцев. Была проведена реформа государственной комиссии по ре</w:t>
      </w:r>
      <w:r>
        <w:t>а</w:t>
      </w:r>
      <w:r>
        <w:t>лизации Плана, назначен государственный координатор по Боснии и Герцег</w:t>
      </w:r>
      <w:r>
        <w:t>о</w:t>
      </w:r>
      <w:r>
        <w:t>вине, а на государственном уровне была учреждена группа экспертов в составе представителей министерств безопасности, юстиции, внутренних дел, госуда</w:t>
      </w:r>
      <w:r>
        <w:t>р</w:t>
      </w:r>
      <w:r>
        <w:t>ственной прокуратуры Боснии и Герцеговины и министерства по правам чел</w:t>
      </w:r>
      <w:r>
        <w:t>о</w:t>
      </w:r>
      <w:r>
        <w:t>века и д</w:t>
      </w:r>
      <w:r>
        <w:t>е</w:t>
      </w:r>
      <w:r>
        <w:t>лам беженцев.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94.</w:t>
      </w:r>
      <w:r>
        <w:tab/>
        <w:t>В рамках процедуры реализации Плана действий министерство по правам человека и делам беженцев издало временную инструкцию по обращению с жертвами торговли людьми. В инструкции содержится прямое требование обеспечить применение принципа защиты жертв торговли людьми в соответс</w:t>
      </w:r>
      <w:r>
        <w:t>т</w:t>
      </w:r>
      <w:r>
        <w:t>вии с Конвенцией Организации Объединенных Наций по предотвращению транснациональной организованной преступности и протоколами к ней, к к</w:t>
      </w:r>
      <w:r>
        <w:t>о</w:t>
      </w:r>
      <w:r>
        <w:t>торым Босния и Герцеговина присоединилась в Палермо в 2000 году. В ней конкретно говорится о недопустимости задержания, судебного преследования или осуждения иностранцев в связи с их незаконным въездом или пребыван</w:t>
      </w:r>
      <w:r>
        <w:t>и</w:t>
      </w:r>
      <w:r>
        <w:t>ем в стране до тех пор, пока не будет устранено любое сомнение в том, что он/она является жертвой торговли людьми и что эти действия являются пр</w:t>
      </w:r>
      <w:r>
        <w:t>я</w:t>
      </w:r>
      <w:r>
        <w:t>мым следствием неблагоприятного положения, в котором находятся лица, я</w:t>
      </w:r>
      <w:r>
        <w:t>в</w:t>
      </w:r>
      <w:r>
        <w:t>ляющиеся жертвами то</w:t>
      </w:r>
      <w:r>
        <w:t>р</w:t>
      </w:r>
      <w:r>
        <w:t>говли людьми.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сотрудничестве с НПО с целью обеспечения предоставления надлеж</w:t>
      </w:r>
      <w:r>
        <w:t>а</w:t>
      </w:r>
      <w:r>
        <w:t>щей защиты жертвам торговли людьми был подписан Протокол, согласно кот</w:t>
      </w:r>
      <w:r>
        <w:t>о</w:t>
      </w:r>
      <w:r>
        <w:t>рому компетентные органы (в основном полиция) обязаны предоставлять на</w:t>
      </w:r>
      <w:r>
        <w:t>д</w:t>
      </w:r>
      <w:r>
        <w:t>лежащую защиту: правовую помощь, медицинские услуги и т.д., лицам, кот</w:t>
      </w:r>
      <w:r>
        <w:t>о</w:t>
      </w:r>
      <w:r>
        <w:t>рых подозревают в принадлежности к жертвам торговли людьми. Как Време</w:t>
      </w:r>
      <w:r>
        <w:t>н</w:t>
      </w:r>
      <w:r>
        <w:t>ная инструкция, так и Протокол были переданы для применения компетентным органам госуда</w:t>
      </w:r>
      <w:r>
        <w:t>р</w:t>
      </w:r>
      <w:r>
        <w:t>ства и образований в октябре 2003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95.</w:t>
      </w:r>
      <w:r>
        <w:tab/>
        <w:t>Целевая группа представляет собой оперативное подразделение, созда</w:t>
      </w:r>
      <w:r>
        <w:t>н</w:t>
      </w:r>
      <w:r>
        <w:t>ное одновременно с Комиссией по реализации Плана действий 5 мая 2002 года. Ее задача заключается в принятии оперативных мер путем обеспечения пол</w:t>
      </w:r>
      <w:r>
        <w:t>у</w:t>
      </w:r>
      <w:r>
        <w:t>чения срочной информации членами группы, состоящими из представителей всех органов государства и образований, которые непосредственно выполняют функции, связанные с предотвращением торговли людьми. Особая ответстве</w:t>
      </w:r>
      <w:r>
        <w:t>н</w:t>
      </w:r>
      <w:r>
        <w:t>ность возлагается на государственных прокуроров и прокуроров образований, которым необходимо иметь доступ к информации и всем документам всех с</w:t>
      </w:r>
      <w:r>
        <w:t>у</w:t>
      </w:r>
      <w:r>
        <w:t>дебных разбирательств, связанных с торговлей людьми, с тем чтобы иметь возможность руководить работой и координировать судебные разбир</w:t>
      </w:r>
      <w:r>
        <w:t>а</w:t>
      </w:r>
      <w:r>
        <w:t>тельства.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96.</w:t>
      </w:r>
      <w:r>
        <w:tab/>
        <w:t>В министерствах внутренних дел созданы целевые группы, занимающи</w:t>
      </w:r>
      <w:r>
        <w:t>е</w:t>
      </w:r>
      <w:r>
        <w:t>ся предотвращением торговли людьми и проституции, а также оперативные группы в составе представителей министерства внутренних дел и Полицейской миссии ЕС.</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eading4"/>
      </w:pPr>
      <w:r>
        <w:t>Государственная пограничная служба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97.</w:t>
      </w:r>
      <w:r>
        <w:tab/>
        <w:t>Деятельность государственной пограничной службы по охране государс</w:t>
      </w:r>
      <w:r>
        <w:t>т</w:t>
      </w:r>
      <w:r>
        <w:t>венной границы и международных аэропортов, а также обеспечению контроля за перемещением людей и товара через границы, началась с создания четырех подразделений Государственной пограничной службы Боснии и Герцеговины в июне 2000 года. В настоящее время эта служба полностью контролирует гос</w:t>
      </w:r>
      <w:r>
        <w:t>у</w:t>
      </w:r>
      <w:r>
        <w:t>дарственную границу и международные аэропорты. При осуществлении ко</w:t>
      </w:r>
      <w:r>
        <w:t>н</w:t>
      </w:r>
      <w:r>
        <w:t>троля за перемещением людей через пограничные переходы сотрудники гос</w:t>
      </w:r>
      <w:r>
        <w:t>у</w:t>
      </w:r>
      <w:r>
        <w:t>дарственной пограничной службы обязаны соблюдать все соответствующие правовые положения, а также уважать основные права человека и свободы. В своей работе Государственная пограничная служба особое внимание уделяет борьбе с нелегальной иммиграцией и торговлей людьми. Созданная в июле 2001 года Академия ГПС, в которой проходят обучение все сотрудники слу</w:t>
      </w:r>
      <w:r>
        <w:t>ж</w:t>
      </w:r>
      <w:r>
        <w:t>бы, работает на основании учебного плана, предусматривающего изучение м</w:t>
      </w:r>
      <w:r>
        <w:t>е</w:t>
      </w:r>
      <w:r>
        <w:t>тодов борьбы с нелегальной иммиграцией и торговлей людьми, особенно же</w:t>
      </w:r>
      <w:r>
        <w:t>н</w:t>
      </w:r>
      <w:r>
        <w:t>щинами и детьми.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98.</w:t>
      </w:r>
      <w:r>
        <w:tab/>
        <w:t>Босния и Герцеговина выступали в роли страны назначения для женщин, являвшихся жертвами торговли людьми, большая часть которых прибывала в страну незаконно с помощью членов хорошо организованной преступной сети. К числу основных стран происхождения этих лиц относятся Украина, Молдова, Р</w:t>
      </w:r>
      <w:r>
        <w:t>у</w:t>
      </w:r>
      <w:r>
        <w:t>мыния, Болгария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99.</w:t>
      </w:r>
      <w:r>
        <w:tab/>
        <w:t>Начиная с момента создания государственной пограничной службы по июнь 2002 года в этой службе было рассмотрено 132 дела, касавшихся же</w:t>
      </w:r>
      <w:r>
        <w:t>н</w:t>
      </w:r>
      <w:r>
        <w:t>щин, которые незаконно въехали в Боснию и Герцеговину или незаконность въезда которых была установлена впоследствии. Что касается этой категории лиц, то в 21 случае было определено, что эти лица въехали в Боснию и Герц</w:t>
      </w:r>
      <w:r>
        <w:t>е</w:t>
      </w:r>
      <w:r>
        <w:t>говину по поддельным паспортам или визам или по паспортам других лиц. В 30 случаях государственная пограничная служба возбудила уголовные дела по факту нелегального перехода государственной границы или незаконного н</w:t>
      </w:r>
      <w:r>
        <w:t>а</w:t>
      </w:r>
      <w:r>
        <w:t>хождения в Боснии и Герцеговине. Девяти женщинам были предъявлены обв</w:t>
      </w:r>
      <w:r>
        <w:t>и</w:t>
      </w:r>
      <w:r>
        <w:t>нения в использовании поддельных паспортов. В 16 случаях, женщины, дела которых рассматривались этой службой, заявили, что они стали жертвами то</w:t>
      </w:r>
      <w:r>
        <w:t>р</w:t>
      </w:r>
      <w:r>
        <w:t>говли людьми или этот факт был установлен впосле</w:t>
      </w:r>
      <w:r>
        <w:t>д</w:t>
      </w:r>
      <w:r>
        <w:t xml:space="preserve">ствии.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100.</w:t>
      </w:r>
      <w:r>
        <w:tab/>
        <w:t>Поскольку институты Боснии и Герцеговины все еще не располагают во</w:t>
      </w:r>
      <w:r>
        <w:t>з</w:t>
      </w:r>
      <w:r>
        <w:t>можностью обеспечивать уход за жертвами торговли женщинами или осущес</w:t>
      </w:r>
      <w:r>
        <w:t>т</w:t>
      </w:r>
      <w:r>
        <w:t>влять их репатриацию, этой деятельностью в Боснии и Герцеговине занимаю</w:t>
      </w:r>
      <w:r>
        <w:t>т</w:t>
      </w:r>
      <w:r>
        <w:t>ся международные организации. Государственной пограничной службой были направлены в эти организации 43 женщины с целью дальнейшего рассмотр</w:t>
      </w:r>
      <w:r>
        <w:t>е</w:t>
      </w:r>
      <w:r>
        <w:t>ния их дел, предоставления ухода и проведения репатриации. Данные о же</w:t>
      </w:r>
      <w:r>
        <w:t>н</w:t>
      </w:r>
      <w:r>
        <w:t>щинах-иностранках, в отношении которых можно обоснованно предположить, что они являются жертвами торговли людьми в целях сексуальной эксплуат</w:t>
      </w:r>
      <w:r>
        <w:t>а</w:t>
      </w:r>
      <w:r>
        <w:t>ции, представлены в таблице 6.1. Дела всех женщин были оперативно рассмо</w:t>
      </w:r>
      <w:r>
        <w:t>т</w:t>
      </w:r>
      <w:r>
        <w:t>рены ГПС в период ее официального функционирования с 1 июня 2000 года по 20 мая 2002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Таблица 6.1</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b/>
        </w:rPr>
      </w:pPr>
      <w:r>
        <w:rPr>
          <w:b/>
        </w:rPr>
        <w:t>Иностранные граждане, предположительно являющиеся жертвами то</w:t>
      </w:r>
      <w:r>
        <w:rPr>
          <w:b/>
        </w:rPr>
        <w:t>р</w:t>
      </w:r>
      <w:r>
        <w:rPr>
          <w:b/>
        </w:rPr>
        <w:t>говли людьм</w:t>
      </w:r>
      <w:r>
        <w:rPr>
          <w:b/>
        </w:rPr>
        <w:t>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tbl>
      <w:tblPr>
        <w:tblW w:w="0" w:type="auto"/>
        <w:tblInd w:w="1262" w:type="dxa"/>
        <w:tblBorders>
          <w:top w:val="single" w:sz="4" w:space="0" w:color="auto"/>
          <w:bottom w:val="single" w:sz="4" w:space="0" w:color="auto"/>
        </w:tblBorders>
        <w:tblLayout w:type="fixed"/>
        <w:tblCellMar>
          <w:left w:w="43" w:type="dxa"/>
          <w:right w:w="43" w:type="dxa"/>
        </w:tblCellMar>
        <w:tblLook w:val="01E0" w:firstRow="1" w:lastRow="1" w:firstColumn="1" w:lastColumn="1" w:noHBand="0" w:noVBand="0"/>
      </w:tblPr>
      <w:tblGrid>
        <w:gridCol w:w="1080"/>
        <w:gridCol w:w="1080"/>
        <w:gridCol w:w="720"/>
        <w:gridCol w:w="810"/>
        <w:gridCol w:w="990"/>
        <w:gridCol w:w="900"/>
        <w:gridCol w:w="1109"/>
        <w:gridCol w:w="1170"/>
      </w:tblGrid>
      <w:tr w:rsidR="00000000">
        <w:tblPrEx>
          <w:tblCellMar>
            <w:top w:w="0" w:type="dxa"/>
            <w:bottom w:w="0" w:type="dxa"/>
          </w:tblCellMar>
        </w:tblPrEx>
        <w:trPr>
          <w:cantSplit/>
        </w:trPr>
        <w:tc>
          <w:tcPr>
            <w:tcW w:w="1080" w:type="dxa"/>
            <w:vMerge w:val="restart"/>
            <w:tcBorders>
              <w:top w:val="single" w:sz="4" w:space="0" w:color="auto"/>
              <w:bottom w:val="nil"/>
            </w:tcBorders>
            <w:vAlign w:val="bottom"/>
          </w:tcPr>
          <w:p w:rsidR="00000000" w:rsidRDefault="00000000">
            <w:pPr>
              <w:spacing w:before="40" w:after="40"/>
              <w:ind w:left="47" w:right="-36"/>
              <w:rPr>
                <w:i/>
                <w:sz w:val="14"/>
              </w:rPr>
            </w:pPr>
            <w:r>
              <w:rPr>
                <w:i/>
                <w:sz w:val="14"/>
              </w:rPr>
              <w:t>Страна пр</w:t>
            </w:r>
            <w:r>
              <w:rPr>
                <w:i/>
                <w:sz w:val="14"/>
              </w:rPr>
              <w:t>о</w:t>
            </w:r>
            <w:r>
              <w:rPr>
                <w:i/>
                <w:sz w:val="14"/>
              </w:rPr>
              <w:t>исхождения/ гражданство</w:t>
            </w:r>
          </w:p>
        </w:tc>
        <w:tc>
          <w:tcPr>
            <w:tcW w:w="1080" w:type="dxa"/>
            <w:vMerge w:val="restart"/>
            <w:tcBorders>
              <w:top w:val="single" w:sz="4" w:space="0" w:color="auto"/>
              <w:bottom w:val="nil"/>
            </w:tcBorders>
            <w:vAlign w:val="bottom"/>
          </w:tcPr>
          <w:p w:rsidR="00000000" w:rsidRDefault="00000000">
            <w:pPr>
              <w:spacing w:before="40" w:after="40"/>
              <w:jc w:val="right"/>
              <w:rPr>
                <w:i/>
                <w:sz w:val="14"/>
              </w:rPr>
            </w:pPr>
            <w:r>
              <w:rPr>
                <w:i/>
                <w:sz w:val="14"/>
              </w:rPr>
              <w:t>Лица, незако</w:t>
            </w:r>
            <w:r>
              <w:rPr>
                <w:i/>
                <w:sz w:val="14"/>
              </w:rPr>
              <w:t>н</w:t>
            </w:r>
            <w:r>
              <w:rPr>
                <w:i/>
                <w:sz w:val="14"/>
              </w:rPr>
              <w:t>но въехавшие в БиГ, или лица, в отношении которых это было устано</w:t>
            </w:r>
            <w:r>
              <w:rPr>
                <w:i/>
                <w:sz w:val="14"/>
              </w:rPr>
              <w:t>в</w:t>
            </w:r>
            <w:r>
              <w:rPr>
                <w:i/>
                <w:sz w:val="14"/>
              </w:rPr>
              <w:t>лено позднее</w:t>
            </w:r>
          </w:p>
        </w:tc>
        <w:tc>
          <w:tcPr>
            <w:tcW w:w="1530" w:type="dxa"/>
            <w:gridSpan w:val="2"/>
            <w:tcBorders>
              <w:top w:val="single" w:sz="4" w:space="0" w:color="auto"/>
              <w:bottom w:val="single" w:sz="4" w:space="0" w:color="auto"/>
            </w:tcBorders>
            <w:vAlign w:val="bottom"/>
          </w:tcPr>
          <w:p w:rsidR="00000000" w:rsidRDefault="00000000">
            <w:pPr>
              <w:spacing w:before="40" w:after="40"/>
              <w:ind w:right="47"/>
              <w:jc w:val="center"/>
              <w:rPr>
                <w:i/>
                <w:sz w:val="14"/>
              </w:rPr>
            </w:pPr>
            <w:r>
              <w:rPr>
                <w:i/>
                <w:sz w:val="14"/>
              </w:rPr>
              <w:t>Лица, использова</w:t>
            </w:r>
            <w:r>
              <w:rPr>
                <w:i/>
                <w:sz w:val="14"/>
              </w:rPr>
              <w:t>в</w:t>
            </w:r>
            <w:r>
              <w:rPr>
                <w:i/>
                <w:sz w:val="14"/>
              </w:rPr>
              <w:t>шие поддельные д</w:t>
            </w:r>
            <w:r>
              <w:rPr>
                <w:i/>
                <w:sz w:val="14"/>
              </w:rPr>
              <w:t>о</w:t>
            </w:r>
            <w:r>
              <w:rPr>
                <w:i/>
                <w:sz w:val="14"/>
              </w:rPr>
              <w:t>кументы</w:t>
            </w:r>
          </w:p>
        </w:tc>
        <w:tc>
          <w:tcPr>
            <w:tcW w:w="1890" w:type="dxa"/>
            <w:gridSpan w:val="2"/>
            <w:tcBorders>
              <w:top w:val="single" w:sz="4" w:space="0" w:color="auto"/>
              <w:bottom w:val="single" w:sz="4" w:space="0" w:color="auto"/>
            </w:tcBorders>
            <w:vAlign w:val="bottom"/>
          </w:tcPr>
          <w:p w:rsidR="00000000" w:rsidRDefault="00000000">
            <w:pPr>
              <w:spacing w:before="40" w:after="40"/>
              <w:jc w:val="center"/>
              <w:rPr>
                <w:i/>
                <w:sz w:val="14"/>
              </w:rPr>
            </w:pPr>
            <w:r>
              <w:rPr>
                <w:i/>
                <w:sz w:val="14"/>
              </w:rPr>
              <w:t>Лица, в отношении кот</w:t>
            </w:r>
            <w:r>
              <w:rPr>
                <w:i/>
                <w:sz w:val="14"/>
              </w:rPr>
              <w:t>о</w:t>
            </w:r>
            <w:r>
              <w:rPr>
                <w:i/>
                <w:sz w:val="14"/>
              </w:rPr>
              <w:t>рых было возбуждено с</w:t>
            </w:r>
            <w:r>
              <w:rPr>
                <w:i/>
                <w:sz w:val="14"/>
              </w:rPr>
              <w:t>у</w:t>
            </w:r>
            <w:r>
              <w:rPr>
                <w:i/>
                <w:sz w:val="14"/>
              </w:rPr>
              <w:t>дебное разбирател</w:t>
            </w:r>
            <w:r>
              <w:rPr>
                <w:i/>
                <w:sz w:val="14"/>
              </w:rPr>
              <w:t>ь</w:t>
            </w:r>
            <w:r>
              <w:rPr>
                <w:i/>
                <w:sz w:val="14"/>
              </w:rPr>
              <w:t>ство</w:t>
            </w:r>
          </w:p>
        </w:tc>
        <w:tc>
          <w:tcPr>
            <w:tcW w:w="1109" w:type="dxa"/>
            <w:vMerge w:val="restart"/>
            <w:tcBorders>
              <w:top w:val="single" w:sz="4" w:space="0" w:color="auto"/>
              <w:bottom w:val="nil"/>
            </w:tcBorders>
            <w:vAlign w:val="bottom"/>
          </w:tcPr>
          <w:p w:rsidR="00000000" w:rsidRDefault="00000000">
            <w:pPr>
              <w:spacing w:before="40" w:after="40"/>
              <w:jc w:val="right"/>
              <w:rPr>
                <w:i/>
                <w:sz w:val="14"/>
              </w:rPr>
            </w:pPr>
            <w:r>
              <w:rPr>
                <w:i/>
                <w:sz w:val="14"/>
              </w:rPr>
              <w:t>Лица, соо</w:t>
            </w:r>
            <w:r>
              <w:rPr>
                <w:i/>
                <w:sz w:val="14"/>
              </w:rPr>
              <w:t>б</w:t>
            </w:r>
            <w:r>
              <w:rPr>
                <w:i/>
                <w:sz w:val="14"/>
              </w:rPr>
              <w:t>щившие, что они являлись жертвами торговли людьми</w:t>
            </w:r>
          </w:p>
        </w:tc>
        <w:tc>
          <w:tcPr>
            <w:tcW w:w="1170" w:type="dxa"/>
            <w:vMerge w:val="restart"/>
            <w:tcBorders>
              <w:top w:val="single" w:sz="4" w:space="0" w:color="auto"/>
              <w:bottom w:val="nil"/>
            </w:tcBorders>
            <w:vAlign w:val="bottom"/>
          </w:tcPr>
          <w:p w:rsidR="00000000" w:rsidRDefault="00000000">
            <w:pPr>
              <w:spacing w:before="40" w:after="40"/>
              <w:jc w:val="right"/>
              <w:rPr>
                <w:i/>
                <w:sz w:val="14"/>
              </w:rPr>
            </w:pPr>
            <w:r>
              <w:rPr>
                <w:i/>
                <w:sz w:val="14"/>
              </w:rPr>
              <w:t>Лица, напра</w:t>
            </w:r>
            <w:r>
              <w:rPr>
                <w:i/>
                <w:sz w:val="14"/>
              </w:rPr>
              <w:t>в</w:t>
            </w:r>
            <w:r>
              <w:rPr>
                <w:i/>
                <w:sz w:val="14"/>
              </w:rPr>
              <w:t>ленные в ме</w:t>
            </w:r>
            <w:r>
              <w:rPr>
                <w:i/>
                <w:sz w:val="14"/>
              </w:rPr>
              <w:t>ж</w:t>
            </w:r>
            <w:r>
              <w:rPr>
                <w:i/>
                <w:sz w:val="14"/>
              </w:rPr>
              <w:t>дународные о</w:t>
            </w:r>
            <w:r>
              <w:rPr>
                <w:i/>
                <w:sz w:val="14"/>
              </w:rPr>
              <w:t>р</w:t>
            </w:r>
            <w:r>
              <w:rPr>
                <w:i/>
                <w:sz w:val="14"/>
              </w:rPr>
              <w:t>ганизации с ц</w:t>
            </w:r>
            <w:r>
              <w:rPr>
                <w:i/>
                <w:sz w:val="14"/>
              </w:rPr>
              <w:t>е</w:t>
            </w:r>
            <w:r>
              <w:rPr>
                <w:i/>
                <w:sz w:val="14"/>
              </w:rPr>
              <w:t>лью дальнейш</w:t>
            </w:r>
            <w:r>
              <w:rPr>
                <w:i/>
                <w:sz w:val="14"/>
              </w:rPr>
              <w:t>е</w:t>
            </w:r>
            <w:r>
              <w:rPr>
                <w:i/>
                <w:sz w:val="14"/>
              </w:rPr>
              <w:t>го рассмотр</w:t>
            </w:r>
            <w:r>
              <w:rPr>
                <w:i/>
                <w:sz w:val="14"/>
              </w:rPr>
              <w:t>е</w:t>
            </w:r>
            <w:r>
              <w:rPr>
                <w:i/>
                <w:sz w:val="14"/>
              </w:rPr>
              <w:t>ния их дел, пр</w:t>
            </w:r>
            <w:r>
              <w:rPr>
                <w:i/>
                <w:sz w:val="14"/>
              </w:rPr>
              <w:t>е</w:t>
            </w:r>
            <w:r>
              <w:rPr>
                <w:i/>
                <w:sz w:val="14"/>
              </w:rPr>
              <w:t>доставления ухода и пров</w:t>
            </w:r>
            <w:r>
              <w:rPr>
                <w:i/>
                <w:sz w:val="14"/>
              </w:rPr>
              <w:t>е</w:t>
            </w:r>
            <w:r>
              <w:rPr>
                <w:i/>
                <w:sz w:val="14"/>
              </w:rPr>
              <w:t>дения репа</w:t>
            </w:r>
            <w:r>
              <w:rPr>
                <w:i/>
                <w:sz w:val="14"/>
              </w:rPr>
              <w:t>т</w:t>
            </w:r>
            <w:r>
              <w:rPr>
                <w:i/>
                <w:sz w:val="14"/>
              </w:rPr>
              <w:t>риации</w:t>
            </w:r>
          </w:p>
        </w:tc>
      </w:tr>
      <w:tr w:rsidR="00000000">
        <w:tblPrEx>
          <w:tblCellMar>
            <w:top w:w="0" w:type="dxa"/>
            <w:bottom w:w="0" w:type="dxa"/>
          </w:tblCellMar>
        </w:tblPrEx>
        <w:trPr>
          <w:cantSplit/>
        </w:trPr>
        <w:tc>
          <w:tcPr>
            <w:tcW w:w="1080" w:type="dxa"/>
            <w:vMerge/>
            <w:tcBorders>
              <w:top w:val="nil"/>
              <w:bottom w:val="single" w:sz="12" w:space="0" w:color="auto"/>
            </w:tcBorders>
            <w:vAlign w:val="bottom"/>
          </w:tcPr>
          <w:p w:rsidR="00000000" w:rsidRDefault="00000000">
            <w:pPr>
              <w:tabs>
                <w:tab w:val="left" w:pos="1264"/>
              </w:tabs>
              <w:spacing w:before="40" w:after="40"/>
              <w:ind w:right="187"/>
              <w:jc w:val="both"/>
              <w:rPr>
                <w:i/>
                <w:sz w:val="14"/>
              </w:rPr>
            </w:pPr>
          </w:p>
        </w:tc>
        <w:tc>
          <w:tcPr>
            <w:tcW w:w="1080" w:type="dxa"/>
            <w:vMerge/>
            <w:tcBorders>
              <w:top w:val="nil"/>
              <w:bottom w:val="single" w:sz="12" w:space="0" w:color="auto"/>
            </w:tcBorders>
            <w:vAlign w:val="bottom"/>
          </w:tcPr>
          <w:p w:rsidR="00000000" w:rsidRDefault="00000000">
            <w:pPr>
              <w:tabs>
                <w:tab w:val="left" w:pos="1264"/>
              </w:tabs>
              <w:spacing w:before="40" w:after="40"/>
              <w:ind w:right="187"/>
              <w:jc w:val="both"/>
              <w:rPr>
                <w:i/>
                <w:sz w:val="14"/>
              </w:rPr>
            </w:pPr>
          </w:p>
        </w:tc>
        <w:tc>
          <w:tcPr>
            <w:tcW w:w="720" w:type="dxa"/>
            <w:tcBorders>
              <w:top w:val="nil"/>
              <w:bottom w:val="single" w:sz="12" w:space="0" w:color="auto"/>
            </w:tcBorders>
            <w:vAlign w:val="bottom"/>
          </w:tcPr>
          <w:p w:rsidR="00000000" w:rsidRDefault="00000000">
            <w:pPr>
              <w:spacing w:before="40" w:after="40"/>
              <w:jc w:val="right"/>
              <w:rPr>
                <w:i/>
                <w:sz w:val="14"/>
              </w:rPr>
            </w:pPr>
            <w:r>
              <w:rPr>
                <w:i/>
                <w:sz w:val="14"/>
              </w:rPr>
              <w:t>Па</w:t>
            </w:r>
            <w:r>
              <w:rPr>
                <w:i/>
                <w:sz w:val="14"/>
              </w:rPr>
              <w:t>с</w:t>
            </w:r>
            <w:r>
              <w:rPr>
                <w:i/>
                <w:sz w:val="14"/>
              </w:rPr>
              <w:t>порт</w:t>
            </w:r>
          </w:p>
        </w:tc>
        <w:tc>
          <w:tcPr>
            <w:tcW w:w="810" w:type="dxa"/>
            <w:tcBorders>
              <w:top w:val="nil"/>
              <w:bottom w:val="single" w:sz="12" w:space="0" w:color="auto"/>
            </w:tcBorders>
            <w:vAlign w:val="bottom"/>
          </w:tcPr>
          <w:p w:rsidR="00000000" w:rsidRDefault="00000000">
            <w:pPr>
              <w:tabs>
                <w:tab w:val="left" w:pos="1264"/>
              </w:tabs>
              <w:spacing w:before="40" w:after="40"/>
              <w:jc w:val="right"/>
              <w:rPr>
                <w:i/>
                <w:sz w:val="14"/>
              </w:rPr>
            </w:pPr>
            <w:r>
              <w:rPr>
                <w:i/>
                <w:sz w:val="14"/>
              </w:rPr>
              <w:t>Виза или разреш</w:t>
            </w:r>
            <w:r>
              <w:rPr>
                <w:i/>
                <w:sz w:val="14"/>
              </w:rPr>
              <w:t>е</w:t>
            </w:r>
            <w:r>
              <w:rPr>
                <w:i/>
                <w:sz w:val="14"/>
              </w:rPr>
              <w:t>ние на жител</w:t>
            </w:r>
            <w:r>
              <w:rPr>
                <w:i/>
                <w:sz w:val="14"/>
              </w:rPr>
              <w:t>ь</w:t>
            </w:r>
            <w:r>
              <w:rPr>
                <w:i/>
                <w:sz w:val="14"/>
              </w:rPr>
              <w:t>ство</w:t>
            </w:r>
          </w:p>
        </w:tc>
        <w:tc>
          <w:tcPr>
            <w:tcW w:w="990" w:type="dxa"/>
            <w:tcBorders>
              <w:top w:val="nil"/>
              <w:bottom w:val="single" w:sz="12" w:space="0" w:color="auto"/>
            </w:tcBorders>
            <w:vAlign w:val="bottom"/>
          </w:tcPr>
          <w:p w:rsidR="00000000" w:rsidRDefault="00000000">
            <w:pPr>
              <w:tabs>
                <w:tab w:val="left" w:pos="1264"/>
              </w:tabs>
              <w:spacing w:before="40" w:after="40"/>
              <w:ind w:right="-90"/>
              <w:jc w:val="right"/>
              <w:rPr>
                <w:i/>
                <w:sz w:val="14"/>
              </w:rPr>
            </w:pPr>
            <w:r>
              <w:rPr>
                <w:i/>
                <w:sz w:val="14"/>
              </w:rPr>
              <w:t>Процессуал</w:t>
            </w:r>
            <w:r>
              <w:rPr>
                <w:i/>
                <w:sz w:val="14"/>
              </w:rPr>
              <w:t>ь</w:t>
            </w:r>
            <w:r>
              <w:rPr>
                <w:i/>
                <w:sz w:val="14"/>
              </w:rPr>
              <w:t>ные действия по факту пр</w:t>
            </w:r>
            <w:r>
              <w:rPr>
                <w:i/>
                <w:sz w:val="14"/>
              </w:rPr>
              <w:t>а</w:t>
            </w:r>
            <w:r>
              <w:rPr>
                <w:i/>
                <w:sz w:val="14"/>
              </w:rPr>
              <w:t>вонаруш</w:t>
            </w:r>
            <w:r>
              <w:rPr>
                <w:i/>
                <w:sz w:val="14"/>
              </w:rPr>
              <w:t>е</w:t>
            </w:r>
            <w:r>
              <w:rPr>
                <w:i/>
                <w:sz w:val="14"/>
              </w:rPr>
              <w:t>ния</w:t>
            </w:r>
          </w:p>
        </w:tc>
        <w:tc>
          <w:tcPr>
            <w:tcW w:w="900" w:type="dxa"/>
            <w:tcBorders>
              <w:top w:val="nil"/>
              <w:bottom w:val="single" w:sz="12" w:space="0" w:color="auto"/>
            </w:tcBorders>
            <w:vAlign w:val="bottom"/>
          </w:tcPr>
          <w:p w:rsidR="00000000" w:rsidRDefault="00000000">
            <w:pPr>
              <w:tabs>
                <w:tab w:val="left" w:pos="1264"/>
              </w:tabs>
              <w:spacing w:before="40" w:after="40"/>
              <w:ind w:right="-43"/>
              <w:jc w:val="right"/>
              <w:rPr>
                <w:i/>
                <w:sz w:val="14"/>
              </w:rPr>
            </w:pPr>
            <w:r>
              <w:rPr>
                <w:i/>
                <w:sz w:val="14"/>
              </w:rPr>
              <w:t>Уголовное преследов</w:t>
            </w:r>
            <w:r>
              <w:rPr>
                <w:i/>
                <w:sz w:val="14"/>
              </w:rPr>
              <w:t>а</w:t>
            </w:r>
            <w:r>
              <w:rPr>
                <w:i/>
                <w:sz w:val="14"/>
              </w:rPr>
              <w:t>ние</w:t>
            </w:r>
          </w:p>
        </w:tc>
        <w:tc>
          <w:tcPr>
            <w:tcW w:w="1109" w:type="dxa"/>
            <w:vMerge/>
            <w:tcBorders>
              <w:top w:val="nil"/>
              <w:bottom w:val="single" w:sz="12" w:space="0" w:color="auto"/>
            </w:tcBorders>
            <w:vAlign w:val="bottom"/>
          </w:tcPr>
          <w:p w:rsidR="00000000" w:rsidRDefault="00000000">
            <w:pPr>
              <w:tabs>
                <w:tab w:val="left" w:pos="1264"/>
              </w:tabs>
              <w:spacing w:before="40" w:after="40"/>
              <w:ind w:right="187"/>
              <w:jc w:val="both"/>
              <w:rPr>
                <w:i/>
                <w:sz w:val="14"/>
              </w:rPr>
            </w:pPr>
          </w:p>
        </w:tc>
        <w:tc>
          <w:tcPr>
            <w:tcW w:w="1170" w:type="dxa"/>
            <w:vMerge/>
            <w:tcBorders>
              <w:top w:val="nil"/>
              <w:bottom w:val="single" w:sz="12" w:space="0" w:color="auto"/>
            </w:tcBorders>
            <w:vAlign w:val="bottom"/>
          </w:tcPr>
          <w:p w:rsidR="00000000" w:rsidRDefault="00000000">
            <w:pPr>
              <w:tabs>
                <w:tab w:val="left" w:pos="1264"/>
              </w:tabs>
              <w:spacing w:before="40" w:after="40"/>
              <w:ind w:right="187"/>
              <w:jc w:val="both"/>
              <w:rPr>
                <w:i/>
                <w:sz w:val="14"/>
              </w:rPr>
            </w:pPr>
          </w:p>
        </w:tc>
      </w:tr>
      <w:tr w:rsidR="00000000">
        <w:tblPrEx>
          <w:tblCellMar>
            <w:top w:w="0" w:type="dxa"/>
            <w:bottom w:w="0" w:type="dxa"/>
          </w:tblCellMar>
        </w:tblPrEx>
        <w:trPr>
          <w:cantSplit/>
          <w:trHeight w:hRule="exact" w:val="100"/>
        </w:trPr>
        <w:tc>
          <w:tcPr>
            <w:tcW w:w="1080" w:type="dxa"/>
            <w:tcBorders>
              <w:top w:val="nil"/>
            </w:tcBorders>
            <w:vAlign w:val="bottom"/>
          </w:tcPr>
          <w:p w:rsidR="00000000" w:rsidRDefault="00000000">
            <w:pPr>
              <w:tabs>
                <w:tab w:val="left" w:pos="1264"/>
              </w:tabs>
              <w:spacing w:before="40" w:after="40"/>
              <w:ind w:right="187"/>
              <w:jc w:val="both"/>
              <w:rPr>
                <w:i/>
                <w:sz w:val="14"/>
              </w:rPr>
            </w:pPr>
          </w:p>
        </w:tc>
        <w:tc>
          <w:tcPr>
            <w:tcW w:w="1080" w:type="dxa"/>
            <w:tcBorders>
              <w:top w:val="nil"/>
            </w:tcBorders>
            <w:vAlign w:val="bottom"/>
          </w:tcPr>
          <w:p w:rsidR="00000000" w:rsidRDefault="00000000">
            <w:pPr>
              <w:tabs>
                <w:tab w:val="left" w:pos="1264"/>
              </w:tabs>
              <w:spacing w:before="40" w:after="40"/>
              <w:ind w:right="187"/>
              <w:jc w:val="both"/>
              <w:rPr>
                <w:i/>
                <w:sz w:val="14"/>
              </w:rPr>
            </w:pPr>
          </w:p>
        </w:tc>
        <w:tc>
          <w:tcPr>
            <w:tcW w:w="720" w:type="dxa"/>
            <w:tcBorders>
              <w:top w:val="nil"/>
            </w:tcBorders>
            <w:vAlign w:val="bottom"/>
          </w:tcPr>
          <w:p w:rsidR="00000000" w:rsidRDefault="00000000">
            <w:pPr>
              <w:spacing w:before="40" w:after="40"/>
              <w:jc w:val="right"/>
              <w:rPr>
                <w:i/>
                <w:sz w:val="14"/>
              </w:rPr>
            </w:pPr>
          </w:p>
        </w:tc>
        <w:tc>
          <w:tcPr>
            <w:tcW w:w="810" w:type="dxa"/>
            <w:tcBorders>
              <w:top w:val="nil"/>
            </w:tcBorders>
            <w:vAlign w:val="bottom"/>
          </w:tcPr>
          <w:p w:rsidR="00000000" w:rsidRDefault="00000000">
            <w:pPr>
              <w:tabs>
                <w:tab w:val="left" w:pos="1264"/>
              </w:tabs>
              <w:spacing w:before="40" w:after="40"/>
              <w:jc w:val="right"/>
              <w:rPr>
                <w:i/>
                <w:sz w:val="14"/>
              </w:rPr>
            </w:pPr>
          </w:p>
        </w:tc>
        <w:tc>
          <w:tcPr>
            <w:tcW w:w="990" w:type="dxa"/>
            <w:tcBorders>
              <w:top w:val="nil"/>
            </w:tcBorders>
            <w:vAlign w:val="bottom"/>
          </w:tcPr>
          <w:p w:rsidR="00000000" w:rsidRDefault="00000000">
            <w:pPr>
              <w:tabs>
                <w:tab w:val="left" w:pos="1264"/>
              </w:tabs>
              <w:spacing w:before="40" w:after="40"/>
              <w:ind w:right="-90"/>
              <w:jc w:val="right"/>
              <w:rPr>
                <w:i/>
                <w:sz w:val="14"/>
              </w:rPr>
            </w:pPr>
          </w:p>
        </w:tc>
        <w:tc>
          <w:tcPr>
            <w:tcW w:w="900" w:type="dxa"/>
            <w:tcBorders>
              <w:top w:val="nil"/>
            </w:tcBorders>
            <w:vAlign w:val="bottom"/>
          </w:tcPr>
          <w:p w:rsidR="00000000" w:rsidRDefault="00000000">
            <w:pPr>
              <w:tabs>
                <w:tab w:val="left" w:pos="1264"/>
              </w:tabs>
              <w:spacing w:before="40" w:after="40"/>
              <w:ind w:right="-43"/>
              <w:jc w:val="right"/>
              <w:rPr>
                <w:i/>
                <w:sz w:val="14"/>
              </w:rPr>
            </w:pPr>
          </w:p>
        </w:tc>
        <w:tc>
          <w:tcPr>
            <w:tcW w:w="1109" w:type="dxa"/>
            <w:tcBorders>
              <w:top w:val="nil"/>
            </w:tcBorders>
            <w:vAlign w:val="bottom"/>
          </w:tcPr>
          <w:p w:rsidR="00000000" w:rsidRDefault="00000000">
            <w:pPr>
              <w:tabs>
                <w:tab w:val="left" w:pos="1264"/>
              </w:tabs>
              <w:spacing w:before="40" w:after="40"/>
              <w:ind w:right="187"/>
              <w:jc w:val="both"/>
              <w:rPr>
                <w:i/>
                <w:sz w:val="14"/>
              </w:rPr>
            </w:pPr>
          </w:p>
        </w:tc>
        <w:tc>
          <w:tcPr>
            <w:tcW w:w="1170" w:type="dxa"/>
            <w:tcBorders>
              <w:top w:val="nil"/>
            </w:tcBorders>
            <w:vAlign w:val="bottom"/>
          </w:tcPr>
          <w:p w:rsidR="00000000" w:rsidRDefault="00000000">
            <w:pPr>
              <w:tabs>
                <w:tab w:val="left" w:pos="1264"/>
              </w:tabs>
              <w:spacing w:before="40" w:after="40"/>
              <w:ind w:right="187"/>
              <w:jc w:val="both"/>
              <w:rPr>
                <w:i/>
                <w:sz w:val="14"/>
              </w:rPr>
            </w:pPr>
          </w:p>
        </w:tc>
      </w:tr>
      <w:tr w:rsidR="00000000">
        <w:tblPrEx>
          <w:tblCellMar>
            <w:top w:w="0" w:type="dxa"/>
            <w:bottom w:w="0" w:type="dxa"/>
          </w:tblCellMar>
        </w:tblPrEx>
        <w:trPr>
          <w:cantSplit/>
        </w:trPr>
        <w:tc>
          <w:tcPr>
            <w:tcW w:w="1080" w:type="dxa"/>
          </w:tcPr>
          <w:p w:rsidR="00000000" w:rsidRDefault="00000000">
            <w:pPr>
              <w:tabs>
                <w:tab w:val="left" w:pos="1264"/>
              </w:tabs>
              <w:spacing w:before="40" w:after="40"/>
              <w:ind w:right="187"/>
              <w:jc w:val="both"/>
              <w:rPr>
                <w:sz w:val="16"/>
              </w:rPr>
            </w:pPr>
            <w:r>
              <w:rPr>
                <w:sz w:val="16"/>
              </w:rPr>
              <w:t>Мо</w:t>
            </w:r>
            <w:r>
              <w:rPr>
                <w:sz w:val="16"/>
              </w:rPr>
              <w:t>л</w:t>
            </w:r>
            <w:r>
              <w:rPr>
                <w:sz w:val="16"/>
              </w:rPr>
              <w:t>дова</w:t>
            </w:r>
          </w:p>
        </w:tc>
        <w:tc>
          <w:tcPr>
            <w:tcW w:w="1080" w:type="dxa"/>
          </w:tcPr>
          <w:p w:rsidR="00000000" w:rsidRDefault="00000000">
            <w:pPr>
              <w:tabs>
                <w:tab w:val="left" w:pos="1264"/>
              </w:tabs>
              <w:spacing w:before="40" w:after="40"/>
              <w:ind w:right="47"/>
              <w:jc w:val="right"/>
              <w:rPr>
                <w:sz w:val="16"/>
              </w:rPr>
            </w:pPr>
            <w:r>
              <w:rPr>
                <w:sz w:val="16"/>
              </w:rPr>
              <w:t>66</w:t>
            </w:r>
          </w:p>
        </w:tc>
        <w:tc>
          <w:tcPr>
            <w:tcW w:w="720" w:type="dxa"/>
          </w:tcPr>
          <w:p w:rsidR="00000000" w:rsidRDefault="00000000">
            <w:pPr>
              <w:tabs>
                <w:tab w:val="left" w:pos="1264"/>
              </w:tabs>
              <w:spacing w:before="40" w:after="40"/>
              <w:ind w:right="47"/>
              <w:jc w:val="right"/>
              <w:rPr>
                <w:sz w:val="16"/>
              </w:rPr>
            </w:pPr>
            <w:r>
              <w:rPr>
                <w:sz w:val="16"/>
              </w:rPr>
              <w:t>6</w:t>
            </w:r>
          </w:p>
        </w:tc>
        <w:tc>
          <w:tcPr>
            <w:tcW w:w="810" w:type="dxa"/>
          </w:tcPr>
          <w:p w:rsidR="00000000" w:rsidRDefault="00000000">
            <w:pPr>
              <w:tabs>
                <w:tab w:val="left" w:pos="1264"/>
              </w:tabs>
              <w:spacing w:before="40" w:after="40"/>
              <w:ind w:right="47"/>
              <w:jc w:val="right"/>
              <w:rPr>
                <w:sz w:val="16"/>
              </w:rPr>
            </w:pPr>
            <w:r>
              <w:rPr>
                <w:sz w:val="16"/>
              </w:rPr>
              <w:t>5</w:t>
            </w:r>
          </w:p>
        </w:tc>
        <w:tc>
          <w:tcPr>
            <w:tcW w:w="990" w:type="dxa"/>
          </w:tcPr>
          <w:p w:rsidR="00000000" w:rsidRDefault="00000000">
            <w:pPr>
              <w:tabs>
                <w:tab w:val="left" w:pos="1264"/>
              </w:tabs>
              <w:spacing w:before="40" w:after="40"/>
              <w:ind w:right="47"/>
              <w:jc w:val="right"/>
              <w:rPr>
                <w:sz w:val="16"/>
              </w:rPr>
            </w:pPr>
            <w:r>
              <w:rPr>
                <w:sz w:val="16"/>
              </w:rPr>
              <w:t>10</w:t>
            </w:r>
          </w:p>
        </w:tc>
        <w:tc>
          <w:tcPr>
            <w:tcW w:w="900" w:type="dxa"/>
          </w:tcPr>
          <w:p w:rsidR="00000000" w:rsidRDefault="00000000">
            <w:pPr>
              <w:tabs>
                <w:tab w:val="left" w:pos="1264"/>
              </w:tabs>
              <w:spacing w:before="40" w:after="40"/>
              <w:ind w:right="47"/>
              <w:jc w:val="right"/>
              <w:rPr>
                <w:sz w:val="16"/>
              </w:rPr>
            </w:pPr>
            <w:r>
              <w:rPr>
                <w:sz w:val="16"/>
              </w:rPr>
              <w:t>6</w:t>
            </w:r>
          </w:p>
        </w:tc>
        <w:tc>
          <w:tcPr>
            <w:tcW w:w="1109" w:type="dxa"/>
          </w:tcPr>
          <w:p w:rsidR="00000000" w:rsidRDefault="00000000">
            <w:pPr>
              <w:tabs>
                <w:tab w:val="left" w:pos="1264"/>
              </w:tabs>
              <w:spacing w:before="40" w:after="40"/>
              <w:ind w:right="47"/>
              <w:jc w:val="right"/>
              <w:rPr>
                <w:sz w:val="16"/>
              </w:rPr>
            </w:pPr>
            <w:r>
              <w:rPr>
                <w:sz w:val="16"/>
              </w:rPr>
              <w:t>6</w:t>
            </w:r>
          </w:p>
        </w:tc>
        <w:tc>
          <w:tcPr>
            <w:tcW w:w="1170" w:type="dxa"/>
          </w:tcPr>
          <w:p w:rsidR="00000000" w:rsidRDefault="00000000">
            <w:pPr>
              <w:tabs>
                <w:tab w:val="left" w:pos="1264"/>
              </w:tabs>
              <w:spacing w:before="40" w:after="40"/>
              <w:ind w:right="47"/>
              <w:jc w:val="right"/>
              <w:rPr>
                <w:sz w:val="16"/>
              </w:rPr>
            </w:pPr>
            <w:r>
              <w:rPr>
                <w:sz w:val="16"/>
              </w:rPr>
              <w:t>10</w:t>
            </w:r>
          </w:p>
        </w:tc>
      </w:tr>
      <w:tr w:rsidR="00000000">
        <w:tblPrEx>
          <w:tblCellMar>
            <w:top w:w="0" w:type="dxa"/>
            <w:bottom w:w="0" w:type="dxa"/>
          </w:tblCellMar>
        </w:tblPrEx>
        <w:trPr>
          <w:cantSplit/>
        </w:trPr>
        <w:tc>
          <w:tcPr>
            <w:tcW w:w="1080" w:type="dxa"/>
          </w:tcPr>
          <w:p w:rsidR="00000000" w:rsidRDefault="00000000">
            <w:pPr>
              <w:tabs>
                <w:tab w:val="left" w:pos="1264"/>
              </w:tabs>
              <w:spacing w:before="40" w:after="40"/>
              <w:ind w:right="187"/>
              <w:jc w:val="both"/>
              <w:rPr>
                <w:sz w:val="16"/>
              </w:rPr>
            </w:pPr>
            <w:r>
              <w:rPr>
                <w:sz w:val="16"/>
              </w:rPr>
              <w:t>Рум</w:t>
            </w:r>
            <w:r>
              <w:rPr>
                <w:sz w:val="16"/>
              </w:rPr>
              <w:t>ы</w:t>
            </w:r>
            <w:r>
              <w:rPr>
                <w:sz w:val="16"/>
              </w:rPr>
              <w:t>ния</w:t>
            </w:r>
          </w:p>
        </w:tc>
        <w:tc>
          <w:tcPr>
            <w:tcW w:w="1080" w:type="dxa"/>
          </w:tcPr>
          <w:p w:rsidR="00000000" w:rsidRDefault="00000000">
            <w:pPr>
              <w:tabs>
                <w:tab w:val="left" w:pos="1264"/>
              </w:tabs>
              <w:spacing w:before="40" w:after="40"/>
              <w:ind w:right="47"/>
              <w:jc w:val="right"/>
              <w:rPr>
                <w:sz w:val="16"/>
              </w:rPr>
            </w:pPr>
            <w:r>
              <w:rPr>
                <w:sz w:val="16"/>
              </w:rPr>
              <w:t>38</w:t>
            </w:r>
          </w:p>
        </w:tc>
        <w:tc>
          <w:tcPr>
            <w:tcW w:w="720" w:type="dxa"/>
          </w:tcPr>
          <w:p w:rsidR="00000000" w:rsidRDefault="00000000">
            <w:pPr>
              <w:tabs>
                <w:tab w:val="left" w:pos="1264"/>
              </w:tabs>
              <w:spacing w:before="40" w:after="40"/>
              <w:ind w:right="47"/>
              <w:jc w:val="right"/>
              <w:rPr>
                <w:sz w:val="16"/>
              </w:rPr>
            </w:pPr>
            <w:r>
              <w:rPr>
                <w:sz w:val="16"/>
              </w:rPr>
              <w:t>2</w:t>
            </w:r>
          </w:p>
        </w:tc>
        <w:tc>
          <w:tcPr>
            <w:tcW w:w="810" w:type="dxa"/>
          </w:tcPr>
          <w:p w:rsidR="00000000" w:rsidRDefault="00000000">
            <w:pPr>
              <w:tabs>
                <w:tab w:val="left" w:pos="1264"/>
              </w:tabs>
              <w:spacing w:before="40" w:after="40"/>
              <w:ind w:right="47"/>
              <w:jc w:val="right"/>
              <w:rPr>
                <w:sz w:val="16"/>
              </w:rPr>
            </w:pPr>
            <w:r>
              <w:rPr>
                <w:sz w:val="16"/>
              </w:rPr>
              <w:t>1</w:t>
            </w:r>
          </w:p>
        </w:tc>
        <w:tc>
          <w:tcPr>
            <w:tcW w:w="990" w:type="dxa"/>
          </w:tcPr>
          <w:p w:rsidR="00000000" w:rsidRDefault="00000000">
            <w:pPr>
              <w:tabs>
                <w:tab w:val="left" w:pos="1264"/>
              </w:tabs>
              <w:spacing w:before="40" w:after="40"/>
              <w:ind w:right="47"/>
              <w:jc w:val="right"/>
              <w:rPr>
                <w:sz w:val="16"/>
              </w:rPr>
            </w:pPr>
            <w:r>
              <w:rPr>
                <w:sz w:val="16"/>
              </w:rPr>
              <w:t>9</w:t>
            </w:r>
          </w:p>
        </w:tc>
        <w:tc>
          <w:tcPr>
            <w:tcW w:w="900" w:type="dxa"/>
          </w:tcPr>
          <w:p w:rsidR="00000000" w:rsidRDefault="00000000">
            <w:pPr>
              <w:tabs>
                <w:tab w:val="left" w:pos="1264"/>
              </w:tabs>
              <w:spacing w:before="40" w:after="40"/>
              <w:ind w:right="47"/>
              <w:jc w:val="right"/>
              <w:rPr>
                <w:sz w:val="16"/>
              </w:rPr>
            </w:pPr>
            <w:r>
              <w:rPr>
                <w:sz w:val="16"/>
              </w:rPr>
              <w:t>1</w:t>
            </w:r>
          </w:p>
        </w:tc>
        <w:tc>
          <w:tcPr>
            <w:tcW w:w="1109" w:type="dxa"/>
          </w:tcPr>
          <w:p w:rsidR="00000000" w:rsidRDefault="00000000">
            <w:pPr>
              <w:tabs>
                <w:tab w:val="left" w:pos="1264"/>
              </w:tabs>
              <w:spacing w:before="40" w:after="40"/>
              <w:ind w:right="47"/>
              <w:jc w:val="right"/>
              <w:rPr>
                <w:sz w:val="16"/>
              </w:rPr>
            </w:pPr>
            <w:r>
              <w:rPr>
                <w:sz w:val="16"/>
              </w:rPr>
              <w:t>4</w:t>
            </w:r>
          </w:p>
        </w:tc>
        <w:tc>
          <w:tcPr>
            <w:tcW w:w="1170" w:type="dxa"/>
          </w:tcPr>
          <w:p w:rsidR="00000000" w:rsidRDefault="00000000">
            <w:pPr>
              <w:tabs>
                <w:tab w:val="left" w:pos="1264"/>
              </w:tabs>
              <w:spacing w:before="40" w:after="40"/>
              <w:ind w:right="47"/>
              <w:jc w:val="right"/>
              <w:rPr>
                <w:sz w:val="16"/>
              </w:rPr>
            </w:pPr>
            <w:r>
              <w:rPr>
                <w:sz w:val="16"/>
              </w:rPr>
              <w:t>9</w:t>
            </w:r>
          </w:p>
        </w:tc>
      </w:tr>
      <w:tr w:rsidR="00000000">
        <w:tblPrEx>
          <w:tblCellMar>
            <w:top w:w="0" w:type="dxa"/>
            <w:bottom w:w="0" w:type="dxa"/>
          </w:tblCellMar>
        </w:tblPrEx>
        <w:trPr>
          <w:cantSplit/>
        </w:trPr>
        <w:tc>
          <w:tcPr>
            <w:tcW w:w="1080" w:type="dxa"/>
          </w:tcPr>
          <w:p w:rsidR="00000000" w:rsidRDefault="00000000">
            <w:pPr>
              <w:tabs>
                <w:tab w:val="left" w:pos="1264"/>
              </w:tabs>
              <w:spacing w:before="40" w:after="40"/>
              <w:ind w:right="187"/>
              <w:jc w:val="both"/>
              <w:rPr>
                <w:sz w:val="16"/>
              </w:rPr>
            </w:pPr>
            <w:r>
              <w:rPr>
                <w:sz w:val="16"/>
              </w:rPr>
              <w:t>Укра</w:t>
            </w:r>
            <w:r>
              <w:rPr>
                <w:sz w:val="16"/>
              </w:rPr>
              <w:t>и</w:t>
            </w:r>
            <w:r>
              <w:rPr>
                <w:sz w:val="16"/>
              </w:rPr>
              <w:t>на</w:t>
            </w:r>
          </w:p>
        </w:tc>
        <w:tc>
          <w:tcPr>
            <w:tcW w:w="1080" w:type="dxa"/>
          </w:tcPr>
          <w:p w:rsidR="00000000" w:rsidRDefault="00000000">
            <w:pPr>
              <w:tabs>
                <w:tab w:val="left" w:pos="1264"/>
              </w:tabs>
              <w:spacing w:before="40" w:after="40"/>
              <w:ind w:right="47"/>
              <w:jc w:val="right"/>
              <w:rPr>
                <w:sz w:val="16"/>
              </w:rPr>
            </w:pPr>
            <w:r>
              <w:rPr>
                <w:sz w:val="16"/>
              </w:rPr>
              <w:t>22</w:t>
            </w:r>
          </w:p>
        </w:tc>
        <w:tc>
          <w:tcPr>
            <w:tcW w:w="720" w:type="dxa"/>
          </w:tcPr>
          <w:p w:rsidR="00000000" w:rsidRDefault="00000000">
            <w:pPr>
              <w:tabs>
                <w:tab w:val="left" w:pos="1264"/>
              </w:tabs>
              <w:spacing w:before="40" w:after="40"/>
              <w:ind w:right="47"/>
              <w:jc w:val="right"/>
              <w:rPr>
                <w:sz w:val="16"/>
              </w:rPr>
            </w:pPr>
            <w:r>
              <w:rPr>
                <w:sz w:val="16"/>
              </w:rPr>
              <w:t>2</w:t>
            </w:r>
          </w:p>
        </w:tc>
        <w:tc>
          <w:tcPr>
            <w:tcW w:w="810" w:type="dxa"/>
          </w:tcPr>
          <w:p w:rsidR="00000000" w:rsidRDefault="00000000">
            <w:pPr>
              <w:tabs>
                <w:tab w:val="left" w:pos="1264"/>
              </w:tabs>
              <w:spacing w:before="40" w:after="40"/>
              <w:ind w:right="47"/>
              <w:jc w:val="right"/>
              <w:rPr>
                <w:sz w:val="16"/>
              </w:rPr>
            </w:pPr>
            <w:r>
              <w:rPr>
                <w:sz w:val="16"/>
              </w:rPr>
              <w:t>3</w:t>
            </w:r>
          </w:p>
        </w:tc>
        <w:tc>
          <w:tcPr>
            <w:tcW w:w="990" w:type="dxa"/>
          </w:tcPr>
          <w:p w:rsidR="00000000" w:rsidRDefault="00000000">
            <w:pPr>
              <w:tabs>
                <w:tab w:val="left" w:pos="1264"/>
              </w:tabs>
              <w:spacing w:before="40" w:after="40"/>
              <w:ind w:right="47"/>
              <w:jc w:val="right"/>
              <w:rPr>
                <w:sz w:val="16"/>
              </w:rPr>
            </w:pPr>
            <w:r>
              <w:rPr>
                <w:sz w:val="16"/>
              </w:rPr>
              <w:t>10</w:t>
            </w:r>
          </w:p>
        </w:tc>
        <w:tc>
          <w:tcPr>
            <w:tcW w:w="900" w:type="dxa"/>
          </w:tcPr>
          <w:p w:rsidR="00000000" w:rsidRDefault="00000000">
            <w:pPr>
              <w:tabs>
                <w:tab w:val="left" w:pos="1264"/>
              </w:tabs>
              <w:spacing w:before="40" w:after="40"/>
              <w:ind w:right="47"/>
              <w:jc w:val="right"/>
              <w:rPr>
                <w:sz w:val="16"/>
              </w:rPr>
            </w:pPr>
            <w:r>
              <w:rPr>
                <w:sz w:val="16"/>
              </w:rPr>
              <w:t>0</w:t>
            </w:r>
          </w:p>
        </w:tc>
        <w:tc>
          <w:tcPr>
            <w:tcW w:w="1109" w:type="dxa"/>
          </w:tcPr>
          <w:p w:rsidR="00000000" w:rsidRDefault="00000000">
            <w:pPr>
              <w:tabs>
                <w:tab w:val="left" w:pos="1264"/>
              </w:tabs>
              <w:spacing w:before="40" w:after="40"/>
              <w:ind w:right="47"/>
              <w:jc w:val="right"/>
              <w:rPr>
                <w:sz w:val="16"/>
              </w:rPr>
            </w:pPr>
            <w:r>
              <w:rPr>
                <w:sz w:val="16"/>
              </w:rPr>
              <w:t>4</w:t>
            </w:r>
          </w:p>
        </w:tc>
        <w:tc>
          <w:tcPr>
            <w:tcW w:w="1170" w:type="dxa"/>
          </w:tcPr>
          <w:p w:rsidR="00000000" w:rsidRDefault="00000000">
            <w:pPr>
              <w:tabs>
                <w:tab w:val="left" w:pos="1264"/>
              </w:tabs>
              <w:spacing w:before="40" w:after="40"/>
              <w:ind w:right="47"/>
              <w:jc w:val="right"/>
              <w:rPr>
                <w:sz w:val="16"/>
              </w:rPr>
            </w:pPr>
            <w:r>
              <w:rPr>
                <w:sz w:val="16"/>
              </w:rPr>
              <w:t>14</w:t>
            </w:r>
          </w:p>
        </w:tc>
      </w:tr>
      <w:tr w:rsidR="00000000">
        <w:tblPrEx>
          <w:tblCellMar>
            <w:top w:w="0" w:type="dxa"/>
            <w:bottom w:w="0" w:type="dxa"/>
          </w:tblCellMar>
        </w:tblPrEx>
        <w:trPr>
          <w:cantSplit/>
        </w:trPr>
        <w:tc>
          <w:tcPr>
            <w:tcW w:w="1080" w:type="dxa"/>
          </w:tcPr>
          <w:p w:rsidR="00000000" w:rsidRDefault="00000000">
            <w:pPr>
              <w:tabs>
                <w:tab w:val="left" w:pos="1264"/>
              </w:tabs>
              <w:spacing w:before="40" w:after="40"/>
              <w:ind w:right="187"/>
              <w:jc w:val="both"/>
              <w:rPr>
                <w:sz w:val="16"/>
              </w:rPr>
            </w:pPr>
            <w:r>
              <w:rPr>
                <w:sz w:val="16"/>
              </w:rPr>
              <w:t>Ро</w:t>
            </w:r>
            <w:r>
              <w:rPr>
                <w:sz w:val="16"/>
              </w:rPr>
              <w:t>с</w:t>
            </w:r>
            <w:r>
              <w:rPr>
                <w:sz w:val="16"/>
              </w:rPr>
              <w:t>сия</w:t>
            </w:r>
          </w:p>
        </w:tc>
        <w:tc>
          <w:tcPr>
            <w:tcW w:w="1080" w:type="dxa"/>
          </w:tcPr>
          <w:p w:rsidR="00000000" w:rsidRDefault="00000000">
            <w:pPr>
              <w:tabs>
                <w:tab w:val="left" w:pos="1264"/>
              </w:tabs>
              <w:spacing w:before="40" w:after="40"/>
              <w:ind w:right="47"/>
              <w:jc w:val="right"/>
              <w:rPr>
                <w:sz w:val="16"/>
              </w:rPr>
            </w:pPr>
            <w:r>
              <w:rPr>
                <w:sz w:val="16"/>
              </w:rPr>
              <w:t>3</w:t>
            </w:r>
          </w:p>
        </w:tc>
        <w:tc>
          <w:tcPr>
            <w:tcW w:w="720" w:type="dxa"/>
          </w:tcPr>
          <w:p w:rsidR="00000000" w:rsidRDefault="00000000">
            <w:pPr>
              <w:tabs>
                <w:tab w:val="left" w:pos="1264"/>
              </w:tabs>
              <w:spacing w:before="40" w:after="40"/>
              <w:ind w:right="47"/>
              <w:jc w:val="right"/>
              <w:rPr>
                <w:sz w:val="16"/>
              </w:rPr>
            </w:pPr>
            <w:r>
              <w:rPr>
                <w:sz w:val="16"/>
              </w:rPr>
              <w:t>1</w:t>
            </w:r>
          </w:p>
        </w:tc>
        <w:tc>
          <w:tcPr>
            <w:tcW w:w="810" w:type="dxa"/>
          </w:tcPr>
          <w:p w:rsidR="00000000" w:rsidRDefault="00000000">
            <w:pPr>
              <w:tabs>
                <w:tab w:val="left" w:pos="1264"/>
              </w:tabs>
              <w:spacing w:before="40" w:after="40"/>
              <w:ind w:right="47"/>
              <w:jc w:val="right"/>
              <w:rPr>
                <w:sz w:val="16"/>
              </w:rPr>
            </w:pPr>
            <w:r>
              <w:rPr>
                <w:sz w:val="16"/>
              </w:rPr>
              <w:t>0</w:t>
            </w:r>
          </w:p>
        </w:tc>
        <w:tc>
          <w:tcPr>
            <w:tcW w:w="990" w:type="dxa"/>
          </w:tcPr>
          <w:p w:rsidR="00000000" w:rsidRDefault="00000000">
            <w:pPr>
              <w:tabs>
                <w:tab w:val="left" w:pos="1264"/>
              </w:tabs>
              <w:spacing w:before="40" w:after="40"/>
              <w:ind w:right="47"/>
              <w:jc w:val="right"/>
              <w:rPr>
                <w:sz w:val="16"/>
              </w:rPr>
            </w:pPr>
            <w:r>
              <w:rPr>
                <w:sz w:val="16"/>
              </w:rPr>
              <w:t>0</w:t>
            </w:r>
          </w:p>
        </w:tc>
        <w:tc>
          <w:tcPr>
            <w:tcW w:w="900" w:type="dxa"/>
          </w:tcPr>
          <w:p w:rsidR="00000000" w:rsidRDefault="00000000">
            <w:pPr>
              <w:tabs>
                <w:tab w:val="left" w:pos="1264"/>
              </w:tabs>
              <w:spacing w:before="40" w:after="40"/>
              <w:ind w:right="47"/>
              <w:jc w:val="right"/>
              <w:rPr>
                <w:sz w:val="16"/>
              </w:rPr>
            </w:pPr>
            <w:r>
              <w:rPr>
                <w:sz w:val="16"/>
              </w:rPr>
              <w:t>1</w:t>
            </w:r>
          </w:p>
        </w:tc>
        <w:tc>
          <w:tcPr>
            <w:tcW w:w="1109" w:type="dxa"/>
          </w:tcPr>
          <w:p w:rsidR="00000000" w:rsidRDefault="00000000">
            <w:pPr>
              <w:tabs>
                <w:tab w:val="left" w:pos="1264"/>
              </w:tabs>
              <w:spacing w:before="40" w:after="40"/>
              <w:ind w:right="47"/>
              <w:jc w:val="right"/>
              <w:rPr>
                <w:sz w:val="16"/>
              </w:rPr>
            </w:pPr>
            <w:r>
              <w:rPr>
                <w:sz w:val="16"/>
              </w:rPr>
              <w:t>1</w:t>
            </w:r>
          </w:p>
        </w:tc>
        <w:tc>
          <w:tcPr>
            <w:tcW w:w="1170" w:type="dxa"/>
          </w:tcPr>
          <w:p w:rsidR="00000000" w:rsidRDefault="00000000">
            <w:pPr>
              <w:tabs>
                <w:tab w:val="left" w:pos="1264"/>
              </w:tabs>
              <w:spacing w:before="40" w:after="40"/>
              <w:ind w:right="47"/>
              <w:jc w:val="right"/>
              <w:rPr>
                <w:sz w:val="16"/>
              </w:rPr>
            </w:pPr>
            <w:r>
              <w:rPr>
                <w:sz w:val="16"/>
              </w:rPr>
              <w:t>1</w:t>
            </w:r>
          </w:p>
        </w:tc>
      </w:tr>
      <w:tr w:rsidR="00000000">
        <w:tblPrEx>
          <w:tblCellMar>
            <w:top w:w="0" w:type="dxa"/>
            <w:bottom w:w="0" w:type="dxa"/>
          </w:tblCellMar>
        </w:tblPrEx>
        <w:trPr>
          <w:cantSplit/>
        </w:trPr>
        <w:tc>
          <w:tcPr>
            <w:tcW w:w="1080" w:type="dxa"/>
          </w:tcPr>
          <w:p w:rsidR="00000000" w:rsidRDefault="00000000">
            <w:pPr>
              <w:tabs>
                <w:tab w:val="left" w:pos="1264"/>
              </w:tabs>
              <w:spacing w:before="40" w:after="40"/>
              <w:ind w:right="47"/>
              <w:jc w:val="both"/>
              <w:rPr>
                <w:sz w:val="16"/>
              </w:rPr>
            </w:pPr>
            <w:r>
              <w:rPr>
                <w:sz w:val="16"/>
                <w:u w:val="single"/>
              </w:rPr>
              <w:t>Югосл</w:t>
            </w:r>
            <w:r>
              <w:rPr>
                <w:sz w:val="16"/>
                <w:u w:val="single"/>
              </w:rPr>
              <w:t>а</w:t>
            </w:r>
            <w:r>
              <w:rPr>
                <w:sz w:val="16"/>
                <w:u w:val="single"/>
              </w:rPr>
              <w:t>вия</w:t>
            </w:r>
          </w:p>
        </w:tc>
        <w:tc>
          <w:tcPr>
            <w:tcW w:w="1080" w:type="dxa"/>
          </w:tcPr>
          <w:p w:rsidR="00000000" w:rsidRDefault="00000000">
            <w:pPr>
              <w:tabs>
                <w:tab w:val="left" w:pos="1264"/>
              </w:tabs>
              <w:spacing w:before="40" w:after="40"/>
              <w:ind w:right="47"/>
              <w:jc w:val="right"/>
              <w:rPr>
                <w:sz w:val="16"/>
              </w:rPr>
            </w:pPr>
            <w:r>
              <w:rPr>
                <w:sz w:val="16"/>
              </w:rPr>
              <w:t>2</w:t>
            </w:r>
          </w:p>
        </w:tc>
        <w:tc>
          <w:tcPr>
            <w:tcW w:w="720" w:type="dxa"/>
          </w:tcPr>
          <w:p w:rsidR="00000000" w:rsidRDefault="00000000">
            <w:pPr>
              <w:tabs>
                <w:tab w:val="left" w:pos="1264"/>
              </w:tabs>
              <w:spacing w:before="40" w:after="40"/>
              <w:ind w:right="47"/>
              <w:jc w:val="right"/>
              <w:rPr>
                <w:sz w:val="16"/>
              </w:rPr>
            </w:pPr>
            <w:r>
              <w:rPr>
                <w:sz w:val="16"/>
              </w:rPr>
              <w:t>1</w:t>
            </w:r>
          </w:p>
        </w:tc>
        <w:tc>
          <w:tcPr>
            <w:tcW w:w="810" w:type="dxa"/>
          </w:tcPr>
          <w:p w:rsidR="00000000" w:rsidRDefault="00000000">
            <w:pPr>
              <w:tabs>
                <w:tab w:val="left" w:pos="1264"/>
              </w:tabs>
              <w:spacing w:before="40" w:after="40"/>
              <w:ind w:right="47"/>
              <w:jc w:val="right"/>
              <w:rPr>
                <w:sz w:val="16"/>
              </w:rPr>
            </w:pPr>
            <w:r>
              <w:rPr>
                <w:sz w:val="16"/>
              </w:rPr>
              <w:t>0</w:t>
            </w:r>
          </w:p>
        </w:tc>
        <w:tc>
          <w:tcPr>
            <w:tcW w:w="990" w:type="dxa"/>
          </w:tcPr>
          <w:p w:rsidR="00000000" w:rsidRDefault="00000000">
            <w:pPr>
              <w:tabs>
                <w:tab w:val="left" w:pos="1264"/>
              </w:tabs>
              <w:spacing w:before="40" w:after="40"/>
              <w:ind w:right="47"/>
              <w:jc w:val="right"/>
              <w:rPr>
                <w:sz w:val="16"/>
              </w:rPr>
            </w:pPr>
            <w:r>
              <w:rPr>
                <w:sz w:val="16"/>
              </w:rPr>
              <w:t>1</w:t>
            </w:r>
          </w:p>
        </w:tc>
        <w:tc>
          <w:tcPr>
            <w:tcW w:w="900" w:type="dxa"/>
          </w:tcPr>
          <w:p w:rsidR="00000000" w:rsidRDefault="00000000">
            <w:pPr>
              <w:tabs>
                <w:tab w:val="left" w:pos="1264"/>
              </w:tabs>
              <w:spacing w:before="40" w:after="40"/>
              <w:ind w:right="47"/>
              <w:jc w:val="right"/>
              <w:rPr>
                <w:sz w:val="16"/>
              </w:rPr>
            </w:pPr>
            <w:r>
              <w:rPr>
                <w:sz w:val="16"/>
              </w:rPr>
              <w:t>1</w:t>
            </w:r>
          </w:p>
        </w:tc>
        <w:tc>
          <w:tcPr>
            <w:tcW w:w="1109" w:type="dxa"/>
          </w:tcPr>
          <w:p w:rsidR="00000000" w:rsidRDefault="00000000">
            <w:pPr>
              <w:tabs>
                <w:tab w:val="left" w:pos="1264"/>
              </w:tabs>
              <w:spacing w:before="40" w:after="40"/>
              <w:ind w:right="47"/>
              <w:jc w:val="right"/>
              <w:rPr>
                <w:sz w:val="16"/>
              </w:rPr>
            </w:pPr>
            <w:r>
              <w:rPr>
                <w:sz w:val="16"/>
              </w:rPr>
              <w:t>1</w:t>
            </w:r>
          </w:p>
        </w:tc>
        <w:tc>
          <w:tcPr>
            <w:tcW w:w="1170" w:type="dxa"/>
          </w:tcPr>
          <w:p w:rsidR="00000000" w:rsidRDefault="00000000">
            <w:pPr>
              <w:tabs>
                <w:tab w:val="left" w:pos="1264"/>
              </w:tabs>
              <w:spacing w:before="40" w:after="40"/>
              <w:ind w:right="47"/>
              <w:jc w:val="right"/>
              <w:rPr>
                <w:sz w:val="16"/>
              </w:rPr>
            </w:pPr>
            <w:r>
              <w:rPr>
                <w:sz w:val="16"/>
              </w:rPr>
              <w:t>0</w:t>
            </w:r>
          </w:p>
        </w:tc>
      </w:tr>
      <w:tr w:rsidR="00000000">
        <w:tblPrEx>
          <w:tblCellMar>
            <w:top w:w="0" w:type="dxa"/>
            <w:bottom w:w="0" w:type="dxa"/>
          </w:tblCellMar>
        </w:tblPrEx>
        <w:trPr>
          <w:cantSplit/>
        </w:trPr>
        <w:tc>
          <w:tcPr>
            <w:tcW w:w="1080" w:type="dxa"/>
          </w:tcPr>
          <w:p w:rsidR="00000000" w:rsidRDefault="00000000">
            <w:pPr>
              <w:tabs>
                <w:tab w:val="left" w:pos="1264"/>
              </w:tabs>
              <w:spacing w:before="40" w:after="40"/>
              <w:ind w:right="187"/>
              <w:jc w:val="both"/>
              <w:rPr>
                <w:sz w:val="16"/>
              </w:rPr>
            </w:pPr>
            <w:r>
              <w:rPr>
                <w:sz w:val="16"/>
              </w:rPr>
              <w:t>Арм</w:t>
            </w:r>
            <w:r>
              <w:rPr>
                <w:sz w:val="16"/>
              </w:rPr>
              <w:t>е</w:t>
            </w:r>
            <w:r>
              <w:rPr>
                <w:sz w:val="16"/>
              </w:rPr>
              <w:t>ния</w:t>
            </w:r>
          </w:p>
        </w:tc>
        <w:tc>
          <w:tcPr>
            <w:tcW w:w="1080" w:type="dxa"/>
          </w:tcPr>
          <w:p w:rsidR="00000000" w:rsidRDefault="00000000">
            <w:pPr>
              <w:tabs>
                <w:tab w:val="left" w:pos="1264"/>
              </w:tabs>
              <w:spacing w:before="40" w:after="40"/>
              <w:ind w:right="47"/>
              <w:jc w:val="right"/>
              <w:rPr>
                <w:sz w:val="16"/>
              </w:rPr>
            </w:pPr>
            <w:r>
              <w:rPr>
                <w:sz w:val="16"/>
              </w:rPr>
              <w:t>1</w:t>
            </w:r>
          </w:p>
        </w:tc>
        <w:tc>
          <w:tcPr>
            <w:tcW w:w="720" w:type="dxa"/>
          </w:tcPr>
          <w:p w:rsidR="00000000" w:rsidRDefault="00000000">
            <w:pPr>
              <w:tabs>
                <w:tab w:val="left" w:pos="1264"/>
              </w:tabs>
              <w:spacing w:before="40" w:after="40"/>
              <w:ind w:right="47"/>
              <w:jc w:val="right"/>
              <w:rPr>
                <w:sz w:val="16"/>
              </w:rPr>
            </w:pPr>
            <w:r>
              <w:rPr>
                <w:sz w:val="16"/>
              </w:rPr>
              <w:t>0</w:t>
            </w:r>
          </w:p>
        </w:tc>
        <w:tc>
          <w:tcPr>
            <w:tcW w:w="810" w:type="dxa"/>
          </w:tcPr>
          <w:p w:rsidR="00000000" w:rsidRDefault="00000000">
            <w:pPr>
              <w:tabs>
                <w:tab w:val="left" w:pos="1264"/>
              </w:tabs>
              <w:spacing w:before="40" w:after="40"/>
              <w:ind w:right="47"/>
              <w:jc w:val="right"/>
              <w:rPr>
                <w:sz w:val="16"/>
              </w:rPr>
            </w:pPr>
            <w:r>
              <w:rPr>
                <w:sz w:val="16"/>
              </w:rPr>
              <w:t>0</w:t>
            </w:r>
          </w:p>
        </w:tc>
        <w:tc>
          <w:tcPr>
            <w:tcW w:w="990" w:type="dxa"/>
          </w:tcPr>
          <w:p w:rsidR="00000000" w:rsidRDefault="00000000">
            <w:pPr>
              <w:tabs>
                <w:tab w:val="left" w:pos="1264"/>
              </w:tabs>
              <w:spacing w:before="40" w:after="40"/>
              <w:ind w:right="47"/>
              <w:jc w:val="right"/>
              <w:rPr>
                <w:sz w:val="16"/>
              </w:rPr>
            </w:pPr>
            <w:r>
              <w:rPr>
                <w:sz w:val="16"/>
              </w:rPr>
              <w:t>0</w:t>
            </w:r>
          </w:p>
        </w:tc>
        <w:tc>
          <w:tcPr>
            <w:tcW w:w="900" w:type="dxa"/>
          </w:tcPr>
          <w:p w:rsidR="00000000" w:rsidRDefault="00000000">
            <w:pPr>
              <w:tabs>
                <w:tab w:val="left" w:pos="1264"/>
              </w:tabs>
              <w:spacing w:before="40" w:after="40"/>
              <w:ind w:right="47"/>
              <w:jc w:val="right"/>
              <w:rPr>
                <w:sz w:val="16"/>
              </w:rPr>
            </w:pPr>
            <w:r>
              <w:rPr>
                <w:sz w:val="16"/>
              </w:rPr>
              <w:t>0</w:t>
            </w:r>
          </w:p>
        </w:tc>
        <w:tc>
          <w:tcPr>
            <w:tcW w:w="1109" w:type="dxa"/>
          </w:tcPr>
          <w:p w:rsidR="00000000" w:rsidRDefault="00000000">
            <w:pPr>
              <w:tabs>
                <w:tab w:val="left" w:pos="1264"/>
              </w:tabs>
              <w:spacing w:before="40" w:after="40"/>
              <w:ind w:right="47"/>
              <w:jc w:val="right"/>
              <w:rPr>
                <w:sz w:val="16"/>
              </w:rPr>
            </w:pPr>
            <w:r>
              <w:rPr>
                <w:sz w:val="16"/>
              </w:rPr>
              <w:t>0</w:t>
            </w:r>
          </w:p>
        </w:tc>
        <w:tc>
          <w:tcPr>
            <w:tcW w:w="1170" w:type="dxa"/>
          </w:tcPr>
          <w:p w:rsidR="00000000" w:rsidRDefault="00000000">
            <w:pPr>
              <w:tabs>
                <w:tab w:val="left" w:pos="1264"/>
              </w:tabs>
              <w:spacing w:before="40" w:after="40"/>
              <w:ind w:right="47"/>
              <w:jc w:val="right"/>
              <w:rPr>
                <w:sz w:val="16"/>
              </w:rPr>
            </w:pPr>
            <w:r>
              <w:rPr>
                <w:sz w:val="16"/>
              </w:rPr>
              <w:t>0</w:t>
            </w:r>
          </w:p>
        </w:tc>
      </w:tr>
      <w:tr w:rsidR="00000000">
        <w:tblPrEx>
          <w:tblCellMar>
            <w:top w:w="0" w:type="dxa"/>
            <w:bottom w:w="0" w:type="dxa"/>
          </w:tblCellMar>
        </w:tblPrEx>
        <w:trPr>
          <w:cantSplit/>
        </w:trPr>
        <w:tc>
          <w:tcPr>
            <w:tcW w:w="1080" w:type="dxa"/>
          </w:tcPr>
          <w:p w:rsidR="00000000" w:rsidRDefault="00000000">
            <w:pPr>
              <w:tabs>
                <w:tab w:val="left" w:pos="1264"/>
              </w:tabs>
              <w:spacing w:before="40" w:after="40"/>
              <w:ind w:right="187"/>
              <w:jc w:val="both"/>
              <w:rPr>
                <w:sz w:val="16"/>
              </w:rPr>
            </w:pPr>
            <w:r>
              <w:rPr>
                <w:sz w:val="16"/>
              </w:rPr>
              <w:t>ВСЕГО</w:t>
            </w:r>
          </w:p>
        </w:tc>
        <w:tc>
          <w:tcPr>
            <w:tcW w:w="1080" w:type="dxa"/>
          </w:tcPr>
          <w:p w:rsidR="00000000" w:rsidRDefault="00000000">
            <w:pPr>
              <w:tabs>
                <w:tab w:val="left" w:pos="1264"/>
              </w:tabs>
              <w:spacing w:before="40" w:after="40"/>
              <w:ind w:right="47"/>
              <w:jc w:val="right"/>
              <w:rPr>
                <w:sz w:val="16"/>
              </w:rPr>
            </w:pPr>
            <w:r>
              <w:rPr>
                <w:sz w:val="16"/>
              </w:rPr>
              <w:t>132</w:t>
            </w:r>
          </w:p>
        </w:tc>
        <w:tc>
          <w:tcPr>
            <w:tcW w:w="720" w:type="dxa"/>
          </w:tcPr>
          <w:p w:rsidR="00000000" w:rsidRDefault="00000000">
            <w:pPr>
              <w:tabs>
                <w:tab w:val="left" w:pos="1264"/>
              </w:tabs>
              <w:spacing w:before="40" w:after="40"/>
              <w:ind w:right="47"/>
              <w:jc w:val="right"/>
              <w:rPr>
                <w:sz w:val="16"/>
              </w:rPr>
            </w:pPr>
            <w:r>
              <w:rPr>
                <w:sz w:val="16"/>
              </w:rPr>
              <w:t>12</w:t>
            </w:r>
          </w:p>
        </w:tc>
        <w:tc>
          <w:tcPr>
            <w:tcW w:w="810" w:type="dxa"/>
          </w:tcPr>
          <w:p w:rsidR="00000000" w:rsidRDefault="00000000">
            <w:pPr>
              <w:tabs>
                <w:tab w:val="left" w:pos="1264"/>
              </w:tabs>
              <w:spacing w:before="40" w:after="40"/>
              <w:ind w:right="47"/>
              <w:jc w:val="right"/>
              <w:rPr>
                <w:sz w:val="16"/>
              </w:rPr>
            </w:pPr>
            <w:r>
              <w:rPr>
                <w:sz w:val="16"/>
              </w:rPr>
              <w:t>0</w:t>
            </w:r>
          </w:p>
        </w:tc>
        <w:tc>
          <w:tcPr>
            <w:tcW w:w="990" w:type="dxa"/>
          </w:tcPr>
          <w:p w:rsidR="00000000" w:rsidRDefault="00000000">
            <w:pPr>
              <w:tabs>
                <w:tab w:val="left" w:pos="1264"/>
              </w:tabs>
              <w:spacing w:before="40" w:after="40"/>
              <w:ind w:right="47"/>
              <w:jc w:val="right"/>
              <w:rPr>
                <w:sz w:val="16"/>
              </w:rPr>
            </w:pPr>
            <w:r>
              <w:rPr>
                <w:sz w:val="16"/>
              </w:rPr>
              <w:t>30</w:t>
            </w:r>
          </w:p>
        </w:tc>
        <w:tc>
          <w:tcPr>
            <w:tcW w:w="900" w:type="dxa"/>
          </w:tcPr>
          <w:p w:rsidR="00000000" w:rsidRDefault="00000000">
            <w:pPr>
              <w:tabs>
                <w:tab w:val="left" w:pos="1264"/>
              </w:tabs>
              <w:spacing w:before="40" w:after="40"/>
              <w:ind w:right="47"/>
              <w:jc w:val="right"/>
              <w:rPr>
                <w:sz w:val="16"/>
              </w:rPr>
            </w:pPr>
            <w:r>
              <w:rPr>
                <w:sz w:val="16"/>
              </w:rPr>
              <w:t>9</w:t>
            </w:r>
          </w:p>
        </w:tc>
        <w:tc>
          <w:tcPr>
            <w:tcW w:w="1109" w:type="dxa"/>
          </w:tcPr>
          <w:p w:rsidR="00000000" w:rsidRDefault="00000000">
            <w:pPr>
              <w:tabs>
                <w:tab w:val="left" w:pos="1264"/>
              </w:tabs>
              <w:spacing w:before="40" w:after="40"/>
              <w:ind w:right="47"/>
              <w:jc w:val="right"/>
              <w:rPr>
                <w:sz w:val="16"/>
              </w:rPr>
            </w:pPr>
            <w:r>
              <w:rPr>
                <w:sz w:val="16"/>
              </w:rPr>
              <w:t>16</w:t>
            </w:r>
          </w:p>
        </w:tc>
        <w:tc>
          <w:tcPr>
            <w:tcW w:w="1170" w:type="dxa"/>
          </w:tcPr>
          <w:p w:rsidR="00000000" w:rsidRDefault="00000000">
            <w:pPr>
              <w:tabs>
                <w:tab w:val="left" w:pos="1264"/>
              </w:tabs>
              <w:spacing w:before="40" w:after="40"/>
              <w:ind w:right="47"/>
              <w:jc w:val="right"/>
              <w:rPr>
                <w:sz w:val="16"/>
              </w:rPr>
            </w:pPr>
            <w:r>
              <w:rPr>
                <w:sz w:val="16"/>
              </w:rPr>
              <w:t>43</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101.</w:t>
      </w:r>
      <w:r>
        <w:tab/>
        <w:t>Данные Международной организации по миграции, мандат которой пр</w:t>
      </w:r>
      <w:r>
        <w:t>е</w:t>
      </w:r>
      <w:r>
        <w:t>дусматривает предоставление ухода и убежища жертвам торговли людьми, п</w:t>
      </w:r>
      <w:r>
        <w:t>о</w:t>
      </w:r>
      <w:r>
        <w:t>лученные из доклада от 14 мая 2002 года и касающиеся периода в один год, г</w:t>
      </w:r>
      <w:r>
        <w:t>о</w:t>
      </w:r>
      <w:r>
        <w:t>ворят о следующем: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r>
        <w:rPr>
          <w:sz w:val="10"/>
        </w:rPr>
        <w:br w:type="page"/>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6.2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Данные о женщинах, являющихся жертвами торговли людьми</w:t>
      </w:r>
    </w:p>
    <w:p w:rsidR="00000000" w:rsidRDefault="00000000">
      <w:pPr>
        <w:pStyle w:val="SingleTxt"/>
        <w:spacing w:after="0"/>
        <w:jc w:val="left"/>
        <w:rPr>
          <w:sz w:val="10"/>
        </w:rPr>
      </w:pPr>
    </w:p>
    <w:tbl>
      <w:tblPr>
        <w:tblW w:w="0" w:type="auto"/>
        <w:tblInd w:w="127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2"/>
        <w:gridCol w:w="1937"/>
        <w:gridCol w:w="1938"/>
      </w:tblGrid>
      <w:tr w:rsidR="00000000">
        <w:tblPrEx>
          <w:tblCellMar>
            <w:top w:w="0" w:type="dxa"/>
            <w:left w:w="0" w:type="dxa"/>
            <w:bottom w:w="0" w:type="dxa"/>
            <w:right w:w="0" w:type="dxa"/>
          </w:tblCellMar>
        </w:tblPrEx>
        <w:trPr>
          <w:cantSplit/>
          <w:tblHeader/>
        </w:trPr>
        <w:tc>
          <w:tcPr>
            <w:tcW w:w="3682"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r>
              <w:rPr>
                <w:i/>
                <w:sz w:val="14"/>
              </w:rPr>
              <w:t>Страна происхождения</w:t>
            </w:r>
          </w:p>
        </w:tc>
        <w:tc>
          <w:tcPr>
            <w:tcW w:w="1937"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Количество</w:t>
            </w:r>
          </w:p>
        </w:tc>
        <w:tc>
          <w:tcPr>
            <w:tcW w:w="1938"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Средний возраст</w:t>
            </w:r>
          </w:p>
        </w:tc>
      </w:tr>
      <w:tr w:rsidR="00000000">
        <w:tblPrEx>
          <w:tblCellMar>
            <w:top w:w="0" w:type="dxa"/>
            <w:left w:w="0" w:type="dxa"/>
            <w:bottom w:w="0" w:type="dxa"/>
            <w:right w:w="0" w:type="dxa"/>
          </w:tblCellMar>
        </w:tblPrEx>
        <w:trPr>
          <w:cantSplit/>
          <w:trHeight w:hRule="exact" w:val="115"/>
          <w:tblHeader/>
        </w:trPr>
        <w:tc>
          <w:tcPr>
            <w:tcW w:w="368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p>
        </w:tc>
        <w:tc>
          <w:tcPr>
            <w:tcW w:w="1937"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p>
        </w:tc>
        <w:tc>
          <w:tcPr>
            <w:tcW w:w="1938"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p>
        </w:tc>
      </w:tr>
      <w:tr w:rsidR="00000000">
        <w:tblPrEx>
          <w:tblCellMar>
            <w:top w:w="0" w:type="dxa"/>
            <w:left w:w="0" w:type="dxa"/>
            <w:bottom w:w="0" w:type="dxa"/>
            <w:right w:w="0" w:type="dxa"/>
          </w:tblCellMar>
        </w:tblPrEx>
        <w:trPr>
          <w:cantSplit/>
        </w:trPr>
        <w:tc>
          <w:tcPr>
            <w:tcW w:w="3682" w:type="dxa"/>
            <w:tcBorders>
              <w:top w:val="nil"/>
              <w:left w:val="nil"/>
              <w:bottom w:val="nil"/>
              <w:right w:val="nil"/>
            </w:tcBorders>
            <w:vAlign w:val="bottom"/>
          </w:tcPr>
          <w:p w:rsidR="00000000" w:rsidRDefault="00000000">
            <w:pPr>
              <w:tabs>
                <w:tab w:val="left" w:pos="288"/>
                <w:tab w:val="left" w:pos="576"/>
                <w:tab w:val="left" w:pos="864"/>
                <w:tab w:val="left" w:pos="982"/>
              </w:tabs>
              <w:spacing w:before="40" w:after="40" w:line="210" w:lineRule="exact"/>
              <w:ind w:right="187"/>
              <w:rPr>
                <w:sz w:val="17"/>
              </w:rPr>
            </w:pPr>
            <w:r>
              <w:rPr>
                <w:sz w:val="17"/>
              </w:rPr>
              <w:t>Молдова</w:t>
            </w:r>
          </w:p>
        </w:tc>
        <w:tc>
          <w:tcPr>
            <w:tcW w:w="1937"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206</w:t>
            </w:r>
          </w:p>
        </w:tc>
        <w:tc>
          <w:tcPr>
            <w:tcW w:w="193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22,1</w:t>
            </w:r>
          </w:p>
        </w:tc>
      </w:tr>
      <w:tr w:rsidR="00000000">
        <w:tblPrEx>
          <w:tblCellMar>
            <w:top w:w="0" w:type="dxa"/>
            <w:left w:w="0" w:type="dxa"/>
            <w:bottom w:w="0" w:type="dxa"/>
            <w:right w:w="0" w:type="dxa"/>
          </w:tblCellMar>
        </w:tblPrEx>
        <w:trPr>
          <w:cantSplit/>
        </w:trPr>
        <w:tc>
          <w:tcPr>
            <w:tcW w:w="3682" w:type="dxa"/>
            <w:tcBorders>
              <w:top w:val="nil"/>
              <w:left w:val="nil"/>
              <w:bottom w:val="nil"/>
              <w:right w:val="nil"/>
            </w:tcBorders>
            <w:vAlign w:val="bottom"/>
          </w:tcPr>
          <w:p w:rsidR="00000000" w:rsidRDefault="00000000">
            <w:pPr>
              <w:tabs>
                <w:tab w:val="left" w:pos="288"/>
                <w:tab w:val="left" w:pos="576"/>
                <w:tab w:val="left" w:pos="864"/>
                <w:tab w:val="left" w:pos="982"/>
              </w:tabs>
              <w:spacing w:before="40" w:after="40" w:line="210" w:lineRule="exact"/>
              <w:ind w:right="187"/>
              <w:rPr>
                <w:sz w:val="17"/>
              </w:rPr>
            </w:pPr>
            <w:r>
              <w:rPr>
                <w:sz w:val="17"/>
              </w:rPr>
              <w:t>Румыния</w:t>
            </w:r>
          </w:p>
        </w:tc>
        <w:tc>
          <w:tcPr>
            <w:tcW w:w="1937"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179</w:t>
            </w:r>
          </w:p>
        </w:tc>
        <w:tc>
          <w:tcPr>
            <w:tcW w:w="193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21,3</w:t>
            </w:r>
          </w:p>
        </w:tc>
      </w:tr>
      <w:tr w:rsidR="00000000">
        <w:tblPrEx>
          <w:tblCellMar>
            <w:top w:w="0" w:type="dxa"/>
            <w:left w:w="0" w:type="dxa"/>
            <w:bottom w:w="0" w:type="dxa"/>
            <w:right w:w="0" w:type="dxa"/>
          </w:tblCellMar>
        </w:tblPrEx>
        <w:trPr>
          <w:cantSplit/>
        </w:trPr>
        <w:tc>
          <w:tcPr>
            <w:tcW w:w="3682" w:type="dxa"/>
            <w:tcBorders>
              <w:top w:val="nil"/>
              <w:left w:val="nil"/>
              <w:bottom w:val="nil"/>
              <w:right w:val="nil"/>
            </w:tcBorders>
            <w:vAlign w:val="bottom"/>
          </w:tcPr>
          <w:p w:rsidR="00000000" w:rsidRDefault="00000000">
            <w:pPr>
              <w:tabs>
                <w:tab w:val="left" w:pos="288"/>
                <w:tab w:val="left" w:pos="576"/>
                <w:tab w:val="left" w:pos="864"/>
                <w:tab w:val="left" w:pos="982"/>
              </w:tabs>
              <w:spacing w:before="40" w:after="40" w:line="210" w:lineRule="exact"/>
              <w:ind w:right="187"/>
              <w:rPr>
                <w:sz w:val="17"/>
              </w:rPr>
            </w:pPr>
            <w:r>
              <w:rPr>
                <w:sz w:val="17"/>
              </w:rPr>
              <w:t>Украина</w:t>
            </w:r>
          </w:p>
        </w:tc>
        <w:tc>
          <w:tcPr>
            <w:tcW w:w="1937"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50</w:t>
            </w:r>
          </w:p>
        </w:tc>
        <w:tc>
          <w:tcPr>
            <w:tcW w:w="193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25,2</w:t>
            </w:r>
          </w:p>
        </w:tc>
      </w:tr>
      <w:tr w:rsidR="00000000">
        <w:tblPrEx>
          <w:tblCellMar>
            <w:top w:w="0" w:type="dxa"/>
            <w:left w:w="0" w:type="dxa"/>
            <w:bottom w:w="0" w:type="dxa"/>
            <w:right w:w="0" w:type="dxa"/>
          </w:tblCellMar>
        </w:tblPrEx>
        <w:trPr>
          <w:cantSplit/>
        </w:trPr>
        <w:tc>
          <w:tcPr>
            <w:tcW w:w="3682" w:type="dxa"/>
            <w:tcBorders>
              <w:top w:val="nil"/>
              <w:left w:val="nil"/>
              <w:bottom w:val="nil"/>
              <w:right w:val="nil"/>
            </w:tcBorders>
            <w:vAlign w:val="bottom"/>
          </w:tcPr>
          <w:p w:rsidR="00000000" w:rsidRDefault="00000000">
            <w:pPr>
              <w:tabs>
                <w:tab w:val="left" w:pos="288"/>
                <w:tab w:val="left" w:pos="576"/>
                <w:tab w:val="left" w:pos="864"/>
                <w:tab w:val="left" w:pos="982"/>
              </w:tabs>
              <w:spacing w:before="40" w:after="40" w:line="210" w:lineRule="exact"/>
              <w:ind w:right="187"/>
              <w:rPr>
                <w:sz w:val="17"/>
              </w:rPr>
            </w:pPr>
            <w:r>
              <w:rPr>
                <w:sz w:val="17"/>
              </w:rPr>
              <w:t>Белоруссия</w:t>
            </w:r>
          </w:p>
        </w:tc>
        <w:tc>
          <w:tcPr>
            <w:tcW w:w="1937"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5</w:t>
            </w:r>
          </w:p>
        </w:tc>
        <w:tc>
          <w:tcPr>
            <w:tcW w:w="193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27,5</w:t>
            </w:r>
          </w:p>
        </w:tc>
      </w:tr>
      <w:tr w:rsidR="00000000">
        <w:tblPrEx>
          <w:tblCellMar>
            <w:top w:w="0" w:type="dxa"/>
            <w:left w:w="0" w:type="dxa"/>
            <w:bottom w:w="0" w:type="dxa"/>
            <w:right w:w="0" w:type="dxa"/>
          </w:tblCellMar>
        </w:tblPrEx>
        <w:trPr>
          <w:cantSplit/>
        </w:trPr>
        <w:tc>
          <w:tcPr>
            <w:tcW w:w="3682" w:type="dxa"/>
            <w:tcBorders>
              <w:top w:val="nil"/>
              <w:left w:val="nil"/>
              <w:bottom w:val="nil"/>
              <w:right w:val="nil"/>
            </w:tcBorders>
            <w:vAlign w:val="bottom"/>
          </w:tcPr>
          <w:p w:rsidR="00000000" w:rsidRDefault="00000000">
            <w:pPr>
              <w:tabs>
                <w:tab w:val="left" w:pos="288"/>
                <w:tab w:val="left" w:pos="576"/>
                <w:tab w:val="left" w:pos="864"/>
                <w:tab w:val="left" w:pos="982"/>
              </w:tabs>
              <w:spacing w:before="40" w:after="40" w:line="210" w:lineRule="exact"/>
              <w:ind w:right="187"/>
              <w:rPr>
                <w:sz w:val="17"/>
              </w:rPr>
            </w:pPr>
            <w:r>
              <w:rPr>
                <w:sz w:val="17"/>
              </w:rPr>
              <w:t>Россия</w:t>
            </w:r>
          </w:p>
        </w:tc>
        <w:tc>
          <w:tcPr>
            <w:tcW w:w="1937"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8</w:t>
            </w:r>
          </w:p>
        </w:tc>
        <w:tc>
          <w:tcPr>
            <w:tcW w:w="193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20,4</w:t>
            </w:r>
          </w:p>
        </w:tc>
      </w:tr>
      <w:tr w:rsidR="00000000">
        <w:tblPrEx>
          <w:tblCellMar>
            <w:top w:w="0" w:type="dxa"/>
            <w:left w:w="0" w:type="dxa"/>
            <w:bottom w:w="0" w:type="dxa"/>
            <w:right w:w="0" w:type="dxa"/>
          </w:tblCellMar>
        </w:tblPrEx>
        <w:trPr>
          <w:cantSplit/>
        </w:trPr>
        <w:tc>
          <w:tcPr>
            <w:tcW w:w="3682" w:type="dxa"/>
            <w:tcBorders>
              <w:top w:val="nil"/>
              <w:left w:val="nil"/>
              <w:bottom w:val="nil"/>
              <w:right w:val="nil"/>
            </w:tcBorders>
            <w:vAlign w:val="bottom"/>
          </w:tcPr>
          <w:p w:rsidR="00000000" w:rsidRDefault="00000000">
            <w:pPr>
              <w:tabs>
                <w:tab w:val="left" w:pos="288"/>
                <w:tab w:val="left" w:pos="576"/>
                <w:tab w:val="left" w:pos="864"/>
                <w:tab w:val="left" w:pos="982"/>
              </w:tabs>
              <w:spacing w:before="40" w:after="40" w:line="210" w:lineRule="exact"/>
              <w:ind w:right="187"/>
              <w:rPr>
                <w:sz w:val="17"/>
              </w:rPr>
            </w:pPr>
            <w:r>
              <w:rPr>
                <w:sz w:val="17"/>
              </w:rPr>
              <w:t>бывшая Республика Югославия</w:t>
            </w:r>
          </w:p>
        </w:tc>
        <w:tc>
          <w:tcPr>
            <w:tcW w:w="1937"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8</w:t>
            </w:r>
          </w:p>
        </w:tc>
        <w:tc>
          <w:tcPr>
            <w:tcW w:w="193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23,7</w:t>
            </w:r>
          </w:p>
        </w:tc>
      </w:tr>
      <w:tr w:rsidR="00000000">
        <w:tblPrEx>
          <w:tblCellMar>
            <w:top w:w="0" w:type="dxa"/>
            <w:left w:w="0" w:type="dxa"/>
            <w:bottom w:w="0" w:type="dxa"/>
            <w:right w:w="0" w:type="dxa"/>
          </w:tblCellMar>
        </w:tblPrEx>
        <w:trPr>
          <w:cantSplit/>
        </w:trPr>
        <w:tc>
          <w:tcPr>
            <w:tcW w:w="3682" w:type="dxa"/>
            <w:tcBorders>
              <w:top w:val="nil"/>
              <w:left w:val="nil"/>
              <w:bottom w:val="nil"/>
              <w:right w:val="nil"/>
            </w:tcBorders>
            <w:vAlign w:val="bottom"/>
          </w:tcPr>
          <w:p w:rsidR="00000000" w:rsidRDefault="00000000">
            <w:pPr>
              <w:tabs>
                <w:tab w:val="left" w:pos="288"/>
                <w:tab w:val="left" w:pos="576"/>
                <w:tab w:val="left" w:pos="864"/>
                <w:tab w:val="left" w:pos="982"/>
              </w:tabs>
              <w:spacing w:before="40" w:after="40" w:line="210" w:lineRule="exact"/>
              <w:ind w:right="187"/>
              <w:rPr>
                <w:sz w:val="17"/>
              </w:rPr>
            </w:pPr>
            <w:r>
              <w:rPr>
                <w:sz w:val="17"/>
              </w:rPr>
              <w:t>Казахстан</w:t>
            </w:r>
          </w:p>
        </w:tc>
        <w:tc>
          <w:tcPr>
            <w:tcW w:w="1937"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2</w:t>
            </w:r>
          </w:p>
        </w:tc>
        <w:tc>
          <w:tcPr>
            <w:tcW w:w="193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20,5</w:t>
            </w:r>
          </w:p>
        </w:tc>
      </w:tr>
      <w:tr w:rsidR="00000000">
        <w:tblPrEx>
          <w:tblCellMar>
            <w:top w:w="0" w:type="dxa"/>
            <w:left w:w="0" w:type="dxa"/>
            <w:bottom w:w="0" w:type="dxa"/>
            <w:right w:w="0" w:type="dxa"/>
          </w:tblCellMar>
        </w:tblPrEx>
        <w:trPr>
          <w:cantSplit/>
        </w:trPr>
        <w:tc>
          <w:tcPr>
            <w:tcW w:w="368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187"/>
              <w:rPr>
                <w:sz w:val="17"/>
              </w:rPr>
            </w:pPr>
            <w:r>
              <w:rPr>
                <w:sz w:val="17"/>
              </w:rPr>
              <w:t>Венгрия</w:t>
            </w:r>
          </w:p>
        </w:tc>
        <w:tc>
          <w:tcPr>
            <w:tcW w:w="1937"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1</w:t>
            </w:r>
          </w:p>
        </w:tc>
        <w:tc>
          <w:tcPr>
            <w:tcW w:w="193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16,7</w:t>
            </w:r>
          </w:p>
        </w:tc>
      </w:tr>
    </w:tbl>
    <w:p w:rsidR="00000000" w:rsidRDefault="00000000">
      <w:pPr>
        <w:pStyle w:val="SingleTxt"/>
        <w:spacing w:after="0" w:line="100" w:lineRule="exact"/>
        <w:ind w:left="1264" w:right="1264"/>
        <w:jc w:val="left"/>
        <w:rPr>
          <w:sz w:val="10"/>
        </w:rPr>
      </w:pPr>
    </w:p>
    <w:p w:rsidR="00000000" w:rsidRDefault="00000000">
      <w:pPr>
        <w:pStyle w:val="SingleTxt"/>
        <w:spacing w:after="0" w:line="10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Согласно этим данным, домой были возвращены 462 лица.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Статья 7.</w:t>
      </w:r>
      <w:r>
        <w:tab/>
        <w:t>Политическая и общественная жизнь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tab/>
        <w:t>Конституционные и юридические права на пассивное и активное участие в</w:t>
      </w:r>
    </w:p>
    <w:p w:rsidR="00000000" w:rsidRDefault="00000000">
      <w:pPr>
        <w:pStyle w:val="H23"/>
        <w:tabs>
          <w:tab w:val="right" w:pos="1021"/>
          <w:tab w:val="left" w:pos="1264"/>
          <w:tab w:val="left" w:pos="1684"/>
          <w:tab w:val="left" w:pos="1741"/>
        </w:tabs>
        <w:ind w:right="1203"/>
      </w:pPr>
      <w:r>
        <w:tab/>
      </w:r>
      <w:r>
        <w:tab/>
        <w:t xml:space="preserve">выборах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102.</w:t>
      </w:r>
      <w:r>
        <w:tab/>
        <w:t>Конституция Боснии и Герцеговины и конституции образований гарант</w:t>
      </w:r>
      <w:r>
        <w:t>и</w:t>
      </w:r>
      <w:r>
        <w:t>руют всем гражданам: право на членство в политических партиях, участие в общественных работах, равный доступ к государственным услугам, право на участие в выборах и право быть избранным. Осуществление свободы полит</w:t>
      </w:r>
      <w:r>
        <w:t>и</w:t>
      </w:r>
      <w:r>
        <w:t>ческой организации и деятельности, а также условия для создания, регистр</w:t>
      </w:r>
      <w:r>
        <w:t>а</w:t>
      </w:r>
      <w:r>
        <w:t>ции и роспуска политических организаций регулируется в соответствии с З</w:t>
      </w:r>
      <w:r>
        <w:t>а</w:t>
      </w:r>
      <w:r>
        <w:t>коном о политических организац</w:t>
      </w:r>
      <w:r>
        <w:t>и</w:t>
      </w:r>
      <w:r>
        <w:t>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103.</w:t>
      </w:r>
      <w:r>
        <w:tab/>
        <w:t>Избирательный закон Боснии и Герцеговины гласит, что выборы членов всех государственных органов проводятся на основе общего и равного избир</w:t>
      </w:r>
      <w:r>
        <w:t>а</w:t>
      </w:r>
      <w:r>
        <w:t>тельного права путем проведения прямого и тайного голосования. Согласно этому Закону, каждый гражданин Боснии и Герцеговины возрастом 18 лет им</w:t>
      </w:r>
      <w:r>
        <w:t>е</w:t>
      </w:r>
      <w:r>
        <w:t>ет право голосовать и быть избранным в законодательные органы на всех уровнях гос</w:t>
      </w:r>
      <w:r>
        <w:t>у</w:t>
      </w:r>
      <w:r>
        <w:t>дарственной власти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ab/>
        <w:t>Из вышеупомянутых нормативных документов следует, что женщины и мужчины имеют равные права на участие в политической и общественной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tab/>
        <w:t>Предусмотренное Конституцией и юридическими документами активное и</w:t>
      </w:r>
    </w:p>
    <w:p w:rsidR="00000000" w:rsidRDefault="00000000">
      <w:pPr>
        <w:pStyle w:val="H23"/>
        <w:tabs>
          <w:tab w:val="right" w:pos="1021"/>
          <w:tab w:val="left" w:pos="1264"/>
          <w:tab w:val="left" w:pos="1684"/>
          <w:tab w:val="left" w:pos="1741"/>
        </w:tabs>
        <w:ind w:right="1203"/>
      </w:pPr>
      <w:r>
        <w:tab/>
      </w:r>
      <w:r>
        <w:tab/>
        <w:t xml:space="preserve">пассивное избирательное право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104.</w:t>
      </w:r>
      <w:r>
        <w:tab/>
        <w:t>Активное и пассивное избирательное право, о котором говорится в пол</w:t>
      </w:r>
      <w:r>
        <w:t>о</w:t>
      </w:r>
      <w:r>
        <w:t>жениях статьи</w:t>
      </w:r>
      <w:r>
        <w:rPr>
          <w:lang w:val="en-US"/>
        </w:rPr>
        <w:t> II</w:t>
      </w:r>
      <w:r>
        <w:t xml:space="preserve"> Конституции Боснии и Герцеговины и разделе А.2 статьи </w:t>
      </w:r>
      <w:r>
        <w:rPr>
          <w:lang w:val="en-US"/>
        </w:rPr>
        <w:t>II</w:t>
      </w:r>
      <w:r>
        <w:t>, предусматривает обязательство государства Боснии и Герцеговины и образов</w:t>
      </w:r>
      <w:r>
        <w:t>а</w:t>
      </w:r>
      <w:r>
        <w:t>ний обеспечивать наивысший возможный уровень осуществления междун</w:t>
      </w:r>
      <w:r>
        <w:t>а</w:t>
      </w:r>
      <w:r>
        <w:t>родно пр</w:t>
      </w:r>
      <w:r>
        <w:t>и</w:t>
      </w:r>
      <w:r>
        <w:t>знанных прав человека и основных свобод:</w:t>
      </w:r>
    </w:p>
    <w:p w:rsidR="00000000" w:rsidRDefault="00000000">
      <w:pPr>
        <w:pStyle w:val="SingleTxt"/>
        <w:ind w:left="1260" w:firstLine="7"/>
      </w:pPr>
      <w:r>
        <w:tab/>
        <w:t>а)</w:t>
      </w:r>
      <w:r>
        <w:tab/>
        <w:t>избирательный закон Боснии и Герцеговины - право на участие в г</w:t>
      </w:r>
      <w:r>
        <w:t>о</w:t>
      </w:r>
      <w:r>
        <w:t>лосовании и кв</w:t>
      </w:r>
      <w:r>
        <w:t>о</w:t>
      </w:r>
      <w:r>
        <w:t>ты,</w:t>
      </w:r>
    </w:p>
    <w:p w:rsidR="00000000" w:rsidRDefault="00000000">
      <w:pPr>
        <w:pStyle w:val="SingleTxt"/>
        <w:ind w:left="1260" w:firstLine="7"/>
      </w:pPr>
      <w:r>
        <w:tab/>
      </w:r>
      <w:r>
        <w:rPr>
          <w:lang w:val="en-US"/>
        </w:rPr>
        <w:t>b</w:t>
      </w:r>
      <w:r>
        <w:t>)</w:t>
      </w:r>
      <w:r>
        <w:tab/>
        <w:t>Закон о референдуме - право голоса,</w:t>
      </w:r>
    </w:p>
    <w:p w:rsidR="00000000" w:rsidRDefault="00000000">
      <w:pPr>
        <w:pStyle w:val="SingleTxt"/>
        <w:ind w:left="1260" w:firstLine="7"/>
      </w:pPr>
      <w:r>
        <w:tab/>
      </w:r>
      <w:r>
        <w:rPr>
          <w:lang w:val="en-US"/>
        </w:rPr>
        <w:t>c</w:t>
      </w:r>
      <w:r>
        <w:t>)</w:t>
      </w:r>
      <w:r>
        <w:tab/>
        <w:t>Закон о политических организациях,</w:t>
      </w:r>
    </w:p>
    <w:p w:rsidR="00000000" w:rsidRDefault="00000000">
      <w:pPr>
        <w:pStyle w:val="SingleTxt"/>
        <w:ind w:left="1260" w:firstLine="7"/>
      </w:pPr>
      <w:r>
        <w:tab/>
      </w:r>
      <w:r>
        <w:rPr>
          <w:lang w:val="en-US"/>
        </w:rPr>
        <w:t>d</w:t>
      </w:r>
      <w:r>
        <w:t>)</w:t>
      </w:r>
      <w:r>
        <w:tab/>
        <w:t xml:space="preserve">Закон о (государственных) фондах и ассоциациях, </w:t>
      </w:r>
    </w:p>
    <w:p w:rsidR="00000000" w:rsidRDefault="00000000">
      <w:pPr>
        <w:pStyle w:val="SingleTxt"/>
        <w:ind w:left="1260" w:firstLine="7"/>
      </w:pPr>
      <w:r>
        <w:tab/>
      </w:r>
      <w:r>
        <w:rPr>
          <w:lang w:val="en-US"/>
        </w:rPr>
        <w:t>e</w:t>
      </w:r>
      <w:r>
        <w:t>)</w:t>
      </w:r>
      <w:r>
        <w:tab/>
        <w:t>статут ряда парламентских партий.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105.</w:t>
      </w:r>
      <w:r>
        <w:tab/>
        <w:t>Из анализа применимого законодательства, регулирующего избирательное право в Боснии и Герцеговине, следует, что все граждане Боснии и Герцегов</w:t>
      </w:r>
      <w:r>
        <w:t>и</w:t>
      </w:r>
      <w:r>
        <w:t>ны, достигшие возраста 18 лет и являющиеся резидентами Боснии и Герцег</w:t>
      </w:r>
      <w:r>
        <w:t>о</w:t>
      </w:r>
      <w:r>
        <w:t>вины, имеют право участвовать в голосовании, что на практике означает пр</w:t>
      </w:r>
      <w:r>
        <w:t>е</w:t>
      </w:r>
      <w:r>
        <w:t>доставление мужчинам и женщинам равных прав на участие в выборах. Анал</w:t>
      </w:r>
      <w:r>
        <w:t>о</w:t>
      </w:r>
      <w:r>
        <w:t>гичные положения содержатся в правилах, касающихся права голосовать на референдуме. Таким образом, можно сделать вывод о том, что женщины имеют равные права с мужчинами. Однако на практике дело обстоит несколько иначе. Другими словами, между городским и сельским населением существуют ра</w:t>
      </w:r>
      <w:r>
        <w:t>з</w:t>
      </w:r>
      <w:r>
        <w:t>личия, особенно в плане осуществления равных прав, предоставленных му</w:t>
      </w:r>
      <w:r>
        <w:t>ж</w:t>
      </w:r>
      <w:r>
        <w:t>чинам и женщинам. В некоторых районах, как правило, мужчины, являющиеся "главой семьи", принимают решение о том, как следует голосовать, и в бол</w:t>
      </w:r>
      <w:r>
        <w:t>ь</w:t>
      </w:r>
      <w:r>
        <w:t>шинстве случаев женщины ему следуют.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106.</w:t>
      </w:r>
      <w:r>
        <w:tab/>
        <w:t>Данные о распределении по гендерному признаку процентных долей г</w:t>
      </w:r>
      <w:r>
        <w:t>о</w:t>
      </w:r>
      <w:r>
        <w:t>лосов на выборах не регистрируются. Однако после каждого голосования ко</w:t>
      </w:r>
      <w:r>
        <w:t>м</w:t>
      </w:r>
      <w:r>
        <w:t>петентная избирательная комиссия может получить эти данные путем анализа списков избирателей на каждом избирательном участке. Для проведения такого анализа требуется дополнительное время и средства и эта работа не может быть выполнена статистическими учреждениями. Избирательные списки я</w:t>
      </w:r>
      <w:r>
        <w:t>в</w:t>
      </w:r>
      <w:r>
        <w:t>ляются одной из составных частей информации о выборах, которая, согласно правилам работы избирательных комиссий, хранится в течение определенного периода и используется для проверки данных при рассмотрении жалоб, пода</w:t>
      </w:r>
      <w:r>
        <w:t>н</w:t>
      </w:r>
      <w:r>
        <w:t xml:space="preserve">ных в отношении отдельных выборных мероприятий.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tab/>
        <w:t>Участие женщин в политических партиях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107.</w:t>
      </w:r>
      <w:r>
        <w:tab/>
        <w:t>Анализ уставных документов ряда парламентских партий свидетельствует о том, что эти документы не содержат положений, запрещающих женщинам вступать в члены партии или участвовать в работе партийных органов. Руков</w:t>
      </w:r>
      <w:r>
        <w:t>о</w:t>
      </w:r>
      <w:r>
        <w:t>дствуясь содержащимися в Избирательном законе Боснии и Герцеговины тр</w:t>
      </w:r>
      <w:r>
        <w:t>е</w:t>
      </w:r>
      <w:r>
        <w:t>бованиям к политическим партиям о том, чтобы по меньше мере одну треть кандидатов составляли представители гендерного меньшинства (согласно н</w:t>
      </w:r>
      <w:r>
        <w:t>а</w:t>
      </w:r>
      <w:r>
        <w:t>шему опыту, до настоящего времени в Боснии и Герцеговине представителями гендерного меньшинства среди кандидатов на выборы всегда были женщины), политические партии увеличили число женщин среди своих членов и в составе партийных отделений. Таким образом доля женщин в составе партийных отд</w:t>
      </w:r>
      <w:r>
        <w:t>е</w:t>
      </w:r>
      <w:r>
        <w:t>лений достигает 30 - 40 процентов, в то время как в партийных органах этот показатель составляет меньшую величину, что подтверждается следующими данн</w:t>
      </w:r>
      <w:r>
        <w:t>ы</w:t>
      </w:r>
      <w:r>
        <w:t>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108.</w:t>
      </w:r>
      <w:r>
        <w:tab/>
        <w:t>Для анализа уровня участия женщин в политических партиях 15 партиям парламента Федерации Боснии и Герцеговины, зарегистрированных на терр</w:t>
      </w:r>
      <w:r>
        <w:t>и</w:t>
      </w:r>
      <w:r>
        <w:t>тории Федерации Боснии и Герцеговины, было предложено представить соо</w:t>
      </w:r>
      <w:r>
        <w:t>т</w:t>
      </w:r>
      <w:r>
        <w:t>ветствующие да</w:t>
      </w:r>
      <w:r>
        <w:t>н</w:t>
      </w:r>
      <w:r>
        <w:t>ные. Были получены следующие результаты: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Социал-демократическая партия - Боснии и Герцеговины</w:t>
      </w:r>
    </w:p>
    <w:p w:rsidR="00000000" w:rsidRDefault="00000000">
      <w:pPr>
        <w:pStyle w:val="SingleTxt"/>
        <w:tabs>
          <w:tab w:val="right" w:pos="1685"/>
        </w:tabs>
        <w:ind w:left="1742" w:hanging="475"/>
      </w:pPr>
      <w:r>
        <w:tab/>
        <w:t>-</w:t>
      </w:r>
      <w:r>
        <w:tab/>
        <w:t>доля женщин в общем числе членов составляет 39,5 процента;</w:t>
      </w:r>
    </w:p>
    <w:p w:rsidR="00000000" w:rsidRDefault="00000000">
      <w:pPr>
        <w:pStyle w:val="SingleTxt"/>
        <w:tabs>
          <w:tab w:val="right" w:pos="1685"/>
        </w:tabs>
        <w:ind w:left="1742" w:hanging="475"/>
      </w:pPr>
      <w:r>
        <w:tab/>
        <w:t>-</w:t>
      </w:r>
      <w:r>
        <w:tab/>
        <w:t>Центральный комитет состоит из 104 членов, 37 из которых являются женщинами (35,5 процента);</w:t>
      </w:r>
    </w:p>
    <w:p w:rsidR="00000000" w:rsidRDefault="00000000">
      <w:pPr>
        <w:pStyle w:val="SingleTxt"/>
        <w:tabs>
          <w:tab w:val="right" w:pos="1685"/>
        </w:tabs>
        <w:ind w:left="1742" w:hanging="475"/>
      </w:pPr>
      <w:r>
        <w:tab/>
        <w:t>-</w:t>
      </w:r>
      <w:r>
        <w:tab/>
        <w:t>Президиум партии состоит из 11 членов, двое из которых являются же</w:t>
      </w:r>
      <w:r>
        <w:t>н</w:t>
      </w:r>
      <w:r>
        <w:t xml:space="preserve">щинами (17 процентов); </w:t>
      </w:r>
    </w:p>
    <w:p w:rsidR="00000000" w:rsidRDefault="00000000">
      <w:pPr>
        <w:pStyle w:val="SingleTxt"/>
        <w:tabs>
          <w:tab w:val="right" w:pos="1685"/>
        </w:tabs>
        <w:ind w:left="1742" w:hanging="475"/>
      </w:pPr>
      <w:r>
        <w:tab/>
        <w:t>-</w:t>
      </w:r>
      <w:r>
        <w:tab/>
        <w:t>председателями 4 из 100 муниципальных комитетов являются женщины (4 процента).</w:t>
      </w:r>
    </w:p>
    <w:p w:rsidR="00000000" w:rsidRDefault="00000000">
      <w:pPr>
        <w:pStyle w:val="SingleTxt"/>
        <w:tabs>
          <w:tab w:val="right" w:pos="1685"/>
        </w:tabs>
        <w:ind w:left="1742" w:hanging="475"/>
      </w:pPr>
      <w:r>
        <w:t>Партия “За Боснию и Герцеговину”</w:t>
      </w:r>
    </w:p>
    <w:p w:rsidR="00000000" w:rsidRDefault="00000000">
      <w:pPr>
        <w:pStyle w:val="SingleTxt"/>
        <w:tabs>
          <w:tab w:val="right" w:pos="1685"/>
        </w:tabs>
        <w:ind w:left="1742" w:hanging="475"/>
      </w:pPr>
      <w:r>
        <w:tab/>
        <w:t>-</w:t>
      </w:r>
      <w:r>
        <w:tab/>
        <w:t>доля женщин среди общего числа членов составляет 41,2 процента;</w:t>
      </w:r>
    </w:p>
    <w:p w:rsidR="00000000" w:rsidRDefault="00000000">
      <w:pPr>
        <w:pStyle w:val="SingleTxt"/>
        <w:tabs>
          <w:tab w:val="right" w:pos="1685"/>
        </w:tabs>
        <w:ind w:left="1742" w:hanging="475"/>
      </w:pPr>
      <w:r>
        <w:tab/>
        <w:t>-</w:t>
      </w:r>
      <w:r>
        <w:tab/>
        <w:t>уровень участия женщин в работе Исполнительной комиссии составляет 31,4 процента;</w:t>
      </w:r>
    </w:p>
    <w:p w:rsidR="00000000" w:rsidRDefault="00000000">
      <w:pPr>
        <w:pStyle w:val="SingleTxt"/>
        <w:tabs>
          <w:tab w:val="right" w:pos="1685"/>
        </w:tabs>
        <w:ind w:left="1742" w:hanging="475"/>
      </w:pPr>
      <w:r>
        <w:tab/>
        <w:t>-</w:t>
      </w:r>
      <w:r>
        <w:tab/>
        <w:t>доля женщин в Президиуме партии составляет 14,3 процента.</w:t>
      </w:r>
    </w:p>
    <w:p w:rsidR="00000000" w:rsidRDefault="00000000">
      <w:pPr>
        <w:pStyle w:val="SingleTxt"/>
        <w:tabs>
          <w:tab w:val="right" w:pos="1685"/>
        </w:tabs>
        <w:ind w:left="1742" w:hanging="475"/>
      </w:pPr>
      <w:r>
        <w:t>Партия демократических действий</w:t>
      </w:r>
    </w:p>
    <w:p w:rsidR="00000000" w:rsidRDefault="00000000">
      <w:pPr>
        <w:pStyle w:val="SingleTxt"/>
        <w:tabs>
          <w:tab w:val="right" w:pos="1685"/>
        </w:tabs>
        <w:ind w:left="1742" w:hanging="475"/>
      </w:pPr>
      <w:r>
        <w:tab/>
        <w:t>-</w:t>
      </w:r>
      <w:r>
        <w:tab/>
        <w:t>Центральный комитет в своем составе имеет 109 членов, из 14 являются женщинами (12,84 процента);</w:t>
      </w:r>
    </w:p>
    <w:p w:rsidR="00000000" w:rsidRDefault="00000000">
      <w:pPr>
        <w:pStyle w:val="SingleTxt"/>
        <w:tabs>
          <w:tab w:val="right" w:pos="1685"/>
        </w:tabs>
        <w:ind w:left="1742" w:hanging="475"/>
      </w:pPr>
      <w:r>
        <w:tab/>
        <w:t>-</w:t>
      </w:r>
      <w:r>
        <w:tab/>
        <w:t>Президиум состоит из 17 челнов, в том числе одной женщины (5,88 пр</w:t>
      </w:r>
      <w:r>
        <w:t>о</w:t>
      </w:r>
      <w:r>
        <w:t>цента).</w:t>
      </w:r>
    </w:p>
    <w:p w:rsidR="00000000" w:rsidRDefault="00000000">
      <w:pPr>
        <w:pStyle w:val="SingleTxt"/>
        <w:tabs>
          <w:tab w:val="right" w:pos="1685"/>
        </w:tabs>
        <w:ind w:left="1742" w:hanging="475"/>
      </w:pPr>
      <w:r>
        <w:t>Хорватская крестьянская партия Боснии и Герцеговины</w:t>
      </w:r>
    </w:p>
    <w:p w:rsidR="00000000" w:rsidRDefault="00000000">
      <w:pPr>
        <w:pStyle w:val="SingleTxt"/>
        <w:tabs>
          <w:tab w:val="right" w:pos="1685"/>
        </w:tabs>
        <w:ind w:left="1742" w:hanging="475"/>
      </w:pPr>
      <w:r>
        <w:tab/>
        <w:t>-</w:t>
      </w:r>
      <w:r>
        <w:tab/>
        <w:t>среди членов партии насчитывается большое число женщин;</w:t>
      </w:r>
    </w:p>
    <w:p w:rsidR="00000000" w:rsidRDefault="00000000">
      <w:pPr>
        <w:pStyle w:val="SingleTxt"/>
        <w:tabs>
          <w:tab w:val="right" w:pos="1685"/>
        </w:tabs>
        <w:ind w:left="1742" w:hanging="475"/>
      </w:pPr>
      <w:r>
        <w:tab/>
        <w:t>-</w:t>
      </w:r>
      <w:r>
        <w:tab/>
        <w:t>Центральный комитет состоит из 82 членов, восемь из которых являются женщинами (10 процентов);</w:t>
      </w:r>
    </w:p>
    <w:p w:rsidR="00000000" w:rsidRDefault="00000000">
      <w:pPr>
        <w:pStyle w:val="SingleTxt"/>
        <w:tabs>
          <w:tab w:val="right" w:pos="1685"/>
        </w:tabs>
        <w:ind w:left="1742" w:hanging="475"/>
      </w:pPr>
      <w:r>
        <w:tab/>
        <w:t>-</w:t>
      </w:r>
      <w:r>
        <w:tab/>
        <w:t>Президиум состоит из 11 членов, в том числе двух женщин (18,18 пр</w:t>
      </w:r>
      <w:r>
        <w:t>о</w:t>
      </w:r>
      <w:r>
        <w:t>цента);</w:t>
      </w:r>
    </w:p>
    <w:p w:rsidR="00000000" w:rsidRDefault="00000000">
      <w:pPr>
        <w:pStyle w:val="SingleTxt"/>
        <w:tabs>
          <w:tab w:val="right" w:pos="1685"/>
        </w:tabs>
        <w:ind w:left="1742" w:hanging="475"/>
      </w:pPr>
      <w:r>
        <w:tab/>
        <w:t>-</w:t>
      </w:r>
      <w:r>
        <w:tab/>
        <w:t>женщины являются председателями двух муниципальных комитетов.</w:t>
      </w:r>
    </w:p>
    <w:p w:rsidR="00000000" w:rsidRDefault="00000000">
      <w:pPr>
        <w:pStyle w:val="SingleTxt"/>
        <w:tabs>
          <w:tab w:val="right" w:pos="1685"/>
        </w:tabs>
        <w:ind w:left="1742" w:hanging="475"/>
      </w:pPr>
      <w:r>
        <w:t>Патриотическая партия Боснии и Герцеговины</w:t>
      </w:r>
    </w:p>
    <w:p w:rsidR="00000000" w:rsidRDefault="00000000">
      <w:pPr>
        <w:pStyle w:val="SingleTxt"/>
        <w:tabs>
          <w:tab w:val="right" w:pos="1685"/>
        </w:tabs>
        <w:ind w:left="1742" w:hanging="475"/>
      </w:pPr>
      <w:r>
        <w:tab/>
        <w:t>-</w:t>
      </w:r>
      <w:r>
        <w:tab/>
        <w:t>среди членов партии и сотрудников партийных органов насчитывается свыше 30 процентов женщин.</w:t>
      </w:r>
    </w:p>
    <w:p w:rsidR="00000000" w:rsidRDefault="00000000">
      <w:pPr>
        <w:pStyle w:val="SingleTxt"/>
        <w:tabs>
          <w:tab w:val="right" w:pos="1685"/>
        </w:tabs>
        <w:ind w:left="1742" w:hanging="475"/>
      </w:pPr>
      <w:r>
        <w:t>Либерально-демократическая партия</w:t>
      </w:r>
    </w:p>
    <w:p w:rsidR="00000000" w:rsidRDefault="00000000">
      <w:pPr>
        <w:pStyle w:val="SingleTxt"/>
        <w:tabs>
          <w:tab w:val="right" w:pos="1685"/>
        </w:tabs>
        <w:ind w:left="1742" w:hanging="475"/>
      </w:pPr>
      <w:r>
        <w:tab/>
        <w:t>-</w:t>
      </w:r>
      <w:r>
        <w:tab/>
        <w:t>доля женщин среди членов партии составляет 30 процентов;</w:t>
      </w:r>
    </w:p>
    <w:p w:rsidR="00000000" w:rsidRDefault="00000000">
      <w:pPr>
        <w:pStyle w:val="SingleTxt"/>
        <w:tabs>
          <w:tab w:val="right" w:pos="1685"/>
        </w:tabs>
        <w:ind w:left="1742" w:hanging="475"/>
      </w:pPr>
      <w:r>
        <w:tab/>
        <w:t>-</w:t>
      </w:r>
      <w:r>
        <w:tab/>
        <w:t>Президиум состоит из 25 членов, в том числе из четырех женщин (16 процентов);</w:t>
      </w:r>
    </w:p>
    <w:p w:rsidR="00000000" w:rsidRDefault="00000000">
      <w:pPr>
        <w:pStyle w:val="SingleTxt"/>
        <w:tabs>
          <w:tab w:val="right" w:pos="1685"/>
        </w:tabs>
        <w:ind w:left="1742" w:hanging="475"/>
      </w:pPr>
      <w:r>
        <w:tab/>
        <w:t>-</w:t>
      </w:r>
      <w:r>
        <w:tab/>
        <w:t>Центральный комитет состоит из 74 членов, шесть из которых являются женщинами (8,11 процента);</w:t>
      </w:r>
    </w:p>
    <w:p w:rsidR="00000000" w:rsidRDefault="00000000">
      <w:pPr>
        <w:pStyle w:val="SingleTxt"/>
        <w:tabs>
          <w:tab w:val="right" w:pos="1685"/>
        </w:tabs>
        <w:ind w:left="1742" w:hanging="475"/>
      </w:pPr>
      <w:r>
        <w:tab/>
        <w:t>-</w:t>
      </w:r>
      <w:r>
        <w:tab/>
        <w:t>среди семи сопредседателей ЛДП насчитывается одна женщина (14,29 процента);</w:t>
      </w:r>
    </w:p>
    <w:p w:rsidR="00000000" w:rsidRDefault="00000000">
      <w:pPr>
        <w:pStyle w:val="SingleTxt"/>
        <w:tabs>
          <w:tab w:val="right" w:pos="1685"/>
        </w:tabs>
        <w:ind w:left="1742" w:hanging="475"/>
      </w:pPr>
      <w:r>
        <w:tab/>
        <w:t>-</w:t>
      </w:r>
      <w:r>
        <w:tab/>
        <w:t>из общей сложности 96 председателей и сопредседателей городских и м</w:t>
      </w:r>
      <w:r>
        <w:t>у</w:t>
      </w:r>
      <w:r>
        <w:t>ниципальных комитетов четыре являются женщинами (4,17 процента).</w:t>
      </w:r>
    </w:p>
    <w:p w:rsidR="00000000" w:rsidRDefault="00000000">
      <w:pPr>
        <w:pStyle w:val="SingleTxt"/>
        <w:tabs>
          <w:tab w:val="right" w:pos="1685"/>
        </w:tabs>
        <w:ind w:left="1742" w:hanging="475"/>
      </w:pPr>
      <w:r>
        <w:t>Боснийская партия</w:t>
      </w:r>
    </w:p>
    <w:p w:rsidR="00000000" w:rsidRDefault="00000000">
      <w:pPr>
        <w:pStyle w:val="SingleTxt"/>
        <w:tabs>
          <w:tab w:val="right" w:pos="1685"/>
        </w:tabs>
        <w:ind w:left="1742" w:hanging="475"/>
      </w:pPr>
      <w:r>
        <w:tab/>
        <w:t>-</w:t>
      </w:r>
      <w:r>
        <w:tab/>
        <w:t>доля женщин среди членов партии и сотрудников партийных органов с</w:t>
      </w:r>
      <w:r>
        <w:t>о</w:t>
      </w:r>
      <w:r>
        <w:t>ставляет от 30 до 40 процентов.</w:t>
      </w:r>
    </w:p>
    <w:p w:rsidR="00000000" w:rsidRDefault="00000000">
      <w:pPr>
        <w:pStyle w:val="SingleTxt"/>
        <w:tabs>
          <w:tab w:val="right" w:pos="1685"/>
        </w:tabs>
        <w:ind w:left="1742" w:hanging="475"/>
      </w:pPr>
      <w:r>
        <w:t>Республиканская партия</w:t>
      </w:r>
    </w:p>
    <w:p w:rsidR="00000000" w:rsidRDefault="00000000">
      <w:pPr>
        <w:pStyle w:val="SingleTxt"/>
        <w:tabs>
          <w:tab w:val="right" w:pos="1685"/>
        </w:tabs>
        <w:ind w:left="1742" w:hanging="475"/>
      </w:pPr>
      <w:r>
        <w:tab/>
        <w:t>-</w:t>
      </w:r>
      <w:r>
        <w:tab/>
        <w:t>доля женщин в членском составе партии составляет около 40 процентов;</w:t>
      </w:r>
    </w:p>
    <w:p w:rsidR="00000000" w:rsidRDefault="00000000">
      <w:pPr>
        <w:pStyle w:val="SingleTxt"/>
        <w:tabs>
          <w:tab w:val="right" w:pos="1685"/>
        </w:tabs>
        <w:ind w:left="1742" w:hanging="475"/>
      </w:pPr>
      <w:r>
        <w:tab/>
        <w:t>-</w:t>
      </w:r>
      <w:r>
        <w:tab/>
        <w:t>Совет партии состоит из 15 членов, семь из которых являются женщины (46,67 процента);</w:t>
      </w:r>
    </w:p>
    <w:p w:rsidR="00000000" w:rsidRDefault="00000000">
      <w:pPr>
        <w:pStyle w:val="SingleTxt"/>
        <w:tabs>
          <w:tab w:val="right" w:pos="1685"/>
        </w:tabs>
        <w:ind w:left="1742" w:hanging="475"/>
      </w:pPr>
      <w:r>
        <w:tab/>
        <w:t>-</w:t>
      </w:r>
      <w:r>
        <w:tab/>
        <w:t>председателями трех из пяти кантональных комитетов являются женщины (60 процентов);</w:t>
      </w:r>
    </w:p>
    <w:p w:rsidR="00000000" w:rsidRDefault="00000000">
      <w:pPr>
        <w:pStyle w:val="SingleTxt"/>
        <w:tabs>
          <w:tab w:val="right" w:pos="1685"/>
        </w:tabs>
        <w:ind w:left="1742" w:hanging="475"/>
      </w:pPr>
      <w:r>
        <w:tab/>
        <w:t>-</w:t>
      </w:r>
      <w:r>
        <w:tab/>
        <w:t>две женщины занимают должности сопредседателей партии.</w:t>
      </w:r>
    </w:p>
    <w:p w:rsidR="00000000" w:rsidRDefault="00000000">
      <w:pPr>
        <w:pStyle w:val="SingleTxt"/>
        <w:tabs>
          <w:tab w:val="right" w:pos="1685"/>
        </w:tabs>
        <w:ind w:left="1742" w:hanging="475"/>
      </w:pPr>
      <w:r>
        <w:t xml:space="preserve">Гражданская демократическая партия </w:t>
      </w:r>
    </w:p>
    <w:p w:rsidR="00000000" w:rsidRDefault="00000000">
      <w:pPr>
        <w:pStyle w:val="SingleTxt"/>
        <w:tabs>
          <w:tab w:val="right" w:pos="1685"/>
        </w:tabs>
        <w:ind w:left="1742" w:hanging="475"/>
      </w:pPr>
      <w:r>
        <w:tab/>
        <w:t>-</w:t>
      </w:r>
      <w:r>
        <w:tab/>
        <w:t>34 процента членов Центрального комитета партии составляют женщины;</w:t>
      </w:r>
    </w:p>
    <w:p w:rsidR="00000000" w:rsidRDefault="00000000">
      <w:pPr>
        <w:pStyle w:val="SingleTxt"/>
        <w:tabs>
          <w:tab w:val="right" w:pos="1685"/>
        </w:tabs>
        <w:ind w:left="1742" w:hanging="475"/>
      </w:pPr>
      <w:r>
        <w:tab/>
        <w:t>-</w:t>
      </w:r>
      <w:r>
        <w:tab/>
        <w:t>в других рабочих органах партии доля женщин достигает 50 процентов.</w:t>
      </w:r>
    </w:p>
    <w:p w:rsidR="00000000" w:rsidRDefault="00000000">
      <w:pPr>
        <w:pStyle w:val="SingleTxt"/>
        <w:tabs>
          <w:tab w:val="right" w:pos="1685"/>
        </w:tabs>
        <w:ind w:left="1742" w:hanging="475"/>
      </w:pPr>
      <w:r>
        <w:t>Новая хорватская инициатива</w:t>
      </w:r>
    </w:p>
    <w:p w:rsidR="00000000" w:rsidRDefault="00000000">
      <w:pPr>
        <w:pStyle w:val="SingleTxt"/>
        <w:tabs>
          <w:tab w:val="right" w:pos="1685"/>
        </w:tabs>
        <w:ind w:left="1742" w:hanging="475"/>
      </w:pPr>
      <w:r>
        <w:tab/>
        <w:t>-</w:t>
      </w:r>
      <w:r>
        <w:tab/>
        <w:t>доля женщин в членском составе партии составляет от 30 до 40 проце</w:t>
      </w:r>
      <w:r>
        <w:t>н</w:t>
      </w:r>
      <w:r>
        <w:t>тов;</w:t>
      </w:r>
    </w:p>
    <w:p w:rsidR="00000000" w:rsidRDefault="00000000">
      <w:pPr>
        <w:pStyle w:val="SingleTxt"/>
        <w:tabs>
          <w:tab w:val="right" w:pos="1685"/>
        </w:tabs>
        <w:ind w:left="1742" w:hanging="475"/>
      </w:pPr>
      <w:r>
        <w:tab/>
        <w:t>-</w:t>
      </w:r>
      <w:r>
        <w:tab/>
        <w:t>Президиум партии состоит из 20 членов, в том числе двух женщин (10 процентов);</w:t>
      </w:r>
    </w:p>
    <w:p w:rsidR="00000000" w:rsidRDefault="00000000">
      <w:pPr>
        <w:pStyle w:val="SingleTxt"/>
        <w:tabs>
          <w:tab w:val="right" w:pos="1685"/>
        </w:tabs>
        <w:ind w:left="1742" w:hanging="475"/>
      </w:pPr>
      <w:r>
        <w:tab/>
        <w:t>-</w:t>
      </w:r>
      <w:r>
        <w:tab/>
        <w:t>в партии создан Женский форум.</w:t>
      </w:r>
    </w:p>
    <w:p w:rsidR="00000000" w:rsidRDefault="00000000">
      <w:pPr>
        <w:pStyle w:val="SingleTxt"/>
        <w:tabs>
          <w:tab w:val="right" w:pos="1685"/>
        </w:tabs>
        <w:ind w:left="1742" w:hanging="475"/>
      </w:pPr>
      <w:r>
        <w:t>Партия пенсионеров и лиц, находящихся в отставке, Боснии и Герцеговины</w:t>
      </w:r>
    </w:p>
    <w:p w:rsidR="00000000" w:rsidRDefault="00000000">
      <w:pPr>
        <w:pStyle w:val="SingleTxt"/>
        <w:tabs>
          <w:tab w:val="right" w:pos="1685"/>
        </w:tabs>
        <w:ind w:left="1742" w:hanging="475"/>
      </w:pPr>
      <w:r>
        <w:tab/>
        <w:t>-</w:t>
      </w:r>
      <w:r>
        <w:tab/>
        <w:t>Исполнительный совет партии состоит из 9 членов, в том числе одной женщины ( процентов);</w:t>
      </w:r>
    </w:p>
    <w:p w:rsidR="00000000" w:rsidRDefault="00000000">
      <w:pPr>
        <w:pStyle w:val="SingleTxt"/>
        <w:tabs>
          <w:tab w:val="right" w:pos="1685"/>
        </w:tabs>
        <w:ind w:left="1742" w:hanging="475"/>
      </w:pPr>
      <w:r>
        <w:tab/>
        <w:t>-</w:t>
      </w:r>
      <w:r>
        <w:tab/>
        <w:t>в состав других органов входит 31 член, три из которых являются женщ</w:t>
      </w:r>
      <w:r>
        <w:t>и</w:t>
      </w:r>
      <w:r>
        <w:t>нами (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109.</w:t>
      </w:r>
      <w:r>
        <w:tab/>
        <w:t>Согласно данным, представленным парламентскими партиями (эта и</w:t>
      </w:r>
      <w:r>
        <w:t>н</w:t>
      </w:r>
      <w:r>
        <w:t>формация была запрошена от всех парламентских партий, но некоторые из них не сообщили эти сведения даже после направления ряда повторных просьб), доля женщин в членском составе партий составляет от 30 до 40 процентов и более, в то время как уровень участия женщин в партийных органах варьир</w:t>
      </w:r>
      <w:r>
        <w:t>у</w:t>
      </w:r>
      <w:r>
        <w:t>ется от 20 до 40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110.</w:t>
      </w:r>
      <w:r>
        <w:tab/>
        <w:t>На первый взгляд возникает впечатление о высокой доле женщин среди членов партии и в составе партийных отделений. Однако это объясняется гла</w:t>
      </w:r>
      <w:r>
        <w:t>в</w:t>
      </w:r>
      <w:r>
        <w:t>ным образом требованием международного сообщества и определенного числа местных экспертов по вопросам проведения выборов включить в Избирател</w:t>
      </w:r>
      <w:r>
        <w:t>ь</w:t>
      </w:r>
      <w:r>
        <w:t>ный закон положения, обязывающие партии включать конкретное число же</w:t>
      </w:r>
      <w:r>
        <w:t>н</w:t>
      </w:r>
      <w:r>
        <w:t>щин в списки кандидатов. Вследствие этого партии были вынуждены включить в состав их членов максимально возможное число женщин. В ряде партий б</w:t>
      </w:r>
      <w:r>
        <w:t>ы</w:t>
      </w:r>
      <w:r>
        <w:t>ли созданы "женские форумы" в качестве одной из форм осуществления де</w:t>
      </w:r>
      <w:r>
        <w:t>я</w:t>
      </w:r>
      <w:r>
        <w:t>тельности в рамках партий. На этих форумах рассматриваются главным обр</w:t>
      </w:r>
      <w:r>
        <w:t>а</w:t>
      </w:r>
      <w:r>
        <w:t>зом вопросы, касающиеся положения женщин в партии, но они также обладают возможностью оказывать влияние на процесс принятия решений в компетен</w:t>
      </w:r>
      <w:r>
        <w:t>т</w:t>
      </w:r>
      <w:r>
        <w:t>ных институтах путем выработки общей позиции по конкретным проблемам. Кроме того, ряд партий включил в свои уставы положение, согласно которому женщины должны составлять конкретную процентную долю среди их членов и в составе партийных органов.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111.</w:t>
      </w:r>
      <w:r>
        <w:tab/>
        <w:t>Количество женщин в списках кандидатов в члены законодательных орг</w:t>
      </w:r>
      <w:r>
        <w:t>а</w:t>
      </w:r>
      <w:r>
        <w:t>нов на всех уровнях правительства (от муниципалитета до Парламентской а</w:t>
      </w:r>
      <w:r>
        <w:t>с</w:t>
      </w:r>
      <w:r>
        <w:t>самблеи Боснии и Герцеговины) регулируется на основе Избирательного зак</w:t>
      </w:r>
      <w:r>
        <w:t>о</w:t>
      </w:r>
      <w:r>
        <w:t>на Боснии и Герцеговины (статья 14.19), в котором всем партиям предписыв</w:t>
      </w:r>
      <w:r>
        <w:t>а</w:t>
      </w:r>
      <w:r>
        <w:t>ется назначать по меньшей мере одну треть кандидатов из числа гендерного меньшинства. Согласно имеющемуся опыту, в Боснии и Герцеговине до н</w:t>
      </w:r>
      <w:r>
        <w:t>а</w:t>
      </w:r>
      <w:r>
        <w:t>стоящего времени гендерное меньшинство среди кандидатов на выборов всегда составляли же</w:t>
      </w:r>
      <w:r>
        <w:t>н</w:t>
      </w:r>
      <w:r>
        <w:t>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tab/>
        <w:t xml:space="preserve">Законодательные органы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112.</w:t>
      </w:r>
      <w:r>
        <w:tab/>
        <w:t>В соответствии с приложением 3 к Мирному соглашению по Боснии и Герцеговине первые послевоенные выборы в Боснии и Герцеговине должны были быть проведены Временной избирательной комиссией, созданной Мисс</w:t>
      </w:r>
      <w:r>
        <w:t>и</w:t>
      </w:r>
      <w:r>
        <w:t>ей ОБСЕ в Боснии и Герцеговине. Для проведения выборов эта Комиссия ра</w:t>
      </w:r>
      <w:r>
        <w:t>з</w:t>
      </w:r>
      <w:r>
        <w:t>работала соответствующие правила и положения. Первые выборы состоялись в сентябре 1996 года. Местным властям не удалось согласовать текст постоянн</w:t>
      </w:r>
      <w:r>
        <w:t>о</w:t>
      </w:r>
      <w:r>
        <w:t>го избирательного закона, в соответствии с которым выборы проводились бы на всех уровнях органов власти в Боснии и Герцеговине, поэтому соответс</w:t>
      </w:r>
      <w:r>
        <w:t>т</w:t>
      </w:r>
      <w:r>
        <w:t>вующий мандат был передан Временной избирательной комиссии, которая продолжала организовывать все выборы до 2000 года (1997, 1998, 1999 и 2000 г</w:t>
      </w:r>
      <w:r>
        <w:t>о</w:t>
      </w:r>
      <w:r>
        <w:t xml:space="preserve">ды).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113.</w:t>
      </w:r>
      <w:r>
        <w:tab/>
        <w:t>В 1998 году Высокий представитель по Боснии и Герцеговине создал р</w:t>
      </w:r>
      <w:r>
        <w:t>а</w:t>
      </w:r>
      <w:r>
        <w:t>бочую группу по разработке Избирательного закона Боснии и Герцеговины, к</w:t>
      </w:r>
      <w:r>
        <w:t>о</w:t>
      </w:r>
      <w:r>
        <w:t>торый был принят Парламентской ассамблеей Боснии и Герцеговины в сентя</w:t>
      </w:r>
      <w:r>
        <w:t>б</w:t>
      </w:r>
      <w:r>
        <w:t>ре 2001 года ("Правительственный вестник" № 23/01 и № 14/02). В ходе всен</w:t>
      </w:r>
      <w:r>
        <w:t>а</w:t>
      </w:r>
      <w:r>
        <w:t>родного обсуждения текста Избирательного закона Боснии и Герцеговины б</w:t>
      </w:r>
      <w:r>
        <w:t>ы</w:t>
      </w:r>
      <w:r>
        <w:t>ло предложено включить в положение о выборах раздел, предусматривающий увеличение процентной доли женщин в составе законодательных органов. Т</w:t>
      </w:r>
      <w:r>
        <w:t>а</w:t>
      </w:r>
      <w:r>
        <w:t>ким образом, перед всенародными выборами 1998 года на все партии была возложена обязанность составлять смешанные списки кандидатов и обеспеч</w:t>
      </w:r>
      <w:r>
        <w:t>и</w:t>
      </w:r>
      <w:r>
        <w:t>вать наличие среди первых девяти кандидатов по меньшей мере трех кандид</w:t>
      </w:r>
      <w:r>
        <w:t>а</w:t>
      </w:r>
      <w:r>
        <w:t>тов из числа гендерного меньшинства (которое в 99 процентах случаев пре</w:t>
      </w:r>
      <w:r>
        <w:t>д</w:t>
      </w:r>
      <w:r>
        <w:t>ставлено женщинами). Эти меры позволили увеличить на выборах число же</w:t>
      </w:r>
      <w:r>
        <w:t>н</w:t>
      </w:r>
      <w:r>
        <w:t>щин, назначаемых в органы власти всех уровней. Окончательные списки, с</w:t>
      </w:r>
      <w:r>
        <w:t>о</w:t>
      </w:r>
      <w:r>
        <w:t>ставленные для всеобщих выборов 1998 года, обеспечили рост числа женщин, назначаемых в законодательные органы на всех уровня государственного управления. Например, из в общей сложности 42 представителей в Палату представителей Парламентской ассамблеи Боснии и Герцеговины были избр</w:t>
      </w:r>
      <w:r>
        <w:t>а</w:t>
      </w:r>
      <w:r>
        <w:t>ны 13 же</w:t>
      </w:r>
      <w:r>
        <w:t>н</w:t>
      </w:r>
      <w:r>
        <w:t>щин, или 30,2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114.</w:t>
      </w:r>
      <w:r>
        <w:tab/>
        <w:t>Во время выборов 2000 года также действовала установленная квота, с</w:t>
      </w:r>
      <w:r>
        <w:t>о</w:t>
      </w:r>
      <w:r>
        <w:t>гласно которой во всех списках 1/3 часть кандидатов должны были составлять представители гендерного меньшинства. Однако в ходе этих выборов списки кандидатов были открытыми, что на практике предоставляло возможность и</w:t>
      </w:r>
      <w:r>
        <w:t>з</w:t>
      </w:r>
      <w:r>
        <w:t>бирателям голосовать как за партии, так и отдельных кандидатов, включенных в списки. По данным избирательной комиссии, на этих выборах в голосовании приняли участие в общей сложности 1 616 313 избирателей, среди которых н</w:t>
      </w:r>
      <w:r>
        <w:t>а</w:t>
      </w:r>
      <w:r>
        <w:t>считывалось 798 500 женщин (49,4 процента). Результаты выборов показали, что избиратели поддержали кандидатов-мужчин (несмотря на то, что почти 50 процентов избирателей составляли женщины) на всех уровнях государс</w:t>
      </w:r>
      <w:r>
        <w:t>т</w:t>
      </w:r>
      <w:r>
        <w:t>венного управления. По сравнению с 1998 годом был отмечен весьма знач</w:t>
      </w:r>
      <w:r>
        <w:t>и</w:t>
      </w:r>
      <w:r>
        <w:t>тельный рост числа женщин в составе государственных органов власти. На выборах 2000 года в Палату представителей Парламентской ассамблеи были избраны три женщины и 39 мужчин. В период действия полномочий Ассам</w:t>
      </w:r>
      <w:r>
        <w:t>б</w:t>
      </w:r>
      <w:r>
        <w:t>леи мандат был предоставлен еще одной женщине (после того, как представ</w:t>
      </w:r>
      <w:r>
        <w:t>и</w:t>
      </w:r>
      <w:r>
        <w:t>тель-мужчина согласился занять руководящую должность), следовательно, в настоящее время в этой п</w:t>
      </w:r>
      <w:r>
        <w:t>а</w:t>
      </w:r>
      <w:r>
        <w:t>лате насчитывается четыре представителя-женщины.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115.</w:t>
      </w:r>
      <w:r>
        <w:tab/>
        <w:t>Увеличилось число женщин, избранных на кантональном уровне (средний показатель по всем кантонам составил 20 процентов, в то время как в 1998 году он был равен 18 процентам) и в Палату представителей Парламента Федерации Боснии и Герцеговины (17 процентов, а в 1998 году женщины составили 15 процентов). По сравнению с 1998 годом (19 процентов) снизилась процен</w:t>
      </w:r>
      <w:r>
        <w:t>т</w:t>
      </w:r>
      <w:r>
        <w:t>ная доля женщин (до 15 процентов), избранных в Национальную ассамблею Республики Сербской в 2000 году; после состоявшихся в 2002 году всеобщих выборов в Национальную ассамблею в число 83 представителей вошли 15 женщин (18 процентов). На состоявшихся позднее выборах женщин в члены Национального совета ситу</w:t>
      </w:r>
      <w:r>
        <w:t>а</w:t>
      </w:r>
      <w:r>
        <w:t xml:space="preserve">ция существенно не изменилась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Установленная квота для выборов в муниципальные советы/ассамблеи применялась и в 2000 году, когда в их состав было избрано 595 женщин, или 17,9 процента (2718 мужчин), в то время как на муниципальных выборах 1997 года доля женщин составляла только 5,4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116.</w:t>
      </w:r>
      <w:r>
        <w:tab/>
        <w:t>Имеющиеся данные свидетельствуют о том, что введение обязательной квоты для кандидатов обеспечило увеличение числа женщин в составе закон</w:t>
      </w:r>
      <w:r>
        <w:t>о</w:t>
      </w:r>
      <w:r>
        <w:t>дательных органов на всех уровнях власти, поэтому такую квоту необходимо сохранить. Например, на выборах 1996 года в Палату представителей Парл</w:t>
      </w:r>
      <w:r>
        <w:t>а</w:t>
      </w:r>
      <w:r>
        <w:t>мента Федерации Боснии и Герцеговины было избрано только семь женщин (5 процентов), однако в 2000 году их число возросло до 24, или до 17,1 проце</w:t>
      </w:r>
      <w:r>
        <w:t>н</w:t>
      </w:r>
      <w:r>
        <w:t>та. И хотя введение квоты для кандидатов позволило увеличить число женщин в составе законодательных органов, среди председателей парламента ни на уровне государства, ни на уровне образования нет ни одной женщины. Это г</w:t>
      </w:r>
      <w:r>
        <w:t>о</w:t>
      </w:r>
      <w:r>
        <w:t>ворит о том, что мужчины удерживают за собой наиболее высокие должности в органах законодател</w:t>
      </w:r>
      <w:r>
        <w:t>ь</w:t>
      </w:r>
      <w:r>
        <w:t>ной власти. Подробные данные о числе кандидатов-женщин и женщин, избранных в ходе всех послевоенных выборов в органы власти всех уровней Боснии и Герцег</w:t>
      </w:r>
      <w:r>
        <w:t>о</w:t>
      </w:r>
      <w:r>
        <w:t>вины, приведены в таблице 7.1.</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r>
        <w:rPr>
          <w:sz w:val="10"/>
        </w:rPr>
        <w:br w:type="page"/>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7.1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Статистические данные о результатах всех послевоенных выборов</w:t>
      </w:r>
    </w:p>
    <w:p w:rsidR="00000000" w:rsidRDefault="00000000">
      <w:pPr>
        <w:pStyle w:val="SingleTxt"/>
        <w:spacing w:after="0"/>
        <w:jc w:val="left"/>
        <w:rPr>
          <w:sz w:val="10"/>
        </w:rPr>
      </w:pPr>
    </w:p>
    <w:tbl>
      <w:tblPr>
        <w:tblW w:w="0" w:type="auto"/>
        <w:tblInd w:w="127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2"/>
        <w:gridCol w:w="731"/>
        <w:gridCol w:w="822"/>
        <w:gridCol w:w="822"/>
        <w:gridCol w:w="822"/>
        <w:gridCol w:w="822"/>
        <w:gridCol w:w="822"/>
        <w:gridCol w:w="822"/>
        <w:gridCol w:w="822"/>
      </w:tblGrid>
      <w:tr w:rsidR="00000000">
        <w:tblPrEx>
          <w:tblCellMar>
            <w:top w:w="0" w:type="dxa"/>
            <w:left w:w="0" w:type="dxa"/>
            <w:bottom w:w="0" w:type="dxa"/>
            <w:right w:w="0" w:type="dxa"/>
          </w:tblCellMar>
        </w:tblPrEx>
        <w:trPr>
          <w:cantSplit/>
          <w:tblHeader/>
        </w:trPr>
        <w:tc>
          <w:tcPr>
            <w:tcW w:w="7557" w:type="dxa"/>
            <w:gridSpan w:val="9"/>
            <w:tcBorders>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center"/>
              <w:rPr>
                <w:i/>
                <w:sz w:val="14"/>
              </w:rPr>
            </w:pPr>
            <w:r>
              <w:rPr>
                <w:i/>
                <w:sz w:val="14"/>
              </w:rPr>
              <w:t>Данные об участии женщин в выборах в состав  органов в законодательной власти  всех уровней в Боснии и Ге</w:t>
            </w:r>
            <w:r>
              <w:rPr>
                <w:i/>
                <w:sz w:val="14"/>
              </w:rPr>
              <w:t>р</w:t>
            </w:r>
            <w:r>
              <w:rPr>
                <w:i/>
                <w:sz w:val="14"/>
              </w:rPr>
              <w:t>цеговине, 1996-2000 годы</w:t>
            </w:r>
          </w:p>
        </w:tc>
      </w:tr>
      <w:tr w:rsidR="00000000">
        <w:tblPrEx>
          <w:tblCellMar>
            <w:top w:w="0" w:type="dxa"/>
            <w:left w:w="0" w:type="dxa"/>
            <w:bottom w:w="0" w:type="dxa"/>
            <w:right w:w="0" w:type="dxa"/>
          </w:tblCellMar>
        </w:tblPrEx>
        <w:trPr>
          <w:cantSplit/>
          <w:tblHeader/>
        </w:trPr>
        <w:tc>
          <w:tcPr>
            <w:tcW w:w="1072" w:type="dxa"/>
            <w:vMerge w:val="restart"/>
            <w:tcBorders>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rPr>
                <w:i/>
                <w:sz w:val="14"/>
              </w:rPr>
            </w:pPr>
            <w:r>
              <w:rPr>
                <w:i/>
                <w:sz w:val="14"/>
              </w:rPr>
              <w:t>Уровень выб</w:t>
            </w:r>
            <w:r>
              <w:rPr>
                <w:i/>
                <w:sz w:val="14"/>
              </w:rPr>
              <w:t>о</w:t>
            </w:r>
            <w:r>
              <w:rPr>
                <w:i/>
                <w:sz w:val="14"/>
              </w:rPr>
              <w:t>ров</w:t>
            </w:r>
          </w:p>
        </w:tc>
        <w:tc>
          <w:tcPr>
            <w:tcW w:w="6485" w:type="dxa"/>
            <w:gridSpan w:val="8"/>
            <w:tcBorders>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center"/>
              <w:rPr>
                <w:i/>
                <w:sz w:val="14"/>
              </w:rPr>
            </w:pPr>
            <w:r>
              <w:rPr>
                <w:i/>
                <w:sz w:val="14"/>
              </w:rPr>
              <w:t>Год</w:t>
            </w:r>
          </w:p>
        </w:tc>
      </w:tr>
      <w:tr w:rsidR="00000000">
        <w:tblPrEx>
          <w:tblCellMar>
            <w:top w:w="0" w:type="dxa"/>
            <w:left w:w="0" w:type="dxa"/>
            <w:bottom w:w="0" w:type="dxa"/>
            <w:right w:w="0" w:type="dxa"/>
          </w:tblCellMar>
        </w:tblPrEx>
        <w:trPr>
          <w:cantSplit/>
          <w:tblHeader/>
        </w:trPr>
        <w:tc>
          <w:tcPr>
            <w:tcW w:w="1072" w:type="dxa"/>
            <w:vMerge/>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rPr>
                <w:i/>
                <w:sz w:val="14"/>
              </w:rPr>
            </w:pPr>
          </w:p>
        </w:tc>
        <w:tc>
          <w:tcPr>
            <w:tcW w:w="3197" w:type="dxa"/>
            <w:gridSpan w:val="4"/>
            <w:tcBorders>
              <w:top w:val="single" w:sz="4" w:space="0" w:color="auto"/>
              <w:left w:val="nil"/>
              <w:bottom w:val="single" w:sz="4"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center"/>
              <w:rPr>
                <w:i/>
                <w:sz w:val="14"/>
              </w:rPr>
            </w:pPr>
            <w:r>
              <w:rPr>
                <w:i/>
                <w:sz w:val="14"/>
              </w:rPr>
              <w:t>До введения квоты</w:t>
            </w:r>
          </w:p>
        </w:tc>
        <w:tc>
          <w:tcPr>
            <w:tcW w:w="3288" w:type="dxa"/>
            <w:gridSpan w:val="4"/>
            <w:tcBorders>
              <w:top w:val="single" w:sz="4" w:space="0" w:color="auto"/>
              <w:left w:val="nil"/>
              <w:bottom w:val="single" w:sz="4"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center"/>
              <w:rPr>
                <w:i/>
                <w:sz w:val="14"/>
              </w:rPr>
            </w:pPr>
            <w:r>
              <w:rPr>
                <w:i/>
                <w:sz w:val="14"/>
              </w:rPr>
              <w:t>После введения квоты</w:t>
            </w:r>
          </w:p>
        </w:tc>
      </w:tr>
      <w:tr w:rsidR="00000000">
        <w:tblPrEx>
          <w:tblCellMar>
            <w:top w:w="0" w:type="dxa"/>
            <w:left w:w="0" w:type="dxa"/>
            <w:bottom w:w="0" w:type="dxa"/>
            <w:right w:w="0" w:type="dxa"/>
          </w:tblCellMar>
        </w:tblPrEx>
        <w:trPr>
          <w:cantSplit/>
          <w:tblHeader/>
        </w:trPr>
        <w:tc>
          <w:tcPr>
            <w:tcW w:w="1072" w:type="dxa"/>
            <w:vMerge/>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rPr>
                <w:i/>
                <w:sz w:val="14"/>
              </w:rPr>
            </w:pPr>
          </w:p>
        </w:tc>
        <w:tc>
          <w:tcPr>
            <w:tcW w:w="1553"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center"/>
              <w:rPr>
                <w:i/>
                <w:sz w:val="14"/>
              </w:rPr>
            </w:pPr>
            <w:r>
              <w:rPr>
                <w:i/>
                <w:sz w:val="14"/>
              </w:rPr>
              <w:t>1996 год</w:t>
            </w:r>
          </w:p>
        </w:tc>
        <w:tc>
          <w:tcPr>
            <w:tcW w:w="1644"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center"/>
              <w:rPr>
                <w:i/>
                <w:sz w:val="14"/>
              </w:rPr>
            </w:pPr>
            <w:r>
              <w:rPr>
                <w:i/>
                <w:sz w:val="14"/>
              </w:rPr>
              <w:t>1997 год</w:t>
            </w:r>
          </w:p>
        </w:tc>
        <w:tc>
          <w:tcPr>
            <w:tcW w:w="1644"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center"/>
              <w:rPr>
                <w:i/>
                <w:sz w:val="14"/>
              </w:rPr>
            </w:pPr>
            <w:r>
              <w:rPr>
                <w:i/>
                <w:sz w:val="14"/>
              </w:rPr>
              <w:t>1998 год</w:t>
            </w:r>
          </w:p>
        </w:tc>
        <w:tc>
          <w:tcPr>
            <w:tcW w:w="1644"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center"/>
              <w:rPr>
                <w:i/>
                <w:sz w:val="14"/>
              </w:rPr>
            </w:pPr>
            <w:r>
              <w:rPr>
                <w:i/>
                <w:sz w:val="14"/>
              </w:rPr>
              <w:t>2000 год</w:t>
            </w:r>
          </w:p>
        </w:tc>
      </w:tr>
      <w:tr w:rsidR="00000000">
        <w:tblPrEx>
          <w:tblCellMar>
            <w:top w:w="0" w:type="dxa"/>
            <w:left w:w="0" w:type="dxa"/>
            <w:bottom w:w="0" w:type="dxa"/>
            <w:right w:w="0" w:type="dxa"/>
          </w:tblCellMar>
        </w:tblPrEx>
        <w:trPr>
          <w:cantSplit/>
          <w:tblHeader/>
        </w:trPr>
        <w:tc>
          <w:tcPr>
            <w:tcW w:w="1072" w:type="dxa"/>
            <w:vMerge/>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rPr>
                <w:i/>
                <w:sz w:val="14"/>
              </w:rPr>
            </w:pPr>
          </w:p>
        </w:tc>
        <w:tc>
          <w:tcPr>
            <w:tcW w:w="731"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i/>
                <w:sz w:val="14"/>
              </w:rPr>
            </w:pPr>
            <w:r>
              <w:rPr>
                <w:i/>
                <w:sz w:val="14"/>
              </w:rPr>
              <w:t>Процен</w:t>
            </w:r>
            <w:r>
              <w:rPr>
                <w:i/>
                <w:sz w:val="14"/>
              </w:rPr>
              <w:t>т</w:t>
            </w:r>
            <w:r>
              <w:rPr>
                <w:i/>
                <w:sz w:val="14"/>
              </w:rPr>
              <w:t>ная доля кандид</w:t>
            </w:r>
            <w:r>
              <w:rPr>
                <w:i/>
                <w:sz w:val="14"/>
              </w:rPr>
              <w:t>а</w:t>
            </w:r>
            <w:r>
              <w:rPr>
                <w:i/>
                <w:sz w:val="14"/>
              </w:rPr>
              <w:t>тов-женщин</w:t>
            </w:r>
          </w:p>
        </w:tc>
        <w:tc>
          <w:tcPr>
            <w:tcW w:w="822"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i/>
                <w:sz w:val="14"/>
              </w:rPr>
            </w:pPr>
            <w:r>
              <w:rPr>
                <w:i/>
                <w:sz w:val="14"/>
              </w:rPr>
              <w:t>Процен</w:t>
            </w:r>
            <w:r>
              <w:rPr>
                <w:i/>
                <w:sz w:val="14"/>
              </w:rPr>
              <w:t>т</w:t>
            </w:r>
            <w:r>
              <w:rPr>
                <w:i/>
                <w:sz w:val="14"/>
              </w:rPr>
              <w:t>ная доля избранных женщин</w:t>
            </w:r>
          </w:p>
        </w:tc>
        <w:tc>
          <w:tcPr>
            <w:tcW w:w="822"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i/>
                <w:sz w:val="14"/>
              </w:rPr>
            </w:pPr>
            <w:r>
              <w:rPr>
                <w:i/>
                <w:sz w:val="14"/>
              </w:rPr>
              <w:t>Процен</w:t>
            </w:r>
            <w:r>
              <w:rPr>
                <w:i/>
                <w:sz w:val="14"/>
              </w:rPr>
              <w:t>т</w:t>
            </w:r>
            <w:r>
              <w:rPr>
                <w:i/>
                <w:sz w:val="14"/>
              </w:rPr>
              <w:t>ная доля кандид</w:t>
            </w:r>
            <w:r>
              <w:rPr>
                <w:i/>
                <w:sz w:val="14"/>
              </w:rPr>
              <w:t>а</w:t>
            </w:r>
            <w:r>
              <w:rPr>
                <w:i/>
                <w:sz w:val="14"/>
              </w:rPr>
              <w:t>тов-женщин</w:t>
            </w:r>
          </w:p>
        </w:tc>
        <w:tc>
          <w:tcPr>
            <w:tcW w:w="822"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i/>
                <w:sz w:val="14"/>
              </w:rPr>
            </w:pPr>
            <w:r>
              <w:rPr>
                <w:i/>
                <w:sz w:val="14"/>
              </w:rPr>
              <w:t>Процен</w:t>
            </w:r>
            <w:r>
              <w:rPr>
                <w:i/>
                <w:sz w:val="14"/>
              </w:rPr>
              <w:t>т</w:t>
            </w:r>
            <w:r>
              <w:rPr>
                <w:i/>
                <w:sz w:val="14"/>
              </w:rPr>
              <w:t>ная доля избранных женщин</w:t>
            </w:r>
          </w:p>
        </w:tc>
        <w:tc>
          <w:tcPr>
            <w:tcW w:w="822"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i/>
                <w:sz w:val="14"/>
              </w:rPr>
            </w:pPr>
            <w:r>
              <w:rPr>
                <w:i/>
                <w:sz w:val="14"/>
              </w:rPr>
              <w:t>Процен</w:t>
            </w:r>
            <w:r>
              <w:rPr>
                <w:i/>
                <w:sz w:val="14"/>
              </w:rPr>
              <w:t>т</w:t>
            </w:r>
            <w:r>
              <w:rPr>
                <w:i/>
                <w:sz w:val="14"/>
              </w:rPr>
              <w:t>ная доля кандид</w:t>
            </w:r>
            <w:r>
              <w:rPr>
                <w:i/>
                <w:sz w:val="14"/>
              </w:rPr>
              <w:t>а</w:t>
            </w:r>
            <w:r>
              <w:rPr>
                <w:i/>
                <w:sz w:val="14"/>
              </w:rPr>
              <w:t>тов-женщин</w:t>
            </w:r>
          </w:p>
        </w:tc>
        <w:tc>
          <w:tcPr>
            <w:tcW w:w="822"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i/>
                <w:sz w:val="14"/>
              </w:rPr>
            </w:pPr>
            <w:r>
              <w:rPr>
                <w:i/>
                <w:sz w:val="14"/>
              </w:rPr>
              <w:t>Процен</w:t>
            </w:r>
            <w:r>
              <w:rPr>
                <w:i/>
                <w:sz w:val="14"/>
              </w:rPr>
              <w:t>т</w:t>
            </w:r>
            <w:r>
              <w:rPr>
                <w:i/>
                <w:sz w:val="14"/>
              </w:rPr>
              <w:t>ная доля избранных женщин</w:t>
            </w:r>
          </w:p>
        </w:tc>
        <w:tc>
          <w:tcPr>
            <w:tcW w:w="822"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i/>
                <w:sz w:val="14"/>
              </w:rPr>
            </w:pPr>
            <w:r>
              <w:rPr>
                <w:i/>
                <w:sz w:val="14"/>
              </w:rPr>
              <w:t>Процен</w:t>
            </w:r>
            <w:r>
              <w:rPr>
                <w:i/>
                <w:sz w:val="14"/>
              </w:rPr>
              <w:t>т</w:t>
            </w:r>
            <w:r>
              <w:rPr>
                <w:i/>
                <w:sz w:val="14"/>
              </w:rPr>
              <w:t>ная доля кандид</w:t>
            </w:r>
            <w:r>
              <w:rPr>
                <w:i/>
                <w:sz w:val="14"/>
              </w:rPr>
              <w:t>а</w:t>
            </w:r>
            <w:r>
              <w:rPr>
                <w:i/>
                <w:sz w:val="14"/>
              </w:rPr>
              <w:t>тов-женщин</w:t>
            </w:r>
          </w:p>
        </w:tc>
        <w:tc>
          <w:tcPr>
            <w:tcW w:w="822"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i/>
                <w:sz w:val="14"/>
              </w:rPr>
            </w:pPr>
            <w:r>
              <w:rPr>
                <w:i/>
                <w:sz w:val="14"/>
              </w:rPr>
              <w:t>Процен</w:t>
            </w:r>
            <w:r>
              <w:rPr>
                <w:i/>
                <w:sz w:val="14"/>
              </w:rPr>
              <w:t>т</w:t>
            </w:r>
            <w:r>
              <w:rPr>
                <w:i/>
                <w:sz w:val="14"/>
              </w:rPr>
              <w:t>ная доля избранных женщин</w:t>
            </w:r>
          </w:p>
        </w:tc>
      </w:tr>
      <w:tr w:rsidR="00000000">
        <w:tblPrEx>
          <w:tblCellMar>
            <w:top w:w="0" w:type="dxa"/>
            <w:left w:w="0" w:type="dxa"/>
            <w:bottom w:w="0" w:type="dxa"/>
            <w:right w:w="0" w:type="dxa"/>
          </w:tblCellMar>
        </w:tblPrEx>
        <w:trPr>
          <w:trHeight w:hRule="exact" w:val="115"/>
          <w:tblHeader/>
        </w:trPr>
        <w:tc>
          <w:tcPr>
            <w:tcW w:w="107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4"/>
              </w:rPr>
            </w:pPr>
          </w:p>
        </w:tc>
        <w:tc>
          <w:tcPr>
            <w:tcW w:w="731"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p>
        </w:tc>
        <w:tc>
          <w:tcPr>
            <w:tcW w:w="82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p>
        </w:tc>
        <w:tc>
          <w:tcPr>
            <w:tcW w:w="82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p>
        </w:tc>
        <w:tc>
          <w:tcPr>
            <w:tcW w:w="82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p>
        </w:tc>
        <w:tc>
          <w:tcPr>
            <w:tcW w:w="82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p>
        </w:tc>
        <w:tc>
          <w:tcPr>
            <w:tcW w:w="82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p>
        </w:tc>
        <w:tc>
          <w:tcPr>
            <w:tcW w:w="822" w:type="dxa"/>
            <w:tcBorders>
              <w:top w:val="single" w:sz="12" w:space="0" w:color="auto"/>
              <w:left w:val="nil"/>
              <w:bottom w:val="nil"/>
              <w:right w:val="nil"/>
            </w:tcBorders>
            <w:vAlign w:val="bottom"/>
          </w:tcPr>
          <w:p w:rsidR="00000000" w:rsidRDefault="00000000">
            <w:pPr>
              <w:tabs>
                <w:tab w:val="left" w:pos="288"/>
                <w:tab w:val="left" w:pos="576"/>
                <w:tab w:val="left" w:pos="1152"/>
              </w:tabs>
              <w:spacing w:before="40" w:after="40" w:line="210" w:lineRule="exact"/>
              <w:ind w:right="43"/>
              <w:jc w:val="right"/>
              <w:rPr>
                <w:sz w:val="14"/>
              </w:rPr>
            </w:pPr>
          </w:p>
        </w:tc>
        <w:tc>
          <w:tcPr>
            <w:tcW w:w="82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4"/>
              </w:rPr>
            </w:pPr>
          </w:p>
        </w:tc>
      </w:tr>
      <w:tr w:rsidR="00000000">
        <w:tblPrEx>
          <w:tblCellMar>
            <w:top w:w="0" w:type="dxa"/>
            <w:left w:w="0" w:type="dxa"/>
            <w:bottom w:w="0" w:type="dxa"/>
            <w:right w:w="0" w:type="dxa"/>
          </w:tblCellMar>
        </w:tblPrEx>
        <w:tc>
          <w:tcPr>
            <w:tcW w:w="107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Муницип</w:t>
            </w:r>
            <w:r>
              <w:rPr>
                <w:sz w:val="16"/>
              </w:rPr>
              <w:t>а</w:t>
            </w:r>
            <w:r>
              <w:rPr>
                <w:sz w:val="16"/>
              </w:rPr>
              <w:t>литеты</w:t>
            </w:r>
          </w:p>
        </w:tc>
        <w:tc>
          <w:tcPr>
            <w:tcW w:w="73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9,6</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5,4</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21,3</w:t>
            </w:r>
            <w:r>
              <w:rPr>
                <w:sz w:val="16"/>
                <w:vertAlign w:val="superscript"/>
              </w:rPr>
              <w:t>1</w:t>
            </w:r>
          </w:p>
        </w:tc>
        <w:tc>
          <w:tcPr>
            <w:tcW w:w="822" w:type="dxa"/>
            <w:tcBorders>
              <w:top w:val="nil"/>
              <w:left w:val="nil"/>
              <w:bottom w:val="nil"/>
              <w:right w:val="nil"/>
            </w:tcBorders>
            <w:vAlign w:val="bottom"/>
          </w:tcPr>
          <w:p w:rsidR="00000000" w:rsidRDefault="00000000">
            <w:pPr>
              <w:tabs>
                <w:tab w:val="left" w:pos="288"/>
              </w:tabs>
              <w:spacing w:before="40" w:after="40" w:line="210" w:lineRule="exact"/>
              <w:ind w:right="35"/>
              <w:jc w:val="right"/>
              <w:rPr>
                <w:sz w:val="16"/>
              </w:rPr>
            </w:pPr>
            <w:r>
              <w:rPr>
                <w:sz w:val="16"/>
              </w:rPr>
              <w:t>26,6</w:t>
            </w:r>
            <w:r>
              <w:rPr>
                <w:sz w:val="16"/>
                <w:vertAlign w:val="superscript"/>
              </w:rPr>
              <w:t>1</w:t>
            </w:r>
          </w:p>
        </w:tc>
        <w:tc>
          <w:tcPr>
            <w:tcW w:w="822" w:type="dxa"/>
            <w:tcBorders>
              <w:top w:val="nil"/>
              <w:left w:val="nil"/>
              <w:bottom w:val="nil"/>
              <w:right w:val="nil"/>
            </w:tcBorders>
            <w:vAlign w:val="bottom"/>
          </w:tcPr>
          <w:p w:rsidR="00000000" w:rsidRDefault="00000000">
            <w:pPr>
              <w:tabs>
                <w:tab w:val="left" w:pos="288"/>
                <w:tab w:val="left" w:pos="576"/>
                <w:tab w:val="left" w:pos="1152"/>
              </w:tabs>
              <w:spacing w:before="40" w:after="40" w:line="210" w:lineRule="exact"/>
              <w:ind w:right="43"/>
              <w:jc w:val="right"/>
              <w:rPr>
                <w:sz w:val="16"/>
              </w:rPr>
            </w:pPr>
            <w:r>
              <w:rPr>
                <w:sz w:val="16"/>
              </w:rPr>
              <w:t>32,9</w:t>
            </w:r>
          </w:p>
        </w:tc>
        <w:tc>
          <w:tcPr>
            <w:tcW w:w="822" w:type="dxa"/>
            <w:tcBorders>
              <w:top w:val="nil"/>
              <w:left w:val="nil"/>
              <w:bottom w:val="nil"/>
              <w:right w:val="nil"/>
            </w:tcBorders>
            <w:vAlign w:val="bottom"/>
          </w:tcPr>
          <w:p w:rsidR="00000000" w:rsidRDefault="00000000">
            <w:pPr>
              <w:tabs>
                <w:tab w:val="left" w:pos="288"/>
                <w:tab w:val="left" w:pos="864"/>
                <w:tab w:val="left" w:pos="1152"/>
              </w:tabs>
              <w:spacing w:before="40" w:after="40" w:line="210" w:lineRule="exact"/>
              <w:ind w:right="43"/>
              <w:jc w:val="right"/>
              <w:rPr>
                <w:sz w:val="16"/>
              </w:rPr>
            </w:pPr>
            <w:r>
              <w:rPr>
                <w:sz w:val="16"/>
              </w:rPr>
              <w:t>17,9</w:t>
            </w:r>
          </w:p>
        </w:tc>
      </w:tr>
      <w:tr w:rsidR="00000000">
        <w:tblPrEx>
          <w:tblCellMar>
            <w:top w:w="0" w:type="dxa"/>
            <w:left w:w="0" w:type="dxa"/>
            <w:bottom w:w="0" w:type="dxa"/>
            <w:right w:w="0" w:type="dxa"/>
          </w:tblCellMar>
        </w:tblPrEx>
        <w:tc>
          <w:tcPr>
            <w:tcW w:w="107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Кантоны</w:t>
            </w:r>
          </w:p>
        </w:tc>
        <w:tc>
          <w:tcPr>
            <w:tcW w:w="73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10,1</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6,1</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24,9</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18,2</w:t>
            </w:r>
          </w:p>
        </w:tc>
        <w:tc>
          <w:tcPr>
            <w:tcW w:w="822" w:type="dxa"/>
            <w:tcBorders>
              <w:top w:val="nil"/>
              <w:left w:val="nil"/>
              <w:bottom w:val="nil"/>
              <w:right w:val="nil"/>
            </w:tcBorders>
            <w:vAlign w:val="bottom"/>
          </w:tcPr>
          <w:p w:rsidR="00000000" w:rsidRDefault="00000000">
            <w:pPr>
              <w:tabs>
                <w:tab w:val="left" w:pos="288"/>
                <w:tab w:val="left" w:pos="576"/>
                <w:tab w:val="left" w:pos="1152"/>
              </w:tabs>
              <w:spacing w:before="40" w:after="40" w:line="210" w:lineRule="exact"/>
              <w:ind w:right="43"/>
              <w:jc w:val="right"/>
              <w:rPr>
                <w:sz w:val="16"/>
              </w:rPr>
            </w:pPr>
            <w:r>
              <w:rPr>
                <w:sz w:val="16"/>
              </w:rPr>
              <w:t>35,3</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6"/>
              </w:rPr>
            </w:pPr>
            <w:r>
              <w:rPr>
                <w:sz w:val="16"/>
              </w:rPr>
              <w:t>19,7</w:t>
            </w:r>
          </w:p>
        </w:tc>
      </w:tr>
      <w:tr w:rsidR="00000000">
        <w:tblPrEx>
          <w:tblCellMar>
            <w:top w:w="0" w:type="dxa"/>
            <w:left w:w="0" w:type="dxa"/>
            <w:bottom w:w="0" w:type="dxa"/>
            <w:right w:w="0" w:type="dxa"/>
          </w:tblCellMar>
        </w:tblPrEx>
        <w:tc>
          <w:tcPr>
            <w:tcW w:w="107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Национал</w:t>
            </w:r>
            <w:r>
              <w:rPr>
                <w:sz w:val="16"/>
              </w:rPr>
              <w:t>ь</w:t>
            </w:r>
            <w:r>
              <w:rPr>
                <w:sz w:val="16"/>
              </w:rPr>
              <w:t>ная ассам</w:t>
            </w:r>
            <w:r>
              <w:rPr>
                <w:sz w:val="16"/>
              </w:rPr>
              <w:t>б</w:t>
            </w:r>
            <w:r>
              <w:rPr>
                <w:sz w:val="16"/>
              </w:rPr>
              <w:t>лея Респу</w:t>
            </w:r>
            <w:r>
              <w:rPr>
                <w:sz w:val="16"/>
              </w:rPr>
              <w:t>б</w:t>
            </w:r>
            <w:r>
              <w:rPr>
                <w:sz w:val="16"/>
              </w:rPr>
              <w:t>лики Сер</w:t>
            </w:r>
            <w:r>
              <w:rPr>
                <w:sz w:val="16"/>
              </w:rPr>
              <w:t>б</w:t>
            </w:r>
            <w:r>
              <w:rPr>
                <w:sz w:val="16"/>
              </w:rPr>
              <w:t>ская</w:t>
            </w:r>
          </w:p>
        </w:tc>
        <w:tc>
          <w:tcPr>
            <w:tcW w:w="73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7,6</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11,7</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19,5</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22,9</w:t>
            </w:r>
          </w:p>
        </w:tc>
        <w:tc>
          <w:tcPr>
            <w:tcW w:w="822" w:type="dxa"/>
            <w:tcBorders>
              <w:top w:val="nil"/>
              <w:left w:val="nil"/>
              <w:bottom w:val="nil"/>
              <w:right w:val="nil"/>
            </w:tcBorders>
            <w:vAlign w:val="bottom"/>
          </w:tcPr>
          <w:p w:rsidR="00000000" w:rsidRDefault="00000000">
            <w:pPr>
              <w:tabs>
                <w:tab w:val="left" w:pos="288"/>
                <w:tab w:val="left" w:pos="576"/>
                <w:tab w:val="left" w:pos="1152"/>
              </w:tabs>
              <w:spacing w:before="40" w:after="40" w:line="210" w:lineRule="exact"/>
              <w:ind w:right="43"/>
              <w:jc w:val="right"/>
              <w:rPr>
                <w:sz w:val="16"/>
              </w:rPr>
            </w:pPr>
            <w:r>
              <w:rPr>
                <w:sz w:val="16"/>
              </w:rPr>
              <w:t>31,9</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6"/>
              </w:rPr>
            </w:pPr>
            <w:r>
              <w:rPr>
                <w:sz w:val="16"/>
              </w:rPr>
              <w:t>18,1</w:t>
            </w:r>
          </w:p>
        </w:tc>
      </w:tr>
      <w:tr w:rsidR="00000000">
        <w:tblPrEx>
          <w:tblCellMar>
            <w:top w:w="0" w:type="dxa"/>
            <w:left w:w="0" w:type="dxa"/>
            <w:bottom w:w="0" w:type="dxa"/>
            <w:right w:w="0" w:type="dxa"/>
          </w:tblCellMar>
        </w:tblPrEx>
        <w:tc>
          <w:tcPr>
            <w:tcW w:w="107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Парламент Федерации Боснии и Герцегов</w:t>
            </w:r>
            <w:r>
              <w:rPr>
                <w:sz w:val="16"/>
              </w:rPr>
              <w:t>и</w:t>
            </w:r>
            <w:r>
              <w:rPr>
                <w:sz w:val="16"/>
              </w:rPr>
              <w:t>ны</w:t>
            </w:r>
          </w:p>
        </w:tc>
        <w:tc>
          <w:tcPr>
            <w:tcW w:w="73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10,5</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24,2</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w:t>
            </w:r>
          </w:p>
        </w:tc>
        <w:tc>
          <w:tcPr>
            <w:tcW w:w="822" w:type="dxa"/>
            <w:tcBorders>
              <w:top w:val="nil"/>
              <w:left w:val="nil"/>
              <w:bottom w:val="nil"/>
              <w:right w:val="nil"/>
            </w:tcBorders>
            <w:vAlign w:val="bottom"/>
          </w:tcPr>
          <w:p w:rsidR="00000000" w:rsidRDefault="00000000">
            <w:pPr>
              <w:tabs>
                <w:tab w:val="left" w:pos="288"/>
                <w:tab w:val="left" w:pos="576"/>
                <w:tab w:val="left" w:pos="1152"/>
              </w:tabs>
              <w:spacing w:before="40" w:after="40" w:line="210" w:lineRule="exact"/>
              <w:ind w:right="43"/>
              <w:jc w:val="right"/>
              <w:rPr>
                <w:sz w:val="16"/>
              </w:rPr>
            </w:pPr>
            <w:r>
              <w:rPr>
                <w:sz w:val="16"/>
              </w:rPr>
              <w:t>36,1</w:t>
            </w:r>
          </w:p>
        </w:tc>
        <w:tc>
          <w:tcPr>
            <w:tcW w:w="8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6"/>
              </w:rPr>
            </w:pPr>
            <w:r>
              <w:rPr>
                <w:sz w:val="16"/>
              </w:rPr>
              <w:t>17,1</w:t>
            </w:r>
          </w:p>
        </w:tc>
      </w:tr>
      <w:tr w:rsidR="00000000">
        <w:tblPrEx>
          <w:tblCellMar>
            <w:top w:w="0" w:type="dxa"/>
            <w:left w:w="0" w:type="dxa"/>
            <w:bottom w:w="0" w:type="dxa"/>
            <w:right w:w="0" w:type="dxa"/>
          </w:tblCellMar>
        </w:tblPrEx>
        <w:tc>
          <w:tcPr>
            <w:tcW w:w="107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Парламент Боснии и Герцегов</w:t>
            </w:r>
            <w:r>
              <w:rPr>
                <w:sz w:val="16"/>
              </w:rPr>
              <w:t>и</w:t>
            </w:r>
            <w:r>
              <w:rPr>
                <w:sz w:val="16"/>
              </w:rPr>
              <w:t>ны</w:t>
            </w:r>
          </w:p>
        </w:tc>
        <w:tc>
          <w:tcPr>
            <w:tcW w:w="731"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9,4</w:t>
            </w:r>
          </w:p>
        </w:tc>
        <w:tc>
          <w:tcPr>
            <w:tcW w:w="82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w:t>
            </w:r>
          </w:p>
        </w:tc>
        <w:tc>
          <w:tcPr>
            <w:tcW w:w="82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82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82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28,8</w:t>
            </w:r>
          </w:p>
        </w:tc>
        <w:tc>
          <w:tcPr>
            <w:tcW w:w="822" w:type="dxa"/>
            <w:tcBorders>
              <w:top w:val="nil"/>
              <w:left w:val="nil"/>
              <w:bottom w:val="single" w:sz="12" w:space="0" w:color="auto"/>
              <w:right w:val="nil"/>
            </w:tcBorders>
            <w:vAlign w:val="bottom"/>
          </w:tcPr>
          <w:p w:rsidR="00000000" w:rsidRDefault="00000000">
            <w:pPr>
              <w:tabs>
                <w:tab w:val="left" w:pos="288"/>
                <w:tab w:val="left" w:pos="576"/>
                <w:tab w:val="left" w:pos="1152"/>
              </w:tabs>
              <w:spacing w:before="40" w:after="40" w:line="210" w:lineRule="exact"/>
              <w:ind w:right="35"/>
              <w:jc w:val="right"/>
              <w:rPr>
                <w:sz w:val="16"/>
              </w:rPr>
            </w:pPr>
            <w:r>
              <w:rPr>
                <w:sz w:val="16"/>
              </w:rPr>
              <w:t>30,2</w:t>
            </w:r>
          </w:p>
        </w:tc>
        <w:tc>
          <w:tcPr>
            <w:tcW w:w="822" w:type="dxa"/>
            <w:tcBorders>
              <w:top w:val="nil"/>
              <w:left w:val="nil"/>
              <w:bottom w:val="single" w:sz="12" w:space="0" w:color="auto"/>
              <w:right w:val="nil"/>
            </w:tcBorders>
            <w:vAlign w:val="bottom"/>
          </w:tcPr>
          <w:p w:rsidR="00000000" w:rsidRDefault="00000000">
            <w:pPr>
              <w:tabs>
                <w:tab w:val="left" w:pos="288"/>
                <w:tab w:val="left" w:pos="576"/>
                <w:tab w:val="left" w:pos="1152"/>
              </w:tabs>
              <w:spacing w:before="40" w:after="40" w:line="210" w:lineRule="exact"/>
              <w:ind w:right="43"/>
              <w:jc w:val="right"/>
              <w:rPr>
                <w:sz w:val="16"/>
              </w:rPr>
            </w:pPr>
            <w:r>
              <w:rPr>
                <w:sz w:val="16"/>
              </w:rPr>
              <w:t>28,3</w:t>
            </w:r>
          </w:p>
        </w:tc>
        <w:tc>
          <w:tcPr>
            <w:tcW w:w="822" w:type="dxa"/>
            <w:tcBorders>
              <w:top w:val="nil"/>
              <w:left w:val="nil"/>
              <w:bottom w:val="single" w:sz="12" w:space="0" w:color="auto"/>
              <w:right w:val="nil"/>
            </w:tcBorders>
            <w:vAlign w:val="bottom"/>
          </w:tcPr>
          <w:p w:rsidR="00000000" w:rsidRDefault="00000000">
            <w:pPr>
              <w:tabs>
                <w:tab w:val="left" w:pos="288"/>
                <w:tab w:val="left" w:pos="864"/>
                <w:tab w:val="left" w:pos="1152"/>
              </w:tabs>
              <w:spacing w:before="40" w:after="40" w:line="210" w:lineRule="exact"/>
              <w:ind w:right="43"/>
              <w:jc w:val="right"/>
              <w:rPr>
                <w:sz w:val="16"/>
              </w:rPr>
            </w:pPr>
            <w:r>
              <w:rPr>
                <w:sz w:val="16"/>
              </w:rPr>
              <w:t>7,1</w:t>
            </w:r>
          </w:p>
        </w:tc>
      </w:tr>
    </w:tbl>
    <w:p w:rsidR="00000000" w:rsidRDefault="00000000">
      <w:pPr>
        <w:pStyle w:val="SingleTxt"/>
        <w:spacing w:after="0" w:line="10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br w:type="page"/>
      </w:r>
    </w:p>
    <w:p w:rsidR="00000000" w:rsidRDefault="00000000">
      <w:pPr>
        <w:spacing w:line="240" w:lineRule="auto"/>
        <w:ind w:left="1260"/>
      </w:pPr>
      <w:r>
        <w:t>Диаграмма 1</w:t>
      </w:r>
    </w:p>
    <w:p w:rsidR="00000000" w:rsidRDefault="00000000">
      <w:pPr>
        <w:pStyle w:val="SingleTxt"/>
        <w:spacing w:after="0"/>
        <w:jc w:val="left"/>
        <w:rPr>
          <w:sz w:val="10"/>
        </w:rPr>
      </w:pPr>
    </w:p>
    <w:bookmarkStart w:id="1" w:name="_MON_1180878193"/>
    <w:bookmarkStart w:id="2" w:name="_MON_1181458514"/>
    <w:bookmarkEnd w:id="1"/>
    <w:bookmarkEnd w:id="2"/>
    <w:p w:rsidR="00000000" w:rsidRDefault="00000000">
      <w:pPr>
        <w:spacing w:line="240" w:lineRule="auto"/>
        <w:ind w:left="1260" w:right="1210"/>
        <w:jc w:val="both"/>
      </w:pPr>
      <w:r>
        <w:object w:dxaOrig="7474" w:dyaOrig="44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3.5pt;height:220.5pt" o:ole="" fillcolor="window">
            <v:imagedata r:id="rId14" o:title=""/>
          </v:shape>
          <o:OLEObject Type="Embed" ProgID="Excel.Sheet.8" ShapeID="_x0000_i1025" DrawAspect="Content" ObjectID="_1418863773" r:id="rId15">
            <o:FieldCodes>\s</o:FieldCodes>
          </o:OLEObject>
        </w:object>
      </w:r>
    </w:p>
    <w:p w:rsidR="00000000" w:rsidRDefault="00000000">
      <w:pPr>
        <w:spacing w:line="240" w:lineRule="auto"/>
        <w:ind w:left="1260"/>
        <w:jc w:val="both"/>
      </w:pPr>
    </w:p>
    <w:p w:rsidR="00000000" w:rsidRDefault="00000000">
      <w:pPr>
        <w:spacing w:line="240" w:lineRule="auto"/>
        <w:ind w:left="1260"/>
        <w:jc w:val="both"/>
      </w:pPr>
      <w:r>
        <w:t>Диаграмма 2</w:t>
      </w:r>
    </w:p>
    <w:p w:rsidR="00000000" w:rsidRDefault="00000000">
      <w:pPr>
        <w:pStyle w:val="SingleTxt"/>
        <w:spacing w:after="0"/>
        <w:jc w:val="left"/>
        <w:rPr>
          <w:sz w:val="10"/>
        </w:rPr>
      </w:pPr>
    </w:p>
    <w:bookmarkStart w:id="3" w:name="_MON_1143108400"/>
    <w:bookmarkStart w:id="4" w:name="_MON_1180863751"/>
    <w:bookmarkStart w:id="5" w:name="_MON_1180863931"/>
    <w:bookmarkStart w:id="6" w:name="_MON_1180874854"/>
    <w:bookmarkStart w:id="7" w:name="_MON_1180875383"/>
    <w:bookmarkStart w:id="8" w:name="_MON_1180875663"/>
    <w:bookmarkStart w:id="9" w:name="_MON_1180875845"/>
    <w:bookmarkStart w:id="10" w:name="_MON_1180875908"/>
    <w:bookmarkStart w:id="11" w:name="_MON_1180876292"/>
    <w:bookmarkStart w:id="12" w:name="_MON_1180941471"/>
    <w:bookmarkStart w:id="13" w:name="_MON_1180941531"/>
    <w:bookmarkStart w:id="14" w:name="_MON_1180941560"/>
    <w:bookmarkStart w:id="15" w:name="_MON_1180941815"/>
    <w:bookmarkStart w:id="16" w:name="_MON_1180941840"/>
    <w:bookmarkEnd w:id="3"/>
    <w:bookmarkEnd w:id="4"/>
    <w:bookmarkEnd w:id="5"/>
    <w:bookmarkEnd w:id="6"/>
    <w:bookmarkEnd w:id="7"/>
    <w:bookmarkEnd w:id="8"/>
    <w:bookmarkEnd w:id="9"/>
    <w:bookmarkEnd w:id="10"/>
    <w:bookmarkEnd w:id="11"/>
    <w:bookmarkEnd w:id="12"/>
    <w:bookmarkEnd w:id="13"/>
    <w:bookmarkEnd w:id="14"/>
    <w:bookmarkEnd w:id="15"/>
    <w:bookmarkEnd w:id="16"/>
    <w:p w:rsidR="00000000" w:rsidRDefault="00000000">
      <w:pPr>
        <w:spacing w:line="240" w:lineRule="auto"/>
        <w:ind w:left="1260" w:right="1210"/>
        <w:jc w:val="both"/>
      </w:pPr>
      <w:r>
        <w:object w:dxaOrig="7474" w:dyaOrig="4241">
          <v:shape id="_x0000_i1026" type="#_x0000_t75" style="width:373.5pt;height:212.25pt" o:ole="" fillcolor="window">
            <v:imagedata r:id="rId16" o:title=""/>
          </v:shape>
          <o:OLEObject Type="Embed" ProgID="Excel.Sheet.8" ShapeID="_x0000_i1026" DrawAspect="Content" ObjectID="_1418863774" r:id="rId17">
            <o:FieldCodes>\s</o:FieldCodes>
          </o:OLEObject>
        </w:object>
      </w:r>
    </w:p>
    <w:p w:rsidR="00000000" w:rsidRDefault="00000000">
      <w:pPr>
        <w:spacing w:line="240" w:lineRule="auto"/>
        <w:ind w:left="1260"/>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117.</w:t>
      </w:r>
      <w:r>
        <w:tab/>
        <w:t>В итоге мы достигли нашу конечную цель - "обеспечение максимально широкого представительства женщин в органах законодательной власти". П</w:t>
      </w:r>
      <w:r>
        <w:t>у</w:t>
      </w:r>
      <w:r>
        <w:t>тем введения нормативных положений и соответствующих стандартов мы д</w:t>
      </w:r>
      <w:r>
        <w:t>о</w:t>
      </w:r>
      <w:r>
        <w:t>бились увеличения доли женщин среди кандидатов до 30 процентов, однако процентная доля женщин, избранных в органы законодательной власти всех уровней (в ходе последних выборов 2000 года) значительно ниже. Это объясн</w:t>
      </w:r>
      <w:r>
        <w:t>я</w:t>
      </w:r>
      <w:r>
        <w:t>ется использованием "открытых списков", когда каждый избиратель самосто</w:t>
      </w:r>
      <w:r>
        <w:t>я</w:t>
      </w:r>
      <w:r>
        <w:t>тельно выбирает кандидата, за которого он будет голосовать (в нашем случае избир</w:t>
      </w:r>
      <w:r>
        <w:t>а</w:t>
      </w:r>
      <w:r>
        <w:t>тели предпочли кандидатов-мужчин).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118.</w:t>
      </w:r>
      <w:r>
        <w:tab/>
        <w:t>Из анализа данных об участии представителей-женщин в деятельности рабочих групп законодательных органов на уровне государства, образований и кантонов следует, что женщины являются председателями 26 из 130 рабочих групп, что составляет 20 процентов. Согласно этим данным, в большинстве случаев женщинам предоставлена возможность (с учетом их представленности среди членов всех законодательных органов) руководить некоторыми рабочими гру</w:t>
      </w:r>
      <w:r>
        <w:t>п</w:t>
      </w:r>
      <w:r>
        <w:t>пами, занимающимися подготовкой парламентских сессий.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119.</w:t>
      </w:r>
      <w:r>
        <w:tab/>
        <w:t>Существует ряд факторов, которые препятствуют более активному уч</w:t>
      </w:r>
      <w:r>
        <w:t>а</w:t>
      </w:r>
      <w:r>
        <w:t>стию женщин в политической деятельности. Во-первых, речь идет о нашей давней традиции строго разграничивать выполнение обязанностей в семье. Женщина должна быть дома и заботиться о воспитании детей, а мужчины р</w:t>
      </w:r>
      <w:r>
        <w:t>а</w:t>
      </w:r>
      <w:r>
        <w:t>ботают вне дома и отвечают за материальное обеспечение семьи. Эта традиция влияет на уровень образования, поэтому юноши учатся в университетах, а д</w:t>
      </w:r>
      <w:r>
        <w:t>е</w:t>
      </w:r>
      <w:r>
        <w:t>вушки получают среднее образование. В Боснии и Герцеговине отсутствуют условия, которые позволили бы женщинам, желающим принять участие в п</w:t>
      </w:r>
      <w:r>
        <w:t>о</w:t>
      </w:r>
      <w:r>
        <w:t>литической жизни, посвятить себя этой деятельности (негде оставить детей, некому приготовить обед и выполнять другие виды домашней работы и т.д.), поскольку она занимает все свободное время. Женщинам не хватает времени для того, чтобы разработать свою избирательную программу, позволяющую познакомиться с ними избирателям, которые будут поддерживать их на выб</w:t>
      </w:r>
      <w:r>
        <w:t>о</w:t>
      </w:r>
      <w:r>
        <w:t>рах в органы законод</w:t>
      </w:r>
      <w:r>
        <w:t>а</w:t>
      </w:r>
      <w:r>
        <w:t>тельной власти.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tab/>
        <w:t xml:space="preserve">Суды и прокуратуры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120.</w:t>
      </w:r>
      <w:r>
        <w:tab/>
        <w:t>Согласно положениям действующей в Боснии и Герцеговине Констит</w:t>
      </w:r>
      <w:r>
        <w:t>у</w:t>
      </w:r>
      <w:r>
        <w:t>ции, судебная власть является автономной и действует независимо от органов исполнительной и законод</w:t>
      </w:r>
      <w:r>
        <w:t>а</w:t>
      </w:r>
      <w:r>
        <w:t>тельной власти.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Боснии и Герцеговине функционируют в общей сложности 100 судов (по два суда на уровне государства и образований, суд в округе Брчко и 93 суда местного уро</w:t>
      </w:r>
      <w:r>
        <w:t>в</w:t>
      </w:r>
      <w:r>
        <w:t>ня),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Из работающих в этих судах 934 судей 452, или 48,4 процента, являются женщинами.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Женщины составляют более высокую процентную долю в судах местного уровня: здесь работают 428 женщин, или 49,8 процента, а наивысший уровень представленности женщин отмечен в суде первой инстанции округа Брчко - 61,5 процента - и в Высшем суде Федерации Боснии и Герцеговины, где этот показатель составляет 56,3 процента. В судах на уровне государства и образ</w:t>
      </w:r>
      <w:r>
        <w:t>о</w:t>
      </w:r>
      <w:r>
        <w:t>ваний, а также в округе Брчко среди председателей судов женщины отсутств</w:t>
      </w:r>
      <w:r>
        <w:t>у</w:t>
      </w:r>
      <w:r>
        <w:t>ют.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Председателями 16 из 93 судов местного уровня являются женщины (17,2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7.2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Данные об участии женщин в органах судебной власти всех уровней Боснии и Герцеговины</w:t>
      </w:r>
    </w:p>
    <w:p w:rsidR="00000000" w:rsidRDefault="00000000">
      <w:pPr>
        <w:pStyle w:val="SingleTxt"/>
        <w:spacing w:after="0"/>
        <w:jc w:val="left"/>
        <w:rPr>
          <w:sz w:val="10"/>
        </w:rPr>
      </w:pPr>
    </w:p>
    <w:tbl>
      <w:tblPr>
        <w:tblW w:w="0" w:type="auto"/>
        <w:tblInd w:w="127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42"/>
        <w:gridCol w:w="900"/>
        <w:gridCol w:w="878"/>
        <w:gridCol w:w="879"/>
        <w:gridCol w:w="43"/>
        <w:gridCol w:w="836"/>
        <w:gridCol w:w="879"/>
      </w:tblGrid>
      <w:tr w:rsidR="00000000">
        <w:tblPrEx>
          <w:tblCellMar>
            <w:top w:w="0" w:type="dxa"/>
            <w:left w:w="0" w:type="dxa"/>
            <w:bottom w:w="0" w:type="dxa"/>
            <w:right w:w="0" w:type="dxa"/>
          </w:tblCellMar>
        </w:tblPrEx>
        <w:trPr>
          <w:cantSplit/>
          <w:tblHeader/>
        </w:trPr>
        <w:tc>
          <w:tcPr>
            <w:tcW w:w="3142" w:type="dxa"/>
            <w:vMerge w:val="restart"/>
            <w:tcBorders>
              <w:left w:val="nil"/>
              <w:bottom w:val="nil"/>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p>
        </w:tc>
        <w:tc>
          <w:tcPr>
            <w:tcW w:w="900" w:type="dxa"/>
            <w:vMerge w:val="restart"/>
            <w:tcBorders>
              <w:left w:val="nil"/>
              <w:bottom w:val="nil"/>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Количество с</w:t>
            </w:r>
            <w:r>
              <w:rPr>
                <w:i/>
                <w:sz w:val="14"/>
              </w:rPr>
              <w:t>у</w:t>
            </w:r>
            <w:r>
              <w:rPr>
                <w:i/>
                <w:sz w:val="14"/>
              </w:rPr>
              <w:t>дей, всего</w:t>
            </w:r>
          </w:p>
        </w:tc>
        <w:tc>
          <w:tcPr>
            <w:tcW w:w="1800" w:type="dxa"/>
            <w:gridSpan w:val="3"/>
            <w:tcBorders>
              <w:left w:val="nil"/>
              <w:bottom w:val="nil"/>
              <w:right w:val="nil"/>
            </w:tcBorders>
            <w:vAlign w:val="bottom"/>
          </w:tcPr>
          <w:p w:rsidR="00000000" w:rsidRDefault="00000000">
            <w:pPr>
              <w:tabs>
                <w:tab w:val="left" w:pos="288"/>
                <w:tab w:val="left" w:pos="576"/>
                <w:tab w:val="left" w:pos="864"/>
              </w:tabs>
              <w:spacing w:before="100" w:after="81" w:line="210" w:lineRule="exact"/>
              <w:ind w:right="43"/>
              <w:jc w:val="center"/>
              <w:rPr>
                <w:i/>
                <w:sz w:val="14"/>
              </w:rPr>
            </w:pPr>
            <w:r>
              <w:rPr>
                <w:i/>
                <w:sz w:val="14"/>
              </w:rPr>
              <w:t>Женщины</w:t>
            </w:r>
          </w:p>
        </w:tc>
        <w:tc>
          <w:tcPr>
            <w:tcW w:w="1715" w:type="dxa"/>
            <w:gridSpan w:val="2"/>
            <w:tcBorders>
              <w:left w:val="nil"/>
              <w:bottom w:val="nil"/>
              <w:right w:val="nil"/>
            </w:tcBorders>
            <w:vAlign w:val="bottom"/>
          </w:tcPr>
          <w:p w:rsidR="00000000" w:rsidRDefault="00000000">
            <w:pPr>
              <w:tabs>
                <w:tab w:val="left" w:pos="288"/>
                <w:tab w:val="left" w:pos="576"/>
                <w:tab w:val="left" w:pos="864"/>
                <w:tab w:val="left" w:pos="1152"/>
              </w:tabs>
              <w:spacing w:before="100" w:after="81" w:line="210" w:lineRule="exact"/>
              <w:ind w:right="43"/>
              <w:jc w:val="center"/>
              <w:rPr>
                <w:i/>
                <w:sz w:val="14"/>
              </w:rPr>
            </w:pPr>
            <w:r>
              <w:rPr>
                <w:i/>
                <w:sz w:val="14"/>
              </w:rPr>
              <w:t>Мужчины</w:t>
            </w:r>
          </w:p>
        </w:tc>
      </w:tr>
      <w:tr w:rsidR="00000000">
        <w:tblPrEx>
          <w:tblCellMar>
            <w:top w:w="0" w:type="dxa"/>
            <w:left w:w="0" w:type="dxa"/>
            <w:bottom w:w="0" w:type="dxa"/>
            <w:right w:w="0" w:type="dxa"/>
          </w:tblCellMar>
        </w:tblPrEx>
        <w:trPr>
          <w:cantSplit/>
          <w:tblHeader/>
        </w:trPr>
        <w:tc>
          <w:tcPr>
            <w:tcW w:w="3142" w:type="dxa"/>
            <w:vMerge/>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p>
        </w:tc>
        <w:tc>
          <w:tcPr>
            <w:tcW w:w="900" w:type="dxa"/>
            <w:vMerge/>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p>
        </w:tc>
        <w:tc>
          <w:tcPr>
            <w:tcW w:w="878"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Количество</w:t>
            </w:r>
          </w:p>
        </w:tc>
        <w:tc>
          <w:tcPr>
            <w:tcW w:w="879" w:type="dxa"/>
            <w:tcBorders>
              <w:left w:val="nil"/>
              <w:bottom w:val="single" w:sz="12" w:space="0" w:color="auto"/>
              <w:right w:val="nil"/>
            </w:tcBorders>
            <w:vAlign w:val="bottom"/>
          </w:tcPr>
          <w:p w:rsidR="00000000" w:rsidRDefault="00000000">
            <w:pPr>
              <w:tabs>
                <w:tab w:val="left" w:pos="288"/>
                <w:tab w:val="left" w:pos="576"/>
                <w:tab w:val="left" w:pos="864"/>
              </w:tabs>
              <w:spacing w:before="100" w:after="81" w:line="210" w:lineRule="exact"/>
              <w:ind w:right="43"/>
              <w:jc w:val="right"/>
              <w:rPr>
                <w:i/>
                <w:sz w:val="14"/>
              </w:rPr>
            </w:pPr>
            <w:r>
              <w:rPr>
                <w:i/>
                <w:sz w:val="14"/>
              </w:rPr>
              <w:t>Проценты</w:t>
            </w:r>
          </w:p>
        </w:tc>
        <w:tc>
          <w:tcPr>
            <w:tcW w:w="879" w:type="dxa"/>
            <w:gridSpan w:val="2"/>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Количество</w:t>
            </w:r>
          </w:p>
        </w:tc>
        <w:tc>
          <w:tcPr>
            <w:tcW w:w="879"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Проценты</w:t>
            </w:r>
          </w:p>
        </w:tc>
      </w:tr>
      <w:tr w:rsidR="00000000">
        <w:tblPrEx>
          <w:tblCellMar>
            <w:top w:w="0" w:type="dxa"/>
            <w:left w:w="0" w:type="dxa"/>
            <w:bottom w:w="0" w:type="dxa"/>
            <w:right w:w="0" w:type="dxa"/>
          </w:tblCellMar>
        </w:tblPrEx>
        <w:trPr>
          <w:trHeight w:hRule="exact" w:val="115"/>
          <w:tblHeader/>
        </w:trPr>
        <w:tc>
          <w:tcPr>
            <w:tcW w:w="314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4"/>
              </w:rPr>
            </w:pPr>
          </w:p>
        </w:tc>
        <w:tc>
          <w:tcPr>
            <w:tcW w:w="900"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4"/>
              </w:rPr>
            </w:pPr>
          </w:p>
        </w:tc>
        <w:tc>
          <w:tcPr>
            <w:tcW w:w="878"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4"/>
              </w:rPr>
            </w:pPr>
          </w:p>
        </w:tc>
        <w:tc>
          <w:tcPr>
            <w:tcW w:w="879" w:type="dxa"/>
            <w:tcBorders>
              <w:top w:val="single" w:sz="12" w:space="0" w:color="auto"/>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4"/>
              </w:rPr>
            </w:pPr>
          </w:p>
        </w:tc>
        <w:tc>
          <w:tcPr>
            <w:tcW w:w="879" w:type="dxa"/>
            <w:gridSpan w:val="2"/>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4"/>
              </w:rPr>
            </w:pPr>
          </w:p>
        </w:tc>
        <w:tc>
          <w:tcPr>
            <w:tcW w:w="879"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4"/>
              </w:rPr>
            </w:pP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Конституционный суд Боснии и Герц</w:t>
            </w:r>
            <w:r>
              <w:rPr>
                <w:sz w:val="17"/>
              </w:rPr>
              <w:t>е</w:t>
            </w:r>
            <w:r>
              <w:rPr>
                <w:sz w:val="17"/>
              </w:rPr>
              <w:t>говины</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79" w:type="dxa"/>
            <w:tcBorders>
              <w:top w:val="nil"/>
              <w:left w:val="nil"/>
              <w:bottom w:val="nil"/>
              <w:right w:val="nil"/>
            </w:tcBorders>
            <w:vAlign w:val="bottom"/>
          </w:tcPr>
          <w:p w:rsidR="00000000" w:rsidRDefault="00000000">
            <w:pPr>
              <w:tabs>
                <w:tab w:val="left" w:pos="288"/>
                <w:tab w:val="left" w:pos="576"/>
                <w:tab w:val="left" w:pos="982"/>
              </w:tabs>
              <w:spacing w:before="40" w:after="40" w:line="210" w:lineRule="exact"/>
              <w:ind w:right="43"/>
              <w:jc w:val="right"/>
              <w:rPr>
                <w:sz w:val="17"/>
              </w:rPr>
            </w:pPr>
            <w:r>
              <w:rPr>
                <w:sz w:val="17"/>
              </w:rPr>
              <w:t>22,2</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77,8</w:t>
            </w: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Департамент апелляций</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79" w:type="dxa"/>
            <w:tcBorders>
              <w:top w:val="nil"/>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16,6</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83,3</w:t>
            </w: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Конституционный суд Федерации Бо</w:t>
            </w:r>
            <w:r>
              <w:rPr>
                <w:sz w:val="17"/>
              </w:rPr>
              <w:t>с</w:t>
            </w:r>
            <w:r>
              <w:rPr>
                <w:sz w:val="17"/>
              </w:rPr>
              <w:t>нии и Герцеговины</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79" w:type="dxa"/>
            <w:tcBorders>
              <w:top w:val="nil"/>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22,2</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77,8</w:t>
            </w: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Конституционный суд Республики Сербская</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79" w:type="dxa"/>
            <w:tcBorders>
              <w:top w:val="nil"/>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16,6</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83,3</w:t>
            </w: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Верховный суд Федерации Боснии и Герцеговины</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79" w:type="dxa"/>
            <w:tcBorders>
              <w:top w:val="nil"/>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56,3</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43,7</w:t>
            </w: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Верховный суд Республики Сербская</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79" w:type="dxa"/>
            <w:tcBorders>
              <w:top w:val="nil"/>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6,25</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15</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93,7</w:t>
            </w: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Суд округа Брчко</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79" w:type="dxa"/>
            <w:tcBorders>
              <w:top w:val="nil"/>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61,5</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38,5</w:t>
            </w: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Кантональные и муниципальные суды Федерации Боснии и Герцеговины</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879" w:type="dxa"/>
            <w:tcBorders>
              <w:top w:val="nil"/>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55,0</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264</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45,0</w:t>
            </w:r>
          </w:p>
        </w:tc>
      </w:tr>
      <w:tr w:rsidR="00000000">
        <w:tblPrEx>
          <w:tblCellMar>
            <w:top w:w="0" w:type="dxa"/>
            <w:left w:w="0" w:type="dxa"/>
            <w:bottom w:w="0" w:type="dxa"/>
            <w:right w:w="0" w:type="dxa"/>
          </w:tblCellMar>
        </w:tblPrEx>
        <w:tc>
          <w:tcPr>
            <w:tcW w:w="314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Окружные и районные суды Республ</w:t>
            </w:r>
            <w:r>
              <w:rPr>
                <w:sz w:val="17"/>
              </w:rPr>
              <w:t>и</w:t>
            </w:r>
            <w:r>
              <w:rPr>
                <w:sz w:val="17"/>
              </w:rPr>
              <w:t>ки Сербская</w:t>
            </w:r>
          </w:p>
        </w:tc>
        <w:tc>
          <w:tcPr>
            <w:tcW w:w="90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c>
          <w:tcPr>
            <w:tcW w:w="87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879" w:type="dxa"/>
            <w:tcBorders>
              <w:top w:val="nil"/>
              <w:left w:val="nil"/>
              <w:bottom w:val="single" w:sz="12" w:space="0" w:color="auto"/>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38,6</w:t>
            </w:r>
          </w:p>
        </w:tc>
        <w:tc>
          <w:tcPr>
            <w:tcW w:w="879" w:type="dxa"/>
            <w:gridSpan w:val="2"/>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167</w:t>
            </w:r>
          </w:p>
        </w:tc>
        <w:tc>
          <w:tcPr>
            <w:tcW w:w="879"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61,4</w:t>
            </w:r>
          </w:p>
        </w:tc>
      </w:tr>
    </w:tbl>
    <w:p w:rsidR="00000000" w:rsidRDefault="00000000">
      <w:pPr>
        <w:pStyle w:val="SingleTxt"/>
        <w:spacing w:after="0" w:line="100" w:lineRule="exact"/>
        <w:ind w:left="1264" w:right="1264"/>
        <w:jc w:val="left"/>
        <w:rPr>
          <w:sz w:val="10"/>
        </w:rPr>
      </w:pPr>
    </w:p>
    <w:p w:rsidR="00000000" w:rsidRDefault="00000000">
      <w:pPr>
        <w:pStyle w:val="SingleTxt"/>
        <w:spacing w:after="0" w:line="10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121.</w:t>
      </w:r>
      <w:r>
        <w:tab/>
        <w:t>Вышеприведенные данные говорят о том, что при назначении председат</w:t>
      </w:r>
      <w:r>
        <w:t>е</w:t>
      </w:r>
      <w:r>
        <w:t>лей судов предпочтение в основном отдается мужчинам, а не женщинам. Сл</w:t>
      </w:r>
      <w:r>
        <w:t>е</w:t>
      </w:r>
      <w:r>
        <w:t>довательно, независимо от уровня квалификации, опыта и знаний, более отве</w:t>
      </w:r>
      <w:r>
        <w:t>т</w:t>
      </w:r>
      <w:r>
        <w:t>ственные и более высокооплачиваемые руководящие должности занимают мужчины, и, следовательно, женщинам не предоставлены равные возможн</w:t>
      </w:r>
      <w:r>
        <w:t>о</w:t>
      </w:r>
      <w:r>
        <w:t>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tab/>
        <w:t xml:space="preserve">Прокуроры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122.</w:t>
      </w:r>
      <w:r>
        <w:tab/>
        <w:t>На территории Боснии и Герцеговины насчитывается в общей сложности 85 прокуратур (две прокуратуры на уровне образования, одна - в округе Брчко и 82 - на местах). На должности прокуроров работают 127 человек, из которых 47, или 37 процентов, являются женщ</w:t>
      </w:r>
      <w:r>
        <w:t>и</w:t>
      </w:r>
      <w:r>
        <w:t xml:space="preserve">нами.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r>
        <w:rPr>
          <w:sz w:val="10"/>
        </w:rPr>
        <w:br w:type="page"/>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7.3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Женщины в составе прокуратур</w:t>
      </w:r>
    </w:p>
    <w:p w:rsidR="00000000" w:rsidRDefault="00000000">
      <w:pPr>
        <w:pStyle w:val="SingleTxt"/>
        <w:spacing w:after="0"/>
        <w:jc w:val="left"/>
        <w:rPr>
          <w:sz w:val="10"/>
        </w:rPr>
      </w:pPr>
    </w:p>
    <w:tbl>
      <w:tblPr>
        <w:tblW w:w="0" w:type="auto"/>
        <w:tblInd w:w="127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42"/>
        <w:gridCol w:w="900"/>
        <w:gridCol w:w="878"/>
        <w:gridCol w:w="879"/>
        <w:gridCol w:w="43"/>
        <w:gridCol w:w="836"/>
        <w:gridCol w:w="879"/>
      </w:tblGrid>
      <w:tr w:rsidR="00000000">
        <w:tblPrEx>
          <w:tblCellMar>
            <w:top w:w="0" w:type="dxa"/>
            <w:left w:w="0" w:type="dxa"/>
            <w:bottom w:w="0" w:type="dxa"/>
            <w:right w:w="0" w:type="dxa"/>
          </w:tblCellMar>
        </w:tblPrEx>
        <w:trPr>
          <w:cantSplit/>
          <w:tblHeader/>
        </w:trPr>
        <w:tc>
          <w:tcPr>
            <w:tcW w:w="3142" w:type="dxa"/>
            <w:vMerge w:val="restart"/>
            <w:tcBorders>
              <w:left w:val="nil"/>
              <w:bottom w:val="nil"/>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p>
        </w:tc>
        <w:tc>
          <w:tcPr>
            <w:tcW w:w="900" w:type="dxa"/>
            <w:vMerge w:val="restart"/>
            <w:tcBorders>
              <w:left w:val="nil"/>
              <w:bottom w:val="nil"/>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Количество с</w:t>
            </w:r>
            <w:r>
              <w:rPr>
                <w:i/>
                <w:sz w:val="14"/>
              </w:rPr>
              <w:t>у</w:t>
            </w:r>
            <w:r>
              <w:rPr>
                <w:i/>
                <w:sz w:val="14"/>
              </w:rPr>
              <w:t>дей, всего</w:t>
            </w:r>
          </w:p>
        </w:tc>
        <w:tc>
          <w:tcPr>
            <w:tcW w:w="1800" w:type="dxa"/>
            <w:gridSpan w:val="3"/>
            <w:tcBorders>
              <w:left w:val="nil"/>
              <w:bottom w:val="nil"/>
              <w:right w:val="nil"/>
            </w:tcBorders>
            <w:vAlign w:val="bottom"/>
          </w:tcPr>
          <w:p w:rsidR="00000000" w:rsidRDefault="00000000">
            <w:pPr>
              <w:tabs>
                <w:tab w:val="left" w:pos="288"/>
                <w:tab w:val="left" w:pos="576"/>
                <w:tab w:val="left" w:pos="864"/>
              </w:tabs>
              <w:spacing w:before="100" w:after="81" w:line="210" w:lineRule="exact"/>
              <w:ind w:right="43"/>
              <w:jc w:val="center"/>
              <w:rPr>
                <w:i/>
                <w:sz w:val="14"/>
              </w:rPr>
            </w:pPr>
            <w:r>
              <w:rPr>
                <w:i/>
                <w:sz w:val="14"/>
              </w:rPr>
              <w:t>Женщины</w:t>
            </w:r>
          </w:p>
        </w:tc>
        <w:tc>
          <w:tcPr>
            <w:tcW w:w="1715" w:type="dxa"/>
            <w:gridSpan w:val="2"/>
            <w:tcBorders>
              <w:left w:val="nil"/>
              <w:bottom w:val="nil"/>
              <w:right w:val="nil"/>
            </w:tcBorders>
            <w:vAlign w:val="bottom"/>
          </w:tcPr>
          <w:p w:rsidR="00000000" w:rsidRDefault="00000000">
            <w:pPr>
              <w:tabs>
                <w:tab w:val="left" w:pos="288"/>
                <w:tab w:val="left" w:pos="576"/>
                <w:tab w:val="left" w:pos="864"/>
                <w:tab w:val="left" w:pos="1152"/>
              </w:tabs>
              <w:spacing w:before="100" w:after="81" w:line="210" w:lineRule="exact"/>
              <w:ind w:right="43"/>
              <w:jc w:val="center"/>
              <w:rPr>
                <w:i/>
                <w:sz w:val="14"/>
              </w:rPr>
            </w:pPr>
            <w:r>
              <w:rPr>
                <w:i/>
                <w:sz w:val="14"/>
              </w:rPr>
              <w:t>Мужчины</w:t>
            </w:r>
          </w:p>
        </w:tc>
      </w:tr>
      <w:tr w:rsidR="00000000">
        <w:tblPrEx>
          <w:tblCellMar>
            <w:top w:w="0" w:type="dxa"/>
            <w:left w:w="0" w:type="dxa"/>
            <w:bottom w:w="0" w:type="dxa"/>
            <w:right w:w="0" w:type="dxa"/>
          </w:tblCellMar>
        </w:tblPrEx>
        <w:trPr>
          <w:cantSplit/>
          <w:tblHeader/>
        </w:trPr>
        <w:tc>
          <w:tcPr>
            <w:tcW w:w="3142" w:type="dxa"/>
            <w:vMerge/>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p>
        </w:tc>
        <w:tc>
          <w:tcPr>
            <w:tcW w:w="900" w:type="dxa"/>
            <w:vMerge/>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p>
        </w:tc>
        <w:tc>
          <w:tcPr>
            <w:tcW w:w="878"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Нет</w:t>
            </w:r>
          </w:p>
        </w:tc>
        <w:tc>
          <w:tcPr>
            <w:tcW w:w="879" w:type="dxa"/>
            <w:tcBorders>
              <w:left w:val="nil"/>
              <w:bottom w:val="single" w:sz="12" w:space="0" w:color="auto"/>
              <w:right w:val="nil"/>
            </w:tcBorders>
            <w:vAlign w:val="bottom"/>
          </w:tcPr>
          <w:p w:rsidR="00000000" w:rsidRDefault="00000000">
            <w:pPr>
              <w:tabs>
                <w:tab w:val="left" w:pos="288"/>
                <w:tab w:val="left" w:pos="576"/>
                <w:tab w:val="left" w:pos="864"/>
              </w:tabs>
              <w:spacing w:before="100" w:after="81" w:line="210" w:lineRule="exact"/>
              <w:ind w:right="43"/>
              <w:jc w:val="right"/>
              <w:rPr>
                <w:i/>
                <w:sz w:val="14"/>
              </w:rPr>
            </w:pPr>
            <w:r>
              <w:rPr>
                <w:i/>
                <w:sz w:val="14"/>
              </w:rPr>
              <w:t>Проценты</w:t>
            </w:r>
          </w:p>
        </w:tc>
        <w:tc>
          <w:tcPr>
            <w:tcW w:w="879" w:type="dxa"/>
            <w:gridSpan w:val="2"/>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Нет</w:t>
            </w:r>
          </w:p>
        </w:tc>
        <w:tc>
          <w:tcPr>
            <w:tcW w:w="879"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Проценты</w:t>
            </w:r>
          </w:p>
        </w:tc>
      </w:tr>
      <w:tr w:rsidR="00000000">
        <w:tblPrEx>
          <w:tblCellMar>
            <w:top w:w="0" w:type="dxa"/>
            <w:left w:w="0" w:type="dxa"/>
            <w:bottom w:w="0" w:type="dxa"/>
            <w:right w:w="0" w:type="dxa"/>
          </w:tblCellMar>
        </w:tblPrEx>
        <w:trPr>
          <w:trHeight w:hRule="exact" w:val="115"/>
          <w:tblHeader/>
        </w:trPr>
        <w:tc>
          <w:tcPr>
            <w:tcW w:w="314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4"/>
              </w:rPr>
            </w:pPr>
          </w:p>
        </w:tc>
        <w:tc>
          <w:tcPr>
            <w:tcW w:w="900"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4"/>
              </w:rPr>
            </w:pPr>
          </w:p>
        </w:tc>
        <w:tc>
          <w:tcPr>
            <w:tcW w:w="878"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4"/>
              </w:rPr>
            </w:pPr>
          </w:p>
        </w:tc>
        <w:tc>
          <w:tcPr>
            <w:tcW w:w="879" w:type="dxa"/>
            <w:tcBorders>
              <w:top w:val="single" w:sz="12" w:space="0" w:color="auto"/>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4"/>
              </w:rPr>
            </w:pPr>
          </w:p>
        </w:tc>
        <w:tc>
          <w:tcPr>
            <w:tcW w:w="879" w:type="dxa"/>
            <w:gridSpan w:val="2"/>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4"/>
              </w:rPr>
            </w:pPr>
          </w:p>
        </w:tc>
        <w:tc>
          <w:tcPr>
            <w:tcW w:w="879"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4"/>
              </w:rPr>
            </w:pP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Прокуроры, Федерация Боснии и Ге</w:t>
            </w:r>
            <w:r>
              <w:rPr>
                <w:sz w:val="17"/>
              </w:rPr>
              <w:t>р</w:t>
            </w:r>
            <w:r>
              <w:rPr>
                <w:sz w:val="17"/>
              </w:rPr>
              <w:t>цеговины</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79" w:type="dxa"/>
            <w:tcBorders>
              <w:top w:val="nil"/>
              <w:left w:val="nil"/>
              <w:bottom w:val="nil"/>
              <w:right w:val="nil"/>
            </w:tcBorders>
            <w:vAlign w:val="bottom"/>
          </w:tcPr>
          <w:p w:rsidR="00000000" w:rsidRDefault="00000000">
            <w:pPr>
              <w:tabs>
                <w:tab w:val="left" w:pos="288"/>
                <w:tab w:val="left" w:pos="576"/>
                <w:tab w:val="left" w:pos="982"/>
              </w:tabs>
              <w:spacing w:before="40" w:after="40" w:line="210" w:lineRule="exact"/>
              <w:ind w:right="43"/>
              <w:jc w:val="right"/>
              <w:rPr>
                <w:sz w:val="17"/>
              </w:rPr>
            </w:pPr>
            <w:r>
              <w:rPr>
                <w:sz w:val="17"/>
              </w:rPr>
              <w:t>34</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35</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66</w:t>
            </w: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Прокуроры, Республика Сербская</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879" w:type="dxa"/>
            <w:tcBorders>
              <w:top w:val="nil"/>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38</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44</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62</w:t>
            </w:r>
          </w:p>
        </w:tc>
      </w:tr>
      <w:tr w:rsidR="00000000">
        <w:tblPrEx>
          <w:tblCellMar>
            <w:top w:w="0" w:type="dxa"/>
            <w:left w:w="0" w:type="dxa"/>
            <w:bottom w:w="0" w:type="dxa"/>
            <w:right w:w="0" w:type="dxa"/>
          </w:tblCellMar>
        </w:tblPrEx>
        <w:tc>
          <w:tcPr>
            <w:tcW w:w="314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Прокуроры, округ Брчко </w:t>
            </w:r>
          </w:p>
        </w:tc>
        <w:tc>
          <w:tcPr>
            <w:tcW w:w="90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7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79" w:type="dxa"/>
            <w:tcBorders>
              <w:top w:val="nil"/>
              <w:left w:val="nil"/>
              <w:bottom w:val="single" w:sz="12" w:space="0" w:color="auto"/>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0</w:t>
            </w:r>
          </w:p>
        </w:tc>
        <w:tc>
          <w:tcPr>
            <w:tcW w:w="879" w:type="dxa"/>
            <w:gridSpan w:val="2"/>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79"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100</w:t>
            </w:r>
          </w:p>
        </w:tc>
      </w:tr>
    </w:tbl>
    <w:p w:rsidR="00000000" w:rsidRDefault="00000000">
      <w:pPr>
        <w:pStyle w:val="SingleTxt"/>
        <w:spacing w:after="0" w:line="10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123.</w:t>
      </w:r>
      <w:r>
        <w:tab/>
        <w:t>Проведение судебной реформы, которая позволит сократить число судов и прокуратур на местных уровнях, еще не завершено на всей территории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tab/>
        <w:t xml:space="preserve">Органы исполнительной власти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124.</w:t>
      </w:r>
      <w:r>
        <w:tab/>
        <w:t>Данные о числе женщин, занимающих высшие должности в органах и</w:t>
      </w:r>
      <w:r>
        <w:t>с</w:t>
      </w:r>
      <w:r>
        <w:t>полнительной власти на государственном, федеральном и кантональном уро</w:t>
      </w:r>
      <w:r>
        <w:t>в</w:t>
      </w:r>
      <w:r>
        <w:t>нях, указывают на невысокий уровень их представленности. В результате всех послевоенных выборов (1996-2000 годы) ни одна из женщин не была избрана в состав Президиума Боснии и Герцеговины, а также на должность председат</w:t>
      </w:r>
      <w:r>
        <w:t>е</w:t>
      </w:r>
      <w:r>
        <w:t>ля/сопредседателя Федерации Боснии и Герцеговины или премьер-министра образов</w:t>
      </w:r>
      <w:r>
        <w:t>а</w:t>
      </w:r>
      <w:r>
        <w:t>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125.</w:t>
      </w:r>
      <w:r>
        <w:tab/>
        <w:t>Среди шести членов Совета министров Боснии и Герцеговины насчит</w:t>
      </w:r>
      <w:r>
        <w:t>ы</w:t>
      </w:r>
      <w:r>
        <w:t>вается одна женщина (16,7 процента), а из 15 членов правительства Федерации Боснии и Герцеговины две женщины (13,3 процента) являются министрами (сельского хозяйства и по делам ветеранов войны), а из 19 членов правительс</w:t>
      </w:r>
      <w:r>
        <w:t>т</w:t>
      </w:r>
      <w:r>
        <w:t>ва Республики Сербская одна женщина работает в должности министра юст</w:t>
      </w:r>
      <w:r>
        <w:t>и</w:t>
      </w:r>
      <w:r>
        <w:t>ции. Председателями всех 10 кантонов являются мужчины, а в составе более чем 100 кантональных министров  насчитывается восемь женщин (министры юстиции, жилищного строительства, социальной защиты и труда и образов</w:t>
      </w:r>
      <w:r>
        <w:t>а</w:t>
      </w:r>
      <w:r>
        <w:t>ния) - да</w:t>
      </w:r>
      <w:r>
        <w:t>н</w:t>
      </w:r>
      <w:r>
        <w:t>ные за 2000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126.</w:t>
      </w:r>
      <w:r>
        <w:tab/>
        <w:t>В государственных институтах, округе Брчко и министерствах образов</w:t>
      </w:r>
      <w:r>
        <w:t>а</w:t>
      </w:r>
      <w:r>
        <w:t>ний на руководящих должностях работают в общей сложности 540 человек, из которых 136, или 25 процентов, являются женщинами. На территории Боснии и Герцеговины в составе руководящих советов насчитывается 3310 членов, н</w:t>
      </w:r>
      <w:r>
        <w:t>а</w:t>
      </w:r>
      <w:r>
        <w:t>значаемых правительствами, среди которых 771, или 23,3 процента, являются женщинами. Члены руководящих советов обычно получают вознаграждение за свою работу и принимают решения преимущественно в пользу мужчин, а не женщин. Среди руководителей 486 образовательных заведений, действующих на территории Федерации Боснии и Герцеговины, насчитывается 85 женщин (17,5 процента), а в 137 организациях здравоохранения работают 37, или 27 процентов, женщин-директоров. В 198 начальных школах в Республике Сербской среди директоров насчитывается только 25, или 15 процентов же</w:t>
      </w:r>
      <w:r>
        <w:t>н</w:t>
      </w:r>
      <w:r>
        <w:t>щин (в районах, где в школах в основном работают женщины).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7.4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Женщин в составе органов исполнительной власти</w:t>
      </w:r>
    </w:p>
    <w:p w:rsidR="00000000" w:rsidRDefault="00000000">
      <w:pPr>
        <w:pStyle w:val="SingleTxt"/>
        <w:spacing w:after="0"/>
        <w:jc w:val="left"/>
        <w:rPr>
          <w:sz w:val="10"/>
        </w:rPr>
      </w:pPr>
    </w:p>
    <w:tbl>
      <w:tblPr>
        <w:tblW w:w="0" w:type="auto"/>
        <w:tblInd w:w="127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42"/>
        <w:gridCol w:w="900"/>
        <w:gridCol w:w="878"/>
        <w:gridCol w:w="879"/>
        <w:gridCol w:w="43"/>
        <w:gridCol w:w="836"/>
        <w:gridCol w:w="879"/>
      </w:tblGrid>
      <w:tr w:rsidR="00000000">
        <w:tblPrEx>
          <w:tblCellMar>
            <w:top w:w="0" w:type="dxa"/>
            <w:left w:w="0" w:type="dxa"/>
            <w:bottom w:w="0" w:type="dxa"/>
            <w:right w:w="0" w:type="dxa"/>
          </w:tblCellMar>
        </w:tblPrEx>
        <w:trPr>
          <w:cantSplit/>
          <w:tblHeader/>
        </w:trPr>
        <w:tc>
          <w:tcPr>
            <w:tcW w:w="7557" w:type="dxa"/>
            <w:gridSpan w:val="7"/>
            <w:tcBorders>
              <w:top w:val="single" w:sz="4" w:space="0" w:color="auto"/>
              <w:left w:val="nil"/>
              <w:bottom w:val="nil"/>
              <w:right w:val="nil"/>
            </w:tcBorders>
            <w:vAlign w:val="bottom"/>
          </w:tcPr>
          <w:p w:rsidR="00000000" w:rsidRDefault="00000000">
            <w:pPr>
              <w:tabs>
                <w:tab w:val="left" w:pos="288"/>
                <w:tab w:val="left" w:pos="576"/>
                <w:tab w:val="left" w:pos="864"/>
                <w:tab w:val="left" w:pos="1152"/>
              </w:tabs>
              <w:spacing w:before="100" w:after="81" w:line="210" w:lineRule="exact"/>
              <w:ind w:right="43"/>
              <w:jc w:val="center"/>
              <w:rPr>
                <w:i/>
                <w:sz w:val="14"/>
              </w:rPr>
            </w:pPr>
            <w:r>
              <w:rPr>
                <w:i/>
                <w:sz w:val="14"/>
              </w:rPr>
              <w:t>Женщины в составе органов исполнительной власти</w:t>
            </w:r>
          </w:p>
        </w:tc>
      </w:tr>
      <w:tr w:rsidR="00000000">
        <w:tblPrEx>
          <w:tblCellMar>
            <w:top w:w="0" w:type="dxa"/>
            <w:left w:w="0" w:type="dxa"/>
            <w:bottom w:w="0" w:type="dxa"/>
            <w:right w:w="0" w:type="dxa"/>
          </w:tblCellMar>
        </w:tblPrEx>
        <w:trPr>
          <w:cantSplit/>
          <w:tblHeader/>
        </w:trPr>
        <w:tc>
          <w:tcPr>
            <w:tcW w:w="3142" w:type="dxa"/>
            <w:vMerge w:val="restart"/>
            <w:tcBorders>
              <w:left w:val="nil"/>
              <w:bottom w:val="nil"/>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p>
        </w:tc>
        <w:tc>
          <w:tcPr>
            <w:tcW w:w="900" w:type="dxa"/>
            <w:vMerge w:val="restart"/>
            <w:tcBorders>
              <w:left w:val="nil"/>
              <w:bottom w:val="nil"/>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Общее ч</w:t>
            </w:r>
            <w:r>
              <w:rPr>
                <w:i/>
                <w:sz w:val="14"/>
              </w:rPr>
              <w:t>и</w:t>
            </w:r>
            <w:r>
              <w:rPr>
                <w:i/>
                <w:sz w:val="14"/>
              </w:rPr>
              <w:t>сло</w:t>
            </w:r>
          </w:p>
        </w:tc>
        <w:tc>
          <w:tcPr>
            <w:tcW w:w="1800" w:type="dxa"/>
            <w:gridSpan w:val="3"/>
            <w:tcBorders>
              <w:left w:val="nil"/>
              <w:bottom w:val="nil"/>
              <w:right w:val="nil"/>
            </w:tcBorders>
            <w:vAlign w:val="bottom"/>
          </w:tcPr>
          <w:p w:rsidR="00000000" w:rsidRDefault="00000000">
            <w:pPr>
              <w:tabs>
                <w:tab w:val="left" w:pos="288"/>
                <w:tab w:val="left" w:pos="576"/>
                <w:tab w:val="left" w:pos="864"/>
              </w:tabs>
              <w:spacing w:before="100" w:after="81" w:line="210" w:lineRule="exact"/>
              <w:ind w:right="43"/>
              <w:jc w:val="center"/>
              <w:rPr>
                <w:i/>
                <w:sz w:val="14"/>
              </w:rPr>
            </w:pPr>
            <w:r>
              <w:rPr>
                <w:i/>
                <w:sz w:val="14"/>
              </w:rPr>
              <w:t>Женщины</w:t>
            </w:r>
          </w:p>
        </w:tc>
        <w:tc>
          <w:tcPr>
            <w:tcW w:w="1715" w:type="dxa"/>
            <w:gridSpan w:val="2"/>
            <w:tcBorders>
              <w:left w:val="nil"/>
              <w:bottom w:val="nil"/>
              <w:right w:val="nil"/>
            </w:tcBorders>
            <w:vAlign w:val="bottom"/>
          </w:tcPr>
          <w:p w:rsidR="00000000" w:rsidRDefault="00000000">
            <w:pPr>
              <w:tabs>
                <w:tab w:val="left" w:pos="288"/>
                <w:tab w:val="left" w:pos="576"/>
                <w:tab w:val="left" w:pos="864"/>
                <w:tab w:val="left" w:pos="1152"/>
              </w:tabs>
              <w:spacing w:before="100" w:after="81" w:line="210" w:lineRule="exact"/>
              <w:ind w:right="43"/>
              <w:jc w:val="center"/>
              <w:rPr>
                <w:i/>
                <w:sz w:val="14"/>
              </w:rPr>
            </w:pPr>
            <w:r>
              <w:rPr>
                <w:i/>
                <w:sz w:val="14"/>
              </w:rPr>
              <w:t>Мужчины</w:t>
            </w:r>
          </w:p>
        </w:tc>
      </w:tr>
      <w:tr w:rsidR="00000000">
        <w:tblPrEx>
          <w:tblCellMar>
            <w:top w:w="0" w:type="dxa"/>
            <w:left w:w="0" w:type="dxa"/>
            <w:bottom w:w="0" w:type="dxa"/>
            <w:right w:w="0" w:type="dxa"/>
          </w:tblCellMar>
        </w:tblPrEx>
        <w:trPr>
          <w:cantSplit/>
          <w:tblHeader/>
        </w:trPr>
        <w:tc>
          <w:tcPr>
            <w:tcW w:w="3142" w:type="dxa"/>
            <w:vMerge/>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p>
        </w:tc>
        <w:tc>
          <w:tcPr>
            <w:tcW w:w="900" w:type="dxa"/>
            <w:vMerge/>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p>
        </w:tc>
        <w:tc>
          <w:tcPr>
            <w:tcW w:w="878"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Число</w:t>
            </w:r>
          </w:p>
        </w:tc>
        <w:tc>
          <w:tcPr>
            <w:tcW w:w="879" w:type="dxa"/>
            <w:tcBorders>
              <w:left w:val="nil"/>
              <w:bottom w:val="single" w:sz="12" w:space="0" w:color="auto"/>
              <w:right w:val="nil"/>
            </w:tcBorders>
            <w:vAlign w:val="bottom"/>
          </w:tcPr>
          <w:p w:rsidR="00000000" w:rsidRDefault="00000000">
            <w:pPr>
              <w:tabs>
                <w:tab w:val="left" w:pos="288"/>
                <w:tab w:val="left" w:pos="576"/>
                <w:tab w:val="left" w:pos="864"/>
              </w:tabs>
              <w:spacing w:before="100" w:after="81" w:line="210" w:lineRule="exact"/>
              <w:ind w:right="43"/>
              <w:jc w:val="right"/>
              <w:rPr>
                <w:i/>
                <w:sz w:val="14"/>
              </w:rPr>
            </w:pPr>
            <w:r>
              <w:rPr>
                <w:i/>
                <w:sz w:val="14"/>
              </w:rPr>
              <w:t>Проценты</w:t>
            </w:r>
          </w:p>
        </w:tc>
        <w:tc>
          <w:tcPr>
            <w:tcW w:w="879" w:type="dxa"/>
            <w:gridSpan w:val="2"/>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Число</w:t>
            </w:r>
          </w:p>
        </w:tc>
        <w:tc>
          <w:tcPr>
            <w:tcW w:w="879"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Проценты</w:t>
            </w:r>
          </w:p>
        </w:tc>
      </w:tr>
      <w:tr w:rsidR="00000000">
        <w:tblPrEx>
          <w:tblCellMar>
            <w:top w:w="0" w:type="dxa"/>
            <w:left w:w="0" w:type="dxa"/>
            <w:bottom w:w="0" w:type="dxa"/>
            <w:right w:w="0" w:type="dxa"/>
          </w:tblCellMar>
        </w:tblPrEx>
        <w:trPr>
          <w:trHeight w:hRule="exact" w:val="115"/>
          <w:tblHeader/>
        </w:trPr>
        <w:tc>
          <w:tcPr>
            <w:tcW w:w="314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4"/>
              </w:rPr>
            </w:pPr>
          </w:p>
        </w:tc>
        <w:tc>
          <w:tcPr>
            <w:tcW w:w="900"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4"/>
              </w:rPr>
            </w:pPr>
          </w:p>
        </w:tc>
        <w:tc>
          <w:tcPr>
            <w:tcW w:w="878"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4"/>
              </w:rPr>
            </w:pPr>
          </w:p>
        </w:tc>
        <w:tc>
          <w:tcPr>
            <w:tcW w:w="879" w:type="dxa"/>
            <w:tcBorders>
              <w:top w:val="single" w:sz="12" w:space="0" w:color="auto"/>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4"/>
              </w:rPr>
            </w:pPr>
          </w:p>
        </w:tc>
        <w:tc>
          <w:tcPr>
            <w:tcW w:w="879" w:type="dxa"/>
            <w:gridSpan w:val="2"/>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4"/>
              </w:rPr>
            </w:pPr>
          </w:p>
        </w:tc>
        <w:tc>
          <w:tcPr>
            <w:tcW w:w="879"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4"/>
              </w:rPr>
            </w:pP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Президиум Боснии и Герцеговины</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79" w:type="dxa"/>
            <w:tcBorders>
              <w:top w:val="nil"/>
              <w:left w:val="nil"/>
              <w:bottom w:val="nil"/>
              <w:right w:val="nil"/>
            </w:tcBorders>
            <w:vAlign w:val="bottom"/>
          </w:tcPr>
          <w:p w:rsidR="00000000" w:rsidRDefault="00000000">
            <w:pPr>
              <w:tabs>
                <w:tab w:val="left" w:pos="288"/>
                <w:tab w:val="left" w:pos="576"/>
                <w:tab w:val="left" w:pos="982"/>
              </w:tabs>
              <w:spacing w:before="40" w:after="40" w:line="210" w:lineRule="exact"/>
              <w:ind w:right="43"/>
              <w:jc w:val="right"/>
              <w:rPr>
                <w:sz w:val="17"/>
              </w:rPr>
            </w:pPr>
            <w:r>
              <w:rPr>
                <w:sz w:val="17"/>
              </w:rPr>
              <w:t>0</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100</w:t>
            </w: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Совет министров Боснии и Герцегов</w:t>
            </w:r>
            <w:r>
              <w:rPr>
                <w:sz w:val="17"/>
              </w:rPr>
              <w:t>и</w:t>
            </w:r>
            <w:r>
              <w:rPr>
                <w:sz w:val="17"/>
              </w:rPr>
              <w:t>ны</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79" w:type="dxa"/>
            <w:tcBorders>
              <w:top w:val="nil"/>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16,7</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83,3</w:t>
            </w: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Президент Федерации Боснии и Герц</w:t>
            </w:r>
            <w:r>
              <w:rPr>
                <w:sz w:val="17"/>
              </w:rPr>
              <w:t>е</w:t>
            </w:r>
            <w:r>
              <w:rPr>
                <w:sz w:val="17"/>
              </w:rPr>
              <w:t>говины</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79" w:type="dxa"/>
            <w:tcBorders>
              <w:top w:val="nil"/>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0</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100</w:t>
            </w: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Президент Республики Сербской</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79" w:type="dxa"/>
            <w:tcBorders>
              <w:top w:val="nil"/>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0</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100</w:t>
            </w: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Правительство Федерации Боснии и Герцеговины</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79" w:type="dxa"/>
            <w:tcBorders>
              <w:top w:val="nil"/>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13,3</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13</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86,7</w:t>
            </w:r>
          </w:p>
        </w:tc>
      </w:tr>
      <w:tr w:rsidR="00000000">
        <w:tblPrEx>
          <w:tblCellMar>
            <w:top w:w="0" w:type="dxa"/>
            <w:left w:w="0" w:type="dxa"/>
            <w:bottom w:w="0" w:type="dxa"/>
            <w:right w:w="0" w:type="dxa"/>
          </w:tblCellMar>
        </w:tblPrEx>
        <w:tc>
          <w:tcPr>
            <w:tcW w:w="314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Правительство Республики Сербской</w:t>
            </w:r>
          </w:p>
        </w:tc>
        <w:tc>
          <w:tcPr>
            <w:tcW w:w="90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7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79" w:type="dxa"/>
            <w:tcBorders>
              <w:top w:val="nil"/>
              <w:left w:val="nil"/>
              <w:bottom w:val="nil"/>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5,3</w:t>
            </w:r>
          </w:p>
        </w:tc>
        <w:tc>
          <w:tcPr>
            <w:tcW w:w="879"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w:t>
            </w:r>
          </w:p>
        </w:tc>
        <w:tc>
          <w:tcPr>
            <w:tcW w:w="8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94,7</w:t>
            </w:r>
          </w:p>
        </w:tc>
      </w:tr>
      <w:tr w:rsidR="00000000">
        <w:tblPrEx>
          <w:tblCellMar>
            <w:top w:w="0" w:type="dxa"/>
            <w:left w:w="0" w:type="dxa"/>
            <w:bottom w:w="0" w:type="dxa"/>
            <w:right w:w="0" w:type="dxa"/>
          </w:tblCellMar>
        </w:tblPrEx>
        <w:tc>
          <w:tcPr>
            <w:tcW w:w="314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Председатель кантона</w:t>
            </w:r>
          </w:p>
        </w:tc>
        <w:tc>
          <w:tcPr>
            <w:tcW w:w="90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7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79" w:type="dxa"/>
            <w:tcBorders>
              <w:top w:val="nil"/>
              <w:left w:val="nil"/>
              <w:bottom w:val="single" w:sz="12" w:space="0" w:color="auto"/>
              <w:right w:val="nil"/>
            </w:tcBorders>
            <w:vAlign w:val="bottom"/>
          </w:tcPr>
          <w:p w:rsidR="00000000" w:rsidRDefault="00000000">
            <w:pPr>
              <w:tabs>
                <w:tab w:val="left" w:pos="288"/>
                <w:tab w:val="left" w:pos="576"/>
                <w:tab w:val="left" w:pos="864"/>
              </w:tabs>
              <w:spacing w:before="40" w:after="40" w:line="210" w:lineRule="exact"/>
              <w:ind w:right="43"/>
              <w:jc w:val="right"/>
              <w:rPr>
                <w:sz w:val="17"/>
              </w:rPr>
            </w:pPr>
            <w:r>
              <w:rPr>
                <w:sz w:val="17"/>
              </w:rPr>
              <w:t>0</w:t>
            </w:r>
          </w:p>
        </w:tc>
        <w:tc>
          <w:tcPr>
            <w:tcW w:w="879" w:type="dxa"/>
            <w:gridSpan w:val="2"/>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w:t>
            </w:r>
          </w:p>
        </w:tc>
        <w:tc>
          <w:tcPr>
            <w:tcW w:w="879"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100</w:t>
            </w:r>
          </w:p>
        </w:tc>
      </w:tr>
    </w:tbl>
    <w:p w:rsidR="00000000" w:rsidRDefault="00000000">
      <w:pPr>
        <w:pStyle w:val="SingleTxt"/>
        <w:spacing w:after="0" w:line="10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127.</w:t>
      </w:r>
      <w:r>
        <w:tab/>
        <w:t>Статья 15 главы</w:t>
      </w:r>
      <w:r>
        <w:rPr>
          <w:lang w:val="en-US"/>
        </w:rPr>
        <w:t> IX</w:t>
      </w:r>
      <w:r>
        <w:t> “Общественная жизнь” действующего в Боснии и Ге</w:t>
      </w:r>
      <w:r>
        <w:t>р</w:t>
      </w:r>
      <w:r>
        <w:t>цеговине Закона о равенстве мужчин и женщин гласит: "В целях обеспечения равной представленности мужчин и женщин процентная доля участия женщин в органах власти  всех уровней, включая органы судебной, законодательной и исполнительной власти, а также в других государственных службах, комиссиях и советах, включая участие в органах, представляющих государство на межд</w:t>
      </w:r>
      <w:r>
        <w:t>у</w:t>
      </w:r>
      <w:r>
        <w:t>народном уровне, как правило, отражает принцип равной представленности мужчин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60" w:lineRule="auto"/>
        <w:rPr>
          <w:b/>
          <w:sz w:val="28"/>
        </w:rPr>
      </w:pPr>
      <w:r>
        <w:rPr>
          <w:b/>
        </w:rPr>
        <w:t>Роль женщин в секторе неправительственных организаций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128.</w:t>
      </w:r>
      <w:r>
        <w:tab/>
        <w:t>В Законе об объединениях и фондах Боснии и Герцеговины и аналоги</w:t>
      </w:r>
      <w:r>
        <w:t>ч</w:t>
      </w:r>
      <w:r>
        <w:t>ных законах Образований регламентируются вопросы создания, внутреннего устройства и прекращения работы объединений и фондов. В этих законах не содержится положений, которые запрещали бы женщинам работать в секторе неправительственных организаций.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До начала войны в 1992 году в Боснии и Герцеговине действовали гра</w:t>
      </w:r>
      <w:r>
        <w:t>ж</w:t>
      </w:r>
      <w:r>
        <w:t>данские организации, которые занимались преимущественно гуманитарными вопросами и оказывали существенное влияние на жизнь общества. С 1993 года неправительственные организации в Боснии и Герцеговине сфокусировали внимание на проблеме, имевшей первостепенное значение в тот период, - с</w:t>
      </w:r>
      <w:r>
        <w:t>о</w:t>
      </w:r>
      <w:r>
        <w:t>циально-психологической поддержке. Женские неправительственные орган</w:t>
      </w:r>
      <w:r>
        <w:t>и</w:t>
      </w:r>
      <w:r>
        <w:t>зации начали действовать под непосредственным руководством междунаро</w:t>
      </w:r>
      <w:r>
        <w:t>д</w:t>
      </w:r>
      <w:r>
        <w:t>ных организаций и доноров. В своей работе они уделяют первоочередное вн</w:t>
      </w:r>
      <w:r>
        <w:t>и</w:t>
      </w:r>
      <w:r>
        <w:t xml:space="preserve">мание проблемам нарушений прав человека и безответственного отношения властей к проблемам насилия в отношении женщин, торговли женщинами,  прав женщин и т.д.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129.</w:t>
      </w:r>
      <w:r>
        <w:tab/>
        <w:t>Во время войны женские объединения признавались политическим рук</w:t>
      </w:r>
      <w:r>
        <w:t>о</w:t>
      </w:r>
      <w:r>
        <w:t>водством, но только как необходимые и традиционные источники физической и моральной поддержки в военный период. Они, как и прежде, были отстранены от процесса принятия решений. Начиная с 1998 года женские неправительс</w:t>
      </w:r>
      <w:r>
        <w:t>т</w:t>
      </w:r>
      <w:r>
        <w:t>венные организации занимаются в основном следующими вопросами: укре</w:t>
      </w:r>
      <w:r>
        <w:t>п</w:t>
      </w:r>
      <w:r>
        <w:t>ление экономики, образование женщин, юридические консультации и инфо</w:t>
      </w:r>
      <w:r>
        <w:t>р</w:t>
      </w:r>
      <w:r>
        <w:t>мационно-просветительские мероприятия в целях борьбы с насилием в отн</w:t>
      </w:r>
      <w:r>
        <w:t>о</w:t>
      </w:r>
      <w:r>
        <w:t>шении женщин, увеличение представленности женщин в политической сист</w:t>
      </w:r>
      <w:r>
        <w:t>е</w:t>
      </w:r>
      <w:r>
        <w:t>ме, а также урегулирование конфликтов и примирение. Причины, по которым женщины подключаются к работе неправительственных организаций, состоят в том, что в этом секторе в меньшей степени ощущается доминирующее полож</w:t>
      </w:r>
      <w:r>
        <w:t>е</w:t>
      </w:r>
      <w:r>
        <w:t>ние мужчин, существуют возможности (по крайней мере временные) для пол</w:t>
      </w:r>
      <w:r>
        <w:t>у</w:t>
      </w:r>
      <w:r>
        <w:t>чения дохода, у женщин появляются перспективы для развития и роста, осво</w:t>
      </w:r>
      <w:r>
        <w:t>е</w:t>
      </w:r>
      <w:r>
        <w:t>ния новых навыков, возможность почувствовать себя полезными членами о</w:t>
      </w:r>
      <w:r>
        <w:t>б</w:t>
      </w:r>
      <w:r>
        <w:t>щества и возможности для самореализации.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Женщины и профсоюзы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130.</w:t>
      </w:r>
      <w:r>
        <w:tab/>
        <w:t>Согласно международным стандартам, женщины должны найти свое м</w:t>
      </w:r>
      <w:r>
        <w:t>е</w:t>
      </w:r>
      <w:r>
        <w:t>сто в профсоюзных структурах. Этим структурам зачастую не хватает гибк</w:t>
      </w:r>
      <w:r>
        <w:t>о</w:t>
      </w:r>
      <w:r>
        <w:t>сти, они отличаются излишним бюрократизмом, господствующим положением мужчин и, будучи таковыми, "отпугивают" женщин. Кроме того, присутствие женщин обычно малозаметно, они недостаточно представлены в исполнител</w:t>
      </w:r>
      <w:r>
        <w:t>ь</w:t>
      </w:r>
      <w:r>
        <w:t>ных и руководящих органах, на переговорах и среди участников междунаро</w:t>
      </w:r>
      <w:r>
        <w:t>д</w:t>
      </w:r>
      <w:r>
        <w:t>ных контактов. Проводя структурные реформы, предписанные их уставными документами, профсоюзы стараются в большей степени учитывать гендерные аспекты в своей работе, с тем чтобы шире открыть свои двери перед женщин</w:t>
      </w:r>
      <w:r>
        <w:t>а</w:t>
      </w:r>
      <w:r>
        <w:t>ми. В профсоюзных объединениях в Боснии и Герцеговине (СССБоснии и Ге</w:t>
      </w:r>
      <w:r>
        <w:t>р</w:t>
      </w:r>
      <w:r>
        <w:t>цеговины и СССРС) был создан сектор (известный сегодня как Женский ф</w:t>
      </w:r>
      <w:r>
        <w:t>о</w:t>
      </w:r>
      <w:r>
        <w:t>рум) и профессиональная секция женщин, и тем самым были официально с</w:t>
      </w:r>
      <w:r>
        <w:t>о</w:t>
      </w:r>
      <w:r>
        <w:t>блюдены международные станда</w:t>
      </w:r>
      <w:r>
        <w:t>р</w:t>
      </w:r>
      <w:r>
        <w:t>ты.</w:t>
      </w:r>
    </w:p>
    <w:p w:rsidR="00000000" w:rsidRDefault="00000000">
      <w:pPr>
        <w:pStyle w:val="SingleTxt"/>
        <w:numPr>
          <w:ilvl w:val="0"/>
          <w:numId w:val="309"/>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1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50"/>
      </w:pPr>
      <w:r>
        <w:t>Согласно статистическим данным, СССБоснии и Герцеговины насчитыв</w:t>
      </w:r>
      <w:r>
        <w:t>а</w:t>
      </w:r>
      <w:r>
        <w:t>ет 101 тыс. членов, из которых 28 тысяч составляют женщины (мы сомн</w:t>
      </w:r>
      <w:r>
        <w:t>е</w:t>
      </w:r>
      <w:r>
        <w:t>ваемся в точности этих данных, поскольку женщины составляют приме</w:t>
      </w:r>
      <w:r>
        <w:t>р</w:t>
      </w:r>
      <w:r>
        <w:t>но 48 процентов н</w:t>
      </w:r>
      <w:r>
        <w:t>а</w:t>
      </w:r>
      <w:r>
        <w:t>емных работников).</w:t>
      </w:r>
    </w:p>
    <w:p w:rsidR="00000000" w:rsidRDefault="00000000">
      <w:pPr>
        <w:pStyle w:val="SingleTxt"/>
        <w:numPr>
          <w:ilvl w:val="0"/>
          <w:numId w:val="309"/>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1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50"/>
      </w:pPr>
      <w:r>
        <w:t>На последнем конгрессе СССБоснии и Герцеговины 42 из 201 делегата были женщины (каждый сектор направил на прогресс одинаковое число делегатов).</w:t>
      </w:r>
    </w:p>
    <w:p w:rsidR="00000000" w:rsidRDefault="00000000">
      <w:pPr>
        <w:pStyle w:val="SingleTxt"/>
        <w:numPr>
          <w:ilvl w:val="0"/>
          <w:numId w:val="309"/>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1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50"/>
      </w:pPr>
      <w:r>
        <w:t>В состав президиума входят 9 членов - 7 мужчин и 2 женщины.</w:t>
      </w:r>
    </w:p>
    <w:p w:rsidR="00000000" w:rsidRDefault="00000000">
      <w:pPr>
        <w:pStyle w:val="SingleTxt"/>
        <w:numPr>
          <w:ilvl w:val="0"/>
          <w:numId w:val="309"/>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1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50"/>
      </w:pPr>
      <w:r>
        <w:t>В состав Центрального комитета входят 33 мужчины, 4 женщины - пре</w:t>
      </w:r>
      <w:r>
        <w:t>д</w:t>
      </w:r>
      <w:r>
        <w:t>ставители Женского форума СССБоснии и Герцеговины, не имеющие пр</w:t>
      </w:r>
      <w:r>
        <w:t>а</w:t>
      </w:r>
      <w:r>
        <w:t>ва г</w:t>
      </w:r>
      <w:r>
        <w:t>о</w:t>
      </w:r>
      <w:r>
        <w:t>лоса.</w:t>
      </w:r>
    </w:p>
    <w:p w:rsidR="00000000" w:rsidRDefault="00000000">
      <w:pPr>
        <w:pStyle w:val="SingleTxt"/>
        <w:numPr>
          <w:ilvl w:val="0"/>
          <w:numId w:val="309"/>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1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50"/>
      </w:pPr>
      <w:r>
        <w:t>В состав Контрольного комитета входят 5 мужчин и 3 женщины.</w:t>
      </w:r>
    </w:p>
    <w:p w:rsidR="00000000" w:rsidRDefault="00000000">
      <w:pPr>
        <w:pStyle w:val="SingleTxt"/>
        <w:numPr>
          <w:ilvl w:val="0"/>
          <w:numId w:val="309"/>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1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50"/>
      </w:pPr>
      <w:r>
        <w:t>В состав Комиссии по вопросам статуса входят 5 мужчин и 1 женщина.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131.</w:t>
      </w:r>
      <w:r>
        <w:tab/>
        <w:t>Женщины слабо или недостаточно представлены в руководящих органах, и их присутствие малозаметно в высшем руководящем звене профсоюзов, н</w:t>
      </w:r>
      <w:r>
        <w:t>е</w:t>
      </w:r>
      <w:r>
        <w:t>смотря на то что они составляют 45 процентов всех членов профсоюзов. Т</w:t>
      </w:r>
      <w:r>
        <w:t>и</w:t>
      </w:r>
      <w:r>
        <w:t>пичный представитель профсоюза - это мужчина среднего возраста. Женщины в этих структурах работают либо на административных должностях, либо в к</w:t>
      </w:r>
      <w:r>
        <w:t>а</w:t>
      </w:r>
      <w:r>
        <w:t>честве экспертов. Возникает вопрос о том, как долго еще женщины будут в</w:t>
      </w:r>
      <w:r>
        <w:t>ы</w:t>
      </w:r>
      <w:r>
        <w:t>плачивать свои членские взносы объединениям, которые не защищают их и</w:t>
      </w:r>
      <w:r>
        <w:t>н</w:t>
      </w:r>
      <w:r>
        <w:t>тересов. В профсоюзах не ведется статистики с разбивкой по признаку пола. Если взглянуть на всю деятельность Объединения, то трудно понять, в чем с</w:t>
      </w:r>
      <w:r>
        <w:t>о</w:t>
      </w:r>
      <w:r>
        <w:t>стоят побудительные мотивы женщин для участия в профсоюзной деятельн</w:t>
      </w:r>
      <w:r>
        <w:t>о</w:t>
      </w:r>
      <w:r>
        <w:t>сти. Женская профсоюзная деятельность не финансируется из регулярного бюджета профсоюзов. Женщины продолжают работать исключительно на до</w:t>
      </w:r>
      <w:r>
        <w:t>б</w:t>
      </w:r>
      <w:r>
        <w:t>ровольной основе и благодаря энтузиазму руководства Форума и професси</w:t>
      </w:r>
      <w:r>
        <w:t>о</w:t>
      </w:r>
      <w:r>
        <w:t>нальной секции женщин. Обе эти организации являются участниками женской сети Международной конфедерации свободных профсоюзов (МКСП) и частью региональной женской профсоюзной сети для Южной и Юго-Восточной Евр</w:t>
      </w:r>
      <w:r>
        <w:t>о</w:t>
      </w:r>
      <w:r>
        <w:t>пы. Они участвуют во всех акциях, организуемых этими сетями в Европе и во всем мире. Они также наладили сотрудничество с неправительственными о</w:t>
      </w:r>
      <w:r>
        <w:t>р</w:t>
      </w:r>
      <w:r>
        <w:t>ганизациями страны и региона. Изыскав средства по линии добровольных п</w:t>
      </w:r>
      <w:r>
        <w:t>о</w:t>
      </w:r>
      <w:r>
        <w:t>жертвований, они направили своих представителей на учебу по таким пр</w:t>
      </w:r>
      <w:r>
        <w:t>о</w:t>
      </w:r>
      <w:r>
        <w:t>граммам, как расширение прав и возможностей, организационное устройство профсоюзов и профсоюзные акции. Сотрудничество между женскими профс</w:t>
      </w:r>
      <w:r>
        <w:t>о</w:t>
      </w:r>
      <w:r>
        <w:t>юзными организациями Образований имеет важное значение для просвет</w:t>
      </w:r>
      <w:r>
        <w:t>и</w:t>
      </w:r>
      <w:r>
        <w:t>тельской работы и с точки зрения изучения положения женщин на рынке труда, в профсоюзах и общественной жизни. Налажено сотрудничество со СТАР, Центром по гендерным вопросам Федерации Боснии и Герцеговины и фили</w:t>
      </w:r>
      <w:r>
        <w:t>а</w:t>
      </w:r>
      <w:r>
        <w:t>лом МКСС МКСП в Сараево и Баня-Луке. Это позволяет не только отстоять права женщин в трудовой сфере, но и повысить осведомленность женщин, р</w:t>
      </w:r>
      <w:r>
        <w:t>а</w:t>
      </w:r>
      <w:r>
        <w:t>ботающих в профсоюзных стру</w:t>
      </w:r>
      <w:r>
        <w:t>к</w:t>
      </w:r>
      <w:r>
        <w:t>турах.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Анализ данных по Республике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132.</w:t>
      </w:r>
      <w:r>
        <w:tab/>
        <w:t>Назначения на государственные должности анализировались с точки зр</w:t>
      </w:r>
      <w:r>
        <w:t>е</w:t>
      </w:r>
      <w:r>
        <w:t>ния представленности обоих полов. Несмотря на то что анализ охватывал п</w:t>
      </w:r>
      <w:r>
        <w:t>е</w:t>
      </w:r>
      <w:r>
        <w:t>риод пребывания у власти двух правительств, имевших разные политические программы и партийный состав, их отличала одна общая черта - сегрегация женщин при назначении кандидатов на различные должности. Дискриминация по признаку пола имеет место во всех руководящих, административных и о</w:t>
      </w:r>
      <w:r>
        <w:t>б</w:t>
      </w:r>
      <w:r>
        <w:t>щественных структурах Республики Сербской. Предметом анализа были н</w:t>
      </w:r>
      <w:r>
        <w:t>а</w:t>
      </w:r>
      <w:r>
        <w:t>значения кандидатов в течение периода в 4,5 года на все должности директоров и руководителей во всех инстанциях - от местной до республиканской, - в р</w:t>
      </w:r>
      <w:r>
        <w:t>у</w:t>
      </w:r>
      <w:r>
        <w:t>ководящие и надзорные органы, на должности судей, прокуроров, членов ж</w:t>
      </w:r>
      <w:r>
        <w:t>ю</w:t>
      </w:r>
      <w:r>
        <w:t>ри присяжных, в группы экспертов, комиссии и различные советы, занима</w:t>
      </w:r>
      <w:r>
        <w:t>ю</w:t>
      </w:r>
      <w:r>
        <w:t>щиеся подготовкой законов и других проектов, комиссии по приему профе</w:t>
      </w:r>
      <w:r>
        <w:t>с</w:t>
      </w:r>
      <w:r>
        <w:t>сиональных квалификационных экзаменов, организации лекций и учебных с</w:t>
      </w:r>
      <w:r>
        <w:t>е</w:t>
      </w:r>
      <w:r>
        <w:t>минаров, в университетские советы, органы по контролю за приватизацией г</w:t>
      </w:r>
      <w:r>
        <w:t>о</w:t>
      </w:r>
      <w:r>
        <w:t>сударственного капитала. Статистические показатели говорят о том, что на р</w:t>
      </w:r>
      <w:r>
        <w:t>у</w:t>
      </w:r>
      <w:r>
        <w:t>ководящих должностях всех уровней - от местного до республиканского - принцип равенства полов в целом не соблюдается. То, что за 4,5 года на дире</w:t>
      </w:r>
      <w:r>
        <w:t>к</w:t>
      </w:r>
      <w:r>
        <w:t>торские должности было назначено 319 человек и только 17 из них составляли женщины, означает, что 319 директоров имеют право принимать решения в о</w:t>
      </w:r>
      <w:r>
        <w:t>т</w:t>
      </w:r>
      <w:r>
        <w:t>ношении работников своих компаний, определять ставки их заработной платы и нередко решать судьбу женщин, которые в переходный период и период пр</w:t>
      </w:r>
      <w:r>
        <w:t>и</w:t>
      </w:r>
      <w:r>
        <w:t>ватизации обычно первыми попадают под увольнение. Кроме того, директора - 319 мужчин и лишь 17 женщин - получают более высокую заработную плату, т.е. мужчины лучше обеспечены в материальном плане, поскольку они соста</w:t>
      </w:r>
      <w:r>
        <w:t>в</w:t>
      </w:r>
      <w:r>
        <w:t>ляют большинство на руководящих дол</w:t>
      </w:r>
      <w:r>
        <w:t>ж</w:t>
      </w:r>
      <w:r>
        <w:t>ностях.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133.</w:t>
      </w:r>
      <w:r>
        <w:tab/>
        <w:t>То же самое можно сказать о назначении членов руководящих и надзо</w:t>
      </w:r>
      <w:r>
        <w:t>р</w:t>
      </w:r>
      <w:r>
        <w:t>ных органов. В руководящие советы правительством было назначено 1368 членов, из них 181 женщина, в надзорные органы - 621 член, из них 93 женщины. Если учесть, что члены руководящих и надзорных органов обы</w:t>
      </w:r>
      <w:r>
        <w:t>ч</w:t>
      </w:r>
      <w:r>
        <w:t>но получают вознаграждение за работу в этих органах, что они получают и</w:t>
      </w:r>
      <w:r>
        <w:t>н</w:t>
      </w:r>
      <w:r>
        <w:t>формацию "из первых рук" и непосредственно участвуют в принятии решении, то становится ясным, почему в составе руководящих и надзорных органов мужчины столь явно доминируют над женщинами. В составе различных эк</w:t>
      </w:r>
      <w:r>
        <w:t>с</w:t>
      </w:r>
      <w:r>
        <w:t>пертных групп, комитетов, комиссий по приему профессиональных, адвока</w:t>
      </w:r>
      <w:r>
        <w:t>т</w:t>
      </w:r>
      <w:r>
        <w:t>ских и других квалификационных экзаменов (например, для работы в закон</w:t>
      </w:r>
      <w:r>
        <w:t>о</w:t>
      </w:r>
      <w:r>
        <w:t>дательных органах) насчитывается 807 мужчин и 132 женщины. Число женщин в этих органах значительно меньше числа мужчин, и это касается в первую очередь структур, получающих крупные финансовые средства от междунаро</w:t>
      </w:r>
      <w:r>
        <w:t>д</w:t>
      </w:r>
      <w:r>
        <w:t xml:space="preserve">ных организаций.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134.</w:t>
      </w:r>
      <w:r>
        <w:tab/>
        <w:t>В составе советов университетов и факультетов и экспертных комиссий насчитывается 1998 мужчин и только 9 женщин, из чего следует, что препод</w:t>
      </w:r>
      <w:r>
        <w:t>а</w:t>
      </w:r>
      <w:r>
        <w:t>ватели-женщины на факультетах не оказывают никакого влияния на реформу высшего образования, которая, таким образом, проводится в жизнь без учета гендерных факторов.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Примером того, что в переходный период женщины оказываются в ху</w:t>
      </w:r>
      <w:r>
        <w:t>д</w:t>
      </w:r>
      <w:r>
        <w:t>шем материальном положении, чем мужчины, служит процесс приватизации государственного капитала, контроль за которым осуществляют 590 представителей-мужчин и только 82 женщины. Этот пример - наглядное свидетельство сегрегации женщин. Вышесказанное означает, что участие же</w:t>
      </w:r>
      <w:r>
        <w:t>н</w:t>
      </w:r>
      <w:r>
        <w:t>щин в процессе приватизации государственного капитала крайне ограниченно, и по завершении этого процесса было бы крайне интересно провести анализ ситуации с гендерной точки зрения. Такой гендерный анализ показывает, что дискриминация женщин имеет место в таких областях, как социальная и общ</w:t>
      </w:r>
      <w:r>
        <w:t>е</w:t>
      </w:r>
      <w:r>
        <w:t>с</w:t>
      </w:r>
      <w:r>
        <w:t>т</w:t>
      </w:r>
      <w:r>
        <w:t>венная жизнь и процессы принятия решений.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135.</w:t>
      </w:r>
      <w:r>
        <w:tab/>
        <w:t>Женщинам не предоставляются те же возможности, что и мужчинам, что означает полное нарушение принципа равенства полов в ущерб женщинам. Это является следствием традиционных представлений мужчин и, в некоторой ст</w:t>
      </w:r>
      <w:r>
        <w:t>е</w:t>
      </w:r>
      <w:r>
        <w:t>пени, женщин о роли матери, жены, домохозяйки, бабушки, которая полностью исключает возможность того, чтобы женщины занимались чем-либо иным, что может представлять угрозу для их основных обязанностей, указанных выше. В то же время о роли мужчины в семье говорится крайне мало, и складывается впечатление, что мужчина как отец, муж и хозяин не имеет в семье такого же веса и значения, как женщина. Согласно такому толкованию, на котором пост</w:t>
      </w:r>
      <w:r>
        <w:t>о</w:t>
      </w:r>
      <w:r>
        <w:t>янно делается акцент, мужчина является формальным главой "домохозяйства, который трудится не покладая рук, чтобы прокормить семью", что означает, что он изначально призван к участию в публичной, общественной и политич</w:t>
      </w:r>
      <w:r>
        <w:t>е</w:t>
      </w:r>
      <w:r>
        <w:t>ской жизни. В отличие от мужчин, женщины могут выполнять публичные или общественные функции только в том случае, если они успевают справляться с обязанностями матери, домохозяйки, жены и т.д. Постоянно повторяемое у</w:t>
      </w:r>
      <w:r>
        <w:t>т</w:t>
      </w:r>
      <w:r>
        <w:t>верждение о том, что мужчины и женщины равны во всех сферах социальной и общественной жизни, оказывается совершенно необоснованным в свете р</w:t>
      </w:r>
      <w:r>
        <w:t>е</w:t>
      </w:r>
      <w:r>
        <w:t>зультатов гендерного анализа, который поможет нам выявить существующую проблему и тем самым оказать влияние на позитивные изменения, призванные обеспечить, чтобы женщины могли играть намного более важную роль в жизни общества в будущем.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Статья 8.</w:t>
      </w:r>
      <w:r>
        <w:tab/>
        <w:t>Представленность женщин на дипломатической службе и в международных организациях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136.</w:t>
      </w:r>
      <w:r>
        <w:tab/>
        <w:t>Женщины имеют право и возможности для того, чтобы представлять пр</w:t>
      </w:r>
      <w:r>
        <w:t>а</w:t>
      </w:r>
      <w:r>
        <w:t>вительство Боснии и Герцеговины и участвовать в работе международных о</w:t>
      </w:r>
      <w:r>
        <w:t>р</w:t>
      </w:r>
      <w:r>
        <w:t>ганизаций наравне с мужчинами, но в силу их традиционного положения в о</w:t>
      </w:r>
      <w:r>
        <w:t>б</w:t>
      </w:r>
      <w:r>
        <w:t>ществе они по-прежнему недостаточно широко представлены в междунаро</w:t>
      </w:r>
      <w:r>
        <w:t>д</w:t>
      </w:r>
      <w:r>
        <w:t>ных кругах и представительствах страны за рубежом. Так, в министерстве ин</w:t>
      </w:r>
      <w:r>
        <w:t>о</w:t>
      </w:r>
      <w:r>
        <w:t>странных дел Боснии и Герцеговины кандидатуры девяти женщин, которые с</w:t>
      </w:r>
      <w:r>
        <w:t>о</w:t>
      </w:r>
      <w:r>
        <w:t>ставляют 23 процента сотрудников, были выдвинуты на заполнение в общей сложности 39 вакантных должностей, соответствующих дипломатическому уровню посла. На семь вакантных должностей, соответствующих уровню ген</w:t>
      </w:r>
      <w:r>
        <w:t>е</w:t>
      </w:r>
      <w:r>
        <w:t>рального консула, были выдвинуты кандидатуры двух женщин, что составляет 29 процентов. На других дипломатических и консульских должностях, а также на административно-технических должностях работает 82  женщины, что с</w:t>
      </w:r>
      <w:r>
        <w:t>о</w:t>
      </w:r>
      <w:r>
        <w:t>ставляет 31 процент от общей численности персонала в 261 человек. Кроме т</w:t>
      </w:r>
      <w:r>
        <w:t>о</w:t>
      </w:r>
      <w:r>
        <w:t>го, женщина - представитель Боснии и Герцеговины работала заместителем председателя совета по подготовке к специальной двадцать седьмой сессии Г</w:t>
      </w:r>
      <w:r>
        <w:t>е</w:t>
      </w:r>
      <w:r>
        <w:t>неральной Ассамблеи Организации Объединенных Наций, посвященной пол</w:t>
      </w:r>
      <w:r>
        <w:t>о</w:t>
      </w:r>
      <w:r>
        <w:t>жению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137.</w:t>
      </w:r>
      <w:r>
        <w:tab/>
        <w:t>В четырех депутациях Парламентской ассамблеи Боснии и Герцеговины, насчитывающих 25 членов, четыре человека - женщины, что составляет 18 процентов. Из них две женщины, или 50 процентов, входят в состав предс</w:t>
      </w:r>
      <w:r>
        <w:t>е</w:t>
      </w:r>
      <w:r>
        <w:t>дательствующей депутации.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Статья 9.</w:t>
      </w:r>
      <w:r>
        <w:tab/>
        <w:t>Гражданство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138.</w:t>
      </w:r>
      <w:r>
        <w:tab/>
        <w:t>В Законе о гражданстве Боснии и Герцеговины определены средства, у</w:t>
      </w:r>
      <w:r>
        <w:t>с</w:t>
      </w:r>
      <w:r>
        <w:t>ловия и процедура для приобретения и аннулирования гражданства Боснии и Герцеговины. Помимо гражданства Боснии и Герцеговины, существует такое понятие, как гражданство Образований: гражданин определенного Образов</w:t>
      </w:r>
      <w:r>
        <w:t>а</w:t>
      </w:r>
      <w:r>
        <w:t>ния автоматич</w:t>
      </w:r>
      <w:r>
        <w:t>е</w:t>
      </w:r>
      <w:r>
        <w:t>ски становится также гражданином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Гражданство приобретается: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1)</w:t>
      </w:r>
      <w:r>
        <w:tab/>
        <w:t>по происхождению;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2)</w:t>
      </w:r>
      <w:r>
        <w:tab/>
        <w:t>в результате рождения на территории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3)</w:t>
      </w:r>
      <w:r>
        <w:tab/>
        <w:t>путем усыновления;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4)</w:t>
      </w:r>
      <w:r>
        <w:tab/>
        <w:t>путем натурализации;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5)</w:t>
      </w:r>
      <w:r>
        <w:tab/>
        <w:t>в соответствии с тем или иным международным соглашением;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6)</w:t>
      </w:r>
      <w:r>
        <w:tab/>
        <w:t>на условиях, определенных Советом министров Боснии и Герцег</w:t>
      </w:r>
      <w:r>
        <w:t>о</w:t>
      </w:r>
      <w:r>
        <w:t>вины, и с одобрения Совета.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Закон о гражданстве гласит, что супруг гражданина Боснии и Герцегов</w:t>
      </w:r>
      <w:r>
        <w:t>и</w:t>
      </w:r>
      <w:r>
        <w:t>ны может приобр</w:t>
      </w:r>
      <w:r>
        <w:t>е</w:t>
      </w:r>
      <w:r>
        <w:t>сти гражданство при следующих условиях: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а)</w:t>
      </w:r>
      <w:r>
        <w:tab/>
        <w:t>если он состоял в браке в течение не менее пяти лет до момента п</w:t>
      </w:r>
      <w:r>
        <w:t>о</w:t>
      </w:r>
      <w:r>
        <w:t>дачи зая</w:t>
      </w:r>
      <w:r>
        <w:t>в</w:t>
      </w:r>
      <w:r>
        <w:t>ления и по-прежнему состоит в браке на момент его подачи;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при приобретении гражданства предыдущее гражданство аннулир</w:t>
      </w:r>
      <w:r>
        <w:t>у</w:t>
      </w:r>
      <w:r>
        <w:t>ется, если в двусторонних соглашениях не предусмотрено иного. Аннулировать предыдущее гражданство не требуется, если это запрещено законодательством или если такая просьба не имеет под собой оснований;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если лицо постоянно проживало на территории Боснии и Герцегов</w:t>
      </w:r>
      <w:r>
        <w:t>и</w:t>
      </w:r>
      <w:r>
        <w:t>ны в течение как минимум последних трех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139.</w:t>
      </w:r>
      <w:r>
        <w:tab/>
        <w:t>Семейное положение не влияет на приобретение гражданства, за искл</w:t>
      </w:r>
      <w:r>
        <w:t>ю</w:t>
      </w:r>
      <w:r>
        <w:t>чением случаев, когда заявление о гражданстве подается на основании всту</w:t>
      </w:r>
      <w:r>
        <w:t>п</w:t>
      </w:r>
      <w:r>
        <w:t>ления в брак с гражданином или гражданкой Боснии и Герцеговины, и в этом случае не проводится никаких различий по признаку пола. Для приобретения гражданства необходимо, чтобы податель заявления, женщина или мужчина, удовлетворял требованиям, определенным законом, которые не предполагают различий по признаку пола. Женщины - замужние или одинокие - имеют те же права, что и мужчины, на приобретение, смену или сохранение своего гра</w:t>
      </w:r>
      <w:r>
        <w:t>ж</w:t>
      </w:r>
      <w:r>
        <w:t>данства. На наш взгляд, социальные, культурные и экономические факторы не оказывают серьезного влияния на осуществление женщинами этих прав. Вст</w:t>
      </w:r>
      <w:r>
        <w:t>у</w:t>
      </w:r>
      <w:r>
        <w:t>пление в брак с иностранным гражданином не влечет за собой смену гражда</w:t>
      </w:r>
      <w:r>
        <w:t>н</w:t>
      </w:r>
      <w:r>
        <w:t>ства женщины, за исключением случаев, когда она желает принять гражданс</w:t>
      </w:r>
      <w:r>
        <w:t>т</w:t>
      </w:r>
      <w:r>
        <w:t>во супруга (на условиях, определенных законом государства, гражданином к</w:t>
      </w:r>
      <w:r>
        <w:t>о</w:t>
      </w:r>
      <w:r>
        <w:t>торого является супруг). Предусмотрена также возможность двойного гра</w:t>
      </w:r>
      <w:r>
        <w:t>ж</w:t>
      </w:r>
      <w:r>
        <w:t>данства, если у Боснии и Герцеговины заключено двустороннее соглашение с государством, гр</w:t>
      </w:r>
      <w:r>
        <w:t>а</w:t>
      </w:r>
      <w:r>
        <w:t>жданином которого является супруг (принцип взаимности).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140.</w:t>
      </w:r>
      <w:r>
        <w:tab/>
        <w:t>Согласно имеющимся данным, в Боснии и Герцеговине зачастую жены или мужья подают заявление о приобретении гражданства женщиной, в зав</w:t>
      </w:r>
      <w:r>
        <w:t>и</w:t>
      </w:r>
      <w:r>
        <w:t>симости от принимаемого семьей решения, т.е. решения о месте жительства, в связи с чем можно утверждать, что случаи дискриминации или ущемления права на выбор гражданства в Боснии и Герцеговине крайне редки. Гражданс</w:t>
      </w:r>
      <w:r>
        <w:t>т</w:t>
      </w:r>
      <w:r>
        <w:t>во матери и отца имеет равную ценность, и, в соответствии с законами Боснии и Герцеговины, выбор супруга является исключительной прерогативой каждого человека.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141.</w:t>
      </w:r>
      <w:r>
        <w:tab/>
        <w:t>Дети, рожденные в браке от родителей, имеющих разное гражданство, приобретают то гражданство, о котором договорятся родители, и, если это д</w:t>
      </w:r>
      <w:r>
        <w:t>о</w:t>
      </w:r>
      <w:r>
        <w:t>пускают законы страны проживания или происхождения и с этим согласны р</w:t>
      </w:r>
      <w:r>
        <w:t>о</w:t>
      </w:r>
      <w:r>
        <w:t>дители, дети могут иметь двойное гражданство. Дети могут иметь свои собс</w:t>
      </w:r>
      <w:r>
        <w:t>т</w:t>
      </w:r>
      <w:r>
        <w:t>венные паспорта, а также могут быть вписаны в паспорт любого из родителей. Согласие в отношении проездного документа ребенка и разрешение на поездку должны давать оба родителя. Разрешение на выезд из страны требуется также в том случае, если родители находятся в разводе. Если ребенку уже исполнилось 14 лет, то его согласие необходимо во всех случаях, описанных в предыдущем пункте. Согласие ребенка в возрасте 14 лет и старше требуется также во всех случаях приобретения и аннулир</w:t>
      </w:r>
      <w:r>
        <w:t>о</w:t>
      </w:r>
      <w:r>
        <w:t>вания гражданства.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r>
        <w:rPr>
          <w:sz w:val="10"/>
          <w:lang w:val="fr-CA"/>
        </w:rPr>
        <w:br w:type="page"/>
      </w:r>
    </w:p>
    <w:p w:rsidR="00000000" w:rsidRDefault="00000000">
      <w:pPr>
        <w:pStyle w:val="H1"/>
        <w:tabs>
          <w:tab w:val="left" w:pos="2218"/>
          <w:tab w:val="left" w:pos="2693"/>
        </w:tabs>
        <w:ind w:left="2700" w:right="1120" w:hanging="1440"/>
      </w:pPr>
      <w:r>
        <w:t>Статья 10.</w:t>
      </w:r>
      <w:r>
        <w:tab/>
        <w:t>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142.</w:t>
      </w:r>
      <w:r>
        <w:tab/>
        <w:t>О важности образования как эффективного способа борьбы со всеми формами дискриминации в отношении женщин свидетельствует также тот факт, что вопросам образования посвящен специальный раздел Конвенции, с соответствующими статьями. Равенство возможностей в сфере образования в Боснии и Герцеговине гарантировано статьей </w:t>
      </w:r>
      <w:r>
        <w:rPr>
          <w:lang w:val="en-US"/>
        </w:rPr>
        <w:t>II</w:t>
      </w:r>
      <w:r>
        <w:t>.3.(</w:t>
      </w:r>
      <w:r>
        <w:rPr>
          <w:lang w:val="en-US"/>
        </w:rPr>
        <w:t>L</w:t>
      </w:r>
      <w:r>
        <w:t>) Конституции Боснии и Герцеговины. Среди прочих прав в Конституции Боснии и Герцеговины пред</w:t>
      </w:r>
      <w:r>
        <w:t>у</w:t>
      </w:r>
      <w:r>
        <w:t>смотрено право на обучение в школе. Конституция Боснии и Герцеговины предписывает, чтобы все права осуществлялись без какой бы то ни было ди</w:t>
      </w:r>
      <w:r>
        <w:t>с</w:t>
      </w:r>
      <w:r>
        <w:t>криминации, в том числе по признаку пола.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143.</w:t>
      </w:r>
      <w:r>
        <w:tab/>
        <w:t>В законах, регламентирующих вопросы образования, определено, что о</w:t>
      </w:r>
      <w:r>
        <w:t>б</w:t>
      </w:r>
      <w:r>
        <w:t>разование имеет особую социальную значимость и доступно каждому ребенку на одинаковых условиях, сообразно его способностям и интересам и с учетом его потребностей. Для всех этих законов характерно отсутствие дискримин</w:t>
      </w:r>
      <w:r>
        <w:t>а</w:t>
      </w:r>
      <w:r>
        <w:t>ции по признаку пола, за исключением того, что их положения, затрагивающие учащихся обоих полов, сформулированы с использованием грамматических конструкций мужского рода. В Республике Сербской система образования н</w:t>
      </w:r>
      <w:r>
        <w:t>о</w:t>
      </w:r>
      <w:r>
        <w:t>сит централизованный характер, а в Федерации Боснии и Герцеговины она д</w:t>
      </w:r>
      <w:r>
        <w:t>е</w:t>
      </w:r>
      <w:r>
        <w:t>централизована и передана в ведение администраций 10 кантонов. Отлич</w:t>
      </w:r>
      <w:r>
        <w:t>и</w:t>
      </w:r>
      <w:r>
        <w:t>тельной особенностью Федерации является то, что законодательные органы некоторых кантонов допускают передачу полномочий в сфере образования м</w:t>
      </w:r>
      <w:r>
        <w:t>у</w:t>
      </w:r>
      <w:r>
        <w:t>ниципалитетам, особенно если возникают коллизии, связанные с предоставл</w:t>
      </w:r>
      <w:r>
        <w:t>е</w:t>
      </w:r>
      <w:r>
        <w:t>нием возможности некоторым национальным группам посещать занятия на их родном языке. Центральная роль кантонов во всех областях образования по</w:t>
      </w:r>
      <w:r>
        <w:t>д</w:t>
      </w:r>
      <w:r>
        <w:t>черкивается тем обстоятельством, что именно кантоны выделяют финансовые средства на эту деятельность. Из этого ключевого права вытекают все другие права и обязанности кантонов в сфере образования. Таким образом, в сфере образования было принято большое число законов и подзаконных актов, что создает иллюзию хорошо отлаженной образовательной системы, в то время как в реальности существует проблема несогласованности в ее работе. Система образования в Федерации Боснии и Герцеговины регулируется законами на ф</w:t>
      </w:r>
      <w:r>
        <w:t>е</w:t>
      </w:r>
      <w:r>
        <w:t xml:space="preserve">деральном и кантональном уровнях - в общей сложности 47 законами и 17 подзаконными актами.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144.</w:t>
      </w:r>
      <w:r>
        <w:tab/>
        <w:t>В рамках процесса интеграции в европейское образовательное простра</w:t>
      </w:r>
      <w:r>
        <w:t>н</w:t>
      </w:r>
      <w:r>
        <w:t>ство, созданное в соответствии с Болонской декларацией, в Боснии и Герцег</w:t>
      </w:r>
      <w:r>
        <w:t>о</w:t>
      </w:r>
      <w:r>
        <w:t>вине начался процесс реформы образования. Он направлен прежде всего на с</w:t>
      </w:r>
      <w:r>
        <w:t>о</w:t>
      </w:r>
      <w:r>
        <w:t>гласование и модернизацию многочисленных, многообразных, имеющих зам</w:t>
      </w:r>
      <w:r>
        <w:t>к</w:t>
      </w:r>
      <w:r>
        <w:t>нутый характер и отражающих стереотипные представления законодательных актов об образовании, которые действуют в стране. В рамках этого процесса одним из первых был принят Рамочный закон о начальном и среднем образ</w:t>
      </w:r>
      <w:r>
        <w:t>о</w:t>
      </w:r>
      <w:r>
        <w:t>вании в Боснии и Герцеговине, и в стадии подготовки находится закон о вы</w:t>
      </w:r>
      <w:r>
        <w:t>с</w:t>
      </w:r>
      <w:r>
        <w:t>шем обр</w:t>
      </w:r>
      <w:r>
        <w:t>а</w:t>
      </w:r>
      <w:r>
        <w:t xml:space="preserve">зовании в Боснии и Герцеговине.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145.</w:t>
      </w:r>
      <w:r>
        <w:tab/>
        <w:t>Благодаря Рамочному закону о начальном и среднем образовании в Бо</w:t>
      </w:r>
      <w:r>
        <w:t>с</w:t>
      </w:r>
      <w:r>
        <w:t>нии и Герцеговины была создана основа для законной деятельности всех суб</w:t>
      </w:r>
      <w:r>
        <w:t>ъ</w:t>
      </w:r>
      <w:r>
        <w:t>ектов системы образования, что позволяет добиться более высокого качества, более согласованного подхода, совместимости и в большей степени приблизить местную систему образования к практике европейских и других стран мира. Важно упомянуть о том, что в рамочном Законе о равенстве между мужчинами и женщинами в Боснии и Герцеговине - одном из законов, который был также принят за истекший период, - в контексте равенства полов имеется особая ог</w:t>
      </w:r>
      <w:r>
        <w:t>о</w:t>
      </w:r>
      <w:r>
        <w:t>ворка в отношении того, что в системе образования необходимо делать акцент на важности предоставления равных возможностей мужчинам и женщинам. В статье 5 этого закона говорится следующее: "Все граждане, независимо от пола, имеют равное право на 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учебных заведениях запрещена дискриминация по признаку пола, к</w:t>
      </w:r>
      <w:r>
        <w:t>а</w:t>
      </w:r>
      <w:r>
        <w:t>сающаяся следующих аспектов: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а)</w:t>
      </w:r>
      <w:r>
        <w:tab/>
        <w:t>условия приема;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отказ в приеме;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порядок предоставления услуг и льгот;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d</w:t>
      </w:r>
      <w:r>
        <w:t>)</w:t>
      </w:r>
      <w:r>
        <w:tab/>
        <w:t>отстранение от учебного процесса;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e</w:t>
      </w:r>
      <w:r>
        <w:t>)</w:t>
      </w:r>
      <w:r>
        <w:tab/>
        <w:t>оценка успеваемости;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f</w:t>
      </w:r>
      <w:r>
        <w:t>)</w:t>
      </w:r>
      <w:r>
        <w:tab/>
        <w:t>равные условия в таких областях, как развитие карьеры и профе</w:t>
      </w:r>
      <w:r>
        <w:t>с</w:t>
      </w:r>
      <w:r>
        <w:t>сиональная специализация, профессиональный рост и получение ученых ст</w:t>
      </w:r>
      <w:r>
        <w:t>е</w:t>
      </w:r>
      <w:r>
        <w:t>пеней;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g</w:t>
      </w:r>
      <w:r>
        <w:t>)</w:t>
      </w:r>
      <w:r>
        <w:tab/>
        <w:t>др</w:t>
      </w:r>
      <w:r>
        <w:t>у</w:t>
      </w:r>
      <w:r>
        <w:t>гие возможные случаи.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статье 6 того же закона говорится следующее: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41"/>
      </w:pPr>
      <w:r>
        <w:tab/>
        <w:t>"Компетентные органы, образовательные учреждения и другие юр</w:t>
      </w:r>
      <w:r>
        <w:t>и</w:t>
      </w:r>
      <w:r>
        <w:t>дические лица принимают меры к тому, чтобы учебные программы и м</w:t>
      </w:r>
      <w:r>
        <w:t>е</w:t>
      </w:r>
      <w:r>
        <w:t>тодики обеспечивали создание такой образовательной системы, которая гарантировала бы исключение из учебных программ стереотипных уст</w:t>
      </w:r>
      <w:r>
        <w:t>а</w:t>
      </w:r>
      <w:r>
        <w:t>новок в отношении социальной роли мужчин и женщин, что оборачивае</w:t>
      </w:r>
      <w:r>
        <w:t>т</w:t>
      </w:r>
      <w:r>
        <w:t>ся дискриминацией и неравенством полов. Предметы, в которых проп</w:t>
      </w:r>
      <w:r>
        <w:t>а</w:t>
      </w:r>
      <w:r>
        <w:t>гандируется равенство полов, являются неотъемлемой частью учебной программы на всех ступенях образования. Компетентные органы, образ</w:t>
      </w:r>
      <w:r>
        <w:t>о</w:t>
      </w:r>
      <w:r>
        <w:t>вательные учреждения и другие юридические лица создают эффективные механизмы защиты от дискриминации и сексуальных домогательств и не принимают никаких дисциплинарных и других карательных мер в отн</w:t>
      </w:r>
      <w:r>
        <w:t>о</w:t>
      </w:r>
      <w:r>
        <w:t>шении лица только на том основании, что оно обратилось с жалобами на дискриминацию, притеснения или сексуальные домогательства, либо представило данные, свидетельствующие о дискриминации, притеснен</w:t>
      </w:r>
      <w:r>
        <w:t>и</w:t>
      </w:r>
      <w:r>
        <w:t>ях или сексуальных домогательс</w:t>
      </w:r>
      <w:r>
        <w:t>т</w:t>
      </w:r>
      <w:r>
        <w:t>вах".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Таким образом, этих правовых положений вполне достаточно для того, чтобы способствовать принятию в системе образования таких мер, которые п</w:t>
      </w:r>
      <w:r>
        <w:t>о</w:t>
      </w:r>
      <w:r>
        <w:t>зволили бы расширить возможности недостаточно представленного пола. Н</w:t>
      </w:r>
      <w:r>
        <w:t>е</w:t>
      </w:r>
      <w:r>
        <w:t>обходимо, однако, заметить, что реализация этих мер - это достаточно дл</w:t>
      </w:r>
      <w:r>
        <w:t>и</w:t>
      </w:r>
      <w:r>
        <w:t>тельный процесс.</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146.</w:t>
      </w:r>
      <w:r>
        <w:tab/>
        <w:t>Для анализа тенденций и изменений в гендерной структуре системы н</w:t>
      </w:r>
      <w:r>
        <w:t>а</w:t>
      </w:r>
      <w:r>
        <w:t>родного образования в Боснии и Герцеговине, а также для сравнения прежнего положения с нынешним необходимо провести общий обзор условий, существ</w:t>
      </w:r>
      <w:r>
        <w:t>о</w:t>
      </w:r>
      <w:r>
        <w:t>вавших в сфере образования в довоенный период.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а)</w:t>
      </w:r>
      <w:r>
        <w:tab/>
        <w:t>Анализ данных за период до 1992 года показывает, что уровень обр</w:t>
      </w:r>
      <w:r>
        <w:t>а</w:t>
      </w:r>
      <w:r>
        <w:t>зованности женщин и мужчин в Боснии и Герцеговине был далеко не одинак</w:t>
      </w:r>
      <w:r>
        <w:t>о</w:t>
      </w:r>
      <w:r>
        <w:t>вым;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r>
      <w:r>
        <w:rPr>
          <w:lang w:val="en-US"/>
        </w:rPr>
        <w:t>b</w:t>
      </w:r>
      <w:r>
        <w:t>)</w:t>
      </w:r>
      <w:r>
        <w:tab/>
        <w:t>в 1991 году 44 процента взрослых женщин имели неполное начал</w:t>
      </w:r>
      <w:r>
        <w:t>ь</w:t>
      </w:r>
      <w:r>
        <w:t>ное образование, в то время как доля взрослых мужчин с неполным начальным образованием была существенно меньше - 23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с)</w:t>
      </w:r>
      <w:r>
        <w:tab/>
        <w:t>в 1991 году только 30 процентов женщин в Боснии и Герцеговине имели законченное среднее образование, в то время как доля мужчин была с</w:t>
      </w:r>
      <w:r>
        <w:t>у</w:t>
      </w:r>
      <w:r>
        <w:t>щественно выше - 49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Эти различия объясняются не только неравенством полов в системе обр</w:t>
      </w:r>
      <w:r>
        <w:t>а</w:t>
      </w:r>
      <w:r>
        <w:t>зования. Они отчасти связаны с двумя демографическими факторами: большей продолжительностью жизни женщин и в целом более низким уровнем образ</w:t>
      </w:r>
      <w:r>
        <w:t>о</w:t>
      </w:r>
      <w:r>
        <w:t>ванности среди лиц более пожилого возраста.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147.</w:t>
      </w:r>
      <w:r>
        <w:tab/>
        <w:t>Тенденции в сфере образования свидетельствуют о том, что за период с 1971 по 1991 год общее положение дел с образованием женщин в Боснии и Герцеговине измен</w:t>
      </w:r>
      <w:r>
        <w:t>и</w:t>
      </w:r>
      <w:r>
        <w:t>лось к лучшему: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а)</w:t>
      </w:r>
      <w:r>
        <w:tab/>
        <w:t>за 20 лет довоенного периода в Боснии и Герцеговине уровень н</w:t>
      </w:r>
      <w:r>
        <w:t>е</w:t>
      </w:r>
      <w:r>
        <w:t>грамотности среди женщин снизился на 50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r>
      <w:r>
        <w:rPr>
          <w:lang w:val="en-US"/>
        </w:rPr>
        <w:t>b</w:t>
      </w:r>
      <w:r>
        <w:t>)</w:t>
      </w:r>
      <w:r>
        <w:tab/>
        <w:t>вместе с тем в 1991 году уровень неграмотности женщин в Боснии и Герцеговине (16,4 процента) был по-прежнему выше аналогичного показателя для мужчин (3,4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r>
      <w:r>
        <w:rPr>
          <w:lang w:val="en-US"/>
        </w:rPr>
        <w:t>c</w:t>
      </w:r>
      <w:r>
        <w:t>)</w:t>
      </w:r>
      <w:r>
        <w:tab/>
        <w:t>за период с 1981 по 1991 год доля женщин, имеющих среднее и высшее образование, возросла, но эти показатели по-прежнему ниже анал</w:t>
      </w:r>
      <w:r>
        <w:t>о</w:t>
      </w:r>
      <w:r>
        <w:t>гичных п</w:t>
      </w:r>
      <w:r>
        <w:t>о</w:t>
      </w:r>
      <w:r>
        <w:t>казателей для мужчин.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148.</w:t>
      </w:r>
      <w:r>
        <w:tab/>
        <w:t>Согласно имеющимся данным по изученному сегменту населения Боснии и Герцеговины, среди образованной части населения число мужчин и женщин практически одинаково. Вместе с тем на определенных ступенях системы о</w:t>
      </w:r>
      <w:r>
        <w:t>б</w:t>
      </w:r>
      <w:r>
        <w:t>разования существуют большие различия в показателях представленности мужчин и женщин. Данные с разбивкой по признаку пола указывают на сущ</w:t>
      </w:r>
      <w:r>
        <w:t>е</w:t>
      </w:r>
      <w:r>
        <w:t>ствование значительных структурных различий на разных ступенях системы образования. В 80</w:t>
      </w:r>
      <w:r>
        <w:noBreakHyphen/>
        <w:t>е годы большинство необразованных взрослых составляли женщины (около 75 процентов). В тот же период женщины были недостаточно представлены на высших ступенях системы образования. По оценкам, в общей структуре населения мужчины составляют от трех пятых до трех четвертей взрослых, имеющих среднее или высшее образование. (Соответствующие да</w:t>
      </w:r>
      <w:r>
        <w:t>н</w:t>
      </w:r>
      <w:r>
        <w:t>ные представлены в таблицах в приложении.) В целом можно сделать вывод о том, что за период с 1981 по 1991 год гендерная структура в этих категориях претерпела изменения. Если говорить о различных ступенях системы образ</w:t>
      </w:r>
      <w:r>
        <w:t>о</w:t>
      </w:r>
      <w:r>
        <w:t>вания, то в большинстве случаев можно констатировать улучшение положения с точки зрения равенства мужчин и женщин. Наиболее крупные успехи были достигнуты в начальном образовании: в 1991 году доля учащихся женского п</w:t>
      </w:r>
      <w:r>
        <w:t>о</w:t>
      </w:r>
      <w:r>
        <w:t>ла выросла до 49 процентов. Доля лиц женского пола в системе среднего обр</w:t>
      </w:r>
      <w:r>
        <w:t>а</w:t>
      </w:r>
      <w:r>
        <w:t>зования увеличилась с 33 до 37 процентов, а доля студенток университетов - с 31 до 37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149.</w:t>
      </w:r>
      <w:r>
        <w:tab/>
        <w:t>Таким образом, за период с 1981 по 1991 год уровень образованности женщин в Боснии и Герцеговине возрос. Наилучшие результаты были дости</w:t>
      </w:r>
      <w:r>
        <w:t>г</w:t>
      </w:r>
      <w:r>
        <w:t>нуты на высших ступенях системы образования. Доля женщин, имеющих среднее образование, почти удвоилась - с 1,4 процента в 1981 году до 2,7 процента в 1991 году. Однако общее положение дел по-прежнему таково, что уровень о</w:t>
      </w:r>
      <w:r>
        <w:t>б</w:t>
      </w:r>
      <w:r>
        <w:t>разованности женщин ниже, чем у мужчин.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150.</w:t>
      </w:r>
      <w:r>
        <w:tab/>
        <w:t>Тенденция к снижению уровня неграмотности среди женщин до 1992 года, увеличение представленности женщин на всех ступенях системы образования и примерно одинаковое число мальчиков и девочек, охваченных школьным обучением, в 1995 году (см. анализ, статистические данные) свид</w:t>
      </w:r>
      <w:r>
        <w:t>е</w:t>
      </w:r>
      <w:r>
        <w:t>тельствуют о том, что неравенство полов тесно связано с историческими и д</w:t>
      </w:r>
      <w:r>
        <w:t>е</w:t>
      </w:r>
      <w:r>
        <w:t>мографическими тенденциями и что со временем оно будет постепенно свед</w:t>
      </w:r>
      <w:r>
        <w:t>е</w:t>
      </w:r>
      <w:r>
        <w:t>но на нет.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151.</w:t>
      </w:r>
      <w:r>
        <w:tab/>
        <w:t>Сегодня система образования в Боснии и Герцеговине включает в себя следующие четыре ступени: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r>
      <w:r>
        <w:rPr>
          <w:lang w:val="en-US"/>
        </w:rPr>
        <w:t>a</w:t>
      </w:r>
      <w:r>
        <w:t>)</w:t>
      </w:r>
      <w:r>
        <w:tab/>
        <w:t>дошкольное воспитание;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r>
      <w:r>
        <w:rPr>
          <w:lang w:val="en-US"/>
        </w:rPr>
        <w:t>b</w:t>
      </w:r>
      <w:r>
        <w:t>)</w:t>
      </w:r>
      <w:r>
        <w:tab/>
        <w:t>начальное 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r>
      <w:r>
        <w:rPr>
          <w:lang w:val="en-US"/>
        </w:rPr>
        <w:t>c</w:t>
      </w:r>
      <w:r>
        <w:t>)</w:t>
      </w:r>
      <w:r>
        <w:tab/>
        <w:t>среднее 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r>
      <w:r>
        <w:rPr>
          <w:lang w:val="en-US"/>
        </w:rPr>
        <w:t>d</w:t>
      </w:r>
      <w:r>
        <w:t>)</w:t>
      </w:r>
      <w:r>
        <w:tab/>
        <w:t>высшее 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Учебные заведения в Боснии и Герцеговине - преимущественно госуда</w:t>
      </w:r>
      <w:r>
        <w:t>р</w:t>
      </w:r>
      <w:r>
        <w:t>ственные. С принятием закона о школах появились возможности для создания частных образовательных учреждений, и за прошедший период были актив</w:t>
      </w:r>
      <w:r>
        <w:t>и</w:t>
      </w:r>
      <w:r>
        <w:t>зированы усилия по открытию таких учреждений на всех ступенях системы образования.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152.</w:t>
      </w:r>
      <w:r>
        <w:tab/>
        <w:t>Важным институтом, при помощи которого государство обеспечивает уход за детьми работающих женщин, являются детские дошкольные учрежд</w:t>
      </w:r>
      <w:r>
        <w:t>е</w:t>
      </w:r>
      <w:r>
        <w:t>ния. Дошкольное воспитание, которое не является обязательным, предусмо</w:t>
      </w:r>
      <w:r>
        <w:t>т</w:t>
      </w:r>
      <w:r>
        <w:t>рено для детей в возрасте от одного до шести лет. В Боснии и Герцеговине де</w:t>
      </w:r>
      <w:r>
        <w:t>й</w:t>
      </w:r>
      <w:r>
        <w:t>ствуют 148 дошкольных учреждений, из которых 105 находятся на территории Федерации Боснии и Герцеговины (ясли и детские сады, два из которых - час</w:t>
      </w:r>
      <w:r>
        <w:t>т</w:t>
      </w:r>
      <w:r>
        <w:t>ные). Их посещают 8 процентов детей, и в них работают 749 воспитателей. В Республике Сербской действуют 39 дошкольных учреждений, которые пос</w:t>
      </w:r>
      <w:r>
        <w:t>е</w:t>
      </w:r>
      <w:r>
        <w:t>щают 3 процента детей и в которых работают 435 воспитателей. В соответствии с законами Боснии и Герцеговины дошкольное воспитание я</w:t>
      </w:r>
      <w:r>
        <w:t>в</w:t>
      </w:r>
      <w:r>
        <w:t>ляется неотъемлемой частью системы образования и имеет особую социал</w:t>
      </w:r>
      <w:r>
        <w:t>ь</w:t>
      </w:r>
      <w:r>
        <w:t>ную значимость. Организация дошкольного воспитания входит в обязанности муниципалитетов и относится к такой сфере деятельности, как социальное вспомоществование. Дошкольное воспитание не является обязательным, и число детей, посещающих такие учреждения, неодинаково в разных муниц</w:t>
      </w:r>
      <w:r>
        <w:t>и</w:t>
      </w:r>
      <w:r>
        <w:t>палитетах. Дошкольное воспитание организуется в дошкольных учреждениях, специальных учреждениях для детей с задержками в психическом и физич</w:t>
      </w:r>
      <w:r>
        <w:t>е</w:t>
      </w:r>
      <w:r>
        <w:t>ском развитии и учреждениях социального вспомоществования, которые обе</w:t>
      </w:r>
      <w:r>
        <w:t>с</w:t>
      </w:r>
      <w:r>
        <w:t>печивают уход за детьми, оставшимися без родительского попечения. В последнее время дошкольное воспитание было включено в программу обы</w:t>
      </w:r>
      <w:r>
        <w:t>ч</w:t>
      </w:r>
      <w:r>
        <w:t>ных начальных школ. Финансирование дошкольных учреждений организовано следующим образом: основатель выделяет средства на создание и организацию работы учреждения, а также на оплату труда персонала, а родители оплачивают питание и частично покрывают заработную плату персонала. Как правило, объем финансирования значительно отстает от уровня р</w:t>
      </w:r>
      <w:r>
        <w:t>е</w:t>
      </w:r>
      <w:r>
        <w:t xml:space="preserve">альных потребностей.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153.</w:t>
      </w:r>
      <w:r>
        <w:tab/>
        <w:t>В настоящее время финансирование обеспечивается из муниципальных бюджетов, и поэтому судьба дошкольного воспитания зависит от материальн</w:t>
      </w:r>
      <w:r>
        <w:t>о</w:t>
      </w:r>
      <w:r>
        <w:t>го и финансового положения отдельных муниципалитетов. Общее число детей, посещающих сегодня дошкольные учреждения, весьма невелико, и имеющиеся данные показывают, что дошкольным воспитанием охвачена лишь крайне н</w:t>
      </w:r>
      <w:r>
        <w:t>е</w:t>
      </w:r>
      <w:r>
        <w:t>значительная часть детей дошкольного возраста. В общей численности рабо</w:t>
      </w:r>
      <w:r>
        <w:t>т</w:t>
      </w:r>
      <w:r>
        <w:t>ников здравоохранения и образования мужчины составляют лишь незнач</w:t>
      </w:r>
      <w:r>
        <w:t>и</w:t>
      </w:r>
      <w:r>
        <w:t>тельную часть. Это можно объяснить тем, что в этих сферах бытуют предра</w:t>
      </w:r>
      <w:r>
        <w:t>с</w:t>
      </w:r>
      <w:r>
        <w:t>судки по поводу того, что данные профессии являются "женскими", хотя р</w:t>
      </w:r>
      <w:r>
        <w:t>е</w:t>
      </w:r>
      <w:r>
        <w:t>альная жизнь показала, что мужчины-учителя превосходно справляются с этой работой и весьма любимы детьми. Картина выглядит несколько иначе с дире</w:t>
      </w:r>
      <w:r>
        <w:t>к</w:t>
      </w:r>
      <w:r>
        <w:t>торами детских дошкольных учреждений. И</w:t>
      </w:r>
      <w:r>
        <w:t>н</w:t>
      </w:r>
      <w:r>
        <w:t>тересно отметить, что директора-женщины обычно имеют профессию дошк</w:t>
      </w:r>
      <w:r>
        <w:t>о</w:t>
      </w:r>
      <w:r>
        <w:t>льного воспитателя, а директора-мужчины отбираются по другим критериям - они не являются воспитателями по профессии и не работали раньше в дошкольных учреждениях. Это является еще одним подтверждением того, что мужчины сосредоточены в основном на управленческих и руководящих должностях.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154.</w:t>
      </w:r>
      <w:r>
        <w:tab/>
        <w:t>Начальное образование в Боснии и Герцеговине в 2002/2003 учебном году обеспечивалось в общей сложности 1864 школами, в которых обучалось 364 914 детей и работало 20 874 преподавателя, в том числе 13 502 женщины и 7372 мужчины. Более подробные данные содержатся в статистическом прил</w:t>
      </w:r>
      <w:r>
        <w:t>о</w:t>
      </w:r>
      <w:r>
        <w:t>жении ("Образование"). Начальное образование является обязательным - оно дает детям самые общие знания и навыки и закладывает основу для любого дальнейшего образования. Начальные школы могут находиться в государс</w:t>
      </w:r>
      <w:r>
        <w:t>т</w:t>
      </w:r>
      <w:r>
        <w:t>венной или частной собственности. Начальные школы, создаваемые муниц</w:t>
      </w:r>
      <w:r>
        <w:t>и</w:t>
      </w:r>
      <w:r>
        <w:t>палитетами и кантонами, обычно имеют статус государственного учреждения. Помимо обычных начальных школ, в стране существуют также специальные начальные школы и учреждения, параллельные начальные школы (музыка и бальные танцы) и школы, дающие начальное образование взрослым. В обычные начальные школы дети поступают в возрасте 6-7 лет и учатся там в течение восьми лет. Для детей с задержками в развитии начальное образование явл</w:t>
      </w:r>
      <w:r>
        <w:t>я</w:t>
      </w:r>
      <w:r>
        <w:t>ется обязательным с 7 до 15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155.</w:t>
      </w:r>
      <w:r>
        <w:tab/>
        <w:t>Хотя во всех законах об образовании мальчикам и девочкам предоставл</w:t>
      </w:r>
      <w:r>
        <w:t>я</w:t>
      </w:r>
      <w:r>
        <w:t>ются равные возможности для обучения в школе, в действительности показат</w:t>
      </w:r>
      <w:r>
        <w:t>е</w:t>
      </w:r>
      <w:r>
        <w:t>ли охвата образованием для жителей сельских и городских районов неодинак</w:t>
      </w:r>
      <w:r>
        <w:t>о</w:t>
      </w:r>
      <w:r>
        <w:t>вы. Другими словами, несмотря на то что начальное образование является об</w:t>
      </w:r>
      <w:r>
        <w:t>я</w:t>
      </w:r>
      <w:r>
        <w:t>зательным, имеются данные о том, что предпринимается недостаточно усилий для охвата школьным обучением девочек, особенно в менее развитых сельских районах. Общеизвестно, что даже в довоенный период в сельских районах Боснии и Герцеговины (Бихачский район и Восточная Босния) девочки нередко оставляли начальную школу для работы в поле или в домашнем хозяйстве. О</w:t>
      </w:r>
      <w:r>
        <w:t>д</w:t>
      </w:r>
      <w:r>
        <w:t>на из причин того, почему девочки не завершают начальное образование, - уд</w:t>
      </w:r>
      <w:r>
        <w:t>а</w:t>
      </w:r>
      <w:r>
        <w:t>ленность школ от некоторых сельских населенных пунктов. Именно по этой причине меры, которые предстоит принять законодательным органам, касаются в первую очередь полного осуществления всех законов и международных норм в области защиты прав человека, в особенности Конвенции о правах ребенка. Согласно положениям Европейской конвенции, необходимы более жесткие г</w:t>
      </w:r>
      <w:r>
        <w:t>а</w:t>
      </w:r>
      <w:r>
        <w:t>рантии и более высокий уровень защиты прав ребенка, с тем чтобы всякий раз, когда затрагиваются права детей, применялся принцип обеспечения наилучших интересов ребенка. До настоящего времени в инспекционную службу, дейс</w:t>
      </w:r>
      <w:r>
        <w:t>т</w:t>
      </w:r>
      <w:r>
        <w:t>вующую при министерстве образования, науки, культуры и спорта, не поступ</w:t>
      </w:r>
      <w:r>
        <w:t>а</w:t>
      </w:r>
      <w:r>
        <w:t>ло никаких исковых требований, связанных с нарушением прав женщин, а то</w:t>
      </w:r>
      <w:r>
        <w:t>ч</w:t>
      </w:r>
      <w:r>
        <w:t>нее прав д</w:t>
      </w:r>
      <w:r>
        <w:t>е</w:t>
      </w:r>
      <w:r>
        <w:t xml:space="preserve">вочек в сфере образования.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156.</w:t>
      </w:r>
      <w:r>
        <w:tab/>
        <w:t>Средние школы могут находиться в государственной и частной собстве</w:t>
      </w:r>
      <w:r>
        <w:t>н</w:t>
      </w:r>
      <w:r>
        <w:t>ности. Большинство существующих средних школ - государственные. Обуч</w:t>
      </w:r>
      <w:r>
        <w:t>е</w:t>
      </w:r>
      <w:r>
        <w:t>ние в средних школах осуществляется по программе обычной средней школы, включая обучение детей с особыми потребностями, а также образование взрослых. В период с 1999 по 2001 год была активизирована работа в рамках пр</w:t>
      </w:r>
      <w:r>
        <w:t>о</w:t>
      </w:r>
      <w:r>
        <w:t>граммы "</w:t>
      </w:r>
      <w:r>
        <w:rPr>
          <w:lang w:val="en-US"/>
        </w:rPr>
        <w:t>Phare</w:t>
      </w:r>
      <w:r>
        <w:t>-</w:t>
      </w:r>
      <w:r>
        <w:rPr>
          <w:lang w:val="en-US"/>
        </w:rPr>
        <w:t>vet</w:t>
      </w:r>
      <w:r>
        <w:t>" - программы реформы среднего профессионально-технического образования. Предполагается, что эта работа будет вестись до 2006 года, когда планируется завершить реформу всех средних професси</w:t>
      </w:r>
      <w:r>
        <w:t>о</w:t>
      </w:r>
      <w:r>
        <w:t>нально-технических училищ в Боснии и Герцеговине в соответствии с межд</w:t>
      </w:r>
      <w:r>
        <w:t>у</w:t>
      </w:r>
      <w:r>
        <w:t>народными стандартами. Планы реформы начального и среднего образования в период 2002-2006 годов были разработаны при содействии Европейской к</w:t>
      </w:r>
      <w:r>
        <w:t>о</w:t>
      </w:r>
      <w:r>
        <w:t>миссии и Вс</w:t>
      </w:r>
      <w:r>
        <w:t>е</w:t>
      </w:r>
      <w:r>
        <w:t>мирного банка.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157.</w:t>
      </w:r>
      <w:r>
        <w:tab/>
        <w:t>Учащиеся принимаются в среднюю школу после успешного окончания начальной школы. Прием осуществляется на основе открытого конкурса и в соответствии с правилами и положениями средней школы. Обучение в средних профессионально-технических училищах длится обычно три года, в исключ</w:t>
      </w:r>
      <w:r>
        <w:t>и</w:t>
      </w:r>
      <w:r>
        <w:t>тельных случаях - четыре года, а для менее сложных специальностей - два г</w:t>
      </w:r>
      <w:r>
        <w:t>о</w:t>
      </w:r>
      <w:r>
        <w:t>да. В других средних школах обучение длится четыре года, в исключительных случаях - пять лет. Данные о приеме в школы в 1995 году не дают оснований говорить о сколько-нибудь существенных расхождениях в показателях приема мужчин и женщин на всех ступенях обучения. Поскольку точное соотношение между мужчинами и женщинами в общем составе населения неизвестно, эти выводы носят весьма умозрительный хара</w:t>
      </w:r>
      <w:r>
        <w:t>к</w:t>
      </w:r>
      <w:r>
        <w:t>тер.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158.</w:t>
      </w:r>
      <w:r>
        <w:tab/>
        <w:t>В период 1999-2000 годов число девочек, окончивших среднюю школу, было нескольким менее половины всех учащихся (46 процентов). Этот показ</w:t>
      </w:r>
      <w:r>
        <w:t>а</w:t>
      </w:r>
      <w:r>
        <w:t>тель можно объяснить тем, что только 40 процентов девочек окончили то или иное техническое училище или другие профессиональные учебные заведения, показатели приема в которые выше, чем для любых других типов средних школ. Вместе с тем в гимназиях девочки составляют большинство учащихся (65 процентов). В категории технических и профессиональных (ремесленных) училищ также имеет место явная сегрегация по признаку пола. В рамках д</w:t>
      </w:r>
      <w:r>
        <w:t>е</w:t>
      </w:r>
      <w:r>
        <w:t>сятка учебных программ, имеющих высокие показатели приема, включая пр</w:t>
      </w:r>
      <w:r>
        <w:t>о</w:t>
      </w:r>
      <w:r>
        <w:t>граммы обучения по таким специальностям, как машиностроение, инженерное дело, транспорт и строительство, среди учащихся преобладают мальчики. Д</w:t>
      </w:r>
      <w:r>
        <w:t>е</w:t>
      </w:r>
      <w:r>
        <w:t>вочки составляют большинство в училищах, имеющих отношение к сфере у</w:t>
      </w:r>
      <w:r>
        <w:t>с</w:t>
      </w:r>
      <w:r>
        <w:t>луг, текстильных, медицинских, экономических, торговых и коммерческих училищах.</w:t>
      </w:r>
    </w:p>
    <w:p w:rsidR="00000000" w:rsidRDefault="00000000">
      <w:pPr>
        <w:pStyle w:val="SingleTxt"/>
        <w:spacing w:after="0" w:line="240" w:lineRule="auto"/>
        <w:rPr>
          <w:sz w:val="10"/>
        </w:rPr>
      </w:pPr>
      <w:r>
        <w:rPr>
          <w:sz w:val="10"/>
        </w:rPr>
        <w:br w:type="page"/>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Диаграмма 4.</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object w:dxaOrig="8040" w:dyaOrig="5625">
          <v:shape id="_x0000_i1027" type="#_x0000_t75" style="width:402pt;height:281.25pt" o:ole="" fillcolor="window">
            <v:imagedata r:id="rId18" o:title=""/>
          </v:shape>
          <o:OLEObject Type="Embed" ProgID="MSGraph.Chart.8" ShapeID="_x0000_i1027" DrawAspect="Content" ObjectID="_1418863775" r:id="rId19">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159.</w:t>
      </w:r>
      <w:r>
        <w:tab/>
        <w:t>Последние данные о численности учащихся в средних школах показыв</w:t>
      </w:r>
      <w:r>
        <w:t>а</w:t>
      </w:r>
      <w:r>
        <w:t>ют, что соотношение полов варьируется в зависимости от типа школы. В 1998/1999 учебном году в общей численности выпускников средней школы в гимназиях и художественных училищах девушки составляли 65 процентов, в средних педагогических училищах - 83 процента. Вместе с тем большинство выпускников средней школы в технических и профессиональных училищах с</w:t>
      </w:r>
      <w:r>
        <w:t>о</w:t>
      </w:r>
      <w:r>
        <w:t xml:space="preserve">ставляют мальчики (59 процентов). Несмотря на отсутствие данных об уровне отсева, данные о приеме за предыдущие годы показывают, что соотношение полов среди выпускников средней школы соответствует этому соотношению при приеме.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160.</w:t>
      </w:r>
      <w:r>
        <w:tab/>
        <w:t>Что касается продолжения общего образования, то в сельских районах учебу в средней школе продолжает меньше девочек, чем в городских, по ряду причин. Семьи не в состоянии покупать учебники, одежду и оплачивать тран</w:t>
      </w:r>
      <w:r>
        <w:t>с</w:t>
      </w:r>
      <w:r>
        <w:t>порт, и девочки остаются дома и помогают семьям по хозяйству. Определенное влияние на продолжение образования оказывает обеспокоенность родителей нравственным состоянием девочек, которое в городах может измениться к худшему. Отдельные случаи свидетельствуют о том, что женщины завершают учебу в меньшем количестве по сравнению с мужчинами по таким причинам, как беременность и необходимость воспитывать детей. Существуют две др</w:t>
      </w:r>
      <w:r>
        <w:t>у</w:t>
      </w:r>
      <w:r>
        <w:t>гие, тесно связанные между собой причины, которые ограничивают возможн</w:t>
      </w:r>
      <w:r>
        <w:t>о</w:t>
      </w:r>
      <w:r>
        <w:t>сти женщин для осуществления их права на получение образования на равной основе. Это гендерные стереотипы в рамках изучаемых предметов (особенно в учебниках для начальной и средней школы) и сегрегация по признаку пола в средней школе и профессионально-технических училищах, но не на универс</w:t>
      </w:r>
      <w:r>
        <w:t>и</w:t>
      </w:r>
      <w:r>
        <w:t>тетском уровне.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161.</w:t>
      </w:r>
      <w:r>
        <w:tab/>
        <w:t>Почти 99 процентов детей, поступающих в первый класс начальной шк</w:t>
      </w:r>
      <w:r>
        <w:t>о</w:t>
      </w:r>
      <w:r>
        <w:t>лы, успешно доучиваются до пятого класса. На основе этих данных можно сделать вывод об отсутствии каких бы то ни было различий между положением мальчиков и девочек и между сельскими и городскими районами. По оконч</w:t>
      </w:r>
      <w:r>
        <w:t>а</w:t>
      </w:r>
      <w:r>
        <w:t>нии четвертого класса начальной школы число детей, продолжающих учебу, сокращается, что особенно заметно в сельских районах. Это отражается в пе</w:t>
      </w:r>
      <w:r>
        <w:t>р</w:t>
      </w:r>
      <w:r>
        <w:t>вую очередь на несовершеннолетних учащихся женского пола.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162.</w:t>
      </w:r>
      <w:r>
        <w:tab/>
        <w:t>В довоенный период высшее образование также носило централизова</w:t>
      </w:r>
      <w:r>
        <w:t>н</w:t>
      </w:r>
      <w:r>
        <w:t>ный характер. В стране действовал единственный закон об университетах, к</w:t>
      </w:r>
      <w:r>
        <w:t>о</w:t>
      </w:r>
      <w:r>
        <w:t>торый регулировал порядок создания и организационного устройства униве</w:t>
      </w:r>
      <w:r>
        <w:t>р</w:t>
      </w:r>
      <w:r>
        <w:t>ситетов и управления их работой. В результате децентрализации образования система высшего образования оказалась в новых условиях, и перед ней встал ряд вопросов и проблем. В настоящее время руководство высшими учебными заведениями в Федерации Боснии и Герцеговины осуществляется на кант</w:t>
      </w:r>
      <w:r>
        <w:t>о</w:t>
      </w:r>
      <w:r>
        <w:t>нальном уровне, в Республике Сербской - на центральном уровне. В Боснии и Герцеговине действует в общей сложности 7 университетов и 102 высших учебных заведения. Факультеты, академии и колледжи относятся к категории вы</w:t>
      </w:r>
      <w:r>
        <w:t>с</w:t>
      </w:r>
      <w:r>
        <w:t>ших учебных заведений.</w:t>
      </w:r>
    </w:p>
    <w:p w:rsidR="00000000" w:rsidRDefault="00000000">
      <w:pPr>
        <w:pStyle w:val="SingleTxt"/>
        <w:spacing w:after="0" w:line="240" w:lineRule="auto"/>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Выпускники высших учебных заведений Боснии и Герцеговины, с разбивкой по признаку пола, 1998-2002 годы</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08"/>
        <w:gridCol w:w="1008"/>
        <w:gridCol w:w="1008"/>
        <w:gridCol w:w="1008"/>
        <w:gridCol w:w="1008"/>
        <w:gridCol w:w="1008"/>
        <w:gridCol w:w="1134"/>
      </w:tblGrid>
      <w:tr w:rsidR="00000000">
        <w:tblPrEx>
          <w:tblCellMar>
            <w:top w:w="0" w:type="dxa"/>
            <w:left w:w="0" w:type="dxa"/>
            <w:bottom w:w="0" w:type="dxa"/>
            <w:right w:w="0" w:type="dxa"/>
          </w:tblCellMar>
        </w:tblPrEx>
        <w:trPr>
          <w:tblHeader/>
        </w:trPr>
        <w:tc>
          <w:tcPr>
            <w:tcW w:w="1008"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4"/>
              </w:rPr>
            </w:pPr>
          </w:p>
        </w:tc>
        <w:tc>
          <w:tcPr>
            <w:tcW w:w="1008"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p>
        </w:tc>
        <w:tc>
          <w:tcPr>
            <w:tcW w:w="1008"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Всего</w:t>
            </w:r>
          </w:p>
        </w:tc>
        <w:tc>
          <w:tcPr>
            <w:tcW w:w="1008" w:type="dxa"/>
            <w:tcBorders>
              <w:left w:val="nil"/>
              <w:bottom w:val="single" w:sz="12" w:space="0" w:color="auto"/>
              <w:right w:val="nil"/>
            </w:tcBorders>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Колледжи</w:t>
            </w:r>
          </w:p>
        </w:tc>
        <w:tc>
          <w:tcPr>
            <w:tcW w:w="1008" w:type="dxa"/>
            <w:tcBorders>
              <w:left w:val="nil"/>
              <w:bottom w:val="single" w:sz="12" w:space="0" w:color="auto"/>
              <w:right w:val="nil"/>
            </w:tcBorders>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Факультеты</w:t>
            </w:r>
          </w:p>
        </w:tc>
        <w:tc>
          <w:tcPr>
            <w:tcW w:w="1008" w:type="dxa"/>
            <w:tcBorders>
              <w:left w:val="nil"/>
              <w:bottom w:val="single" w:sz="12" w:space="0" w:color="auto"/>
              <w:right w:val="nil"/>
            </w:tcBorders>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Академии</w:t>
            </w:r>
          </w:p>
        </w:tc>
        <w:tc>
          <w:tcPr>
            <w:tcW w:w="1134"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Духовные школы</w:t>
            </w:r>
          </w:p>
        </w:tc>
      </w:tr>
      <w:tr w:rsidR="00000000">
        <w:tblPrEx>
          <w:tblCellMar>
            <w:top w:w="0" w:type="dxa"/>
            <w:left w:w="0" w:type="dxa"/>
            <w:bottom w:w="0" w:type="dxa"/>
            <w:right w:w="0" w:type="dxa"/>
          </w:tblCellMar>
        </w:tblPrEx>
        <w:trPr>
          <w:trHeight w:hRule="exact" w:val="115"/>
          <w:tblHeader/>
        </w:trPr>
        <w:tc>
          <w:tcPr>
            <w:tcW w:w="1008"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008"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08"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08"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08"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08"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134"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08" w:type="dxa"/>
            <w:tcBorders>
              <w:top w:val="nil"/>
              <w:left w:val="nil"/>
              <w:bottom w:val="nil"/>
              <w:right w:val="nil"/>
            </w:tcBorders>
            <w:vAlign w:val="bottom"/>
          </w:tcPr>
          <w:p w:rsidR="00000000" w:rsidRDefault="00000000">
            <w:pPr>
              <w:keepNext/>
              <w:spacing w:before="40" w:after="40" w:line="210" w:lineRule="exact"/>
              <w:rPr>
                <w:sz w:val="17"/>
              </w:rPr>
            </w:pPr>
            <w:r>
              <w:rPr>
                <w:sz w:val="17"/>
              </w:rPr>
              <w:t>1998 год</w:t>
            </w:r>
          </w:p>
        </w:tc>
        <w:tc>
          <w:tcPr>
            <w:tcW w:w="1008"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Всего</w:t>
            </w:r>
          </w:p>
        </w:tc>
        <w:tc>
          <w:tcPr>
            <w:tcW w:w="1008" w:type="dxa"/>
            <w:tcBorders>
              <w:top w:val="nil"/>
              <w:left w:val="nil"/>
              <w:bottom w:val="nil"/>
              <w:right w:val="nil"/>
            </w:tcBorders>
            <w:vAlign w:val="bottom"/>
          </w:tcPr>
          <w:p w:rsidR="00000000" w:rsidRDefault="00000000">
            <w:pPr>
              <w:keepNext/>
              <w:spacing w:before="40" w:after="40" w:line="210" w:lineRule="exact"/>
              <w:jc w:val="right"/>
              <w:rPr>
                <w:b/>
                <w:sz w:val="17"/>
              </w:rPr>
            </w:pPr>
            <w:r>
              <w:rPr>
                <w:b/>
                <w:sz w:val="17"/>
              </w:rPr>
              <w:t>3 133</w:t>
            </w:r>
          </w:p>
        </w:tc>
        <w:tc>
          <w:tcPr>
            <w:tcW w:w="1008" w:type="dxa"/>
            <w:tcBorders>
              <w:top w:val="nil"/>
              <w:left w:val="nil"/>
              <w:bottom w:val="nil"/>
              <w:right w:val="nil"/>
            </w:tcBorders>
          </w:tcPr>
          <w:p w:rsidR="00000000" w:rsidRDefault="00000000">
            <w:pPr>
              <w:keepNext/>
              <w:spacing w:before="40" w:after="40" w:line="210" w:lineRule="exact"/>
              <w:jc w:val="right"/>
              <w:rPr>
                <w:b/>
                <w:sz w:val="17"/>
              </w:rPr>
            </w:pPr>
            <w:r>
              <w:rPr>
                <w:b/>
                <w:sz w:val="17"/>
              </w:rPr>
              <w:t>686</w:t>
            </w:r>
          </w:p>
        </w:tc>
        <w:tc>
          <w:tcPr>
            <w:tcW w:w="1008" w:type="dxa"/>
            <w:tcBorders>
              <w:top w:val="nil"/>
              <w:left w:val="nil"/>
              <w:bottom w:val="nil"/>
              <w:right w:val="nil"/>
            </w:tcBorders>
          </w:tcPr>
          <w:p w:rsidR="00000000" w:rsidRDefault="00000000">
            <w:pPr>
              <w:keepNext/>
              <w:spacing w:before="40" w:after="40" w:line="210" w:lineRule="exact"/>
              <w:jc w:val="right"/>
              <w:rPr>
                <w:b/>
                <w:sz w:val="17"/>
              </w:rPr>
            </w:pPr>
            <w:r>
              <w:rPr>
                <w:b/>
                <w:sz w:val="17"/>
              </w:rPr>
              <w:t>2 377</w:t>
            </w:r>
          </w:p>
        </w:tc>
        <w:tc>
          <w:tcPr>
            <w:tcW w:w="1008" w:type="dxa"/>
            <w:tcBorders>
              <w:top w:val="nil"/>
              <w:left w:val="nil"/>
              <w:bottom w:val="nil"/>
              <w:right w:val="nil"/>
            </w:tcBorders>
          </w:tcPr>
          <w:p w:rsidR="00000000" w:rsidRDefault="00000000">
            <w:pPr>
              <w:keepNext/>
              <w:spacing w:before="40" w:after="40" w:line="210" w:lineRule="exact"/>
              <w:jc w:val="right"/>
              <w:rPr>
                <w:b/>
                <w:sz w:val="17"/>
              </w:rPr>
            </w:pPr>
            <w:r>
              <w:rPr>
                <w:b/>
                <w:sz w:val="17"/>
              </w:rPr>
              <w:t>27</w:t>
            </w:r>
          </w:p>
        </w:tc>
        <w:tc>
          <w:tcPr>
            <w:tcW w:w="1134" w:type="dxa"/>
            <w:tcBorders>
              <w:top w:val="nil"/>
              <w:left w:val="nil"/>
              <w:bottom w:val="nil"/>
              <w:right w:val="nil"/>
            </w:tcBorders>
            <w:vAlign w:val="bottom"/>
          </w:tcPr>
          <w:p w:rsidR="00000000" w:rsidRDefault="00000000">
            <w:pPr>
              <w:keepNext/>
              <w:spacing w:before="40" w:after="40" w:line="210" w:lineRule="exact"/>
              <w:jc w:val="right"/>
              <w:rPr>
                <w:b/>
                <w:sz w:val="17"/>
              </w:rPr>
            </w:pPr>
            <w:r>
              <w:rPr>
                <w:b/>
                <w:sz w:val="17"/>
              </w:rPr>
              <w:t>43</w:t>
            </w:r>
          </w:p>
        </w:tc>
      </w:tr>
      <w:tr w:rsidR="00000000">
        <w:tblPrEx>
          <w:tblCellMar>
            <w:top w:w="0" w:type="dxa"/>
            <w:left w:w="0" w:type="dxa"/>
            <w:bottom w:w="0" w:type="dxa"/>
            <w:right w:w="0" w:type="dxa"/>
          </w:tblCellMar>
        </w:tblPrEx>
        <w:tc>
          <w:tcPr>
            <w:tcW w:w="1008" w:type="dxa"/>
            <w:tcBorders>
              <w:top w:val="nil"/>
              <w:left w:val="nil"/>
              <w:bottom w:val="nil"/>
              <w:right w:val="nil"/>
            </w:tcBorders>
            <w:vAlign w:val="bottom"/>
          </w:tcPr>
          <w:p w:rsidR="00000000" w:rsidRDefault="00000000">
            <w:pPr>
              <w:spacing w:before="40" w:after="40" w:line="210" w:lineRule="exact"/>
              <w:rPr>
                <w:sz w:val="17"/>
              </w:rPr>
            </w:pP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Муж.</w:t>
            </w: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1 259</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154</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1057</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10</w:t>
            </w:r>
          </w:p>
        </w:tc>
        <w:tc>
          <w:tcPr>
            <w:tcW w:w="1134" w:type="dxa"/>
            <w:tcBorders>
              <w:top w:val="nil"/>
              <w:left w:val="nil"/>
              <w:bottom w:val="nil"/>
              <w:right w:val="nil"/>
            </w:tcBorders>
            <w:vAlign w:val="bottom"/>
          </w:tcPr>
          <w:p w:rsidR="00000000" w:rsidRDefault="00000000">
            <w:pPr>
              <w:spacing w:before="40" w:after="40" w:line="210" w:lineRule="exact"/>
              <w:jc w:val="right"/>
              <w:rPr>
                <w:sz w:val="17"/>
              </w:rPr>
            </w:pPr>
            <w:r>
              <w:rPr>
                <w:sz w:val="17"/>
              </w:rPr>
              <w:t>38</w:t>
            </w:r>
          </w:p>
        </w:tc>
      </w:tr>
      <w:tr w:rsidR="00000000">
        <w:tblPrEx>
          <w:tblCellMar>
            <w:top w:w="0" w:type="dxa"/>
            <w:left w:w="0" w:type="dxa"/>
            <w:bottom w:w="0" w:type="dxa"/>
            <w:right w:w="0" w:type="dxa"/>
          </w:tblCellMar>
        </w:tblPrEx>
        <w:tc>
          <w:tcPr>
            <w:tcW w:w="1008" w:type="dxa"/>
            <w:tcBorders>
              <w:top w:val="nil"/>
              <w:left w:val="nil"/>
              <w:bottom w:val="nil"/>
              <w:right w:val="nil"/>
            </w:tcBorders>
            <w:vAlign w:val="bottom"/>
          </w:tcPr>
          <w:p w:rsidR="00000000" w:rsidRDefault="00000000">
            <w:pPr>
              <w:spacing w:before="40" w:after="40" w:line="210" w:lineRule="exact"/>
              <w:rPr>
                <w:sz w:val="17"/>
              </w:rPr>
            </w:pP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Жен.</w:t>
            </w: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1 874</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532</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1 320</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17</w:t>
            </w:r>
          </w:p>
        </w:tc>
        <w:tc>
          <w:tcPr>
            <w:tcW w:w="1134" w:type="dxa"/>
            <w:tcBorders>
              <w:top w:val="nil"/>
              <w:left w:val="nil"/>
              <w:bottom w:val="nil"/>
              <w:right w:val="nil"/>
            </w:tcBorders>
            <w:vAlign w:val="bottom"/>
          </w:tcPr>
          <w:p w:rsidR="00000000" w:rsidRDefault="00000000">
            <w:pPr>
              <w:spacing w:before="40" w:after="40" w:line="210" w:lineRule="exact"/>
              <w:jc w:val="right"/>
              <w:rPr>
                <w:sz w:val="17"/>
              </w:rPr>
            </w:pPr>
            <w:r>
              <w:rPr>
                <w:sz w:val="17"/>
              </w:rPr>
              <w:t>5</w:t>
            </w:r>
          </w:p>
        </w:tc>
      </w:tr>
      <w:tr w:rsidR="00000000">
        <w:tblPrEx>
          <w:tblCellMar>
            <w:top w:w="0" w:type="dxa"/>
            <w:left w:w="0" w:type="dxa"/>
            <w:bottom w:w="0" w:type="dxa"/>
            <w:right w:w="0" w:type="dxa"/>
          </w:tblCellMar>
        </w:tblPrEx>
        <w:tc>
          <w:tcPr>
            <w:tcW w:w="1008" w:type="dxa"/>
            <w:tcBorders>
              <w:top w:val="nil"/>
              <w:left w:val="nil"/>
              <w:bottom w:val="nil"/>
              <w:right w:val="nil"/>
            </w:tcBorders>
            <w:vAlign w:val="bottom"/>
          </w:tcPr>
          <w:p w:rsidR="00000000" w:rsidRDefault="00000000">
            <w:pPr>
              <w:spacing w:before="40" w:after="40" w:line="210" w:lineRule="exact"/>
              <w:rPr>
                <w:sz w:val="17"/>
              </w:rPr>
            </w:pPr>
            <w:r>
              <w:rPr>
                <w:sz w:val="17"/>
              </w:rPr>
              <w:t>1999 год</w:t>
            </w:r>
          </w:p>
        </w:tc>
        <w:tc>
          <w:tcPr>
            <w:tcW w:w="1008"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Всего</w:t>
            </w:r>
          </w:p>
        </w:tc>
        <w:tc>
          <w:tcPr>
            <w:tcW w:w="1008" w:type="dxa"/>
            <w:tcBorders>
              <w:top w:val="nil"/>
              <w:left w:val="nil"/>
              <w:bottom w:val="nil"/>
              <w:right w:val="nil"/>
            </w:tcBorders>
            <w:vAlign w:val="bottom"/>
          </w:tcPr>
          <w:p w:rsidR="00000000" w:rsidRDefault="00000000">
            <w:pPr>
              <w:spacing w:before="40" w:after="40" w:line="210" w:lineRule="exact"/>
              <w:jc w:val="right"/>
              <w:rPr>
                <w:b/>
                <w:sz w:val="17"/>
              </w:rPr>
            </w:pPr>
            <w:r>
              <w:rPr>
                <w:b/>
                <w:sz w:val="17"/>
              </w:rPr>
              <w:t>3 038</w:t>
            </w:r>
          </w:p>
        </w:tc>
        <w:tc>
          <w:tcPr>
            <w:tcW w:w="1008" w:type="dxa"/>
            <w:tcBorders>
              <w:top w:val="nil"/>
              <w:left w:val="nil"/>
              <w:bottom w:val="nil"/>
              <w:right w:val="nil"/>
            </w:tcBorders>
          </w:tcPr>
          <w:p w:rsidR="00000000" w:rsidRDefault="00000000">
            <w:pPr>
              <w:spacing w:before="40" w:after="40" w:line="210" w:lineRule="exact"/>
              <w:jc w:val="right"/>
              <w:rPr>
                <w:b/>
                <w:sz w:val="17"/>
              </w:rPr>
            </w:pPr>
            <w:r>
              <w:rPr>
                <w:b/>
                <w:sz w:val="17"/>
              </w:rPr>
              <w:t>461</w:t>
            </w:r>
          </w:p>
        </w:tc>
        <w:tc>
          <w:tcPr>
            <w:tcW w:w="1008" w:type="dxa"/>
            <w:tcBorders>
              <w:top w:val="nil"/>
              <w:left w:val="nil"/>
              <w:bottom w:val="nil"/>
              <w:right w:val="nil"/>
            </w:tcBorders>
          </w:tcPr>
          <w:p w:rsidR="00000000" w:rsidRDefault="00000000">
            <w:pPr>
              <w:spacing w:before="40" w:after="40" w:line="210" w:lineRule="exact"/>
              <w:jc w:val="right"/>
              <w:rPr>
                <w:b/>
                <w:sz w:val="17"/>
              </w:rPr>
            </w:pPr>
            <w:r>
              <w:rPr>
                <w:b/>
                <w:sz w:val="17"/>
              </w:rPr>
              <w:t>2 502</w:t>
            </w:r>
          </w:p>
        </w:tc>
        <w:tc>
          <w:tcPr>
            <w:tcW w:w="1008" w:type="dxa"/>
            <w:tcBorders>
              <w:top w:val="nil"/>
              <w:left w:val="nil"/>
              <w:bottom w:val="nil"/>
              <w:right w:val="nil"/>
            </w:tcBorders>
          </w:tcPr>
          <w:p w:rsidR="00000000" w:rsidRDefault="00000000">
            <w:pPr>
              <w:spacing w:before="40" w:after="40" w:line="210" w:lineRule="exact"/>
              <w:jc w:val="right"/>
              <w:rPr>
                <w:b/>
                <w:sz w:val="17"/>
              </w:rPr>
            </w:pPr>
            <w:r>
              <w:rPr>
                <w:b/>
                <w:sz w:val="17"/>
              </w:rPr>
              <w:t>59</w:t>
            </w:r>
          </w:p>
        </w:tc>
        <w:tc>
          <w:tcPr>
            <w:tcW w:w="1134" w:type="dxa"/>
            <w:tcBorders>
              <w:top w:val="nil"/>
              <w:left w:val="nil"/>
              <w:bottom w:val="nil"/>
              <w:right w:val="nil"/>
            </w:tcBorders>
            <w:vAlign w:val="bottom"/>
          </w:tcPr>
          <w:p w:rsidR="00000000" w:rsidRDefault="00000000">
            <w:pPr>
              <w:spacing w:before="40" w:after="40" w:line="210" w:lineRule="exact"/>
              <w:jc w:val="right"/>
              <w:rPr>
                <w:b/>
                <w:sz w:val="17"/>
              </w:rPr>
            </w:pPr>
            <w:r>
              <w:rPr>
                <w:b/>
                <w:sz w:val="17"/>
              </w:rPr>
              <w:t>16</w:t>
            </w:r>
          </w:p>
        </w:tc>
      </w:tr>
      <w:tr w:rsidR="00000000">
        <w:tblPrEx>
          <w:tblCellMar>
            <w:top w:w="0" w:type="dxa"/>
            <w:left w:w="0" w:type="dxa"/>
            <w:bottom w:w="0" w:type="dxa"/>
            <w:right w:w="0" w:type="dxa"/>
          </w:tblCellMar>
        </w:tblPrEx>
        <w:tc>
          <w:tcPr>
            <w:tcW w:w="1008" w:type="dxa"/>
            <w:tcBorders>
              <w:top w:val="nil"/>
              <w:left w:val="nil"/>
              <w:bottom w:val="nil"/>
              <w:right w:val="nil"/>
            </w:tcBorders>
            <w:vAlign w:val="bottom"/>
          </w:tcPr>
          <w:p w:rsidR="00000000" w:rsidRDefault="00000000">
            <w:pPr>
              <w:spacing w:before="40" w:after="40" w:line="210" w:lineRule="exact"/>
              <w:rPr>
                <w:sz w:val="17"/>
              </w:rPr>
            </w:pP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Муж.</w:t>
            </w: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1 283</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147</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1 109</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17</w:t>
            </w:r>
          </w:p>
        </w:tc>
        <w:tc>
          <w:tcPr>
            <w:tcW w:w="1134" w:type="dxa"/>
            <w:tcBorders>
              <w:top w:val="nil"/>
              <w:left w:val="nil"/>
              <w:bottom w:val="nil"/>
              <w:right w:val="nil"/>
            </w:tcBorders>
            <w:vAlign w:val="bottom"/>
          </w:tcPr>
          <w:p w:rsidR="00000000" w:rsidRDefault="00000000">
            <w:pPr>
              <w:spacing w:before="40" w:after="40" w:line="210" w:lineRule="exact"/>
              <w:jc w:val="right"/>
              <w:rPr>
                <w:sz w:val="17"/>
              </w:rPr>
            </w:pPr>
            <w:r>
              <w:rPr>
                <w:sz w:val="17"/>
              </w:rPr>
              <w:t>11</w:t>
            </w:r>
          </w:p>
        </w:tc>
      </w:tr>
      <w:tr w:rsidR="00000000">
        <w:tblPrEx>
          <w:tblCellMar>
            <w:top w:w="0" w:type="dxa"/>
            <w:left w:w="0" w:type="dxa"/>
            <w:bottom w:w="0" w:type="dxa"/>
            <w:right w:w="0" w:type="dxa"/>
          </w:tblCellMar>
        </w:tblPrEx>
        <w:tc>
          <w:tcPr>
            <w:tcW w:w="1008" w:type="dxa"/>
            <w:tcBorders>
              <w:top w:val="nil"/>
              <w:left w:val="nil"/>
              <w:bottom w:val="nil"/>
              <w:right w:val="nil"/>
            </w:tcBorders>
            <w:vAlign w:val="bottom"/>
          </w:tcPr>
          <w:p w:rsidR="00000000" w:rsidRDefault="00000000">
            <w:pPr>
              <w:spacing w:before="40" w:after="40" w:line="210" w:lineRule="exact"/>
              <w:rPr>
                <w:sz w:val="17"/>
              </w:rPr>
            </w:pP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Жен.</w:t>
            </w: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1 755</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314</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1 393</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42</w:t>
            </w:r>
          </w:p>
        </w:tc>
        <w:tc>
          <w:tcPr>
            <w:tcW w:w="1134" w:type="dxa"/>
            <w:tcBorders>
              <w:top w:val="nil"/>
              <w:left w:val="nil"/>
              <w:bottom w:val="nil"/>
              <w:right w:val="nil"/>
            </w:tcBorders>
            <w:vAlign w:val="bottom"/>
          </w:tcPr>
          <w:p w:rsidR="00000000" w:rsidRDefault="00000000">
            <w:pPr>
              <w:spacing w:before="40" w:after="40" w:line="210" w:lineRule="exact"/>
              <w:jc w:val="right"/>
              <w:rPr>
                <w:sz w:val="17"/>
              </w:rPr>
            </w:pPr>
            <w:r>
              <w:rPr>
                <w:sz w:val="17"/>
              </w:rPr>
              <w:t>5</w:t>
            </w:r>
          </w:p>
        </w:tc>
      </w:tr>
      <w:tr w:rsidR="00000000">
        <w:tblPrEx>
          <w:tblCellMar>
            <w:top w:w="0" w:type="dxa"/>
            <w:left w:w="0" w:type="dxa"/>
            <w:bottom w:w="0" w:type="dxa"/>
            <w:right w:w="0" w:type="dxa"/>
          </w:tblCellMar>
        </w:tblPrEx>
        <w:tc>
          <w:tcPr>
            <w:tcW w:w="1008" w:type="dxa"/>
            <w:tcBorders>
              <w:top w:val="nil"/>
              <w:left w:val="nil"/>
              <w:bottom w:val="nil"/>
              <w:right w:val="nil"/>
            </w:tcBorders>
            <w:vAlign w:val="bottom"/>
          </w:tcPr>
          <w:p w:rsidR="00000000" w:rsidRDefault="00000000">
            <w:pPr>
              <w:spacing w:before="40" w:after="40" w:line="210" w:lineRule="exact"/>
              <w:rPr>
                <w:sz w:val="17"/>
              </w:rPr>
            </w:pPr>
            <w:r>
              <w:rPr>
                <w:sz w:val="17"/>
              </w:rPr>
              <w:t>2000 год</w:t>
            </w:r>
          </w:p>
        </w:tc>
        <w:tc>
          <w:tcPr>
            <w:tcW w:w="1008"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Всего</w:t>
            </w:r>
          </w:p>
        </w:tc>
        <w:tc>
          <w:tcPr>
            <w:tcW w:w="1008" w:type="dxa"/>
            <w:tcBorders>
              <w:top w:val="nil"/>
              <w:left w:val="nil"/>
              <w:bottom w:val="nil"/>
              <w:right w:val="nil"/>
            </w:tcBorders>
            <w:vAlign w:val="bottom"/>
          </w:tcPr>
          <w:p w:rsidR="00000000" w:rsidRDefault="00000000">
            <w:pPr>
              <w:spacing w:before="40" w:after="40" w:line="210" w:lineRule="exact"/>
              <w:jc w:val="right"/>
              <w:rPr>
                <w:b/>
                <w:sz w:val="17"/>
              </w:rPr>
            </w:pPr>
            <w:r>
              <w:rPr>
                <w:b/>
                <w:sz w:val="17"/>
              </w:rPr>
              <w:t>3 673</w:t>
            </w:r>
          </w:p>
        </w:tc>
        <w:tc>
          <w:tcPr>
            <w:tcW w:w="1008" w:type="dxa"/>
            <w:tcBorders>
              <w:top w:val="nil"/>
              <w:left w:val="nil"/>
              <w:bottom w:val="nil"/>
              <w:right w:val="nil"/>
            </w:tcBorders>
          </w:tcPr>
          <w:p w:rsidR="00000000" w:rsidRDefault="00000000">
            <w:pPr>
              <w:spacing w:before="40" w:after="40" w:line="210" w:lineRule="exact"/>
              <w:jc w:val="right"/>
              <w:rPr>
                <w:b/>
                <w:sz w:val="17"/>
              </w:rPr>
            </w:pPr>
            <w:r>
              <w:rPr>
                <w:b/>
                <w:sz w:val="17"/>
              </w:rPr>
              <w:t>756</w:t>
            </w:r>
          </w:p>
        </w:tc>
        <w:tc>
          <w:tcPr>
            <w:tcW w:w="1008" w:type="dxa"/>
            <w:tcBorders>
              <w:top w:val="nil"/>
              <w:left w:val="nil"/>
              <w:bottom w:val="nil"/>
              <w:right w:val="nil"/>
            </w:tcBorders>
          </w:tcPr>
          <w:p w:rsidR="00000000" w:rsidRDefault="00000000">
            <w:pPr>
              <w:spacing w:before="40" w:after="40" w:line="210" w:lineRule="exact"/>
              <w:jc w:val="right"/>
              <w:rPr>
                <w:b/>
                <w:sz w:val="17"/>
              </w:rPr>
            </w:pPr>
            <w:r>
              <w:rPr>
                <w:b/>
                <w:sz w:val="17"/>
              </w:rPr>
              <w:t>2 850</w:t>
            </w:r>
          </w:p>
        </w:tc>
        <w:tc>
          <w:tcPr>
            <w:tcW w:w="1008" w:type="dxa"/>
            <w:tcBorders>
              <w:top w:val="nil"/>
              <w:left w:val="nil"/>
              <w:bottom w:val="nil"/>
              <w:right w:val="nil"/>
            </w:tcBorders>
          </w:tcPr>
          <w:p w:rsidR="00000000" w:rsidRDefault="00000000">
            <w:pPr>
              <w:spacing w:before="40" w:after="40" w:line="210" w:lineRule="exact"/>
              <w:jc w:val="right"/>
              <w:rPr>
                <w:b/>
                <w:sz w:val="17"/>
              </w:rPr>
            </w:pPr>
            <w:r>
              <w:rPr>
                <w:b/>
                <w:sz w:val="17"/>
              </w:rPr>
              <w:t>50</w:t>
            </w:r>
          </w:p>
        </w:tc>
        <w:tc>
          <w:tcPr>
            <w:tcW w:w="1134" w:type="dxa"/>
            <w:tcBorders>
              <w:top w:val="nil"/>
              <w:left w:val="nil"/>
              <w:bottom w:val="nil"/>
              <w:right w:val="nil"/>
            </w:tcBorders>
            <w:vAlign w:val="bottom"/>
          </w:tcPr>
          <w:p w:rsidR="00000000" w:rsidRDefault="00000000">
            <w:pPr>
              <w:spacing w:before="40" w:after="40" w:line="210" w:lineRule="exact"/>
              <w:jc w:val="right"/>
              <w:rPr>
                <w:b/>
                <w:sz w:val="17"/>
              </w:rPr>
            </w:pPr>
            <w:r>
              <w:rPr>
                <w:b/>
                <w:sz w:val="17"/>
              </w:rPr>
              <w:t>17</w:t>
            </w:r>
          </w:p>
        </w:tc>
      </w:tr>
      <w:tr w:rsidR="00000000">
        <w:tblPrEx>
          <w:tblCellMar>
            <w:top w:w="0" w:type="dxa"/>
            <w:left w:w="0" w:type="dxa"/>
            <w:bottom w:w="0" w:type="dxa"/>
            <w:right w:w="0" w:type="dxa"/>
          </w:tblCellMar>
        </w:tblPrEx>
        <w:tc>
          <w:tcPr>
            <w:tcW w:w="1008" w:type="dxa"/>
            <w:tcBorders>
              <w:top w:val="nil"/>
              <w:left w:val="nil"/>
              <w:bottom w:val="nil"/>
              <w:right w:val="nil"/>
            </w:tcBorders>
            <w:vAlign w:val="bottom"/>
          </w:tcPr>
          <w:p w:rsidR="00000000" w:rsidRDefault="00000000">
            <w:pPr>
              <w:spacing w:before="40" w:after="40" w:line="210" w:lineRule="exact"/>
              <w:rPr>
                <w:sz w:val="17"/>
              </w:rPr>
            </w:pP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Муж.</w:t>
            </w: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1 536</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245</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1 250</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25</w:t>
            </w:r>
          </w:p>
        </w:tc>
        <w:tc>
          <w:tcPr>
            <w:tcW w:w="1134" w:type="dxa"/>
            <w:tcBorders>
              <w:top w:val="nil"/>
              <w:left w:val="nil"/>
              <w:bottom w:val="nil"/>
              <w:right w:val="nil"/>
            </w:tcBorders>
            <w:vAlign w:val="bottom"/>
          </w:tcPr>
          <w:p w:rsidR="00000000" w:rsidRDefault="00000000">
            <w:pPr>
              <w:spacing w:before="40" w:after="40" w:line="210" w:lineRule="exact"/>
              <w:jc w:val="right"/>
              <w:rPr>
                <w:sz w:val="17"/>
              </w:rPr>
            </w:pPr>
            <w:r>
              <w:rPr>
                <w:sz w:val="17"/>
              </w:rPr>
              <w:t>16</w:t>
            </w:r>
          </w:p>
        </w:tc>
      </w:tr>
      <w:tr w:rsidR="00000000">
        <w:tblPrEx>
          <w:tblCellMar>
            <w:top w:w="0" w:type="dxa"/>
            <w:left w:w="0" w:type="dxa"/>
            <w:bottom w:w="0" w:type="dxa"/>
            <w:right w:w="0" w:type="dxa"/>
          </w:tblCellMar>
        </w:tblPrEx>
        <w:tc>
          <w:tcPr>
            <w:tcW w:w="1008" w:type="dxa"/>
            <w:tcBorders>
              <w:top w:val="nil"/>
              <w:left w:val="nil"/>
              <w:bottom w:val="nil"/>
              <w:right w:val="nil"/>
            </w:tcBorders>
            <w:vAlign w:val="bottom"/>
          </w:tcPr>
          <w:p w:rsidR="00000000" w:rsidRDefault="00000000">
            <w:pPr>
              <w:spacing w:before="40" w:after="40" w:line="210" w:lineRule="exact"/>
              <w:rPr>
                <w:sz w:val="17"/>
              </w:rPr>
            </w:pP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Жен.</w:t>
            </w: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2 137</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511</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1 600</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25</w:t>
            </w:r>
          </w:p>
        </w:tc>
        <w:tc>
          <w:tcPr>
            <w:tcW w:w="1134" w:type="dxa"/>
            <w:tcBorders>
              <w:top w:val="nil"/>
              <w:left w:val="nil"/>
              <w:bottom w:val="nil"/>
              <w:right w:val="nil"/>
            </w:tcBorders>
            <w:vAlign w:val="bottom"/>
          </w:tcPr>
          <w:p w:rsidR="00000000" w:rsidRDefault="00000000">
            <w:pPr>
              <w:spacing w:before="40" w:after="40" w:line="210" w:lineRule="exact"/>
              <w:jc w:val="right"/>
              <w:rPr>
                <w:sz w:val="17"/>
              </w:rPr>
            </w:pPr>
            <w:r>
              <w:rPr>
                <w:sz w:val="17"/>
              </w:rPr>
              <w:t>1</w:t>
            </w:r>
          </w:p>
        </w:tc>
      </w:tr>
      <w:tr w:rsidR="00000000">
        <w:tblPrEx>
          <w:tblCellMar>
            <w:top w:w="0" w:type="dxa"/>
            <w:left w:w="0" w:type="dxa"/>
            <w:bottom w:w="0" w:type="dxa"/>
            <w:right w:w="0" w:type="dxa"/>
          </w:tblCellMar>
        </w:tblPrEx>
        <w:tc>
          <w:tcPr>
            <w:tcW w:w="1008" w:type="dxa"/>
            <w:tcBorders>
              <w:top w:val="nil"/>
              <w:left w:val="nil"/>
              <w:bottom w:val="nil"/>
              <w:right w:val="nil"/>
            </w:tcBorders>
            <w:vAlign w:val="bottom"/>
          </w:tcPr>
          <w:p w:rsidR="00000000" w:rsidRDefault="00000000">
            <w:pPr>
              <w:spacing w:before="40" w:after="40" w:line="210" w:lineRule="exact"/>
              <w:rPr>
                <w:sz w:val="17"/>
              </w:rPr>
            </w:pPr>
            <w:r>
              <w:rPr>
                <w:sz w:val="17"/>
              </w:rPr>
              <w:t>2001 год</w:t>
            </w:r>
          </w:p>
        </w:tc>
        <w:tc>
          <w:tcPr>
            <w:tcW w:w="1008"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Всего</w:t>
            </w:r>
          </w:p>
        </w:tc>
        <w:tc>
          <w:tcPr>
            <w:tcW w:w="1008" w:type="dxa"/>
            <w:tcBorders>
              <w:top w:val="nil"/>
              <w:left w:val="nil"/>
              <w:bottom w:val="nil"/>
              <w:right w:val="nil"/>
            </w:tcBorders>
            <w:vAlign w:val="bottom"/>
          </w:tcPr>
          <w:p w:rsidR="00000000" w:rsidRDefault="00000000">
            <w:pPr>
              <w:spacing w:before="40" w:after="40" w:line="210" w:lineRule="exact"/>
              <w:jc w:val="right"/>
              <w:rPr>
                <w:b/>
                <w:sz w:val="17"/>
              </w:rPr>
            </w:pPr>
            <w:r>
              <w:rPr>
                <w:b/>
                <w:sz w:val="17"/>
              </w:rPr>
              <w:t>4 444</w:t>
            </w:r>
          </w:p>
        </w:tc>
        <w:tc>
          <w:tcPr>
            <w:tcW w:w="1008" w:type="dxa"/>
            <w:tcBorders>
              <w:top w:val="nil"/>
              <w:left w:val="nil"/>
              <w:bottom w:val="nil"/>
              <w:right w:val="nil"/>
            </w:tcBorders>
          </w:tcPr>
          <w:p w:rsidR="00000000" w:rsidRDefault="00000000">
            <w:pPr>
              <w:spacing w:before="40" w:after="40" w:line="210" w:lineRule="exact"/>
              <w:jc w:val="right"/>
              <w:rPr>
                <w:b/>
                <w:sz w:val="17"/>
              </w:rPr>
            </w:pPr>
            <w:r>
              <w:rPr>
                <w:b/>
                <w:sz w:val="17"/>
              </w:rPr>
              <w:t>1 003</w:t>
            </w:r>
          </w:p>
        </w:tc>
        <w:tc>
          <w:tcPr>
            <w:tcW w:w="1008" w:type="dxa"/>
            <w:tcBorders>
              <w:top w:val="nil"/>
              <w:left w:val="nil"/>
              <w:bottom w:val="nil"/>
              <w:right w:val="nil"/>
            </w:tcBorders>
          </w:tcPr>
          <w:p w:rsidR="00000000" w:rsidRDefault="00000000">
            <w:pPr>
              <w:spacing w:before="40" w:after="40" w:line="210" w:lineRule="exact"/>
              <w:jc w:val="right"/>
              <w:rPr>
                <w:b/>
                <w:sz w:val="17"/>
              </w:rPr>
            </w:pPr>
            <w:r>
              <w:rPr>
                <w:b/>
                <w:sz w:val="17"/>
              </w:rPr>
              <w:t>3 324</w:t>
            </w:r>
          </w:p>
        </w:tc>
        <w:tc>
          <w:tcPr>
            <w:tcW w:w="1008" w:type="dxa"/>
            <w:tcBorders>
              <w:top w:val="nil"/>
              <w:left w:val="nil"/>
              <w:bottom w:val="nil"/>
              <w:right w:val="nil"/>
            </w:tcBorders>
          </w:tcPr>
          <w:p w:rsidR="00000000" w:rsidRDefault="00000000">
            <w:pPr>
              <w:spacing w:before="40" w:after="40" w:line="210" w:lineRule="exact"/>
              <w:jc w:val="right"/>
              <w:rPr>
                <w:b/>
                <w:sz w:val="17"/>
              </w:rPr>
            </w:pPr>
            <w:r>
              <w:rPr>
                <w:b/>
                <w:sz w:val="17"/>
              </w:rPr>
              <w:t>92</w:t>
            </w:r>
          </w:p>
        </w:tc>
        <w:tc>
          <w:tcPr>
            <w:tcW w:w="1134" w:type="dxa"/>
            <w:tcBorders>
              <w:top w:val="nil"/>
              <w:left w:val="nil"/>
              <w:bottom w:val="nil"/>
              <w:right w:val="nil"/>
            </w:tcBorders>
            <w:vAlign w:val="bottom"/>
          </w:tcPr>
          <w:p w:rsidR="00000000" w:rsidRDefault="00000000">
            <w:pPr>
              <w:spacing w:before="40" w:after="40" w:line="210" w:lineRule="exact"/>
              <w:jc w:val="right"/>
              <w:rPr>
                <w:b/>
                <w:sz w:val="17"/>
              </w:rPr>
            </w:pPr>
            <w:r>
              <w:rPr>
                <w:b/>
                <w:sz w:val="17"/>
              </w:rPr>
              <w:t>25</w:t>
            </w:r>
          </w:p>
        </w:tc>
      </w:tr>
      <w:tr w:rsidR="00000000">
        <w:tblPrEx>
          <w:tblCellMar>
            <w:top w:w="0" w:type="dxa"/>
            <w:left w:w="0" w:type="dxa"/>
            <w:bottom w:w="0" w:type="dxa"/>
            <w:right w:w="0" w:type="dxa"/>
          </w:tblCellMar>
        </w:tblPrEx>
        <w:tc>
          <w:tcPr>
            <w:tcW w:w="1008" w:type="dxa"/>
            <w:tcBorders>
              <w:top w:val="nil"/>
              <w:left w:val="nil"/>
              <w:bottom w:val="nil"/>
              <w:right w:val="nil"/>
            </w:tcBorders>
            <w:vAlign w:val="bottom"/>
          </w:tcPr>
          <w:p w:rsidR="00000000" w:rsidRDefault="00000000">
            <w:pPr>
              <w:spacing w:before="40" w:after="40" w:line="210" w:lineRule="exact"/>
              <w:rPr>
                <w:sz w:val="17"/>
              </w:rPr>
            </w:pP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Муж.</w:t>
            </w: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2 025</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350</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1 626</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33</w:t>
            </w:r>
          </w:p>
        </w:tc>
        <w:tc>
          <w:tcPr>
            <w:tcW w:w="1134" w:type="dxa"/>
            <w:tcBorders>
              <w:top w:val="nil"/>
              <w:left w:val="nil"/>
              <w:bottom w:val="nil"/>
              <w:right w:val="nil"/>
            </w:tcBorders>
            <w:vAlign w:val="bottom"/>
          </w:tcPr>
          <w:p w:rsidR="00000000" w:rsidRDefault="00000000">
            <w:pPr>
              <w:spacing w:before="40" w:after="40" w:line="210" w:lineRule="exact"/>
              <w:jc w:val="right"/>
              <w:rPr>
                <w:sz w:val="17"/>
              </w:rPr>
            </w:pPr>
            <w:r>
              <w:rPr>
                <w:sz w:val="17"/>
              </w:rPr>
              <w:t>16</w:t>
            </w:r>
          </w:p>
        </w:tc>
      </w:tr>
      <w:tr w:rsidR="00000000">
        <w:tblPrEx>
          <w:tblCellMar>
            <w:top w:w="0" w:type="dxa"/>
            <w:left w:w="0" w:type="dxa"/>
            <w:bottom w:w="0" w:type="dxa"/>
            <w:right w:w="0" w:type="dxa"/>
          </w:tblCellMar>
        </w:tblPrEx>
        <w:tc>
          <w:tcPr>
            <w:tcW w:w="1008" w:type="dxa"/>
            <w:tcBorders>
              <w:top w:val="nil"/>
              <w:left w:val="nil"/>
              <w:bottom w:val="nil"/>
              <w:right w:val="nil"/>
            </w:tcBorders>
            <w:vAlign w:val="bottom"/>
          </w:tcPr>
          <w:p w:rsidR="00000000" w:rsidRDefault="00000000">
            <w:pPr>
              <w:spacing w:before="40" w:after="40" w:line="210" w:lineRule="exact"/>
              <w:rPr>
                <w:sz w:val="17"/>
              </w:rPr>
            </w:pP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Жен.</w:t>
            </w: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2 419</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653</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1 698</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59</w:t>
            </w:r>
          </w:p>
        </w:tc>
        <w:tc>
          <w:tcPr>
            <w:tcW w:w="1134" w:type="dxa"/>
            <w:tcBorders>
              <w:top w:val="nil"/>
              <w:left w:val="nil"/>
              <w:bottom w:val="nil"/>
              <w:right w:val="nil"/>
            </w:tcBorders>
            <w:vAlign w:val="bottom"/>
          </w:tcPr>
          <w:p w:rsidR="00000000" w:rsidRDefault="00000000">
            <w:pPr>
              <w:spacing w:before="40" w:after="40" w:line="210" w:lineRule="exact"/>
              <w:jc w:val="right"/>
              <w:rPr>
                <w:sz w:val="17"/>
              </w:rPr>
            </w:pPr>
            <w:r>
              <w:rPr>
                <w:sz w:val="17"/>
              </w:rPr>
              <w:t>9</w:t>
            </w:r>
          </w:p>
        </w:tc>
      </w:tr>
      <w:tr w:rsidR="00000000">
        <w:tblPrEx>
          <w:tblCellMar>
            <w:top w:w="0" w:type="dxa"/>
            <w:left w:w="0" w:type="dxa"/>
            <w:bottom w:w="0" w:type="dxa"/>
            <w:right w:w="0" w:type="dxa"/>
          </w:tblCellMar>
        </w:tblPrEx>
        <w:tc>
          <w:tcPr>
            <w:tcW w:w="1008" w:type="dxa"/>
            <w:tcBorders>
              <w:top w:val="nil"/>
              <w:left w:val="nil"/>
              <w:bottom w:val="nil"/>
              <w:right w:val="nil"/>
            </w:tcBorders>
            <w:vAlign w:val="bottom"/>
          </w:tcPr>
          <w:p w:rsidR="00000000" w:rsidRDefault="00000000">
            <w:pPr>
              <w:spacing w:before="40" w:after="40" w:line="210" w:lineRule="exact"/>
              <w:rPr>
                <w:sz w:val="17"/>
              </w:rPr>
            </w:pPr>
            <w:r>
              <w:rPr>
                <w:sz w:val="17"/>
              </w:rPr>
              <w:t>2002 год</w:t>
            </w:r>
          </w:p>
        </w:tc>
        <w:tc>
          <w:tcPr>
            <w:tcW w:w="1008"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Всего</w:t>
            </w:r>
          </w:p>
        </w:tc>
        <w:tc>
          <w:tcPr>
            <w:tcW w:w="1008" w:type="dxa"/>
            <w:tcBorders>
              <w:top w:val="nil"/>
              <w:left w:val="nil"/>
              <w:bottom w:val="nil"/>
              <w:right w:val="nil"/>
            </w:tcBorders>
            <w:vAlign w:val="bottom"/>
          </w:tcPr>
          <w:p w:rsidR="00000000" w:rsidRDefault="00000000">
            <w:pPr>
              <w:spacing w:before="40" w:after="40" w:line="210" w:lineRule="exact"/>
              <w:jc w:val="right"/>
              <w:rPr>
                <w:b/>
                <w:sz w:val="17"/>
              </w:rPr>
            </w:pPr>
            <w:r>
              <w:rPr>
                <w:b/>
                <w:sz w:val="17"/>
              </w:rPr>
              <w:t>4 319</w:t>
            </w:r>
          </w:p>
        </w:tc>
        <w:tc>
          <w:tcPr>
            <w:tcW w:w="1008" w:type="dxa"/>
            <w:tcBorders>
              <w:top w:val="nil"/>
              <w:left w:val="nil"/>
              <w:bottom w:val="nil"/>
              <w:right w:val="nil"/>
            </w:tcBorders>
          </w:tcPr>
          <w:p w:rsidR="00000000" w:rsidRDefault="00000000">
            <w:pPr>
              <w:spacing w:before="40" w:after="40" w:line="210" w:lineRule="exact"/>
              <w:jc w:val="right"/>
              <w:rPr>
                <w:b/>
                <w:sz w:val="17"/>
              </w:rPr>
            </w:pPr>
            <w:r>
              <w:rPr>
                <w:b/>
                <w:sz w:val="17"/>
              </w:rPr>
              <w:t>661</w:t>
            </w:r>
          </w:p>
        </w:tc>
        <w:tc>
          <w:tcPr>
            <w:tcW w:w="1008" w:type="dxa"/>
            <w:tcBorders>
              <w:top w:val="nil"/>
              <w:left w:val="nil"/>
              <w:bottom w:val="nil"/>
              <w:right w:val="nil"/>
            </w:tcBorders>
          </w:tcPr>
          <w:p w:rsidR="00000000" w:rsidRDefault="00000000">
            <w:pPr>
              <w:spacing w:before="40" w:after="40" w:line="210" w:lineRule="exact"/>
              <w:jc w:val="right"/>
              <w:rPr>
                <w:b/>
                <w:sz w:val="17"/>
              </w:rPr>
            </w:pPr>
            <w:r>
              <w:rPr>
                <w:b/>
                <w:sz w:val="17"/>
              </w:rPr>
              <w:t>3 525</w:t>
            </w:r>
          </w:p>
        </w:tc>
        <w:tc>
          <w:tcPr>
            <w:tcW w:w="1008" w:type="dxa"/>
            <w:tcBorders>
              <w:top w:val="nil"/>
              <w:left w:val="nil"/>
              <w:bottom w:val="nil"/>
              <w:right w:val="nil"/>
            </w:tcBorders>
          </w:tcPr>
          <w:p w:rsidR="00000000" w:rsidRDefault="00000000">
            <w:pPr>
              <w:spacing w:before="40" w:after="40" w:line="210" w:lineRule="exact"/>
              <w:jc w:val="right"/>
              <w:rPr>
                <w:b/>
                <w:sz w:val="17"/>
              </w:rPr>
            </w:pPr>
            <w:r>
              <w:rPr>
                <w:b/>
                <w:sz w:val="17"/>
              </w:rPr>
              <w:t>92</w:t>
            </w:r>
          </w:p>
        </w:tc>
        <w:tc>
          <w:tcPr>
            <w:tcW w:w="1134" w:type="dxa"/>
            <w:tcBorders>
              <w:top w:val="nil"/>
              <w:left w:val="nil"/>
              <w:bottom w:val="nil"/>
              <w:right w:val="nil"/>
            </w:tcBorders>
            <w:vAlign w:val="bottom"/>
          </w:tcPr>
          <w:p w:rsidR="00000000" w:rsidRDefault="00000000">
            <w:pPr>
              <w:spacing w:before="40" w:after="40" w:line="210" w:lineRule="exact"/>
              <w:jc w:val="right"/>
              <w:rPr>
                <w:b/>
                <w:sz w:val="17"/>
              </w:rPr>
            </w:pPr>
            <w:r>
              <w:rPr>
                <w:b/>
                <w:sz w:val="17"/>
              </w:rPr>
              <w:t>41</w:t>
            </w:r>
          </w:p>
        </w:tc>
      </w:tr>
      <w:tr w:rsidR="00000000">
        <w:tblPrEx>
          <w:tblCellMar>
            <w:top w:w="0" w:type="dxa"/>
            <w:left w:w="0" w:type="dxa"/>
            <w:bottom w:w="0" w:type="dxa"/>
            <w:right w:w="0" w:type="dxa"/>
          </w:tblCellMar>
        </w:tblPrEx>
        <w:tc>
          <w:tcPr>
            <w:tcW w:w="1008" w:type="dxa"/>
            <w:tcBorders>
              <w:top w:val="nil"/>
              <w:left w:val="nil"/>
              <w:bottom w:val="nil"/>
              <w:right w:val="nil"/>
            </w:tcBorders>
            <w:vAlign w:val="bottom"/>
          </w:tcPr>
          <w:p w:rsidR="00000000" w:rsidRDefault="00000000">
            <w:pPr>
              <w:spacing w:before="40" w:after="40" w:line="210" w:lineRule="exact"/>
              <w:rPr>
                <w:sz w:val="17"/>
              </w:rPr>
            </w:pP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Муж.</w:t>
            </w:r>
          </w:p>
        </w:tc>
        <w:tc>
          <w:tcPr>
            <w:tcW w:w="1008" w:type="dxa"/>
            <w:tcBorders>
              <w:top w:val="nil"/>
              <w:left w:val="nil"/>
              <w:bottom w:val="nil"/>
              <w:right w:val="nil"/>
            </w:tcBorders>
            <w:vAlign w:val="bottom"/>
          </w:tcPr>
          <w:p w:rsidR="00000000" w:rsidRDefault="00000000">
            <w:pPr>
              <w:spacing w:before="40" w:after="40" w:line="210" w:lineRule="exact"/>
              <w:jc w:val="right"/>
              <w:rPr>
                <w:sz w:val="17"/>
              </w:rPr>
            </w:pPr>
            <w:r>
              <w:rPr>
                <w:sz w:val="17"/>
              </w:rPr>
              <w:t>1 747</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236</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1 453</w:t>
            </w:r>
          </w:p>
        </w:tc>
        <w:tc>
          <w:tcPr>
            <w:tcW w:w="1008" w:type="dxa"/>
            <w:tcBorders>
              <w:top w:val="nil"/>
              <w:left w:val="nil"/>
              <w:bottom w:val="nil"/>
              <w:right w:val="nil"/>
            </w:tcBorders>
          </w:tcPr>
          <w:p w:rsidR="00000000" w:rsidRDefault="00000000">
            <w:pPr>
              <w:spacing w:before="40" w:after="40" w:line="210" w:lineRule="exact"/>
              <w:jc w:val="right"/>
              <w:rPr>
                <w:sz w:val="17"/>
              </w:rPr>
            </w:pPr>
            <w:r>
              <w:rPr>
                <w:sz w:val="17"/>
              </w:rPr>
              <w:t>30</w:t>
            </w:r>
          </w:p>
        </w:tc>
        <w:tc>
          <w:tcPr>
            <w:tcW w:w="1134" w:type="dxa"/>
            <w:tcBorders>
              <w:top w:val="nil"/>
              <w:left w:val="nil"/>
              <w:bottom w:val="nil"/>
              <w:right w:val="nil"/>
            </w:tcBorders>
            <w:vAlign w:val="bottom"/>
          </w:tcPr>
          <w:p w:rsidR="00000000" w:rsidRDefault="00000000">
            <w:pPr>
              <w:spacing w:before="40" w:after="40" w:line="210" w:lineRule="exact"/>
              <w:jc w:val="right"/>
              <w:rPr>
                <w:sz w:val="17"/>
              </w:rPr>
            </w:pPr>
            <w:r>
              <w:rPr>
                <w:sz w:val="17"/>
              </w:rPr>
              <w:t>28</w:t>
            </w:r>
          </w:p>
        </w:tc>
      </w:tr>
      <w:tr w:rsidR="00000000">
        <w:tblPrEx>
          <w:tblCellMar>
            <w:top w:w="0" w:type="dxa"/>
            <w:left w:w="0" w:type="dxa"/>
            <w:bottom w:w="0" w:type="dxa"/>
            <w:right w:w="0" w:type="dxa"/>
          </w:tblCellMar>
        </w:tblPrEx>
        <w:tc>
          <w:tcPr>
            <w:tcW w:w="1008" w:type="dxa"/>
            <w:tcBorders>
              <w:top w:val="nil"/>
              <w:left w:val="nil"/>
              <w:bottom w:val="single" w:sz="12" w:space="0" w:color="auto"/>
              <w:right w:val="nil"/>
            </w:tcBorders>
            <w:vAlign w:val="bottom"/>
          </w:tcPr>
          <w:p w:rsidR="00000000" w:rsidRDefault="00000000">
            <w:pPr>
              <w:spacing w:before="40" w:after="40" w:line="210" w:lineRule="exact"/>
              <w:rPr>
                <w:sz w:val="17"/>
              </w:rPr>
            </w:pPr>
          </w:p>
        </w:tc>
        <w:tc>
          <w:tcPr>
            <w:tcW w:w="1008"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Жен.</w:t>
            </w:r>
          </w:p>
        </w:tc>
        <w:tc>
          <w:tcPr>
            <w:tcW w:w="1008"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2 572</w:t>
            </w:r>
          </w:p>
        </w:tc>
        <w:tc>
          <w:tcPr>
            <w:tcW w:w="1008"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425</w:t>
            </w:r>
          </w:p>
        </w:tc>
        <w:tc>
          <w:tcPr>
            <w:tcW w:w="1008"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2 072</w:t>
            </w:r>
          </w:p>
        </w:tc>
        <w:tc>
          <w:tcPr>
            <w:tcW w:w="1008"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62</w:t>
            </w:r>
          </w:p>
        </w:tc>
        <w:tc>
          <w:tcPr>
            <w:tcW w:w="1134"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13</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163.</w:t>
      </w:r>
      <w:r>
        <w:tab/>
        <w:t>Тенденции к сегрегации полов заметны также и в сфере высшего образ</w:t>
      </w:r>
      <w:r>
        <w:t>о</w:t>
      </w:r>
      <w:r>
        <w:t>вания. В приложении приводятся статистические данные о представленности женщин в разных секторах системы высшего образования. Женщины соста</w:t>
      </w:r>
      <w:r>
        <w:t>в</w:t>
      </w:r>
      <w:r>
        <w:t>ляют большинство в областях, связанных со здравоохранением (фармакология, стоматология, медицина), образованием и языкознанием. И наоборот, женщины составляют лишь 10 процентов учащихся по таким специальностям, как маш</w:t>
      </w:r>
      <w:r>
        <w:t>и</w:t>
      </w:r>
      <w:r>
        <w:t>ностроение и электротехника, и менее 25 процентов - в таких областях, как ф</w:t>
      </w:r>
      <w:r>
        <w:t>и</w:t>
      </w:r>
      <w:r>
        <w:t>зическая культура (спорт), транспорт, криминология и горное дело. Недост</w:t>
      </w:r>
      <w:r>
        <w:t>а</w:t>
      </w:r>
      <w:r>
        <w:t>точная представленность женщин среди некоторых категорий государственных служащих объясняется тем, что политологию в учебных заведениях изучают только 37 процентов женщин, что может быть причиной для обеспокоенности.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164.</w:t>
      </w:r>
      <w:r>
        <w:tab/>
        <w:t>К научным областям, в которых мужчины и женщины представлены пр</w:t>
      </w:r>
      <w:r>
        <w:t>и</w:t>
      </w:r>
      <w:r>
        <w:t>мерно поровну, относятся право, экономика, архитектура и биохимические науки.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Неодинаковая представленность девушек и юношей особенно заметна на высших ступенях системы образования. Об этом красноречиво свидетельств</w:t>
      </w:r>
      <w:r>
        <w:t>у</w:t>
      </w:r>
      <w:r>
        <w:t>ют статистические данные о численности студентов факультетов в Боснии и Герцеговине, например на таких специальностях, как гражданское строител</w:t>
      </w:r>
      <w:r>
        <w:t>ь</w:t>
      </w:r>
      <w:r>
        <w:t>ство, машиностроение, металлургия, электротехника и т.п., где преобладание учащихся мужского пола над учащимися женского пола резко бросается в гл</w:t>
      </w:r>
      <w:r>
        <w:t>а</w:t>
      </w:r>
      <w:r>
        <w:t>за. На других отделениях, таких, как математика, философия, право, экономика и медицина, можно отметить непропорционально большое число женщин по сравнению с мужчинами. Мужчины и женщины представлены примерно п</w:t>
      </w:r>
      <w:r>
        <w:t>о</w:t>
      </w:r>
      <w:r>
        <w:t>ровну лишь в считанных высших учебных заведениях, таких, как академии и</w:t>
      </w:r>
      <w:r>
        <w:t>с</w:t>
      </w:r>
      <w:r>
        <w:t>кусств, архитектурные и технологические факультеты. Например, в кантоне Сараево из 698 студентов, принятых на электротехнический факультет, женщ</w:t>
      </w:r>
      <w:r>
        <w:t>и</w:t>
      </w:r>
      <w:r>
        <w:t>ны составляли лишь 140 (20 процентов); на инженерно-транспортном факул</w:t>
      </w:r>
      <w:r>
        <w:t>ь</w:t>
      </w:r>
      <w:r>
        <w:t>тете из 347 студентов женщины составляли только 36 (10,4 процента). На ф</w:t>
      </w:r>
      <w:r>
        <w:t>а</w:t>
      </w:r>
      <w:r>
        <w:t>культете машиностроения обучается 402 студента, среди которых женщин н</w:t>
      </w:r>
      <w:r>
        <w:t>а</w:t>
      </w:r>
      <w:r>
        <w:t>считывается только 66 (16,4 процента); на факультете физической культуры (спорта) - 367 студентов, среди них 37 женщин; на факультете криминологии - 1014 студентов, и среди них только 171 женщина (16,9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165.</w:t>
      </w:r>
      <w:r>
        <w:tab/>
        <w:t>Вопреки профессиональным стереотипам, существующим в других стр</w:t>
      </w:r>
      <w:r>
        <w:t>а</w:t>
      </w:r>
      <w:r>
        <w:t>нах, медицина в Боснии и Герцеговины является преимущественно "женской" областью, о чем красноречиво говорят процентные показатели, как и в случае с другими областями. В кантоне Сараево из 904 студентов, обучающихся на м</w:t>
      </w:r>
      <w:r>
        <w:t>е</w:t>
      </w:r>
      <w:r>
        <w:t>дицинском факультете, 582 - женщины (64,4 процента). Гендерные различия заметны даже в отдельных подгруппах: например, если в гинекологии, педиа</w:t>
      </w:r>
      <w:r>
        <w:t>т</w:t>
      </w:r>
      <w:r>
        <w:t>рии и терапии преобладают женщины, то в хирургии - мужчины. Женщины с</w:t>
      </w:r>
      <w:r>
        <w:t>о</w:t>
      </w:r>
      <w:r>
        <w:t>ставляют большинство и на других специальностях, имеющих отношение к здравоохранению, таких, как стоматология (610 студентов и среди них 422 женщины (69,8 процента)) и фармакология (390 студентов и среди них 344 женщины (88,2 процента)). На основании имеющихся данных можно с</w:t>
      </w:r>
      <w:r>
        <w:t>у</w:t>
      </w:r>
      <w:r>
        <w:t>дить о том, что сегрегация полов в сфере образования носит явный и повсем</w:t>
      </w:r>
      <w:r>
        <w:t>е</w:t>
      </w:r>
      <w:r>
        <w:t>стный характер, и очевидно, что возможности мужчин и женщин для развития карьеры в Боснии и Герцеговине неодинаковы. Таким образом, перед госуда</w:t>
      </w:r>
      <w:r>
        <w:t>р</w:t>
      </w:r>
      <w:r>
        <w:t>ством стоит задача изучить эти диспропорции и выявить современные тенде</w:t>
      </w:r>
      <w:r>
        <w:t>н</w:t>
      </w:r>
      <w:r>
        <w:t>ции.</w:t>
      </w:r>
    </w:p>
    <w:p w:rsidR="00000000" w:rsidRDefault="00000000">
      <w:pPr>
        <w:pStyle w:val="SingleTxt"/>
        <w:spacing w:after="0" w:line="240" w:lineRule="auto"/>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Доля учащихся женского пола в общей численности студентов некоторых высших учебных заведений, 1999-2000 годы</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52"/>
        <w:gridCol w:w="590"/>
        <w:gridCol w:w="1701"/>
        <w:gridCol w:w="1843"/>
      </w:tblGrid>
      <w:tr w:rsidR="00000000">
        <w:tblPrEx>
          <w:tblCellMar>
            <w:top w:w="0" w:type="dxa"/>
            <w:left w:w="0" w:type="dxa"/>
            <w:bottom w:w="0" w:type="dxa"/>
            <w:right w:w="0" w:type="dxa"/>
          </w:tblCellMar>
        </w:tblPrEx>
        <w:trPr>
          <w:tblHeader/>
        </w:trPr>
        <w:tc>
          <w:tcPr>
            <w:tcW w:w="2952"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4"/>
              </w:rPr>
            </w:pPr>
          </w:p>
        </w:tc>
        <w:tc>
          <w:tcPr>
            <w:tcW w:w="59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Всего</w:t>
            </w:r>
          </w:p>
        </w:tc>
        <w:tc>
          <w:tcPr>
            <w:tcW w:w="1701"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Учащиеся женского п</w:t>
            </w:r>
            <w:r>
              <w:rPr>
                <w:i/>
                <w:sz w:val="14"/>
              </w:rPr>
              <w:t>о</w:t>
            </w:r>
            <w:r>
              <w:rPr>
                <w:i/>
                <w:sz w:val="14"/>
              </w:rPr>
              <w:t>ла</w:t>
            </w:r>
          </w:p>
        </w:tc>
        <w:tc>
          <w:tcPr>
            <w:tcW w:w="1843" w:type="dxa"/>
            <w:tcBorders>
              <w:left w:val="nil"/>
              <w:bottom w:val="single" w:sz="12" w:space="0" w:color="auto"/>
              <w:right w:val="nil"/>
            </w:tcBorders>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В процентах от общей численн</w:t>
            </w:r>
            <w:r>
              <w:rPr>
                <w:i/>
                <w:sz w:val="14"/>
              </w:rPr>
              <w:t>о</w:t>
            </w:r>
            <w:r>
              <w:rPr>
                <w:i/>
                <w:sz w:val="14"/>
              </w:rPr>
              <w:t>сти</w:t>
            </w:r>
          </w:p>
        </w:tc>
      </w:tr>
      <w:tr w:rsidR="00000000">
        <w:tblPrEx>
          <w:tblCellMar>
            <w:top w:w="0" w:type="dxa"/>
            <w:left w:w="0" w:type="dxa"/>
            <w:bottom w:w="0" w:type="dxa"/>
            <w:right w:w="0" w:type="dxa"/>
          </w:tblCellMar>
        </w:tblPrEx>
        <w:trPr>
          <w:trHeight w:hRule="exact" w:val="115"/>
          <w:tblHeader/>
        </w:trPr>
        <w:tc>
          <w:tcPr>
            <w:tcW w:w="295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5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701"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843"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keepNext/>
              <w:spacing w:before="40" w:after="40" w:line="210" w:lineRule="exact"/>
              <w:rPr>
                <w:sz w:val="17"/>
              </w:rPr>
            </w:pPr>
            <w:r>
              <w:rPr>
                <w:sz w:val="17"/>
              </w:rPr>
              <w:t>Педагогическая академия</w:t>
            </w:r>
          </w:p>
        </w:tc>
        <w:tc>
          <w:tcPr>
            <w:tcW w:w="59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1 283</w:t>
            </w:r>
          </w:p>
        </w:tc>
        <w:tc>
          <w:tcPr>
            <w:tcW w:w="1701"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944</w:t>
            </w:r>
          </w:p>
        </w:tc>
        <w:tc>
          <w:tcPr>
            <w:tcW w:w="1843" w:type="dxa"/>
            <w:tcBorders>
              <w:top w:val="nil"/>
              <w:left w:val="nil"/>
              <w:bottom w:val="nil"/>
              <w:right w:val="nil"/>
            </w:tcBorders>
          </w:tcPr>
          <w:p w:rsidR="00000000" w:rsidRDefault="00000000">
            <w:pPr>
              <w:keepNext/>
              <w:spacing w:before="40" w:after="40" w:line="210" w:lineRule="exact"/>
              <w:jc w:val="right"/>
              <w:rPr>
                <w:sz w:val="17"/>
              </w:rPr>
            </w:pPr>
            <w:r>
              <w:rPr>
                <w:sz w:val="17"/>
              </w:rPr>
              <w:t>73,6</w:t>
            </w: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spacing w:before="40" w:after="40" w:line="210" w:lineRule="exact"/>
              <w:rPr>
                <w:sz w:val="17"/>
              </w:rPr>
            </w:pPr>
            <w:r>
              <w:rPr>
                <w:sz w:val="17"/>
              </w:rPr>
              <w:t>Высшие медицинские училища</w:t>
            </w:r>
          </w:p>
        </w:tc>
        <w:tc>
          <w:tcPr>
            <w:tcW w:w="590" w:type="dxa"/>
            <w:tcBorders>
              <w:top w:val="nil"/>
              <w:left w:val="nil"/>
              <w:bottom w:val="nil"/>
              <w:right w:val="nil"/>
            </w:tcBorders>
            <w:vAlign w:val="bottom"/>
          </w:tcPr>
          <w:p w:rsidR="00000000" w:rsidRDefault="00000000">
            <w:pPr>
              <w:spacing w:before="40" w:after="40" w:line="210" w:lineRule="exact"/>
              <w:jc w:val="right"/>
              <w:rPr>
                <w:sz w:val="17"/>
              </w:rPr>
            </w:pPr>
            <w:r>
              <w:rPr>
                <w:sz w:val="17"/>
              </w:rPr>
              <w:t>559</w:t>
            </w:r>
          </w:p>
        </w:tc>
        <w:tc>
          <w:tcPr>
            <w:tcW w:w="1701" w:type="dxa"/>
            <w:tcBorders>
              <w:top w:val="nil"/>
              <w:left w:val="nil"/>
              <w:bottom w:val="nil"/>
              <w:right w:val="nil"/>
            </w:tcBorders>
            <w:vAlign w:val="bottom"/>
          </w:tcPr>
          <w:p w:rsidR="00000000" w:rsidRDefault="00000000">
            <w:pPr>
              <w:spacing w:before="40" w:after="40" w:line="210" w:lineRule="exact"/>
              <w:jc w:val="right"/>
              <w:rPr>
                <w:sz w:val="17"/>
              </w:rPr>
            </w:pPr>
            <w:r>
              <w:rPr>
                <w:sz w:val="17"/>
              </w:rPr>
              <w:t>399</w:t>
            </w:r>
          </w:p>
        </w:tc>
        <w:tc>
          <w:tcPr>
            <w:tcW w:w="1843" w:type="dxa"/>
            <w:tcBorders>
              <w:top w:val="nil"/>
              <w:left w:val="nil"/>
              <w:bottom w:val="nil"/>
              <w:right w:val="nil"/>
            </w:tcBorders>
          </w:tcPr>
          <w:p w:rsidR="00000000" w:rsidRDefault="00000000">
            <w:pPr>
              <w:spacing w:before="40" w:after="40" w:line="210" w:lineRule="exact"/>
              <w:jc w:val="right"/>
              <w:rPr>
                <w:sz w:val="17"/>
              </w:rPr>
            </w:pPr>
            <w:r>
              <w:rPr>
                <w:sz w:val="17"/>
              </w:rPr>
              <w:t>71,4</w:t>
            </w: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spacing w:before="40" w:after="40" w:line="210" w:lineRule="exact"/>
              <w:rPr>
                <w:sz w:val="17"/>
              </w:rPr>
            </w:pPr>
            <w:r>
              <w:rPr>
                <w:sz w:val="17"/>
              </w:rPr>
              <w:t>Академии искусств</w:t>
            </w:r>
          </w:p>
        </w:tc>
        <w:tc>
          <w:tcPr>
            <w:tcW w:w="590" w:type="dxa"/>
            <w:tcBorders>
              <w:top w:val="nil"/>
              <w:left w:val="nil"/>
              <w:bottom w:val="nil"/>
              <w:right w:val="nil"/>
            </w:tcBorders>
            <w:vAlign w:val="bottom"/>
          </w:tcPr>
          <w:p w:rsidR="00000000" w:rsidRDefault="00000000">
            <w:pPr>
              <w:spacing w:before="40" w:after="40" w:line="210" w:lineRule="exact"/>
              <w:jc w:val="right"/>
              <w:rPr>
                <w:sz w:val="17"/>
              </w:rPr>
            </w:pPr>
            <w:r>
              <w:rPr>
                <w:sz w:val="17"/>
              </w:rPr>
              <w:t>618</w:t>
            </w:r>
          </w:p>
        </w:tc>
        <w:tc>
          <w:tcPr>
            <w:tcW w:w="1701" w:type="dxa"/>
            <w:tcBorders>
              <w:top w:val="nil"/>
              <w:left w:val="nil"/>
              <w:bottom w:val="nil"/>
              <w:right w:val="nil"/>
            </w:tcBorders>
            <w:vAlign w:val="bottom"/>
          </w:tcPr>
          <w:p w:rsidR="00000000" w:rsidRDefault="00000000">
            <w:pPr>
              <w:spacing w:before="40" w:after="40" w:line="210" w:lineRule="exact"/>
              <w:jc w:val="right"/>
              <w:rPr>
                <w:sz w:val="17"/>
              </w:rPr>
            </w:pPr>
            <w:r>
              <w:rPr>
                <w:sz w:val="17"/>
              </w:rPr>
              <w:t>360</w:t>
            </w:r>
          </w:p>
        </w:tc>
        <w:tc>
          <w:tcPr>
            <w:tcW w:w="1843" w:type="dxa"/>
            <w:tcBorders>
              <w:top w:val="nil"/>
              <w:left w:val="nil"/>
              <w:bottom w:val="nil"/>
              <w:right w:val="nil"/>
            </w:tcBorders>
          </w:tcPr>
          <w:p w:rsidR="00000000" w:rsidRDefault="00000000">
            <w:pPr>
              <w:spacing w:before="40" w:after="40" w:line="210" w:lineRule="exact"/>
              <w:jc w:val="right"/>
              <w:rPr>
                <w:sz w:val="17"/>
              </w:rPr>
            </w:pPr>
            <w:r>
              <w:rPr>
                <w:sz w:val="17"/>
              </w:rPr>
              <w:t>58,3</w:t>
            </w: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spacing w:before="40" w:after="40" w:line="210" w:lineRule="exact"/>
              <w:rPr>
                <w:sz w:val="17"/>
              </w:rPr>
            </w:pPr>
            <w:r>
              <w:rPr>
                <w:sz w:val="17"/>
              </w:rPr>
              <w:t>Исламские педагогические акад</w:t>
            </w:r>
            <w:r>
              <w:rPr>
                <w:sz w:val="17"/>
              </w:rPr>
              <w:t>е</w:t>
            </w:r>
            <w:r>
              <w:rPr>
                <w:sz w:val="17"/>
              </w:rPr>
              <w:t>мии</w:t>
            </w:r>
          </w:p>
        </w:tc>
        <w:tc>
          <w:tcPr>
            <w:tcW w:w="59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401</w:t>
            </w:r>
          </w:p>
        </w:tc>
        <w:tc>
          <w:tcPr>
            <w:tcW w:w="1701" w:type="dxa"/>
            <w:tcBorders>
              <w:top w:val="nil"/>
              <w:left w:val="nil"/>
              <w:bottom w:val="nil"/>
              <w:right w:val="nil"/>
            </w:tcBorders>
            <w:vAlign w:val="bottom"/>
          </w:tcPr>
          <w:p w:rsidR="00000000" w:rsidRDefault="00000000">
            <w:pPr>
              <w:spacing w:before="40" w:after="40" w:line="210" w:lineRule="exact"/>
              <w:jc w:val="right"/>
              <w:rPr>
                <w:sz w:val="17"/>
              </w:rPr>
            </w:pPr>
            <w:r>
              <w:rPr>
                <w:sz w:val="17"/>
              </w:rPr>
              <w:t>172</w:t>
            </w:r>
          </w:p>
        </w:tc>
        <w:tc>
          <w:tcPr>
            <w:tcW w:w="1843" w:type="dxa"/>
            <w:tcBorders>
              <w:top w:val="nil"/>
              <w:left w:val="nil"/>
              <w:bottom w:val="nil"/>
              <w:right w:val="nil"/>
            </w:tcBorders>
          </w:tcPr>
          <w:p w:rsidR="00000000" w:rsidRDefault="00000000">
            <w:pPr>
              <w:spacing w:before="40" w:after="40" w:line="210" w:lineRule="exact"/>
              <w:jc w:val="right"/>
              <w:rPr>
                <w:sz w:val="17"/>
              </w:rPr>
            </w:pPr>
            <w:r>
              <w:rPr>
                <w:sz w:val="17"/>
              </w:rPr>
              <w:t>42,9</w:t>
            </w:r>
          </w:p>
        </w:tc>
      </w:tr>
      <w:tr w:rsidR="00000000">
        <w:tblPrEx>
          <w:tblCellMar>
            <w:top w:w="0" w:type="dxa"/>
            <w:left w:w="0" w:type="dxa"/>
            <w:bottom w:w="0" w:type="dxa"/>
            <w:right w:w="0" w:type="dxa"/>
          </w:tblCellMar>
        </w:tblPrEx>
        <w:tc>
          <w:tcPr>
            <w:tcW w:w="2952" w:type="dxa"/>
            <w:tcBorders>
              <w:top w:val="nil"/>
              <w:left w:val="nil"/>
              <w:bottom w:val="single" w:sz="12" w:space="0" w:color="auto"/>
              <w:right w:val="nil"/>
            </w:tcBorders>
            <w:vAlign w:val="bottom"/>
          </w:tcPr>
          <w:p w:rsidR="00000000" w:rsidRDefault="00000000">
            <w:pPr>
              <w:spacing w:before="40" w:after="40" w:line="210" w:lineRule="exact"/>
              <w:rPr>
                <w:sz w:val="17"/>
              </w:rPr>
            </w:pPr>
            <w:r>
              <w:rPr>
                <w:sz w:val="17"/>
              </w:rPr>
              <w:t>Духовные школы</w:t>
            </w:r>
          </w:p>
        </w:tc>
        <w:tc>
          <w:tcPr>
            <w:tcW w:w="59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583</w:t>
            </w:r>
          </w:p>
        </w:tc>
        <w:tc>
          <w:tcPr>
            <w:tcW w:w="1701"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145</w:t>
            </w:r>
          </w:p>
        </w:tc>
        <w:tc>
          <w:tcPr>
            <w:tcW w:w="1843"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24,9</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rPr>
          <w:i/>
        </w:rPr>
        <w:t>Источник</w:t>
      </w:r>
      <w:r>
        <w:t>: ежегодный статистический доклад за 2000 год, Федеральный инст</w:t>
      </w:r>
      <w:r>
        <w:t>и</w:t>
      </w:r>
      <w:r>
        <w:t>тут статистики Федерации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166.</w:t>
      </w:r>
      <w:r>
        <w:tab/>
        <w:t>За период с 1996 по 2000 год на территории Федерации Боснии и Герц</w:t>
      </w:r>
      <w:r>
        <w:t>е</w:t>
      </w:r>
      <w:r>
        <w:t>говины диплом магистра получили в общей сложности 348 выпускников, в том числе 126 женщин (36,2 процента). Наибольшее число женщин, получивших диплом магистра за указанный период, имели специальности в таких областях, как здравоохранение и социальное попечение (46 дипломов - 36,5 процента). В Республике Сербской, согласно имеющимся данным, среди работающих женщин 12 процентов имели степень доктора философии, 12 процентов - ст</w:t>
      </w:r>
      <w:r>
        <w:t>е</w:t>
      </w:r>
      <w:r>
        <w:t xml:space="preserve">пень магистра, 30 процентов - диплом об окончании университета и 37 процентов - свидетельство о среднем образовании.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167.</w:t>
      </w:r>
      <w:r>
        <w:tab/>
        <w:t>За период с 1996 по 2000 год на территории Федерации Боснии и Герц</w:t>
      </w:r>
      <w:r>
        <w:t>е</w:t>
      </w:r>
      <w:r>
        <w:t>говины степень доктора философии получили в общей сложности 158 выпускников, в том числе 42 женщины (26,58 процента). Наибольшее чи</w:t>
      </w:r>
      <w:r>
        <w:t>с</w:t>
      </w:r>
      <w:r>
        <w:t>ло женщин, получивших степень доктора философии за указанный период, имели специальности в таких областях, как здравоохранение и социальное п</w:t>
      </w:r>
      <w:r>
        <w:t>о</w:t>
      </w:r>
      <w:r>
        <w:t>печение (28 женщин - 66,6 процента). За период с 1999 по 2002 год в Респу</w:t>
      </w:r>
      <w:r>
        <w:t>б</w:t>
      </w:r>
      <w:r>
        <w:t>лике Сербской степень магистра получили в общей сложности 104 выпускника, в том числе 71 мужчина (или 68 процентов) и 33 женщины (или 32 процента). За тот же период степень доктора философии получили 48 студентов, из кот</w:t>
      </w:r>
      <w:r>
        <w:t>о</w:t>
      </w:r>
      <w:r>
        <w:t>рых 36 были мужчины (или 75 процентов) и 12 - женщины (или 25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168.</w:t>
      </w:r>
      <w:r>
        <w:tab/>
        <w:t>Самое многочисленное национальное меньшинство в Боснии и Герцег</w:t>
      </w:r>
      <w:r>
        <w:t>о</w:t>
      </w:r>
      <w:r>
        <w:t>вине составляют рома. По данным исследования, проведенного в 1999 году Центром по защите прав меньшинств, только в 30 процентах обследованных семей рома все члены семьи были грамотны, а в 23 процентах семей четыре или более человек были неграмотны. В Федерации Боснии и Герцеговины И</w:t>
      </w:r>
      <w:r>
        <w:t>н</w:t>
      </w:r>
      <w:r>
        <w:t>ститут статистики не ведет статистику приема учащихся в учебные заведения с разбивкой по национальности. Таким образом, официальных данных о числе</w:t>
      </w:r>
      <w:r>
        <w:t>н</w:t>
      </w:r>
      <w:r>
        <w:t xml:space="preserve">ности детей рома, посещающих школу, не существует, и поэтому дать оценку ситуации с гендерной точки зрения не представляется возможным.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Наиболее полные данные имеются по кантону Сараево; согласно этим данным, в кантоне проживают 119 детей рома дошкольного возраста, и ни один из них не посещает детские дошкольные учреждения.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169.</w:t>
      </w:r>
      <w:r>
        <w:tab/>
        <w:t>По данным организации "Наше будущее", в 1995/1996 учебном году в кантоне Сараево проживало 582 ребенка народности рома в возрасте от 7 до 18 лет, из которых только 189 детей, или 33 процента, регулярно посещали школу. В начале 2000/2001 учебного года были организованы групповые мер</w:t>
      </w:r>
      <w:r>
        <w:t>о</w:t>
      </w:r>
      <w:r>
        <w:t>приятия, подобные тем подготовительным занятиям, которые проводились для группы детей рома неправительственной организацией и общиной рома в Б</w:t>
      </w:r>
      <w:r>
        <w:t>и</w:t>
      </w:r>
      <w:r>
        <w:t>беровичах, кантон Тузла, муниципалитет Сапна, в 1998/1999 году. Классы были сформированы по инициативе взрослых членов общины рома в сотрудничестве с ассоциацией рома "Ката ача" и с использованием оборудования и материалов из местных школ. В 1999-2002 учебных годах сараевский филиал неправител</w:t>
      </w:r>
      <w:r>
        <w:t>ь</w:t>
      </w:r>
      <w:r>
        <w:t>ственной организации "Будь моим другом" в партнерстве с Фондом помощи детям, Соединенное Королевство, организовал подготовительные занятия для детей рома из трех общин рома в кантоне Сараево. Некоторое время назад для детей народности рома в Федерации Боснии и Герцеговины была введена пр</w:t>
      </w:r>
      <w:r>
        <w:t>о</w:t>
      </w:r>
      <w:r>
        <w:t>грамма "Шаг за ш</w:t>
      </w:r>
      <w:r>
        <w:t>а</w:t>
      </w:r>
      <w:r>
        <w:t>гом".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По данным исследования, проведенного ассоциацией рома "Наше буд</w:t>
      </w:r>
      <w:r>
        <w:t>у</w:t>
      </w:r>
      <w:r>
        <w:t>щее" из Сараево, в 1995/1996 учебном году в кантоне Сараево проживало 582 ребенка народности рома школьного возраста, из которых только 13 детей (2 процента) учились в средней школе и только четыре (1 процент) - в униве</w:t>
      </w:r>
      <w:r>
        <w:t>р</w:t>
      </w:r>
      <w:r>
        <w:t>ситете. В стране существуют специальные учебные заведения для детей с з</w:t>
      </w:r>
      <w:r>
        <w:t>а</w:t>
      </w:r>
      <w:r>
        <w:t>держками в развитии, которые относятся к категории специальных школ. Пр</w:t>
      </w:r>
      <w:r>
        <w:t>о</w:t>
      </w:r>
      <w:r>
        <w:t>веденные исследования не выявили диспропорций в представленности детей рома в системе специальных школ.</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rPr>
          <w:b/>
        </w:rPr>
      </w:pPr>
      <w:r>
        <w:rPr>
          <w:b/>
        </w:rPr>
        <w:t>Профессиональный рост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170.</w:t>
      </w:r>
      <w:r>
        <w:tab/>
        <w:t>Политика в отношении профессионального роста не содержит в себе эл</w:t>
      </w:r>
      <w:r>
        <w:t>е</w:t>
      </w:r>
      <w:r>
        <w:t>ментов дискриминации, но она отличается бессистемностью, единообразием и не учитывает потребностей и интересов преподавателей/школ. Социальный статус учителя самым непосредственным образом отражается на выборе пр</w:t>
      </w:r>
      <w:r>
        <w:t>о</w:t>
      </w:r>
      <w:r>
        <w:t>фессии и стимулах учителей к повышению своего профессионального уровня. Что касается науки и научных исследований в Боснии и Герцеговине, то де</w:t>
      </w:r>
      <w:r>
        <w:t>я</w:t>
      </w:r>
      <w:r>
        <w:t xml:space="preserve">тельность в этой сфере не регламентирована ни одним из законов.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171.</w:t>
      </w:r>
      <w:r>
        <w:tab/>
        <w:t>Обследование ПРООН (2000 год) показало, что, как и во многих других странах Центральной и Восточной Европы с переходной экономикой, более 60 процентов молодых людей готовы выехать из Боснии и Герцеговины, если им представится такая возможность. Одной из причин, по которым молодые люди хотели бы покинуть страну, является неудовлетворительная система о</w:t>
      </w:r>
      <w:r>
        <w:t>б</w:t>
      </w:r>
      <w:r>
        <w:t>разования как следствие низкого уровня управления, результатом чего стан</w:t>
      </w:r>
      <w:r>
        <w:t>о</w:t>
      </w:r>
      <w:r>
        <w:t>вятся плохие условия обучения и техническое оснащение, устаревшая учебная методика и заниженные требования к уровню знаний, а также оторванность от последних достижений в сфере научных исследований и преподавания в др</w:t>
      </w:r>
      <w:r>
        <w:t>у</w:t>
      </w:r>
      <w:r>
        <w:t>гих странах Европы. Однако благодаря открытому конкурсу на право получ</w:t>
      </w:r>
      <w:r>
        <w:t>е</w:t>
      </w:r>
      <w:r>
        <w:t>ния краткосрочной финансовой помощи при написании магистерской диссе</w:t>
      </w:r>
      <w:r>
        <w:t>р</w:t>
      </w:r>
      <w:r>
        <w:t>тации, устроенному федеральным министерством образования, науки, культ</w:t>
      </w:r>
      <w:r>
        <w:t>у</w:t>
      </w:r>
      <w:r>
        <w:t>ры и спорта, мы видим иную картину в том, что касается интереса молодежи к научно-исследовательской работе, по сравнению с периодом проведения пр</w:t>
      </w:r>
      <w:r>
        <w:t>е</w:t>
      </w:r>
      <w:r>
        <w:t>дыдущего обследования. Заявки на предоставление финансовой помощи под</w:t>
      </w:r>
      <w:r>
        <w:t>а</w:t>
      </w:r>
      <w:r>
        <w:t>ли 179 кандидатов, в том числе 94 женщины и 85 мужчин. Было утверждено 23 стипендии - 11 для женщин и 12 для мужчин. На открытом конкурсе на н</w:t>
      </w:r>
      <w:r>
        <w:t>а</w:t>
      </w:r>
      <w:r>
        <w:t>писание докторской диссертации свои заявки представили 132 кандидата, в том числе 51 женщина и 81 мужчина. Было утверждено 27 стипендий - 16 для женщин и 11 для мужчин. На открытом конкурсе на право получения финанс</w:t>
      </w:r>
      <w:r>
        <w:t>о</w:t>
      </w:r>
      <w:r>
        <w:t>вой помощи при реализации научно-исследовательских проектов в 2002/2003 году было представлено 155 научно-исследовательских проектов. В 31 случае руководителями проектов (ведущими исследователями) были женщины, в 124 случаях - мужчины. Для получения финансовой помощи от федерального министерства образования, науки, культуры и спорта были у</w:t>
      </w:r>
      <w:r>
        <w:t>т</w:t>
      </w:r>
      <w:r>
        <w:t>верждены 45 научно-исследовательских проектов. Руководителями 13 проектов были женщины, 32 проектов - мужчины; это свидетельствует о высоком уровне по</w:t>
      </w:r>
      <w:r>
        <w:t>д</w:t>
      </w:r>
      <w:r>
        <w:t>готовки женщин-исследователей.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rPr>
          <w:b/>
        </w:rPr>
      </w:pPr>
      <w:r>
        <w:rPr>
          <w:b/>
        </w:rPr>
        <w:t>Профессиональное (специализированное) обучение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172.</w:t>
      </w:r>
      <w:r>
        <w:tab/>
        <w:t>Гендерные стереотипы сохраняются также в сфере профессионального обучения. В бывшей Югославии существовало несколько типов средних пр</w:t>
      </w:r>
      <w:r>
        <w:t>о</w:t>
      </w:r>
      <w:r>
        <w:t>фессионально-технических училищ: четырехлетние технические училища, к</w:t>
      </w:r>
      <w:r>
        <w:t>о</w:t>
      </w:r>
      <w:r>
        <w:t>торые объединяли в своей программе общие и профессиональные знания и в</w:t>
      </w:r>
      <w:r>
        <w:t>ы</w:t>
      </w:r>
      <w:r>
        <w:t>давали выпускникам диплом техника, и трехлетние учебные курсы, выпускн</w:t>
      </w:r>
      <w:r>
        <w:t>и</w:t>
      </w:r>
      <w:r>
        <w:t>ки которых получали звание квалифицированного рабочего. С разрушением многих промышленных объектов по всей территории Боснии и Герцеговины были разрушены и центры подготовки специалистов народного хозяйства. Бл</w:t>
      </w:r>
      <w:r>
        <w:t>а</w:t>
      </w:r>
      <w:r>
        <w:t>годаря помощи со стороны международного сообщества некоторые из этих учебных программ теперь возобновлены. Во многих из этих проектов главное внимание уделяется строительным специальностям, с тем чтобы помочь безр</w:t>
      </w:r>
      <w:r>
        <w:t>а</w:t>
      </w:r>
      <w:r>
        <w:t>ботным, и в особенности демобилизованным военнослужащим, получить раб</w:t>
      </w:r>
      <w:r>
        <w:t>о</w:t>
      </w:r>
      <w:r>
        <w:t>ту в этой отрасли, с учетом того, что промышленное строительство, имеющее целью восстановление предприятий, - главный источник рабочих мест. Наиб</w:t>
      </w:r>
      <w:r>
        <w:t>о</w:t>
      </w:r>
      <w:r>
        <w:t>лее активную работу в этой области ведет Фонд занятости и профессиональной подготовки (ФЗПП), основанный Всемирным банком, федеральным правител</w:t>
      </w:r>
      <w:r>
        <w:t>ь</w:t>
      </w:r>
      <w:r>
        <w:t>ством и правительс</w:t>
      </w:r>
      <w:r>
        <w:t>т</w:t>
      </w:r>
      <w:r>
        <w:t>вом Республики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173.</w:t>
      </w:r>
      <w:r>
        <w:tab/>
        <w:t>Проекты профессиональной подготовки, специально рассчитанные на женщин и нередко осуществляемые независимыми неправительственными о</w:t>
      </w:r>
      <w:r>
        <w:t>р</w:t>
      </w:r>
      <w:r>
        <w:t>ганизациями при помощи международных доноров, охватывают, в частности, такие специальности, как машинопись, вязание и шитье. Финансирование м</w:t>
      </w:r>
      <w:r>
        <w:t>е</w:t>
      </w:r>
      <w:r>
        <w:t>роприятий по подготовке и переподготовке кадров - исключительная прерог</w:t>
      </w:r>
      <w:r>
        <w:t>а</w:t>
      </w:r>
      <w:r>
        <w:t>тива работодателей.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К настоящему времени разработано несколько учебных программ: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а)</w:t>
      </w:r>
      <w:r>
        <w:tab/>
        <w:t>с использованием кредита Всемирного банка - для подготовки дем</w:t>
      </w:r>
      <w:r>
        <w:t>о</w:t>
      </w:r>
      <w:r>
        <w:t>билизованных солдат, инвалидов войны и родственников погибших военн</w:t>
      </w:r>
      <w:r>
        <w:t>о</w:t>
      </w:r>
      <w:r>
        <w:t>служащих;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r>
      <w:r>
        <w:rPr>
          <w:lang w:val="en-US"/>
        </w:rPr>
        <w:t>b</w:t>
      </w:r>
      <w:r>
        <w:t>)</w:t>
      </w:r>
      <w:r>
        <w:tab/>
        <w:t>в порядке проведения активной политики в отношении безработных государственными службами занятости;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r>
      <w:r>
        <w:rPr>
          <w:lang w:val="en-US"/>
        </w:rPr>
        <w:t>c</w:t>
      </w:r>
      <w:r>
        <w:t>)</w:t>
      </w:r>
      <w:r>
        <w:tab/>
        <w:t>индивидуально и на базе предприятий (в весьма ограниченном ма</w:t>
      </w:r>
      <w:r>
        <w:t>с</w:t>
      </w:r>
      <w:r>
        <w:t>шт</w:t>
      </w:r>
      <w:r>
        <w:t>а</w:t>
      </w:r>
      <w:r>
        <w:t>бе).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Безработные могут получать помощь в двух основных формах: на курсах по поиску работы, компьютерных курсах и курсах, позволяющих получить о</w:t>
      </w:r>
      <w:r>
        <w:t>п</w:t>
      </w:r>
      <w:r>
        <w:t>ределенную специальность, организуемых в центрах по подготовке и предв</w:t>
      </w:r>
      <w:r>
        <w:t>а</w:t>
      </w:r>
      <w:r>
        <w:t>рительному квалификационному отбору кадров или в соответствующих обы</w:t>
      </w:r>
      <w:r>
        <w:t>ч</w:t>
      </w:r>
      <w:r>
        <w:t>ных или экспериментальных школах; в рамках специальных проектов по по</w:t>
      </w:r>
      <w:r>
        <w:t>д</w:t>
      </w:r>
      <w:r>
        <w:t>готовке и предварительному квалификационному отбору кадров для заполн</w:t>
      </w:r>
      <w:r>
        <w:t>е</w:t>
      </w:r>
      <w:r>
        <w:t>ния конкретных вакансий, которые разрабатываются предприятиями и фина</w:t>
      </w:r>
      <w:r>
        <w:t>н</w:t>
      </w:r>
      <w:r>
        <w:t>сируются государственными службами. Эти курсы, имеющие отношение в пе</w:t>
      </w:r>
      <w:r>
        <w:t>р</w:t>
      </w:r>
      <w:r>
        <w:t>вую очередь к сельскохозяйственным и строительным специальностям, а также компьютерные курсы финансируются государственными службами занятости и по линии пожертвований.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174.</w:t>
      </w:r>
      <w:r>
        <w:tab/>
        <w:t>Очевидно, что в учебниках, используемых на территории Боснии и Герц</w:t>
      </w:r>
      <w:r>
        <w:t>е</w:t>
      </w:r>
      <w:r>
        <w:t>говины, существует большое многообразие того, что может быть названо ге</w:t>
      </w:r>
      <w:r>
        <w:t>н</w:t>
      </w:r>
      <w:r>
        <w:t>дерными стереотипами в изучаемых предметах (особенно в учебниках для н</w:t>
      </w:r>
      <w:r>
        <w:t>а</w:t>
      </w:r>
      <w:r>
        <w:t>чальной и средней школы).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Во многих программах и учебниках можно по-прежнему встретить пр</w:t>
      </w:r>
      <w:r>
        <w:t>и</w:t>
      </w:r>
      <w:r>
        <w:t>меры стереотипного изображения мужчин и женщин. Например, женщины изображаются как секретарши, домработницы, которые готовят, убираются в доме, готовят детей ко сну, а мужчины - как руководители, люди, зарабат</w:t>
      </w:r>
      <w:r>
        <w:t>ы</w:t>
      </w:r>
      <w:r>
        <w:t>вающие на жизнь, успешные спортсмены и т.д. В стране пока не сделано нич</w:t>
      </w:r>
      <w:r>
        <w:t>е</w:t>
      </w:r>
      <w:r>
        <w:t>го для того, чтобы не допустить проникновения тех же самых гендерных ст</w:t>
      </w:r>
      <w:r>
        <w:t>е</w:t>
      </w:r>
      <w:r>
        <w:t>реотипов в б</w:t>
      </w:r>
      <w:r>
        <w:t>у</w:t>
      </w:r>
      <w:r>
        <w:t xml:space="preserve">дущие учебные программы.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На основе анализа содержания предметов, изучаемых в начальных и средних школах Боснии и Герцеговины, можно сделать вывод о том, что в них практически не затрагиваются темы, связанные с планированием семьи. В рамках предмета "Природа и общество", изучаемого в 1-4 классах начальной школы, в первом классе детям рассказывают о доме и семье, а точнее о нукл</w:t>
      </w:r>
      <w:r>
        <w:t>е</w:t>
      </w:r>
      <w:r>
        <w:t>арной семье и родственниках, а во втором классе несколько подробнее ра</w:t>
      </w:r>
      <w:r>
        <w:t>с</w:t>
      </w:r>
      <w:r>
        <w:t>сматриваются тема деторождения и обязанности родителей по отношению к детям, а также обязанности детей по отношению к родителям. В рамках пре</w:t>
      </w:r>
      <w:r>
        <w:t>д</w:t>
      </w:r>
      <w:r>
        <w:t>мета "Общая культура, демократия и права человека" нет материалов, которые так или иначе были бы связаны с планированием семьи. Дети получают нек</w:t>
      </w:r>
      <w:r>
        <w:t>о</w:t>
      </w:r>
      <w:r>
        <w:t>торые базовые знания на уроках биологии, и только в тех школах, которыми руководят соответствующим образом подготовленные директора, дети изучают этот предмет в "домашних комнатах" по инициативе классных руководителей или учащихся. Тем не менее такое положение дел будет улучшено благодаря реформе системы образования, в ходе которой в программу будут включены новые предметы, которые также должны включать в себя этот гендерный ко</w:t>
      </w:r>
      <w:r>
        <w:t>м</w:t>
      </w:r>
      <w:r>
        <w:t>понент.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175.</w:t>
      </w:r>
      <w:r>
        <w:tab/>
        <w:t>С учетом того, насколько сложна организационная система в Боснии и Герцеговине и система инстанций, отвечающих за образование, одним из ва</w:t>
      </w:r>
      <w:r>
        <w:t>ж</w:t>
      </w:r>
      <w:r>
        <w:t>ных вопросов с точки зрения обеспечения согласованной деятельности и пр</w:t>
      </w:r>
      <w:r>
        <w:t>и</w:t>
      </w:r>
      <w:r>
        <w:t>менения одних и тех же образовательных стандартов является координация. 10 мая 2000 года министры образования в Образованиях подписали деклар</w:t>
      </w:r>
      <w:r>
        <w:t>а</w:t>
      </w:r>
      <w:r>
        <w:t>цию и соглашение о согласовании параллельных образовательных систем. С 2000/2001 учебного года была поставлена задача отразить в учебной пр</w:t>
      </w:r>
      <w:r>
        <w:t>о</w:t>
      </w:r>
      <w:r>
        <w:t>грамме культурное, литературное и языковое наследие всех трех народов, а также принять активные меры по согласованию содержания программ, с тем чтобы в будущем разгрузить учебные планы и привести их в соответствие с с</w:t>
      </w:r>
      <w:r>
        <w:t>о</w:t>
      </w:r>
      <w:r>
        <w:t>временными тр</w:t>
      </w:r>
      <w:r>
        <w:t>е</w:t>
      </w:r>
      <w:r>
        <w:t>бованиями.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С этой целью в 2000/2001 учебном году в четырех экспериментальных школах была введена новая учебная программа, разбитая на отдельные модули. Было создано бюро стандартов в целях установления образовательных ста</w:t>
      </w:r>
      <w:r>
        <w:t>н</w:t>
      </w:r>
      <w:r>
        <w:t>дартов, их проверки и оценки качества выдаваемых свидетельств. Кроме того, был создан координационный орган для согласования образовательных систем в Боснии и Герцеговине, в состав которого вошло равное число экспертов от боснийской, хорватской и сербской общин. В рамках программы ФАРЕ был начат процесс корре</w:t>
      </w:r>
      <w:r>
        <w:t>к</w:t>
      </w:r>
      <w:r>
        <w:t>тировки учебной программы в системе образования ВЕТ.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176.</w:t>
      </w:r>
      <w:r>
        <w:tab/>
        <w:t>В Боснии и Герцеговине, а также образованиях порядок выплаты стипе</w:t>
      </w:r>
      <w:r>
        <w:t>н</w:t>
      </w:r>
      <w:r>
        <w:t>дий учащимся на всех образовательных уровнях по-прежнему не регламент</w:t>
      </w:r>
      <w:r>
        <w:t>и</w:t>
      </w:r>
      <w:r>
        <w:t>рован законодательством. До сих пор стипендии выплачиваются бессистемно и из самых разных источников в соответствии с правилами и с учетом финанс</w:t>
      </w:r>
      <w:r>
        <w:t>о</w:t>
      </w:r>
      <w:r>
        <w:t>вого положения тех органов, которые их выдают, и отбор производится в о</w:t>
      </w:r>
      <w:r>
        <w:t>с</w:t>
      </w:r>
      <w:r>
        <w:t>новном через объявления в печати, на радио и телевидении. На основании ан</w:t>
      </w:r>
      <w:r>
        <w:t>а</w:t>
      </w:r>
      <w:r>
        <w:t>лиза имеющейся информации нельзя сделать вывод о существовании какой бы то ни было дискриминации по признаку пола в подходе к распределению ст</w:t>
      </w:r>
      <w:r>
        <w:t>и</w:t>
      </w:r>
      <w:r>
        <w:t>пендий и порядке их выдачи.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177.</w:t>
      </w:r>
      <w:r>
        <w:tab/>
        <w:t>В рамках проекта "Равенство между мужчинами и женщинами и справе</w:t>
      </w:r>
      <w:r>
        <w:t>д</w:t>
      </w:r>
      <w:r>
        <w:t>ливость в Боснии и Герцеговине" к числу проектов с гендерной направленн</w:t>
      </w:r>
      <w:r>
        <w:t>о</w:t>
      </w:r>
      <w:r>
        <w:t>стью, которым оказывалась поддержка, были отнесены также шесть проектов в сфере образования, т.е. деятельности, напрямую вытекающей из положений статьи 10 Конвенции. Четыре проекта были ориентированы на работу с о</w:t>
      </w:r>
      <w:r>
        <w:t>т</w:t>
      </w:r>
      <w:r>
        <w:t>дельными лицами обоих полов в таких областях, как развитие, просветител</w:t>
      </w:r>
      <w:r>
        <w:t>ь</w:t>
      </w:r>
      <w:r>
        <w:t>ская работа по гендерной проблематике и разработка мероприятий, предпол</w:t>
      </w:r>
      <w:r>
        <w:t>а</w:t>
      </w:r>
      <w:r>
        <w:t>гающих включение гендерных аспектов в программу средних школ. Один из проектов имел целью анализ учебников социологии и философии для средних школ, и в его реализации участвовали студенты философского факультета в Баня-Луке, изучающие социологию и философию, а также преподаватели в</w:t>
      </w:r>
      <w:r>
        <w:t>ы</w:t>
      </w:r>
      <w:r>
        <w:t>шеупомянутых предметов. Его результатом стала подготовка методического пособия по учету гендерных аспектов при преподавании этих предметов. Др</w:t>
      </w:r>
      <w:r>
        <w:t>у</w:t>
      </w:r>
      <w:r>
        <w:t>гой проект был связан с выбором профессии для учащихся начальной и сре</w:t>
      </w:r>
      <w:r>
        <w:t>д</w:t>
      </w:r>
      <w:r>
        <w:t>ней школы. Эти проекты показали на практике, что работу над программами следует начинать с уровня детских дошкольных учреждений и что необходимо разработать процедуру для включения гендерных аспектов в школьную пр</w:t>
      </w:r>
      <w:r>
        <w:t>о</w:t>
      </w:r>
      <w:r>
        <w:t>грамму.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t>С учетом вышесказанного можно сделать следующие выводы: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r>
      <w:r>
        <w:rPr>
          <w:lang w:val="en-US"/>
        </w:rPr>
        <w:t>a</w:t>
      </w:r>
      <w:r>
        <w:t>)</w:t>
      </w:r>
      <w:r>
        <w:tab/>
        <w:t>система образования в Боснии и Герцеговине отличается несоглас</w:t>
      </w:r>
      <w:r>
        <w:t>о</w:t>
      </w:r>
      <w:r>
        <w:t>ва</w:t>
      </w:r>
      <w:r>
        <w:t>н</w:t>
      </w:r>
      <w:r>
        <w:t>ностью;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r>
      <w:r>
        <w:rPr>
          <w:lang w:val="en-US"/>
        </w:rPr>
        <w:t>b</w:t>
      </w:r>
      <w:r>
        <w:t>)</w:t>
      </w:r>
      <w:r>
        <w:tab/>
        <w:t>не существует единой законодательной базы для всей территории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r>
      <w:r>
        <w:rPr>
          <w:lang w:val="en-US"/>
        </w:rPr>
        <w:t>c</w:t>
      </w:r>
      <w:r>
        <w:t>)</w:t>
      </w:r>
      <w:r>
        <w:tab/>
        <w:t>в системе образования начат процесс реформ;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r>
      <w:r>
        <w:rPr>
          <w:lang w:val="en-US"/>
        </w:rPr>
        <w:t>d</w:t>
      </w:r>
      <w:r>
        <w:t>)</w:t>
      </w:r>
      <w:r>
        <w:tab/>
        <w:t>в стране не существует политики в отношении предоставления ст</w:t>
      </w:r>
      <w:r>
        <w:t>и</w:t>
      </w:r>
      <w:r>
        <w:t>пендий и целенаправленной стратегии для предупреждения эмиграции мол</w:t>
      </w:r>
      <w:r>
        <w:t>о</w:t>
      </w:r>
      <w:r>
        <w:t>дых людей из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264"/>
      </w:pPr>
      <w:r>
        <w:tab/>
      </w:r>
      <w:r>
        <w:rPr>
          <w:lang w:val="en-US"/>
        </w:rPr>
        <w:t>e</w:t>
      </w:r>
      <w:r>
        <w:t>)</w:t>
      </w:r>
      <w:r>
        <w:tab/>
        <w:t>в учебниках, используемых в школах Боснии и Герцеговины, соде</w:t>
      </w:r>
      <w:r>
        <w:t>р</w:t>
      </w:r>
      <w:r>
        <w:t>жатся гендерные стереотипы в отношении мужчин, женщин и их социальных функций.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2218"/>
          <w:tab w:val="left" w:pos="2693"/>
        </w:tabs>
        <w:ind w:left="2700" w:right="1120" w:hanging="1440"/>
      </w:pPr>
      <w:r>
        <w:t>Статья 11.</w:t>
      </w:r>
      <w:r>
        <w:tab/>
        <w:t>Труд, пенсионное обеспечение и социальная защита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60" w:lineRule="auto"/>
        <w:rPr>
          <w:b/>
          <w:sz w:val="28"/>
        </w:rPr>
      </w:pPr>
      <w:r>
        <w:rPr>
          <w:b/>
        </w:rPr>
        <w:t>Труд и связанные с ним права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178.</w:t>
      </w:r>
      <w:r>
        <w:tab/>
        <w:t>Действующее трудовое законодательство Боснии и Герцеговины запрещ</w:t>
      </w:r>
      <w:r>
        <w:t>а</w:t>
      </w:r>
      <w:r>
        <w:t>ет какую бы то ни было дискриминацию в связи с правом на труд и занятость. Босния и Герцеговина является участницей свыше 66 конвенций в области тр</w:t>
      </w:r>
      <w:r>
        <w:t>у</w:t>
      </w:r>
      <w:r>
        <w:t>да (МОТ); за истекший период ее были приняты новые законы, которые были приведены в соответствие с большей частью конвенций МОТ. Международные стандарты в области труда, которые обеспечивают полное равенство всех лиц в области труда и занятости, были включены в новое законодательство, поста</w:t>
      </w:r>
      <w:r>
        <w:t>в</w:t>
      </w:r>
      <w:r>
        <w:t>лены под запрет все формы дискриминации в этой области и были определены права, которые носят устойчивый экономический и финансовый характер с учетом экономического положения Боснии и Герцеговины. Женщины и мужч</w:t>
      </w:r>
      <w:r>
        <w:t>и</w:t>
      </w:r>
      <w:r>
        <w:t>ны пользуются равными правами на получение всех льгот в обла</w:t>
      </w:r>
      <w:r>
        <w:t>с</w:t>
      </w:r>
      <w:r>
        <w:t>ти труда.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179.</w:t>
      </w:r>
      <w:r>
        <w:tab/>
        <w:t>Согласно Закону о труде рабочее время всех трудящихся составляет 40 часов в неделю, тогда как сверхурочная работа регламентируется особыми законоположениями, не допускается выполнение сверхурочной работы лицами моложе 18 лет, беременными женщинами, матерями с детьми до трех лет, а также одинокими родителями или усыновителями детей, имеющими детей до шести лет. Согласно этому Закону, работа, выполняемая с 20 ч. 00 м. до 06. ч. 00 м., считается работой в ночное время, а для лиц моложе 18 лет время но</w:t>
      </w:r>
      <w:r>
        <w:t>ч</w:t>
      </w:r>
      <w:r>
        <w:t>ной работы устанавливается с 20 ч. 00 м. до 06 ч. 00 м., а если эти лица раб</w:t>
      </w:r>
      <w:r>
        <w:t>о</w:t>
      </w:r>
      <w:r>
        <w:t>тают в секторе промышленности, то работой в ночное время считается работа, выполняемая с 12 ч. 00 м. до 07 ч. 00 м. Запрещается привлекать к ночной р</w:t>
      </w:r>
      <w:r>
        <w:t>а</w:t>
      </w:r>
      <w:r>
        <w:t>боте беременных женщин на шестом месяце беременности, а также лиц мол</w:t>
      </w:r>
      <w:r>
        <w:t>о</w:t>
      </w:r>
      <w:r>
        <w:t xml:space="preserve">же 18 лет. Указанные выше положения полностью соответствуют конвенциям МОТ, а именно: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a</w:t>
      </w:r>
      <w:r>
        <w:t>)</w:t>
      </w:r>
      <w:r>
        <w:tab/>
        <w:t>Конвенции о работе в ночное время женщин, занятых в промышле</w:t>
      </w:r>
      <w:r>
        <w:t>н</w:t>
      </w:r>
      <w:r>
        <w:t xml:space="preserve">ности - Конвенция № 89, пересмотренная в 1948 году;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Конвенции о занятости женщин до и после родов - Конвенция № 3 1919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Конвенции о защите материнства - Конвенция № 103, пересмотре</w:t>
      </w:r>
      <w:r>
        <w:t>н</w:t>
      </w:r>
      <w:r>
        <w:t>ная в 1952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180.</w:t>
      </w:r>
      <w:r>
        <w:tab/>
        <w:t>Все трудящиеся имеют право на ежедневный перерыв в работе продолж</w:t>
      </w:r>
      <w:r>
        <w:t>и</w:t>
      </w:r>
      <w:r>
        <w:t>тельностью 30 минут, который засчитывается в полное рабочее время, на еж</w:t>
      </w:r>
      <w:r>
        <w:t>е</w:t>
      </w:r>
      <w:r>
        <w:t>дневный отдых между двумя рабочими днями общей продолжительностью по крайней мере 12 часов, а также право на еженедельный отдых продолжител</w:t>
      </w:r>
      <w:r>
        <w:t>ь</w:t>
      </w:r>
      <w:r>
        <w:t>ностью по крайней мере 24 часа.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Право на ежегодный отпуск регламентируется законом и составляет по крайней мере 18 дней, тогда как для несовершеннолетних трудящихся этот о</w:t>
      </w:r>
      <w:r>
        <w:t>т</w:t>
      </w:r>
      <w:r>
        <w:t>пуск составляет по крайней мере 24 рабочих дня. Предоставление любых иных дополнительных дней ежегодного отпуска регламентируется коллективными трудовыми соглашениями, а также правилами и нормами труда по месту раб</w:t>
      </w:r>
      <w:r>
        <w:t>о</w:t>
      </w:r>
      <w:r>
        <w:t>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181.</w:t>
      </w:r>
      <w:r>
        <w:tab/>
        <w:t>Закон гарантирует всем трудящимся право на оплачиваемый в размере оклада отпуск продолжительностью по крайней мере пять календарных дней в случаях, предусмотренных законом, а также предусмотренных трудовыми ко</w:t>
      </w:r>
      <w:r>
        <w:t>л</w:t>
      </w:r>
      <w:r>
        <w:t>лективными соглашениями и нормами и правилами работы по месту работы, тогда как неоплачиваемый отпуск составляет три дня в течение одного кале</w:t>
      </w:r>
      <w:r>
        <w:t>н</w:t>
      </w:r>
      <w:r>
        <w:t>дарного года для целей отправления религиозных служб или празднования н</w:t>
      </w:r>
      <w:r>
        <w:t>а</w:t>
      </w:r>
      <w:r>
        <w:t>циональных и традиционных событий с согласия работодателя и по просьбе трудящегося с согласия работодателя в иных случаях, предусмотренных зак</w:t>
      </w:r>
      <w:r>
        <w:t>о</w:t>
      </w:r>
      <w:r>
        <w:t>ном. Мужчины и женщины имеют равные права на профессиональную подг</w:t>
      </w:r>
      <w:r>
        <w:t>о</w:t>
      </w:r>
      <w:r>
        <w:t>товку и прохождение стажировки, причем женщины могут проходить профе</w:t>
      </w:r>
      <w:r>
        <w:t>с</w:t>
      </w:r>
      <w:r>
        <w:t>сиональную подготовку и стажировку даже в тех секторах, которые традиц</w:t>
      </w:r>
      <w:r>
        <w:t>и</w:t>
      </w:r>
      <w:r>
        <w:t>онные считаются прерогативой мужчин. Все трудящиеся имеют право на опл</w:t>
      </w:r>
      <w:r>
        <w:t>а</w:t>
      </w:r>
      <w:r>
        <w:t>ту отпуска по болезни или временной нетрудоспособности независимо от д</w:t>
      </w:r>
      <w:r>
        <w:t>и</w:t>
      </w:r>
      <w:r>
        <w:t>агноза. Женщины имеют право на оплачиваемый отпуск по беременности и р</w:t>
      </w:r>
      <w:r>
        <w:t>о</w:t>
      </w:r>
      <w:r>
        <w:t>дам в размере среднего оклада за последние три месяца, предшествующие о</w:t>
      </w:r>
      <w:r>
        <w:t>т</w:t>
      </w:r>
      <w:r>
        <w:t>пуску по беременности и родам, и этот отпуск регулируется отдельными пол</w:t>
      </w:r>
      <w:r>
        <w:t>о</w:t>
      </w:r>
      <w:r>
        <w:t xml:space="preserve">жениями.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182.</w:t>
      </w:r>
      <w:r>
        <w:tab/>
        <w:t>Мужчины и женщины имеют право на выполнение работы в течение н</w:t>
      </w:r>
      <w:r>
        <w:t>е</w:t>
      </w:r>
      <w:r>
        <w:t>полного рабочего дня, если характер работы дает такую возможность, и, как правило, мужчины и женщины пользуются этой возможностью. Такие возмо</w:t>
      </w:r>
      <w:r>
        <w:t>ж</w:t>
      </w:r>
      <w:r>
        <w:t xml:space="preserve">ности затрагивают размер заработной платы и другие права в области труда, поэтому на практике используются редко.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Закон о труде не регламентирует и не предусматривает возможность раб</w:t>
      </w:r>
      <w:r>
        <w:t>о</w:t>
      </w:r>
      <w:r>
        <w:t>ты "на дому". Этот вопрос регламентируется новым генеральным коллекти</w:t>
      </w:r>
      <w:r>
        <w:t>в</w:t>
      </w:r>
      <w:r>
        <w:t>ным трудовым договором, который обсуждается партнерами социальных ди</w:t>
      </w:r>
      <w:r>
        <w:t>а</w:t>
      </w:r>
      <w:r>
        <w:t>логов и принятие которого ожидается в ближайшее время.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183.</w:t>
      </w:r>
      <w:r>
        <w:tab/>
        <w:t>Что касается других прав, то семейное положение не влияет на гарантии в области занятости, однако законодательство предусматривает особые меры, направленные на защиту интересов женщин. В отношении женщин предусмо</w:t>
      </w:r>
      <w:r>
        <w:t>т</w:t>
      </w:r>
      <w:r>
        <w:t>рена особая защита в период беременности, и выполнение ими всех работ, у</w:t>
      </w:r>
      <w:r>
        <w:t>г</w:t>
      </w:r>
      <w:r>
        <w:t>рожающих их здоровью и беременности, запрещено. Согласно соответству</w:t>
      </w:r>
      <w:r>
        <w:t>ю</w:t>
      </w:r>
      <w:r>
        <w:t>щим законодательным нормам, работодатель устанавливает с помощью вну</w:t>
      </w:r>
      <w:r>
        <w:t>т</w:t>
      </w:r>
      <w:r>
        <w:t>ренних правил, какие виды работ представляют особую угрозу для здоровья. Согласно положениям Закона о труде, женщина, которая приступает к работе до окончания своего отпуска по беременности и родам, помимо ежедневного перерыва в работе, имеет также право на дополнительный перерыв продолж</w:t>
      </w:r>
      <w:r>
        <w:t>и</w:t>
      </w:r>
      <w:r>
        <w:t>тельностью 60 минут для кормления грудью своего ребенка. В</w:t>
      </w:r>
      <w:r>
        <w:rPr>
          <w:lang w:val="en-US"/>
        </w:rPr>
        <w:t> </w:t>
      </w:r>
      <w:r>
        <w:t>период бер</w:t>
      </w:r>
      <w:r>
        <w:t>е</w:t>
      </w:r>
      <w:r>
        <w:t>менности или в период кормления грудью женщине может быть предложена другая работа, если это необходимо в связи с ее состоянием здоровья, которое определяется имеющим лицензию врачом. Если работодатель не может обе</w:t>
      </w:r>
      <w:r>
        <w:t>с</w:t>
      </w:r>
      <w:r>
        <w:t>печить перевод на другую работу, женщина имеет право отсутствовать на р</w:t>
      </w:r>
      <w:r>
        <w:t>а</w:t>
      </w:r>
      <w:r>
        <w:t>бочем месте с сохранением денежного содержания в соответствии с колле</w:t>
      </w:r>
      <w:r>
        <w:t>к</w:t>
      </w:r>
      <w:r>
        <w:t>тивным трудовым соглашением и трудовыми правилами и нормами по месту работы. В этой связи временный перевод на другую работу не должен прив</w:t>
      </w:r>
      <w:r>
        <w:t>о</w:t>
      </w:r>
      <w:r>
        <w:t>дить к уменьшению размера заработной платы женщины. Работодатель может пер</w:t>
      </w:r>
      <w:r>
        <w:t>е</w:t>
      </w:r>
      <w:r>
        <w:t>вести женщину на другую работу только с ее письменного согласия.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184.</w:t>
      </w:r>
      <w:r>
        <w:tab/>
        <w:t>Известно, что по сравнению с мужчинами женщина получает меньшее денежное вознаграждение за труд равной ценности. Согласно статье 68 Закона о труде, размер заработной платы трудящихся определяется условиями колле</w:t>
      </w:r>
      <w:r>
        <w:t>к</w:t>
      </w:r>
      <w:r>
        <w:t>тивного трудового договора, нормами и правилами по месту работы, а также трудовым контрактам. Устанавливаемый в таком порядке размер заработной платы гарантируется всем трудящимся по их месту работы, независимо от т</w:t>
      </w:r>
      <w:r>
        <w:t>о</w:t>
      </w:r>
      <w:r>
        <w:t>го, является ли трудящийся мужчиной или женщиной. В настоящее время на практике не было зафиксировано ни одного случая жалоб со стороны раб</w:t>
      </w:r>
      <w:r>
        <w:t>о</w:t>
      </w:r>
      <w:r>
        <w:t>тающих женщин по поводу меньшего по сравнению с мужчинами размера з</w:t>
      </w:r>
      <w:r>
        <w:t>а</w:t>
      </w:r>
      <w:r>
        <w:t>работной платы за труд равной ценности. Однако женщины не имеют доступа к более высокооплачиваемой работе на тех же условиях, что и мужчины.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185.</w:t>
      </w:r>
      <w:r>
        <w:tab/>
        <w:t>Работодатели не имеют права не принимать на работу беременных же</w:t>
      </w:r>
      <w:r>
        <w:t>н</w:t>
      </w:r>
      <w:r>
        <w:t>щин или прекращать их трудовые контракты по причине беременности, или переводить их на другую работу, за исключением тех случаев, когда такой п</w:t>
      </w:r>
      <w:r>
        <w:t>е</w:t>
      </w:r>
      <w:r>
        <w:t>ревод отвечает их интересам. Нарушение этого законоположения работодат</w:t>
      </w:r>
      <w:r>
        <w:t>е</w:t>
      </w:r>
      <w:r>
        <w:t>лями влечет наложение денежного штрафа.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186.</w:t>
      </w:r>
      <w:r>
        <w:tab/>
        <w:t>Закон о труде не предусматривает, какие виды работ женщины могут в</w:t>
      </w:r>
      <w:r>
        <w:t>ы</w:t>
      </w:r>
      <w:r>
        <w:t>полнять на дому, однако этот Закон не исключает такой возможности, и поэт</w:t>
      </w:r>
      <w:r>
        <w:t>о</w:t>
      </w:r>
      <w:r>
        <w:t>му работодатели могут давать согласие на выполнение некоторых видов работ на дому: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a</w:t>
      </w:r>
      <w:r>
        <w:t>)</w:t>
      </w:r>
      <w:r>
        <w:tab/>
        <w:t>если выполнение таких работ оформляется официальным трудовым соглашением, то трудящиеся будут пользоваться всеми предусмотренными в этом соглашении правами, включая право на отпуск по болезни и право на ежегодный отпуск;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размер заработной платы за выполнение такой работы будет зависеть от размера заработной платы, который предусматривается нормами и правил</w:t>
      </w:r>
      <w:r>
        <w:t>а</w:t>
      </w:r>
      <w:r>
        <w:t>ми по месту работы применительно к такому виду работ.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Безработица и выбор рода занятий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187.</w:t>
      </w:r>
      <w:r>
        <w:tab/>
        <w:t>Согласно действующему законодательству, не существует каких-либо о</w:t>
      </w:r>
      <w:r>
        <w:t>г</w:t>
      </w:r>
      <w:r>
        <w:t>раничений в отношении реализации прав на занятость и выбора рода занятий женщинами. В переходный период, в котором находится Босния и Герцеговина, работодатели зачастую принимают на работу мужчин, в первую очередь увол</w:t>
      </w:r>
      <w:r>
        <w:t>ь</w:t>
      </w:r>
      <w:r>
        <w:t>няют женщин, а также принимают на работу лиц на "черном рынке" рабочей силы. Согласно последним имеющимся данным, суммарный показатель безр</w:t>
      </w:r>
      <w:r>
        <w:t>а</w:t>
      </w:r>
      <w:r>
        <w:t>ботицы в Боснии и Герцеговине по-прежнему чрезвычайно высок, причем этот показатель практически одинаков как для мужчин, так и для женщин. Такое положение дел объясняется общим состоянием экономики. Секторы эконом</w:t>
      </w:r>
      <w:r>
        <w:t>и</w:t>
      </w:r>
      <w:r>
        <w:t>ки, на которые опирается экономика страны в целом, находятся в состоянии упадка или подвергаются полной перестройке.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188.</w:t>
      </w:r>
      <w:r>
        <w:tab/>
        <w:t>В условиях общей перестройки трудно судить о сравнительном полож</w:t>
      </w:r>
      <w:r>
        <w:t>е</w:t>
      </w:r>
      <w:r>
        <w:t>нии мужчин и женщин, в котором они находились при прежней системе. В условиях общего экономического кризиса и получения значительного объема иностранной помощи трудно определить какие-либо конкретные показатели, которые свидетельствовали бы о различиях в положении мужчин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pPr>
      <w:r>
        <w:br w:type="page"/>
        <w:t>189.</w:t>
      </w:r>
      <w:r>
        <w:tab/>
        <w:t>Следует отметить, что между социальным положением женщины, ее о</w:t>
      </w:r>
      <w:r>
        <w:t>б</w:t>
      </w:r>
      <w:r>
        <w:t>разованием, профессией и положением на рынке рабочей силы существует тесная связь. Данные научных исследований показывают, что в Боснии и Ге</w:t>
      </w:r>
      <w:r>
        <w:t>р</w:t>
      </w:r>
      <w:r>
        <w:t>цеговине существуют сугубо женские и сугубо мужские профессии. По-прежнему имеют место стереотипы, связанные с родом занятий, а также пр</w:t>
      </w:r>
      <w:r>
        <w:t>о</w:t>
      </w:r>
      <w:r>
        <w:t>фессиями, которые традиционно принадлежат женщинам или мужчинам, и все это имеет глубокие корни.</w:t>
      </w:r>
    </w:p>
    <w:p w:rsidR="00000000" w:rsidRDefault="00000000">
      <w:pPr>
        <w:pStyle w:val="SingleTxt"/>
        <w:spacing w:after="0" w:line="240" w:lineRule="auto"/>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Рейтинг некоторых родов занятий </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32"/>
        <w:gridCol w:w="1152"/>
        <w:gridCol w:w="1152"/>
        <w:gridCol w:w="1152"/>
        <w:gridCol w:w="1152"/>
        <w:gridCol w:w="1152"/>
      </w:tblGrid>
      <w:tr w:rsidR="00000000">
        <w:tblPrEx>
          <w:tblCellMar>
            <w:top w:w="0" w:type="dxa"/>
            <w:left w:w="0" w:type="dxa"/>
            <w:bottom w:w="0" w:type="dxa"/>
            <w:right w:w="0" w:type="dxa"/>
          </w:tblCellMar>
        </w:tblPrEx>
        <w:trPr>
          <w:tblHeader/>
        </w:trPr>
        <w:tc>
          <w:tcPr>
            <w:tcW w:w="1332"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4"/>
              </w:rPr>
            </w:pPr>
            <w:r>
              <w:rPr>
                <w:i/>
                <w:sz w:val="14"/>
              </w:rPr>
              <w:t>Род занятий</w:t>
            </w:r>
          </w:p>
        </w:tc>
        <w:tc>
          <w:tcPr>
            <w:tcW w:w="1152"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Очень низкий</w:t>
            </w:r>
          </w:p>
        </w:tc>
        <w:tc>
          <w:tcPr>
            <w:tcW w:w="1152"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Низкий</w:t>
            </w:r>
          </w:p>
        </w:tc>
        <w:tc>
          <w:tcPr>
            <w:tcW w:w="1152" w:type="dxa"/>
            <w:tcBorders>
              <w:left w:val="nil"/>
              <w:bottom w:val="single" w:sz="12" w:space="0" w:color="auto"/>
              <w:right w:val="nil"/>
            </w:tcBorders>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Средний</w:t>
            </w:r>
          </w:p>
        </w:tc>
        <w:tc>
          <w:tcPr>
            <w:tcW w:w="1152" w:type="dxa"/>
            <w:tcBorders>
              <w:left w:val="nil"/>
              <w:bottom w:val="single" w:sz="12" w:space="0" w:color="auto"/>
              <w:right w:val="nil"/>
            </w:tcBorders>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Высокий</w:t>
            </w:r>
          </w:p>
        </w:tc>
        <w:tc>
          <w:tcPr>
            <w:tcW w:w="1152"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Очень выс</w:t>
            </w:r>
            <w:r>
              <w:rPr>
                <w:i/>
                <w:sz w:val="14"/>
              </w:rPr>
              <w:t>о</w:t>
            </w:r>
            <w:r>
              <w:rPr>
                <w:i/>
                <w:sz w:val="14"/>
              </w:rPr>
              <w:t>кий</w:t>
            </w:r>
          </w:p>
        </w:tc>
      </w:tr>
      <w:tr w:rsidR="00000000">
        <w:tblPrEx>
          <w:tblCellMar>
            <w:top w:w="0" w:type="dxa"/>
            <w:left w:w="0" w:type="dxa"/>
            <w:bottom w:w="0" w:type="dxa"/>
            <w:right w:w="0" w:type="dxa"/>
          </w:tblCellMar>
        </w:tblPrEx>
        <w:trPr>
          <w:trHeight w:hRule="exact" w:val="115"/>
          <w:tblHeader/>
        </w:trPr>
        <w:tc>
          <w:tcPr>
            <w:tcW w:w="133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15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15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152"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152"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15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32" w:type="dxa"/>
            <w:tcBorders>
              <w:top w:val="nil"/>
              <w:left w:val="nil"/>
              <w:bottom w:val="nil"/>
              <w:right w:val="nil"/>
            </w:tcBorders>
            <w:vAlign w:val="bottom"/>
          </w:tcPr>
          <w:p w:rsidR="00000000" w:rsidRDefault="00000000">
            <w:pPr>
              <w:keepNext/>
              <w:spacing w:before="40" w:after="40" w:line="210" w:lineRule="exact"/>
              <w:rPr>
                <w:sz w:val="17"/>
              </w:rPr>
            </w:pPr>
            <w:r>
              <w:rPr>
                <w:sz w:val="17"/>
              </w:rPr>
              <w:t>Уборщики</w:t>
            </w:r>
          </w:p>
        </w:tc>
        <w:tc>
          <w:tcPr>
            <w:tcW w:w="1152"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51,0</w:t>
            </w:r>
          </w:p>
        </w:tc>
        <w:tc>
          <w:tcPr>
            <w:tcW w:w="1152"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29,9</w:t>
            </w:r>
          </w:p>
        </w:tc>
        <w:tc>
          <w:tcPr>
            <w:tcW w:w="1152" w:type="dxa"/>
            <w:tcBorders>
              <w:top w:val="nil"/>
              <w:left w:val="nil"/>
              <w:bottom w:val="nil"/>
              <w:right w:val="nil"/>
            </w:tcBorders>
          </w:tcPr>
          <w:p w:rsidR="00000000" w:rsidRDefault="00000000">
            <w:pPr>
              <w:keepNext/>
              <w:spacing w:before="40" w:after="40" w:line="210" w:lineRule="exact"/>
              <w:jc w:val="right"/>
              <w:rPr>
                <w:sz w:val="17"/>
              </w:rPr>
            </w:pPr>
            <w:r>
              <w:rPr>
                <w:sz w:val="17"/>
              </w:rPr>
              <w:t>13,8</w:t>
            </w:r>
          </w:p>
        </w:tc>
        <w:tc>
          <w:tcPr>
            <w:tcW w:w="1152" w:type="dxa"/>
            <w:tcBorders>
              <w:top w:val="nil"/>
              <w:left w:val="nil"/>
              <w:bottom w:val="nil"/>
              <w:right w:val="nil"/>
            </w:tcBorders>
          </w:tcPr>
          <w:p w:rsidR="00000000" w:rsidRDefault="00000000">
            <w:pPr>
              <w:keepNext/>
              <w:spacing w:before="40" w:after="40" w:line="210" w:lineRule="exact"/>
              <w:jc w:val="right"/>
              <w:rPr>
                <w:sz w:val="17"/>
              </w:rPr>
            </w:pPr>
            <w:r>
              <w:rPr>
                <w:sz w:val="17"/>
              </w:rPr>
              <w:t>3,1</w:t>
            </w:r>
          </w:p>
        </w:tc>
        <w:tc>
          <w:tcPr>
            <w:tcW w:w="1152"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2,2</w:t>
            </w:r>
          </w:p>
        </w:tc>
      </w:tr>
      <w:tr w:rsidR="00000000">
        <w:tblPrEx>
          <w:tblCellMar>
            <w:top w:w="0" w:type="dxa"/>
            <w:left w:w="0" w:type="dxa"/>
            <w:bottom w:w="0" w:type="dxa"/>
            <w:right w:w="0" w:type="dxa"/>
          </w:tblCellMar>
        </w:tblPrEx>
        <w:tc>
          <w:tcPr>
            <w:tcW w:w="1332" w:type="dxa"/>
            <w:tcBorders>
              <w:top w:val="nil"/>
              <w:left w:val="nil"/>
              <w:bottom w:val="nil"/>
              <w:right w:val="nil"/>
            </w:tcBorders>
            <w:vAlign w:val="bottom"/>
          </w:tcPr>
          <w:p w:rsidR="00000000" w:rsidRDefault="00000000">
            <w:pPr>
              <w:spacing w:before="40" w:after="40" w:line="210" w:lineRule="exact"/>
              <w:rPr>
                <w:sz w:val="17"/>
              </w:rPr>
            </w:pPr>
            <w:r>
              <w:rPr>
                <w:sz w:val="17"/>
              </w:rPr>
              <w:t>Каменщики</w:t>
            </w:r>
          </w:p>
        </w:tc>
        <w:tc>
          <w:tcPr>
            <w:tcW w:w="1152" w:type="dxa"/>
            <w:tcBorders>
              <w:top w:val="nil"/>
              <w:left w:val="nil"/>
              <w:bottom w:val="nil"/>
              <w:right w:val="nil"/>
            </w:tcBorders>
            <w:vAlign w:val="bottom"/>
          </w:tcPr>
          <w:p w:rsidR="00000000" w:rsidRDefault="00000000">
            <w:pPr>
              <w:spacing w:before="40" w:after="40" w:line="210" w:lineRule="exact"/>
              <w:jc w:val="right"/>
              <w:rPr>
                <w:sz w:val="17"/>
              </w:rPr>
            </w:pPr>
            <w:r>
              <w:rPr>
                <w:sz w:val="17"/>
              </w:rPr>
              <w:t>17,4</w:t>
            </w:r>
          </w:p>
        </w:tc>
        <w:tc>
          <w:tcPr>
            <w:tcW w:w="1152" w:type="dxa"/>
            <w:tcBorders>
              <w:top w:val="nil"/>
              <w:left w:val="nil"/>
              <w:bottom w:val="nil"/>
              <w:right w:val="nil"/>
            </w:tcBorders>
            <w:vAlign w:val="bottom"/>
          </w:tcPr>
          <w:p w:rsidR="00000000" w:rsidRDefault="00000000">
            <w:pPr>
              <w:spacing w:before="40" w:after="40" w:line="210" w:lineRule="exact"/>
              <w:jc w:val="right"/>
              <w:rPr>
                <w:sz w:val="17"/>
              </w:rPr>
            </w:pPr>
            <w:r>
              <w:rPr>
                <w:sz w:val="17"/>
              </w:rPr>
              <w:t>38,1</w:t>
            </w:r>
          </w:p>
        </w:tc>
        <w:tc>
          <w:tcPr>
            <w:tcW w:w="1152" w:type="dxa"/>
            <w:tcBorders>
              <w:top w:val="nil"/>
              <w:left w:val="nil"/>
              <w:bottom w:val="nil"/>
              <w:right w:val="nil"/>
            </w:tcBorders>
          </w:tcPr>
          <w:p w:rsidR="00000000" w:rsidRDefault="00000000">
            <w:pPr>
              <w:spacing w:before="40" w:after="40" w:line="210" w:lineRule="exact"/>
              <w:jc w:val="right"/>
              <w:rPr>
                <w:sz w:val="17"/>
              </w:rPr>
            </w:pPr>
            <w:r>
              <w:rPr>
                <w:sz w:val="17"/>
              </w:rPr>
              <w:t>30,4</w:t>
            </w:r>
          </w:p>
        </w:tc>
        <w:tc>
          <w:tcPr>
            <w:tcW w:w="1152" w:type="dxa"/>
            <w:tcBorders>
              <w:top w:val="nil"/>
              <w:left w:val="nil"/>
              <w:bottom w:val="nil"/>
              <w:right w:val="nil"/>
            </w:tcBorders>
          </w:tcPr>
          <w:p w:rsidR="00000000" w:rsidRDefault="00000000">
            <w:pPr>
              <w:spacing w:before="40" w:after="40" w:line="210" w:lineRule="exact"/>
              <w:jc w:val="right"/>
              <w:rPr>
                <w:sz w:val="17"/>
              </w:rPr>
            </w:pPr>
            <w:r>
              <w:rPr>
                <w:sz w:val="17"/>
              </w:rPr>
              <w:t>9,7</w:t>
            </w:r>
          </w:p>
        </w:tc>
        <w:tc>
          <w:tcPr>
            <w:tcW w:w="1152" w:type="dxa"/>
            <w:tcBorders>
              <w:top w:val="nil"/>
              <w:left w:val="nil"/>
              <w:bottom w:val="nil"/>
              <w:right w:val="nil"/>
            </w:tcBorders>
            <w:vAlign w:val="bottom"/>
          </w:tcPr>
          <w:p w:rsidR="00000000" w:rsidRDefault="00000000">
            <w:pPr>
              <w:spacing w:before="40" w:after="40" w:line="210" w:lineRule="exact"/>
              <w:jc w:val="right"/>
              <w:rPr>
                <w:sz w:val="17"/>
              </w:rPr>
            </w:pPr>
            <w:r>
              <w:rPr>
                <w:sz w:val="17"/>
              </w:rPr>
              <w:t>4,7</w:t>
            </w:r>
          </w:p>
        </w:tc>
      </w:tr>
      <w:tr w:rsidR="00000000">
        <w:tblPrEx>
          <w:tblCellMar>
            <w:top w:w="0" w:type="dxa"/>
            <w:left w:w="0" w:type="dxa"/>
            <w:bottom w:w="0" w:type="dxa"/>
            <w:right w:w="0" w:type="dxa"/>
          </w:tblCellMar>
        </w:tblPrEx>
        <w:tc>
          <w:tcPr>
            <w:tcW w:w="1332" w:type="dxa"/>
            <w:tcBorders>
              <w:top w:val="nil"/>
              <w:left w:val="nil"/>
              <w:bottom w:val="nil"/>
              <w:right w:val="nil"/>
            </w:tcBorders>
            <w:vAlign w:val="bottom"/>
          </w:tcPr>
          <w:p w:rsidR="00000000" w:rsidRDefault="00000000">
            <w:pPr>
              <w:spacing w:before="40" w:after="40" w:line="210" w:lineRule="exact"/>
              <w:rPr>
                <w:sz w:val="17"/>
              </w:rPr>
            </w:pPr>
            <w:r>
              <w:rPr>
                <w:sz w:val="17"/>
              </w:rPr>
              <w:t>Полицейские</w:t>
            </w:r>
          </w:p>
        </w:tc>
        <w:tc>
          <w:tcPr>
            <w:tcW w:w="1152" w:type="dxa"/>
            <w:tcBorders>
              <w:top w:val="nil"/>
              <w:left w:val="nil"/>
              <w:bottom w:val="nil"/>
              <w:right w:val="nil"/>
            </w:tcBorders>
            <w:vAlign w:val="bottom"/>
          </w:tcPr>
          <w:p w:rsidR="00000000" w:rsidRDefault="00000000">
            <w:pPr>
              <w:spacing w:before="40" w:after="40" w:line="210" w:lineRule="exact"/>
              <w:jc w:val="right"/>
              <w:rPr>
                <w:sz w:val="17"/>
              </w:rPr>
            </w:pPr>
            <w:r>
              <w:rPr>
                <w:sz w:val="17"/>
              </w:rPr>
              <w:t>13,3</w:t>
            </w:r>
          </w:p>
        </w:tc>
        <w:tc>
          <w:tcPr>
            <w:tcW w:w="1152" w:type="dxa"/>
            <w:tcBorders>
              <w:top w:val="nil"/>
              <w:left w:val="nil"/>
              <w:bottom w:val="nil"/>
              <w:right w:val="nil"/>
            </w:tcBorders>
            <w:vAlign w:val="bottom"/>
          </w:tcPr>
          <w:p w:rsidR="00000000" w:rsidRDefault="00000000">
            <w:pPr>
              <w:spacing w:before="40" w:after="40" w:line="210" w:lineRule="exact"/>
              <w:jc w:val="right"/>
              <w:rPr>
                <w:sz w:val="17"/>
              </w:rPr>
            </w:pPr>
            <w:r>
              <w:rPr>
                <w:sz w:val="17"/>
              </w:rPr>
              <w:t>24,3</w:t>
            </w:r>
          </w:p>
        </w:tc>
        <w:tc>
          <w:tcPr>
            <w:tcW w:w="1152" w:type="dxa"/>
            <w:tcBorders>
              <w:top w:val="nil"/>
              <w:left w:val="nil"/>
              <w:bottom w:val="nil"/>
              <w:right w:val="nil"/>
            </w:tcBorders>
          </w:tcPr>
          <w:p w:rsidR="00000000" w:rsidRDefault="00000000">
            <w:pPr>
              <w:spacing w:before="40" w:after="40" w:line="210" w:lineRule="exact"/>
              <w:jc w:val="right"/>
              <w:rPr>
                <w:sz w:val="17"/>
              </w:rPr>
            </w:pPr>
            <w:r>
              <w:rPr>
                <w:sz w:val="17"/>
              </w:rPr>
              <w:t>43,7</w:t>
            </w:r>
          </w:p>
        </w:tc>
        <w:tc>
          <w:tcPr>
            <w:tcW w:w="1152" w:type="dxa"/>
            <w:tcBorders>
              <w:top w:val="nil"/>
              <w:left w:val="nil"/>
              <w:bottom w:val="nil"/>
              <w:right w:val="nil"/>
            </w:tcBorders>
          </w:tcPr>
          <w:p w:rsidR="00000000" w:rsidRDefault="00000000">
            <w:pPr>
              <w:spacing w:before="40" w:after="40" w:line="210" w:lineRule="exact"/>
              <w:jc w:val="right"/>
              <w:rPr>
                <w:sz w:val="17"/>
              </w:rPr>
            </w:pPr>
            <w:r>
              <w:rPr>
                <w:sz w:val="17"/>
              </w:rPr>
              <w:t>14,1</w:t>
            </w:r>
          </w:p>
        </w:tc>
        <w:tc>
          <w:tcPr>
            <w:tcW w:w="1152" w:type="dxa"/>
            <w:tcBorders>
              <w:top w:val="nil"/>
              <w:left w:val="nil"/>
              <w:bottom w:val="nil"/>
              <w:right w:val="nil"/>
            </w:tcBorders>
            <w:vAlign w:val="bottom"/>
          </w:tcPr>
          <w:p w:rsidR="00000000" w:rsidRDefault="00000000">
            <w:pPr>
              <w:spacing w:before="40" w:after="40" w:line="210" w:lineRule="exact"/>
              <w:jc w:val="right"/>
              <w:rPr>
                <w:sz w:val="17"/>
              </w:rPr>
            </w:pPr>
            <w:r>
              <w:rPr>
                <w:sz w:val="17"/>
              </w:rPr>
              <w:t>4,6</w:t>
            </w:r>
          </w:p>
        </w:tc>
      </w:tr>
      <w:tr w:rsidR="00000000">
        <w:tblPrEx>
          <w:tblCellMar>
            <w:top w:w="0" w:type="dxa"/>
            <w:left w:w="0" w:type="dxa"/>
            <w:bottom w:w="0" w:type="dxa"/>
            <w:right w:w="0" w:type="dxa"/>
          </w:tblCellMar>
        </w:tblPrEx>
        <w:tc>
          <w:tcPr>
            <w:tcW w:w="1332" w:type="dxa"/>
            <w:tcBorders>
              <w:top w:val="nil"/>
              <w:left w:val="nil"/>
              <w:bottom w:val="nil"/>
              <w:right w:val="nil"/>
            </w:tcBorders>
            <w:vAlign w:val="bottom"/>
          </w:tcPr>
          <w:p w:rsidR="00000000" w:rsidRDefault="00000000">
            <w:pPr>
              <w:spacing w:before="40" w:after="40" w:line="210" w:lineRule="exact"/>
              <w:rPr>
                <w:sz w:val="17"/>
              </w:rPr>
            </w:pPr>
            <w:r>
              <w:rPr>
                <w:sz w:val="17"/>
              </w:rPr>
              <w:t>Инженеры</w:t>
            </w:r>
          </w:p>
        </w:tc>
        <w:tc>
          <w:tcPr>
            <w:tcW w:w="1152" w:type="dxa"/>
            <w:tcBorders>
              <w:top w:val="nil"/>
              <w:left w:val="nil"/>
              <w:bottom w:val="nil"/>
              <w:right w:val="nil"/>
            </w:tcBorders>
            <w:vAlign w:val="bottom"/>
          </w:tcPr>
          <w:p w:rsidR="00000000" w:rsidRDefault="00000000">
            <w:pPr>
              <w:spacing w:before="40" w:after="40" w:line="210" w:lineRule="exact"/>
              <w:jc w:val="right"/>
              <w:rPr>
                <w:sz w:val="17"/>
              </w:rPr>
            </w:pPr>
            <w:r>
              <w:rPr>
                <w:sz w:val="17"/>
              </w:rPr>
              <w:t>3,5</w:t>
            </w:r>
          </w:p>
        </w:tc>
        <w:tc>
          <w:tcPr>
            <w:tcW w:w="1152" w:type="dxa"/>
            <w:tcBorders>
              <w:top w:val="nil"/>
              <w:left w:val="nil"/>
              <w:bottom w:val="nil"/>
              <w:right w:val="nil"/>
            </w:tcBorders>
            <w:vAlign w:val="bottom"/>
          </w:tcPr>
          <w:p w:rsidR="00000000" w:rsidRDefault="00000000">
            <w:pPr>
              <w:spacing w:before="40" w:after="40" w:line="210" w:lineRule="exact"/>
              <w:jc w:val="right"/>
              <w:rPr>
                <w:sz w:val="17"/>
              </w:rPr>
            </w:pPr>
            <w:r>
              <w:rPr>
                <w:sz w:val="17"/>
              </w:rPr>
              <w:t>9,2</w:t>
            </w:r>
          </w:p>
        </w:tc>
        <w:tc>
          <w:tcPr>
            <w:tcW w:w="1152" w:type="dxa"/>
            <w:tcBorders>
              <w:top w:val="nil"/>
              <w:left w:val="nil"/>
              <w:bottom w:val="nil"/>
              <w:right w:val="nil"/>
            </w:tcBorders>
          </w:tcPr>
          <w:p w:rsidR="00000000" w:rsidRDefault="00000000">
            <w:pPr>
              <w:spacing w:before="40" w:after="40" w:line="210" w:lineRule="exact"/>
              <w:jc w:val="right"/>
              <w:rPr>
                <w:sz w:val="17"/>
              </w:rPr>
            </w:pPr>
            <w:r>
              <w:rPr>
                <w:sz w:val="17"/>
              </w:rPr>
              <w:t>33,9</w:t>
            </w:r>
          </w:p>
        </w:tc>
        <w:tc>
          <w:tcPr>
            <w:tcW w:w="1152" w:type="dxa"/>
            <w:tcBorders>
              <w:top w:val="nil"/>
              <w:left w:val="nil"/>
              <w:bottom w:val="nil"/>
              <w:right w:val="nil"/>
            </w:tcBorders>
          </w:tcPr>
          <w:p w:rsidR="00000000" w:rsidRDefault="00000000">
            <w:pPr>
              <w:spacing w:before="40" w:after="40" w:line="210" w:lineRule="exact"/>
              <w:jc w:val="right"/>
              <w:rPr>
                <w:sz w:val="17"/>
              </w:rPr>
            </w:pPr>
            <w:r>
              <w:rPr>
                <w:sz w:val="17"/>
              </w:rPr>
              <w:t>38,5</w:t>
            </w:r>
          </w:p>
        </w:tc>
        <w:tc>
          <w:tcPr>
            <w:tcW w:w="1152" w:type="dxa"/>
            <w:tcBorders>
              <w:top w:val="nil"/>
              <w:left w:val="nil"/>
              <w:bottom w:val="nil"/>
              <w:right w:val="nil"/>
            </w:tcBorders>
            <w:vAlign w:val="bottom"/>
          </w:tcPr>
          <w:p w:rsidR="00000000" w:rsidRDefault="00000000">
            <w:pPr>
              <w:spacing w:before="40" w:after="40" w:line="210" w:lineRule="exact"/>
              <w:jc w:val="right"/>
              <w:rPr>
                <w:sz w:val="17"/>
              </w:rPr>
            </w:pPr>
            <w:r>
              <w:rPr>
                <w:sz w:val="17"/>
              </w:rPr>
              <w:t>14,8</w:t>
            </w:r>
          </w:p>
        </w:tc>
      </w:tr>
      <w:tr w:rsidR="00000000">
        <w:tblPrEx>
          <w:tblCellMar>
            <w:top w:w="0" w:type="dxa"/>
            <w:left w:w="0" w:type="dxa"/>
            <w:bottom w:w="0" w:type="dxa"/>
            <w:right w:w="0" w:type="dxa"/>
          </w:tblCellMar>
        </w:tblPrEx>
        <w:tc>
          <w:tcPr>
            <w:tcW w:w="1332" w:type="dxa"/>
            <w:tcBorders>
              <w:top w:val="nil"/>
              <w:left w:val="nil"/>
              <w:bottom w:val="nil"/>
              <w:right w:val="nil"/>
            </w:tcBorders>
            <w:vAlign w:val="bottom"/>
          </w:tcPr>
          <w:p w:rsidR="00000000" w:rsidRDefault="00000000">
            <w:pPr>
              <w:spacing w:before="40" w:after="40" w:line="210" w:lineRule="exact"/>
              <w:rPr>
                <w:sz w:val="17"/>
              </w:rPr>
            </w:pPr>
            <w:r>
              <w:rPr>
                <w:sz w:val="17"/>
              </w:rPr>
              <w:t>Преподават</w:t>
            </w:r>
            <w:r>
              <w:rPr>
                <w:sz w:val="17"/>
              </w:rPr>
              <w:t>е</w:t>
            </w:r>
            <w:r>
              <w:rPr>
                <w:sz w:val="17"/>
              </w:rPr>
              <w:t>ли</w:t>
            </w:r>
          </w:p>
        </w:tc>
        <w:tc>
          <w:tcPr>
            <w:tcW w:w="1152" w:type="dxa"/>
            <w:tcBorders>
              <w:top w:val="nil"/>
              <w:left w:val="nil"/>
              <w:bottom w:val="nil"/>
              <w:right w:val="nil"/>
            </w:tcBorders>
            <w:vAlign w:val="bottom"/>
          </w:tcPr>
          <w:p w:rsidR="00000000" w:rsidRDefault="00000000">
            <w:pPr>
              <w:spacing w:before="40" w:after="40" w:line="210" w:lineRule="exact"/>
              <w:jc w:val="right"/>
              <w:rPr>
                <w:sz w:val="17"/>
              </w:rPr>
            </w:pPr>
            <w:r>
              <w:rPr>
                <w:sz w:val="17"/>
              </w:rPr>
              <w:t>6,6</w:t>
            </w:r>
          </w:p>
        </w:tc>
        <w:tc>
          <w:tcPr>
            <w:tcW w:w="1152" w:type="dxa"/>
            <w:tcBorders>
              <w:top w:val="nil"/>
              <w:left w:val="nil"/>
              <w:bottom w:val="nil"/>
              <w:right w:val="nil"/>
            </w:tcBorders>
            <w:vAlign w:val="bottom"/>
          </w:tcPr>
          <w:p w:rsidR="00000000" w:rsidRDefault="00000000">
            <w:pPr>
              <w:spacing w:before="40" w:after="40" w:line="210" w:lineRule="exact"/>
              <w:jc w:val="right"/>
              <w:rPr>
                <w:sz w:val="17"/>
              </w:rPr>
            </w:pPr>
            <w:r>
              <w:rPr>
                <w:sz w:val="17"/>
              </w:rPr>
              <w:t>20,0</w:t>
            </w:r>
          </w:p>
        </w:tc>
        <w:tc>
          <w:tcPr>
            <w:tcW w:w="1152" w:type="dxa"/>
            <w:tcBorders>
              <w:top w:val="nil"/>
              <w:left w:val="nil"/>
              <w:bottom w:val="nil"/>
              <w:right w:val="nil"/>
            </w:tcBorders>
          </w:tcPr>
          <w:p w:rsidR="00000000" w:rsidRDefault="00000000">
            <w:pPr>
              <w:spacing w:before="40" w:after="40" w:line="210" w:lineRule="exact"/>
              <w:jc w:val="right"/>
              <w:rPr>
                <w:sz w:val="17"/>
              </w:rPr>
            </w:pPr>
            <w:r>
              <w:rPr>
                <w:sz w:val="17"/>
              </w:rPr>
              <w:t>47,8</w:t>
            </w:r>
          </w:p>
        </w:tc>
        <w:tc>
          <w:tcPr>
            <w:tcW w:w="1152" w:type="dxa"/>
            <w:tcBorders>
              <w:top w:val="nil"/>
              <w:left w:val="nil"/>
              <w:bottom w:val="nil"/>
              <w:right w:val="nil"/>
            </w:tcBorders>
          </w:tcPr>
          <w:p w:rsidR="00000000" w:rsidRDefault="00000000">
            <w:pPr>
              <w:spacing w:before="40" w:after="40" w:line="210" w:lineRule="exact"/>
              <w:jc w:val="right"/>
              <w:rPr>
                <w:sz w:val="17"/>
              </w:rPr>
            </w:pPr>
            <w:r>
              <w:rPr>
                <w:sz w:val="17"/>
              </w:rPr>
              <w:t>18,9</w:t>
            </w:r>
          </w:p>
        </w:tc>
        <w:tc>
          <w:tcPr>
            <w:tcW w:w="1152" w:type="dxa"/>
            <w:tcBorders>
              <w:top w:val="nil"/>
              <w:left w:val="nil"/>
              <w:bottom w:val="nil"/>
              <w:right w:val="nil"/>
            </w:tcBorders>
            <w:vAlign w:val="bottom"/>
          </w:tcPr>
          <w:p w:rsidR="00000000" w:rsidRDefault="00000000">
            <w:pPr>
              <w:spacing w:before="40" w:after="40" w:line="210" w:lineRule="exact"/>
              <w:jc w:val="right"/>
              <w:rPr>
                <w:sz w:val="17"/>
              </w:rPr>
            </w:pPr>
            <w:r>
              <w:rPr>
                <w:sz w:val="17"/>
              </w:rPr>
              <w:t>6,6</w:t>
            </w:r>
          </w:p>
        </w:tc>
      </w:tr>
      <w:tr w:rsidR="00000000">
        <w:tblPrEx>
          <w:tblCellMar>
            <w:top w:w="0" w:type="dxa"/>
            <w:left w:w="0" w:type="dxa"/>
            <w:bottom w:w="0" w:type="dxa"/>
            <w:right w:w="0" w:type="dxa"/>
          </w:tblCellMar>
        </w:tblPrEx>
        <w:tc>
          <w:tcPr>
            <w:tcW w:w="1332" w:type="dxa"/>
            <w:tcBorders>
              <w:top w:val="nil"/>
              <w:left w:val="nil"/>
              <w:bottom w:val="nil"/>
              <w:right w:val="nil"/>
            </w:tcBorders>
            <w:vAlign w:val="bottom"/>
          </w:tcPr>
          <w:p w:rsidR="00000000" w:rsidRDefault="00000000">
            <w:pPr>
              <w:spacing w:before="40" w:after="40" w:line="210" w:lineRule="exact"/>
              <w:rPr>
                <w:sz w:val="17"/>
              </w:rPr>
            </w:pPr>
            <w:r>
              <w:rPr>
                <w:sz w:val="17"/>
              </w:rPr>
              <w:t>Судьи</w:t>
            </w:r>
          </w:p>
        </w:tc>
        <w:tc>
          <w:tcPr>
            <w:tcW w:w="1152" w:type="dxa"/>
            <w:tcBorders>
              <w:top w:val="nil"/>
              <w:left w:val="nil"/>
              <w:bottom w:val="nil"/>
              <w:right w:val="nil"/>
            </w:tcBorders>
            <w:vAlign w:val="bottom"/>
          </w:tcPr>
          <w:p w:rsidR="00000000" w:rsidRDefault="00000000">
            <w:pPr>
              <w:spacing w:before="40" w:after="40" w:line="210" w:lineRule="exact"/>
              <w:jc w:val="right"/>
              <w:rPr>
                <w:sz w:val="17"/>
              </w:rPr>
            </w:pPr>
            <w:r>
              <w:rPr>
                <w:sz w:val="17"/>
              </w:rPr>
              <w:t>2,4</w:t>
            </w:r>
          </w:p>
        </w:tc>
        <w:tc>
          <w:tcPr>
            <w:tcW w:w="1152" w:type="dxa"/>
            <w:tcBorders>
              <w:top w:val="nil"/>
              <w:left w:val="nil"/>
              <w:bottom w:val="nil"/>
              <w:right w:val="nil"/>
            </w:tcBorders>
            <w:vAlign w:val="bottom"/>
          </w:tcPr>
          <w:p w:rsidR="00000000" w:rsidRDefault="00000000">
            <w:pPr>
              <w:spacing w:before="40" w:after="40" w:line="210" w:lineRule="exact"/>
              <w:jc w:val="right"/>
              <w:rPr>
                <w:sz w:val="17"/>
              </w:rPr>
            </w:pPr>
            <w:r>
              <w:rPr>
                <w:sz w:val="17"/>
              </w:rPr>
              <w:t>4,1</w:t>
            </w:r>
          </w:p>
        </w:tc>
        <w:tc>
          <w:tcPr>
            <w:tcW w:w="1152" w:type="dxa"/>
            <w:tcBorders>
              <w:top w:val="nil"/>
              <w:left w:val="nil"/>
              <w:bottom w:val="nil"/>
              <w:right w:val="nil"/>
            </w:tcBorders>
          </w:tcPr>
          <w:p w:rsidR="00000000" w:rsidRDefault="00000000">
            <w:pPr>
              <w:spacing w:before="40" w:after="40" w:line="210" w:lineRule="exact"/>
              <w:jc w:val="right"/>
              <w:rPr>
                <w:sz w:val="17"/>
              </w:rPr>
            </w:pPr>
            <w:r>
              <w:rPr>
                <w:sz w:val="17"/>
              </w:rPr>
              <w:t>20,2</w:t>
            </w:r>
          </w:p>
        </w:tc>
        <w:tc>
          <w:tcPr>
            <w:tcW w:w="1152" w:type="dxa"/>
            <w:tcBorders>
              <w:top w:val="nil"/>
              <w:left w:val="nil"/>
              <w:bottom w:val="nil"/>
              <w:right w:val="nil"/>
            </w:tcBorders>
          </w:tcPr>
          <w:p w:rsidR="00000000" w:rsidRDefault="00000000">
            <w:pPr>
              <w:spacing w:before="40" w:after="40" w:line="210" w:lineRule="exact"/>
              <w:jc w:val="right"/>
              <w:rPr>
                <w:sz w:val="17"/>
              </w:rPr>
            </w:pPr>
            <w:r>
              <w:rPr>
                <w:sz w:val="17"/>
              </w:rPr>
              <w:t>46,1</w:t>
            </w:r>
          </w:p>
        </w:tc>
        <w:tc>
          <w:tcPr>
            <w:tcW w:w="1152" w:type="dxa"/>
            <w:tcBorders>
              <w:top w:val="nil"/>
              <w:left w:val="nil"/>
              <w:bottom w:val="nil"/>
              <w:right w:val="nil"/>
            </w:tcBorders>
            <w:vAlign w:val="bottom"/>
          </w:tcPr>
          <w:p w:rsidR="00000000" w:rsidRDefault="00000000">
            <w:pPr>
              <w:spacing w:before="40" w:after="40" w:line="210" w:lineRule="exact"/>
              <w:jc w:val="right"/>
              <w:rPr>
                <w:sz w:val="17"/>
              </w:rPr>
            </w:pPr>
            <w:r>
              <w:rPr>
                <w:sz w:val="17"/>
              </w:rPr>
              <w:t>27,1</w:t>
            </w:r>
          </w:p>
        </w:tc>
      </w:tr>
      <w:tr w:rsidR="00000000">
        <w:tblPrEx>
          <w:tblCellMar>
            <w:top w:w="0" w:type="dxa"/>
            <w:left w:w="0" w:type="dxa"/>
            <w:bottom w:w="0" w:type="dxa"/>
            <w:right w:w="0" w:type="dxa"/>
          </w:tblCellMar>
        </w:tblPrEx>
        <w:tc>
          <w:tcPr>
            <w:tcW w:w="1332" w:type="dxa"/>
            <w:tcBorders>
              <w:top w:val="nil"/>
              <w:left w:val="nil"/>
              <w:bottom w:val="single" w:sz="12" w:space="0" w:color="auto"/>
              <w:right w:val="nil"/>
            </w:tcBorders>
            <w:vAlign w:val="bottom"/>
          </w:tcPr>
          <w:p w:rsidR="00000000" w:rsidRDefault="00000000">
            <w:pPr>
              <w:spacing w:before="40" w:after="40" w:line="210" w:lineRule="exact"/>
              <w:rPr>
                <w:sz w:val="17"/>
              </w:rPr>
            </w:pPr>
            <w:r>
              <w:rPr>
                <w:sz w:val="17"/>
              </w:rPr>
              <w:t>Артисты</w:t>
            </w:r>
          </w:p>
        </w:tc>
        <w:tc>
          <w:tcPr>
            <w:tcW w:w="1152"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3,6</w:t>
            </w:r>
          </w:p>
        </w:tc>
        <w:tc>
          <w:tcPr>
            <w:tcW w:w="1152"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6,2</w:t>
            </w:r>
          </w:p>
        </w:tc>
        <w:tc>
          <w:tcPr>
            <w:tcW w:w="1152"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19,1</w:t>
            </w:r>
          </w:p>
        </w:tc>
        <w:tc>
          <w:tcPr>
            <w:tcW w:w="1152"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30,5</w:t>
            </w:r>
          </w:p>
        </w:tc>
        <w:tc>
          <w:tcPr>
            <w:tcW w:w="1152"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40,7</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190.</w:t>
      </w:r>
      <w:r>
        <w:tab/>
        <w:t>Местные органы самоуправления в рамках проекта гендерного равенства и гендерной справедливости в Боснии и Герцеговине, осуществляемого при поддержке правительства Финляндии, создали правительственные учреждения и гендерные центры, которые осуществляют комплексные мероприятия, н</w:t>
      </w:r>
      <w:r>
        <w:t>а</w:t>
      </w:r>
      <w:r>
        <w:t>правленные на повышение и укрепление информированности женщин по в</w:t>
      </w:r>
      <w:r>
        <w:t>о</w:t>
      </w:r>
      <w:r>
        <w:t>просам всех видов трудоустройства и доходной деятельности. В послевоенный период в Боснии и Герцеговине наметилась устойчивая тенденция к укрепл</w:t>
      </w:r>
      <w:r>
        <w:t>е</w:t>
      </w:r>
      <w:r>
        <w:t>нию неправительственного женского сектора, который уже оказывает исключ</w:t>
      </w:r>
      <w:r>
        <w:t>и</w:t>
      </w:r>
      <w:r>
        <w:t>тельно высокое влияние на деятельность общественности и повышение и</w:t>
      </w:r>
      <w:r>
        <w:t>н</w:t>
      </w:r>
      <w:r>
        <w:t>формированности общественности с целью ликвидации стереотипов и трад</w:t>
      </w:r>
      <w:r>
        <w:t>и</w:t>
      </w:r>
      <w:r>
        <w:t>ций, связанных с выбором рода занятий женщинами во всех секторах доходной деятельности и социального развития.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191.</w:t>
      </w:r>
      <w:r>
        <w:tab/>
        <w:t>В вопросах трудоустройства более образованные женщины сталкиваются с гораздо большими проблемами, нежели менее образованные женщины. Доля безработных женщин со средним и высшим образованием составляет 50 процентов от всех безработных женщин в стране. Наибольшая доля безр</w:t>
      </w:r>
      <w:r>
        <w:t>а</w:t>
      </w:r>
      <w:r>
        <w:t>ботных приходится на женщин, имеющих среднее и высшее образование. Да</w:t>
      </w:r>
      <w:r>
        <w:t>н</w:t>
      </w:r>
      <w:r>
        <w:t>ные о структуре образования за последние 20 лет и данные о количестве вып</w:t>
      </w:r>
      <w:r>
        <w:t>у</w:t>
      </w:r>
      <w:r>
        <w:t>скников высших учебных заведений показывают, что уровень безработицы в этих группах женщин чрезвычайно высок.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192.</w:t>
      </w:r>
      <w:r>
        <w:tab/>
        <w:t>Согласно данным Бюро по вопросам занятости, количество мужчин и женщин, ищущих работу, примерно одинаково в более низких возрастных кат</w:t>
      </w:r>
      <w:r>
        <w:t>е</w:t>
      </w:r>
      <w:r>
        <w:t>гориях. Так, практически не существует каких-либо различий между возра</w:t>
      </w:r>
      <w:r>
        <w:t>с</w:t>
      </w:r>
      <w:r>
        <w:t>тными группами 15-25 лет и возрастными группами 25-35 лет. В первой во</w:t>
      </w:r>
      <w:r>
        <w:t>з</w:t>
      </w:r>
      <w:r>
        <w:t>растной группе на долю мужчин приходится 52 процента безработных по сра</w:t>
      </w:r>
      <w:r>
        <w:t>в</w:t>
      </w:r>
      <w:r>
        <w:t>нению с показателем в 48 процентов для женщин, а во второй возрастной группе этот показатель составляет 57 процентов и 43 процента соответственно. В более высоких возрастных группах безработица среди мужчин имеет более высокий показатель. В возрастных группах 35-45 лет и возрастных группах 45-55 лет, а также в возрастной группе лиц старше 55 лет доля безработных му</w:t>
      </w:r>
      <w:r>
        <w:t>ж</w:t>
      </w:r>
      <w:r>
        <w:t>чин составляет от 60 до 90 процентов. Данные о том, что одна четвертая часть безработных состоит из лиц в возрастной группе 36-45 лет вызывает особое беспокойство. Имеющиеся данные свидетельствуют, что женщины начинают искать работу сразу после окончания школы и что если они не находят работу, то они избирают другой путь, например, создают семьи. Согласно данным ра</w:t>
      </w:r>
      <w:r>
        <w:t>з</w:t>
      </w:r>
      <w:r>
        <w:t>личных бюро занятости, доля женщин среднего возраста, которые ищут работу, ниже доли молодых женщин. Средний возраст мужчин и женщин, ищущих р</w:t>
      </w:r>
      <w:r>
        <w:t>а</w:t>
      </w:r>
      <w:r>
        <w:t>боту, неодинаков. Так, средний возраст мужчин, ищущих работу, составляет 35,5 лет, а женщин - 32 года. Разница в 3,5 года объясняется большим колич</w:t>
      </w:r>
      <w:r>
        <w:t>е</w:t>
      </w:r>
      <w:r>
        <w:t>ством мужчин более старшего во</w:t>
      </w:r>
      <w:r>
        <w:t>з</w:t>
      </w:r>
      <w:r>
        <w:t xml:space="preserve">раста, которые ищут работу.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Контингент рабочей силы согласно данным переписей населения </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492"/>
        <w:gridCol w:w="900"/>
        <w:gridCol w:w="907"/>
        <w:gridCol w:w="907"/>
      </w:tblGrid>
      <w:tr w:rsidR="00000000">
        <w:tblPrEx>
          <w:tblCellMar>
            <w:top w:w="0" w:type="dxa"/>
            <w:left w:w="0" w:type="dxa"/>
            <w:bottom w:w="0" w:type="dxa"/>
            <w:right w:w="0" w:type="dxa"/>
          </w:tblCellMar>
        </w:tblPrEx>
        <w:trPr>
          <w:tblHeader/>
        </w:trPr>
        <w:tc>
          <w:tcPr>
            <w:tcW w:w="3492"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10" w:lineRule="exact"/>
              <w:ind w:right="43"/>
              <w:rPr>
                <w:i/>
                <w:sz w:val="14"/>
              </w:rPr>
            </w:pPr>
          </w:p>
        </w:tc>
        <w:tc>
          <w:tcPr>
            <w:tcW w:w="90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10" w:lineRule="exact"/>
              <w:ind w:right="43"/>
              <w:jc w:val="right"/>
              <w:rPr>
                <w:i/>
                <w:sz w:val="14"/>
              </w:rPr>
            </w:pPr>
            <w:r>
              <w:rPr>
                <w:i/>
                <w:sz w:val="14"/>
              </w:rPr>
              <w:t>1971 год</w:t>
            </w:r>
          </w:p>
        </w:tc>
        <w:tc>
          <w:tcPr>
            <w:tcW w:w="907"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10" w:lineRule="exact"/>
              <w:ind w:right="43"/>
              <w:jc w:val="right"/>
              <w:rPr>
                <w:i/>
                <w:sz w:val="14"/>
              </w:rPr>
            </w:pPr>
            <w:r>
              <w:rPr>
                <w:i/>
                <w:sz w:val="14"/>
              </w:rPr>
              <w:t>1981 год</w:t>
            </w:r>
          </w:p>
        </w:tc>
        <w:tc>
          <w:tcPr>
            <w:tcW w:w="907"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10" w:lineRule="exact"/>
              <w:ind w:right="43"/>
              <w:jc w:val="right"/>
              <w:rPr>
                <w:i/>
                <w:sz w:val="14"/>
              </w:rPr>
            </w:pPr>
            <w:r>
              <w:rPr>
                <w:i/>
                <w:sz w:val="14"/>
              </w:rPr>
              <w:t>1991 год</w:t>
            </w:r>
          </w:p>
        </w:tc>
      </w:tr>
      <w:tr w:rsidR="00000000">
        <w:tblPrEx>
          <w:tblCellMar>
            <w:top w:w="0" w:type="dxa"/>
            <w:left w:w="0" w:type="dxa"/>
            <w:bottom w:w="0" w:type="dxa"/>
            <w:right w:w="0" w:type="dxa"/>
          </w:tblCellMar>
        </w:tblPrEx>
        <w:trPr>
          <w:trHeight w:hRule="exact" w:val="115"/>
          <w:tblHeader/>
        </w:trPr>
        <w:tc>
          <w:tcPr>
            <w:tcW w:w="349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7"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7"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92" w:type="dxa"/>
            <w:tcBorders>
              <w:top w:val="nil"/>
              <w:left w:val="nil"/>
              <w:bottom w:val="nil"/>
              <w:right w:val="nil"/>
            </w:tcBorders>
            <w:vAlign w:val="bottom"/>
          </w:tcPr>
          <w:p w:rsidR="00000000" w:rsidRDefault="00000000">
            <w:pPr>
              <w:keepNext/>
              <w:spacing w:before="40" w:after="40" w:line="210" w:lineRule="exact"/>
              <w:rPr>
                <w:sz w:val="17"/>
              </w:rPr>
            </w:pPr>
            <w:r>
              <w:rPr>
                <w:sz w:val="17"/>
              </w:rPr>
              <w:t>Всего</w:t>
            </w:r>
          </w:p>
        </w:tc>
        <w:tc>
          <w:tcPr>
            <w:tcW w:w="90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2 205 536</w:t>
            </w:r>
          </w:p>
        </w:tc>
        <w:tc>
          <w:tcPr>
            <w:tcW w:w="907"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2 675 096</w:t>
            </w:r>
          </w:p>
        </w:tc>
        <w:tc>
          <w:tcPr>
            <w:tcW w:w="907"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2 857 092</w:t>
            </w:r>
          </w:p>
        </w:tc>
      </w:tr>
      <w:tr w:rsidR="00000000">
        <w:tblPrEx>
          <w:tblCellMar>
            <w:top w:w="0" w:type="dxa"/>
            <w:left w:w="0" w:type="dxa"/>
            <w:bottom w:w="0" w:type="dxa"/>
            <w:right w:w="0" w:type="dxa"/>
          </w:tblCellMar>
        </w:tblPrEx>
        <w:tc>
          <w:tcPr>
            <w:tcW w:w="3492" w:type="dxa"/>
            <w:tcBorders>
              <w:top w:val="nil"/>
              <w:left w:val="nil"/>
              <w:bottom w:val="nil"/>
              <w:right w:val="nil"/>
            </w:tcBorders>
            <w:vAlign w:val="bottom"/>
          </w:tcPr>
          <w:p w:rsidR="00000000" w:rsidRDefault="00000000">
            <w:pPr>
              <w:spacing w:before="40" w:after="40" w:line="210" w:lineRule="exact"/>
              <w:rPr>
                <w:sz w:val="17"/>
              </w:rPr>
            </w:pPr>
            <w:r>
              <w:rPr>
                <w:sz w:val="17"/>
              </w:rPr>
              <w:t>Мужчины (15-64 года)</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1 092 781</w:t>
            </w:r>
          </w:p>
        </w:tc>
        <w:tc>
          <w:tcPr>
            <w:tcW w:w="907" w:type="dxa"/>
            <w:tcBorders>
              <w:top w:val="nil"/>
              <w:left w:val="nil"/>
              <w:bottom w:val="nil"/>
              <w:right w:val="nil"/>
            </w:tcBorders>
            <w:vAlign w:val="bottom"/>
          </w:tcPr>
          <w:p w:rsidR="00000000" w:rsidRDefault="00000000">
            <w:pPr>
              <w:spacing w:before="40" w:after="40" w:line="210" w:lineRule="exact"/>
              <w:jc w:val="right"/>
              <w:rPr>
                <w:sz w:val="17"/>
              </w:rPr>
            </w:pPr>
            <w:r>
              <w:rPr>
                <w:sz w:val="17"/>
              </w:rPr>
              <w:t>1 360 016</w:t>
            </w:r>
          </w:p>
        </w:tc>
        <w:tc>
          <w:tcPr>
            <w:tcW w:w="907" w:type="dxa"/>
            <w:tcBorders>
              <w:top w:val="nil"/>
              <w:left w:val="nil"/>
              <w:bottom w:val="nil"/>
              <w:right w:val="nil"/>
            </w:tcBorders>
            <w:vAlign w:val="bottom"/>
          </w:tcPr>
          <w:p w:rsidR="00000000" w:rsidRDefault="00000000">
            <w:pPr>
              <w:spacing w:before="40" w:after="40" w:line="210" w:lineRule="exact"/>
              <w:jc w:val="right"/>
              <w:rPr>
                <w:sz w:val="17"/>
              </w:rPr>
            </w:pPr>
            <w:r>
              <w:rPr>
                <w:sz w:val="17"/>
              </w:rPr>
              <w:t>1 500 378</w:t>
            </w:r>
          </w:p>
        </w:tc>
      </w:tr>
      <w:tr w:rsidR="00000000">
        <w:tblPrEx>
          <w:tblCellMar>
            <w:top w:w="0" w:type="dxa"/>
            <w:left w:w="0" w:type="dxa"/>
            <w:bottom w:w="0" w:type="dxa"/>
            <w:right w:w="0" w:type="dxa"/>
          </w:tblCellMar>
        </w:tblPrEx>
        <w:tc>
          <w:tcPr>
            <w:tcW w:w="3492" w:type="dxa"/>
            <w:tcBorders>
              <w:top w:val="nil"/>
              <w:left w:val="nil"/>
              <w:bottom w:val="nil"/>
              <w:right w:val="nil"/>
            </w:tcBorders>
            <w:vAlign w:val="bottom"/>
          </w:tcPr>
          <w:p w:rsidR="00000000" w:rsidRDefault="00000000">
            <w:pPr>
              <w:spacing w:before="40" w:after="40" w:line="210" w:lineRule="exact"/>
              <w:rPr>
                <w:sz w:val="17"/>
              </w:rPr>
            </w:pPr>
            <w:r>
              <w:rPr>
                <w:sz w:val="17"/>
              </w:rPr>
              <w:t>Женщины (15-59 лет)</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1 112 755</w:t>
            </w:r>
          </w:p>
        </w:tc>
        <w:tc>
          <w:tcPr>
            <w:tcW w:w="907" w:type="dxa"/>
            <w:tcBorders>
              <w:top w:val="nil"/>
              <w:left w:val="nil"/>
              <w:bottom w:val="nil"/>
              <w:right w:val="nil"/>
            </w:tcBorders>
            <w:vAlign w:val="bottom"/>
          </w:tcPr>
          <w:p w:rsidR="00000000" w:rsidRDefault="00000000">
            <w:pPr>
              <w:spacing w:before="40" w:after="40" w:line="210" w:lineRule="exact"/>
              <w:jc w:val="right"/>
              <w:rPr>
                <w:sz w:val="17"/>
              </w:rPr>
            </w:pPr>
            <w:r>
              <w:rPr>
                <w:sz w:val="17"/>
              </w:rPr>
              <w:t>1 315 080</w:t>
            </w:r>
          </w:p>
        </w:tc>
        <w:tc>
          <w:tcPr>
            <w:tcW w:w="907" w:type="dxa"/>
            <w:tcBorders>
              <w:top w:val="nil"/>
              <w:left w:val="nil"/>
              <w:bottom w:val="nil"/>
              <w:right w:val="nil"/>
            </w:tcBorders>
            <w:vAlign w:val="bottom"/>
          </w:tcPr>
          <w:p w:rsidR="00000000" w:rsidRDefault="00000000">
            <w:pPr>
              <w:spacing w:before="40" w:after="40" w:line="210" w:lineRule="exact"/>
              <w:jc w:val="right"/>
              <w:rPr>
                <w:sz w:val="17"/>
              </w:rPr>
            </w:pPr>
            <w:r>
              <w:rPr>
                <w:sz w:val="17"/>
              </w:rPr>
              <w:t>1 356 719</w:t>
            </w:r>
          </w:p>
        </w:tc>
      </w:tr>
      <w:tr w:rsidR="00000000">
        <w:tblPrEx>
          <w:tblCellMar>
            <w:top w:w="0" w:type="dxa"/>
            <w:left w:w="0" w:type="dxa"/>
            <w:bottom w:w="0" w:type="dxa"/>
            <w:right w:w="0" w:type="dxa"/>
          </w:tblCellMar>
        </w:tblPrEx>
        <w:tc>
          <w:tcPr>
            <w:tcW w:w="3492" w:type="dxa"/>
            <w:tcBorders>
              <w:top w:val="nil"/>
              <w:left w:val="nil"/>
              <w:bottom w:val="nil"/>
              <w:right w:val="nil"/>
            </w:tcBorders>
            <w:vAlign w:val="bottom"/>
          </w:tcPr>
          <w:p w:rsidR="00000000" w:rsidRDefault="00000000">
            <w:pPr>
              <w:spacing w:before="40" w:after="40" w:line="210" w:lineRule="exact"/>
              <w:rPr>
                <w:sz w:val="17"/>
              </w:rPr>
            </w:pPr>
            <w:r>
              <w:rPr>
                <w:sz w:val="17"/>
              </w:rPr>
              <w:t>Доля рабочей силы в общей численности населения в пр</w:t>
            </w:r>
            <w:r>
              <w:rPr>
                <w:sz w:val="17"/>
              </w:rPr>
              <w:t>о</w:t>
            </w:r>
            <w:r>
              <w:rPr>
                <w:sz w:val="17"/>
              </w:rPr>
              <w:t>центах</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58,9</w:t>
            </w:r>
          </w:p>
        </w:tc>
        <w:tc>
          <w:tcPr>
            <w:tcW w:w="907" w:type="dxa"/>
            <w:tcBorders>
              <w:top w:val="nil"/>
              <w:left w:val="nil"/>
              <w:bottom w:val="nil"/>
              <w:right w:val="nil"/>
            </w:tcBorders>
            <w:vAlign w:val="bottom"/>
          </w:tcPr>
          <w:p w:rsidR="00000000" w:rsidRDefault="00000000">
            <w:pPr>
              <w:spacing w:before="40" w:after="40" w:line="210" w:lineRule="exact"/>
              <w:jc w:val="right"/>
              <w:rPr>
                <w:sz w:val="17"/>
              </w:rPr>
            </w:pPr>
            <w:r>
              <w:rPr>
                <w:sz w:val="17"/>
              </w:rPr>
              <w:t>64,9</w:t>
            </w:r>
          </w:p>
        </w:tc>
        <w:tc>
          <w:tcPr>
            <w:tcW w:w="907" w:type="dxa"/>
            <w:tcBorders>
              <w:top w:val="nil"/>
              <w:left w:val="nil"/>
              <w:bottom w:val="nil"/>
              <w:right w:val="nil"/>
            </w:tcBorders>
            <w:vAlign w:val="bottom"/>
          </w:tcPr>
          <w:p w:rsidR="00000000" w:rsidRDefault="00000000">
            <w:pPr>
              <w:spacing w:before="40" w:after="40" w:line="210" w:lineRule="exact"/>
              <w:jc w:val="right"/>
              <w:rPr>
                <w:sz w:val="17"/>
              </w:rPr>
            </w:pPr>
            <w:r>
              <w:rPr>
                <w:sz w:val="17"/>
              </w:rPr>
              <w:t>65,3</w:t>
            </w:r>
          </w:p>
        </w:tc>
      </w:tr>
      <w:tr w:rsidR="00000000">
        <w:tblPrEx>
          <w:tblCellMar>
            <w:top w:w="0" w:type="dxa"/>
            <w:left w:w="0" w:type="dxa"/>
            <w:bottom w:w="0" w:type="dxa"/>
            <w:right w:w="0" w:type="dxa"/>
          </w:tblCellMar>
        </w:tblPrEx>
        <w:tc>
          <w:tcPr>
            <w:tcW w:w="3492" w:type="dxa"/>
            <w:tcBorders>
              <w:top w:val="nil"/>
              <w:left w:val="nil"/>
              <w:bottom w:val="single" w:sz="12" w:space="0" w:color="auto"/>
              <w:right w:val="nil"/>
            </w:tcBorders>
            <w:vAlign w:val="bottom"/>
          </w:tcPr>
          <w:p w:rsidR="00000000" w:rsidRDefault="00000000">
            <w:pPr>
              <w:rPr>
                <w:sz w:val="17"/>
              </w:rPr>
            </w:pPr>
          </w:p>
        </w:tc>
        <w:tc>
          <w:tcPr>
            <w:tcW w:w="900" w:type="dxa"/>
            <w:tcBorders>
              <w:top w:val="nil"/>
              <w:left w:val="nil"/>
              <w:bottom w:val="single" w:sz="12" w:space="0" w:color="auto"/>
              <w:right w:val="nil"/>
            </w:tcBorders>
            <w:vAlign w:val="bottom"/>
          </w:tcPr>
          <w:p w:rsidR="00000000" w:rsidRDefault="00000000">
            <w:pPr>
              <w:jc w:val="right"/>
              <w:rPr>
                <w:sz w:val="17"/>
              </w:rPr>
            </w:pPr>
          </w:p>
        </w:tc>
        <w:tc>
          <w:tcPr>
            <w:tcW w:w="907" w:type="dxa"/>
            <w:tcBorders>
              <w:top w:val="nil"/>
              <w:left w:val="nil"/>
              <w:bottom w:val="single" w:sz="12" w:space="0" w:color="auto"/>
              <w:right w:val="nil"/>
            </w:tcBorders>
            <w:vAlign w:val="bottom"/>
          </w:tcPr>
          <w:p w:rsidR="00000000" w:rsidRDefault="00000000">
            <w:pPr>
              <w:jc w:val="right"/>
              <w:rPr>
                <w:sz w:val="17"/>
              </w:rPr>
            </w:pPr>
          </w:p>
        </w:tc>
        <w:tc>
          <w:tcPr>
            <w:tcW w:w="907" w:type="dxa"/>
            <w:tcBorders>
              <w:top w:val="nil"/>
              <w:left w:val="nil"/>
              <w:bottom w:val="single" w:sz="12" w:space="0" w:color="auto"/>
              <w:right w:val="nil"/>
            </w:tcBorders>
            <w:vAlign w:val="bottom"/>
          </w:tcPr>
          <w:p w:rsidR="00000000" w:rsidRDefault="00000000">
            <w:pPr>
              <w:jc w:val="right"/>
              <w:rPr>
                <w:sz w:val="17"/>
              </w:rPr>
            </w:pP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Уровень безработицы в Боснии и Герцеговине, 1996-2002 годы</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54"/>
        <w:gridCol w:w="1354"/>
        <w:gridCol w:w="1350"/>
        <w:gridCol w:w="1350"/>
        <w:gridCol w:w="1350"/>
      </w:tblGrid>
      <w:tr w:rsidR="00000000">
        <w:tblPrEx>
          <w:tblCellMar>
            <w:top w:w="0" w:type="dxa"/>
            <w:left w:w="0" w:type="dxa"/>
            <w:bottom w:w="0" w:type="dxa"/>
            <w:right w:w="0" w:type="dxa"/>
          </w:tblCellMar>
        </w:tblPrEx>
        <w:trPr>
          <w:tblHeader/>
        </w:trPr>
        <w:tc>
          <w:tcPr>
            <w:tcW w:w="1354"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4"/>
              </w:rPr>
            </w:pPr>
            <w:r>
              <w:rPr>
                <w:i/>
                <w:sz w:val="14"/>
              </w:rPr>
              <w:t>Год</w:t>
            </w:r>
          </w:p>
        </w:tc>
        <w:tc>
          <w:tcPr>
            <w:tcW w:w="1354"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Всего</w:t>
            </w:r>
          </w:p>
        </w:tc>
        <w:tc>
          <w:tcPr>
            <w:tcW w:w="135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Мужчины</w:t>
            </w:r>
          </w:p>
        </w:tc>
        <w:tc>
          <w:tcPr>
            <w:tcW w:w="1350" w:type="dxa"/>
            <w:tcBorders>
              <w:left w:val="nil"/>
              <w:bottom w:val="single" w:sz="12" w:space="0" w:color="auto"/>
              <w:right w:val="nil"/>
            </w:tcBorders>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Женщины</w:t>
            </w:r>
          </w:p>
        </w:tc>
        <w:tc>
          <w:tcPr>
            <w:tcW w:w="135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Доля женщин в %</w:t>
            </w:r>
          </w:p>
        </w:tc>
      </w:tr>
      <w:tr w:rsidR="00000000">
        <w:tblPrEx>
          <w:tblCellMar>
            <w:top w:w="0" w:type="dxa"/>
            <w:left w:w="0" w:type="dxa"/>
            <w:bottom w:w="0" w:type="dxa"/>
            <w:right w:w="0" w:type="dxa"/>
          </w:tblCellMar>
        </w:tblPrEx>
        <w:trPr>
          <w:trHeight w:hRule="exact" w:val="115"/>
          <w:tblHeader/>
        </w:trPr>
        <w:tc>
          <w:tcPr>
            <w:tcW w:w="1354"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354"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4" w:type="dxa"/>
            <w:tcBorders>
              <w:top w:val="nil"/>
              <w:left w:val="nil"/>
              <w:bottom w:val="nil"/>
              <w:right w:val="nil"/>
            </w:tcBorders>
            <w:vAlign w:val="bottom"/>
          </w:tcPr>
          <w:p w:rsidR="00000000" w:rsidRDefault="00000000">
            <w:pPr>
              <w:keepNext/>
              <w:spacing w:before="40" w:after="40" w:line="210" w:lineRule="exact"/>
              <w:rPr>
                <w:sz w:val="17"/>
              </w:rPr>
            </w:pPr>
            <w:r>
              <w:rPr>
                <w:sz w:val="17"/>
              </w:rPr>
              <w:t>1996</w:t>
            </w:r>
          </w:p>
        </w:tc>
        <w:tc>
          <w:tcPr>
            <w:tcW w:w="1354"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298 822</w:t>
            </w:r>
          </w:p>
        </w:tc>
        <w:tc>
          <w:tcPr>
            <w:tcW w:w="135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186 529</w:t>
            </w:r>
          </w:p>
        </w:tc>
        <w:tc>
          <w:tcPr>
            <w:tcW w:w="1350" w:type="dxa"/>
            <w:tcBorders>
              <w:top w:val="nil"/>
              <w:left w:val="nil"/>
              <w:bottom w:val="nil"/>
              <w:right w:val="nil"/>
            </w:tcBorders>
          </w:tcPr>
          <w:p w:rsidR="00000000" w:rsidRDefault="00000000">
            <w:pPr>
              <w:keepNext/>
              <w:spacing w:before="40" w:after="40" w:line="210" w:lineRule="exact"/>
              <w:jc w:val="right"/>
              <w:rPr>
                <w:sz w:val="17"/>
              </w:rPr>
            </w:pPr>
            <w:r>
              <w:rPr>
                <w:sz w:val="17"/>
              </w:rPr>
              <w:t>111 293</w:t>
            </w:r>
          </w:p>
        </w:tc>
        <w:tc>
          <w:tcPr>
            <w:tcW w:w="135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37,23</w:t>
            </w:r>
          </w:p>
        </w:tc>
      </w:tr>
      <w:tr w:rsidR="00000000">
        <w:tblPrEx>
          <w:tblCellMar>
            <w:top w:w="0" w:type="dxa"/>
            <w:left w:w="0" w:type="dxa"/>
            <w:bottom w:w="0" w:type="dxa"/>
            <w:right w:w="0" w:type="dxa"/>
          </w:tblCellMar>
        </w:tblPrEx>
        <w:tc>
          <w:tcPr>
            <w:tcW w:w="1354" w:type="dxa"/>
            <w:tcBorders>
              <w:top w:val="nil"/>
              <w:left w:val="nil"/>
              <w:bottom w:val="nil"/>
              <w:right w:val="nil"/>
            </w:tcBorders>
            <w:vAlign w:val="bottom"/>
          </w:tcPr>
          <w:p w:rsidR="00000000" w:rsidRDefault="00000000">
            <w:pPr>
              <w:spacing w:before="40" w:after="40" w:line="210" w:lineRule="exact"/>
              <w:rPr>
                <w:sz w:val="17"/>
              </w:rPr>
            </w:pPr>
            <w:r>
              <w:rPr>
                <w:sz w:val="17"/>
              </w:rPr>
              <w:t>1997</w:t>
            </w:r>
          </w:p>
        </w:tc>
        <w:tc>
          <w:tcPr>
            <w:tcW w:w="1354" w:type="dxa"/>
            <w:tcBorders>
              <w:top w:val="nil"/>
              <w:left w:val="nil"/>
              <w:bottom w:val="nil"/>
              <w:right w:val="nil"/>
            </w:tcBorders>
            <w:vAlign w:val="bottom"/>
          </w:tcPr>
          <w:p w:rsidR="00000000" w:rsidRDefault="00000000">
            <w:pPr>
              <w:spacing w:before="40" w:after="40" w:line="210" w:lineRule="exact"/>
              <w:jc w:val="right"/>
              <w:rPr>
                <w:sz w:val="17"/>
              </w:rPr>
            </w:pPr>
            <w:r>
              <w:rPr>
                <w:sz w:val="17"/>
              </w:rPr>
              <w:t>364 856</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206 037</w:t>
            </w:r>
          </w:p>
        </w:tc>
        <w:tc>
          <w:tcPr>
            <w:tcW w:w="1350" w:type="dxa"/>
            <w:tcBorders>
              <w:top w:val="nil"/>
              <w:left w:val="nil"/>
              <w:bottom w:val="nil"/>
              <w:right w:val="nil"/>
            </w:tcBorders>
          </w:tcPr>
          <w:p w:rsidR="00000000" w:rsidRDefault="00000000">
            <w:pPr>
              <w:spacing w:before="40" w:after="40" w:line="210" w:lineRule="exact"/>
              <w:jc w:val="right"/>
              <w:rPr>
                <w:sz w:val="17"/>
              </w:rPr>
            </w:pPr>
            <w:r>
              <w:rPr>
                <w:sz w:val="17"/>
              </w:rPr>
              <w:t>154 819</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42,43</w:t>
            </w:r>
          </w:p>
        </w:tc>
      </w:tr>
      <w:tr w:rsidR="00000000">
        <w:tblPrEx>
          <w:tblCellMar>
            <w:top w:w="0" w:type="dxa"/>
            <w:left w:w="0" w:type="dxa"/>
            <w:bottom w:w="0" w:type="dxa"/>
            <w:right w:w="0" w:type="dxa"/>
          </w:tblCellMar>
        </w:tblPrEx>
        <w:tc>
          <w:tcPr>
            <w:tcW w:w="1354" w:type="dxa"/>
            <w:tcBorders>
              <w:top w:val="nil"/>
              <w:left w:val="nil"/>
              <w:bottom w:val="nil"/>
              <w:right w:val="nil"/>
            </w:tcBorders>
            <w:vAlign w:val="bottom"/>
          </w:tcPr>
          <w:p w:rsidR="00000000" w:rsidRDefault="00000000">
            <w:pPr>
              <w:spacing w:before="40" w:after="40" w:line="210" w:lineRule="exact"/>
              <w:rPr>
                <w:sz w:val="17"/>
              </w:rPr>
            </w:pPr>
            <w:r>
              <w:rPr>
                <w:sz w:val="17"/>
              </w:rPr>
              <w:t>1998</w:t>
            </w:r>
          </w:p>
        </w:tc>
        <w:tc>
          <w:tcPr>
            <w:tcW w:w="1354" w:type="dxa"/>
            <w:tcBorders>
              <w:top w:val="nil"/>
              <w:left w:val="nil"/>
              <w:bottom w:val="nil"/>
              <w:right w:val="nil"/>
            </w:tcBorders>
            <w:vAlign w:val="bottom"/>
          </w:tcPr>
          <w:p w:rsidR="00000000" w:rsidRDefault="00000000">
            <w:pPr>
              <w:spacing w:before="40" w:after="40" w:line="210" w:lineRule="exact"/>
              <w:jc w:val="right"/>
              <w:rPr>
                <w:sz w:val="17"/>
              </w:rPr>
            </w:pPr>
            <w:r>
              <w:rPr>
                <w:sz w:val="17"/>
              </w:rPr>
              <w:t>398 469</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221 535</w:t>
            </w:r>
          </w:p>
        </w:tc>
        <w:tc>
          <w:tcPr>
            <w:tcW w:w="1350" w:type="dxa"/>
            <w:tcBorders>
              <w:top w:val="nil"/>
              <w:left w:val="nil"/>
              <w:bottom w:val="nil"/>
              <w:right w:val="nil"/>
            </w:tcBorders>
          </w:tcPr>
          <w:p w:rsidR="00000000" w:rsidRDefault="00000000">
            <w:pPr>
              <w:spacing w:before="40" w:after="40" w:line="210" w:lineRule="exact"/>
              <w:jc w:val="right"/>
              <w:rPr>
                <w:sz w:val="17"/>
              </w:rPr>
            </w:pPr>
            <w:r>
              <w:rPr>
                <w:sz w:val="17"/>
              </w:rPr>
              <w:t>176 961</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44,41</w:t>
            </w:r>
          </w:p>
        </w:tc>
      </w:tr>
      <w:tr w:rsidR="00000000">
        <w:tblPrEx>
          <w:tblCellMar>
            <w:top w:w="0" w:type="dxa"/>
            <w:left w:w="0" w:type="dxa"/>
            <w:bottom w:w="0" w:type="dxa"/>
            <w:right w:w="0" w:type="dxa"/>
          </w:tblCellMar>
        </w:tblPrEx>
        <w:tc>
          <w:tcPr>
            <w:tcW w:w="1354" w:type="dxa"/>
            <w:tcBorders>
              <w:top w:val="nil"/>
              <w:left w:val="nil"/>
              <w:bottom w:val="nil"/>
              <w:right w:val="nil"/>
            </w:tcBorders>
            <w:vAlign w:val="bottom"/>
          </w:tcPr>
          <w:p w:rsidR="00000000" w:rsidRDefault="00000000">
            <w:pPr>
              <w:spacing w:before="40" w:after="40" w:line="210" w:lineRule="exact"/>
              <w:rPr>
                <w:sz w:val="17"/>
              </w:rPr>
            </w:pPr>
            <w:r>
              <w:rPr>
                <w:sz w:val="17"/>
              </w:rPr>
              <w:t>1999</w:t>
            </w:r>
          </w:p>
        </w:tc>
        <w:tc>
          <w:tcPr>
            <w:tcW w:w="1354" w:type="dxa"/>
            <w:tcBorders>
              <w:top w:val="nil"/>
              <w:left w:val="nil"/>
              <w:bottom w:val="nil"/>
              <w:right w:val="nil"/>
            </w:tcBorders>
            <w:vAlign w:val="bottom"/>
          </w:tcPr>
          <w:p w:rsidR="00000000" w:rsidRDefault="00000000">
            <w:pPr>
              <w:spacing w:before="40" w:after="40" w:line="210" w:lineRule="exact"/>
              <w:jc w:val="right"/>
              <w:rPr>
                <w:sz w:val="17"/>
              </w:rPr>
            </w:pPr>
            <w:r>
              <w:rPr>
                <w:sz w:val="17"/>
              </w:rPr>
              <w:t>409 290</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225 155</w:t>
            </w:r>
          </w:p>
        </w:tc>
        <w:tc>
          <w:tcPr>
            <w:tcW w:w="1350" w:type="dxa"/>
            <w:tcBorders>
              <w:top w:val="nil"/>
              <w:left w:val="nil"/>
              <w:bottom w:val="nil"/>
              <w:right w:val="nil"/>
            </w:tcBorders>
          </w:tcPr>
          <w:p w:rsidR="00000000" w:rsidRDefault="00000000">
            <w:pPr>
              <w:spacing w:before="40" w:after="40" w:line="210" w:lineRule="exact"/>
              <w:jc w:val="right"/>
              <w:rPr>
                <w:sz w:val="17"/>
              </w:rPr>
            </w:pPr>
            <w:r>
              <w:rPr>
                <w:sz w:val="17"/>
              </w:rPr>
              <w:t>184 135</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44,98</w:t>
            </w:r>
          </w:p>
        </w:tc>
      </w:tr>
      <w:tr w:rsidR="00000000">
        <w:tblPrEx>
          <w:tblCellMar>
            <w:top w:w="0" w:type="dxa"/>
            <w:left w:w="0" w:type="dxa"/>
            <w:bottom w:w="0" w:type="dxa"/>
            <w:right w:w="0" w:type="dxa"/>
          </w:tblCellMar>
        </w:tblPrEx>
        <w:tc>
          <w:tcPr>
            <w:tcW w:w="1354" w:type="dxa"/>
            <w:tcBorders>
              <w:top w:val="nil"/>
              <w:left w:val="nil"/>
              <w:bottom w:val="nil"/>
              <w:right w:val="nil"/>
            </w:tcBorders>
            <w:vAlign w:val="bottom"/>
          </w:tcPr>
          <w:p w:rsidR="00000000" w:rsidRDefault="00000000">
            <w:pPr>
              <w:spacing w:before="40" w:after="40" w:line="210" w:lineRule="exact"/>
              <w:rPr>
                <w:sz w:val="17"/>
              </w:rPr>
            </w:pPr>
            <w:r>
              <w:rPr>
                <w:sz w:val="17"/>
              </w:rPr>
              <w:t>2000</w:t>
            </w:r>
          </w:p>
        </w:tc>
        <w:tc>
          <w:tcPr>
            <w:tcW w:w="1354" w:type="dxa"/>
            <w:tcBorders>
              <w:top w:val="nil"/>
              <w:left w:val="nil"/>
              <w:bottom w:val="nil"/>
              <w:right w:val="nil"/>
            </w:tcBorders>
            <w:vAlign w:val="bottom"/>
          </w:tcPr>
          <w:p w:rsidR="00000000" w:rsidRDefault="00000000">
            <w:pPr>
              <w:spacing w:before="40" w:after="40" w:line="210" w:lineRule="exact"/>
              <w:jc w:val="right"/>
              <w:rPr>
                <w:sz w:val="17"/>
              </w:rPr>
            </w:pPr>
            <w:r>
              <w:rPr>
                <w:sz w:val="17"/>
              </w:rPr>
              <w:t>421 198</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230 412</w:t>
            </w:r>
          </w:p>
        </w:tc>
        <w:tc>
          <w:tcPr>
            <w:tcW w:w="1350" w:type="dxa"/>
            <w:tcBorders>
              <w:top w:val="nil"/>
              <w:left w:val="nil"/>
              <w:bottom w:val="nil"/>
              <w:right w:val="nil"/>
            </w:tcBorders>
          </w:tcPr>
          <w:p w:rsidR="00000000" w:rsidRDefault="00000000">
            <w:pPr>
              <w:spacing w:before="40" w:after="40" w:line="210" w:lineRule="exact"/>
              <w:jc w:val="right"/>
              <w:rPr>
                <w:sz w:val="17"/>
              </w:rPr>
            </w:pPr>
            <w:r>
              <w:rPr>
                <w:sz w:val="17"/>
              </w:rPr>
              <w:t>190 786</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45,29</w:t>
            </w:r>
          </w:p>
        </w:tc>
      </w:tr>
      <w:tr w:rsidR="00000000">
        <w:tblPrEx>
          <w:tblCellMar>
            <w:top w:w="0" w:type="dxa"/>
            <w:left w:w="0" w:type="dxa"/>
            <w:bottom w:w="0" w:type="dxa"/>
            <w:right w:w="0" w:type="dxa"/>
          </w:tblCellMar>
        </w:tblPrEx>
        <w:tc>
          <w:tcPr>
            <w:tcW w:w="1354" w:type="dxa"/>
            <w:tcBorders>
              <w:top w:val="nil"/>
              <w:left w:val="nil"/>
              <w:bottom w:val="nil"/>
              <w:right w:val="nil"/>
            </w:tcBorders>
            <w:vAlign w:val="bottom"/>
          </w:tcPr>
          <w:p w:rsidR="00000000" w:rsidRDefault="00000000">
            <w:pPr>
              <w:spacing w:before="40" w:after="40" w:line="210" w:lineRule="exact"/>
              <w:rPr>
                <w:sz w:val="17"/>
              </w:rPr>
            </w:pPr>
            <w:r>
              <w:rPr>
                <w:sz w:val="17"/>
              </w:rPr>
              <w:t>2001</w:t>
            </w:r>
          </w:p>
        </w:tc>
        <w:tc>
          <w:tcPr>
            <w:tcW w:w="1354" w:type="dxa"/>
            <w:tcBorders>
              <w:top w:val="nil"/>
              <w:left w:val="nil"/>
              <w:bottom w:val="nil"/>
              <w:right w:val="nil"/>
            </w:tcBorders>
            <w:vAlign w:val="bottom"/>
          </w:tcPr>
          <w:p w:rsidR="00000000" w:rsidRDefault="00000000">
            <w:pPr>
              <w:spacing w:before="40" w:after="40" w:line="210" w:lineRule="exact"/>
              <w:jc w:val="right"/>
              <w:rPr>
                <w:sz w:val="17"/>
              </w:rPr>
            </w:pPr>
            <w:r>
              <w:rPr>
                <w:sz w:val="17"/>
              </w:rPr>
              <w:t>416 753</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226 871</w:t>
            </w:r>
          </w:p>
        </w:tc>
        <w:tc>
          <w:tcPr>
            <w:tcW w:w="1350" w:type="dxa"/>
            <w:tcBorders>
              <w:top w:val="nil"/>
              <w:left w:val="nil"/>
              <w:bottom w:val="nil"/>
              <w:right w:val="nil"/>
            </w:tcBorders>
          </w:tcPr>
          <w:p w:rsidR="00000000" w:rsidRDefault="00000000">
            <w:pPr>
              <w:spacing w:before="40" w:after="40" w:line="210" w:lineRule="exact"/>
              <w:jc w:val="right"/>
              <w:rPr>
                <w:sz w:val="17"/>
              </w:rPr>
            </w:pPr>
            <w:r>
              <w:rPr>
                <w:sz w:val="17"/>
              </w:rPr>
              <w:t>189 882</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45,56</w:t>
            </w:r>
          </w:p>
        </w:tc>
      </w:tr>
      <w:tr w:rsidR="00000000">
        <w:tblPrEx>
          <w:tblCellMar>
            <w:top w:w="0" w:type="dxa"/>
            <w:left w:w="0" w:type="dxa"/>
            <w:bottom w:w="0" w:type="dxa"/>
            <w:right w:w="0" w:type="dxa"/>
          </w:tblCellMar>
        </w:tblPrEx>
        <w:tc>
          <w:tcPr>
            <w:tcW w:w="1354" w:type="dxa"/>
            <w:tcBorders>
              <w:top w:val="nil"/>
              <w:left w:val="nil"/>
              <w:bottom w:val="single" w:sz="12" w:space="0" w:color="auto"/>
              <w:right w:val="nil"/>
            </w:tcBorders>
            <w:vAlign w:val="bottom"/>
          </w:tcPr>
          <w:p w:rsidR="00000000" w:rsidRDefault="00000000">
            <w:pPr>
              <w:spacing w:before="40" w:after="40" w:line="210" w:lineRule="exact"/>
              <w:rPr>
                <w:sz w:val="17"/>
              </w:rPr>
            </w:pPr>
            <w:r>
              <w:rPr>
                <w:sz w:val="17"/>
              </w:rPr>
              <w:t>2002</w:t>
            </w:r>
          </w:p>
        </w:tc>
        <w:tc>
          <w:tcPr>
            <w:tcW w:w="1354"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435 505</w:t>
            </w:r>
          </w:p>
        </w:tc>
        <w:tc>
          <w:tcPr>
            <w:tcW w:w="135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239 498</w:t>
            </w:r>
          </w:p>
        </w:tc>
        <w:tc>
          <w:tcPr>
            <w:tcW w:w="1350"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196 007</w:t>
            </w:r>
          </w:p>
        </w:tc>
        <w:tc>
          <w:tcPr>
            <w:tcW w:w="135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45,00</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Занятость в Боснии и Герцеговине, 1996-2002 годы</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12"/>
        <w:gridCol w:w="1170"/>
        <w:gridCol w:w="1260"/>
        <w:gridCol w:w="1350"/>
        <w:gridCol w:w="1350"/>
        <w:gridCol w:w="1800"/>
      </w:tblGrid>
      <w:tr w:rsidR="00000000">
        <w:tblPrEx>
          <w:tblCellMar>
            <w:top w:w="0" w:type="dxa"/>
            <w:left w:w="0" w:type="dxa"/>
            <w:bottom w:w="0" w:type="dxa"/>
            <w:right w:w="0" w:type="dxa"/>
          </w:tblCellMar>
        </w:tblPrEx>
        <w:trPr>
          <w:tblHeader/>
        </w:trPr>
        <w:tc>
          <w:tcPr>
            <w:tcW w:w="612"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80" w:lineRule="exact"/>
              <w:ind w:right="43"/>
              <w:rPr>
                <w:i/>
                <w:sz w:val="14"/>
              </w:rPr>
            </w:pPr>
            <w:r>
              <w:rPr>
                <w:i/>
                <w:sz w:val="14"/>
              </w:rPr>
              <w:t>Год</w:t>
            </w:r>
          </w:p>
        </w:tc>
        <w:tc>
          <w:tcPr>
            <w:tcW w:w="117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80" w:lineRule="exact"/>
              <w:ind w:right="43"/>
              <w:jc w:val="right"/>
              <w:rPr>
                <w:i/>
                <w:sz w:val="14"/>
              </w:rPr>
            </w:pPr>
            <w:r>
              <w:rPr>
                <w:i/>
                <w:sz w:val="14"/>
              </w:rPr>
              <w:t>Всего</w:t>
            </w:r>
          </w:p>
        </w:tc>
        <w:tc>
          <w:tcPr>
            <w:tcW w:w="126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80" w:lineRule="exact"/>
              <w:ind w:right="43"/>
              <w:jc w:val="right"/>
              <w:rPr>
                <w:i/>
                <w:sz w:val="14"/>
              </w:rPr>
            </w:pPr>
            <w:r>
              <w:rPr>
                <w:i/>
                <w:sz w:val="14"/>
              </w:rPr>
              <w:t>Мужчины</w:t>
            </w:r>
          </w:p>
        </w:tc>
        <w:tc>
          <w:tcPr>
            <w:tcW w:w="135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80" w:lineRule="exact"/>
              <w:ind w:right="43"/>
              <w:jc w:val="right"/>
              <w:rPr>
                <w:i/>
                <w:sz w:val="14"/>
              </w:rPr>
            </w:pPr>
            <w:r>
              <w:rPr>
                <w:i/>
                <w:sz w:val="14"/>
              </w:rPr>
              <w:t>Женщины</w:t>
            </w:r>
          </w:p>
        </w:tc>
        <w:tc>
          <w:tcPr>
            <w:tcW w:w="135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80" w:lineRule="exact"/>
              <w:ind w:right="43"/>
              <w:jc w:val="right"/>
              <w:rPr>
                <w:i/>
                <w:sz w:val="14"/>
              </w:rPr>
            </w:pPr>
            <w:r>
              <w:rPr>
                <w:i/>
                <w:sz w:val="14"/>
              </w:rPr>
              <w:t>Доля женщин в %</w:t>
            </w:r>
          </w:p>
        </w:tc>
        <w:tc>
          <w:tcPr>
            <w:tcW w:w="1800" w:type="dxa"/>
            <w:tcBorders>
              <w:left w:val="nil"/>
              <w:bottom w:val="single" w:sz="12" w:space="0" w:color="auto"/>
              <w:right w:val="nil"/>
            </w:tcBorders>
          </w:tcPr>
          <w:p w:rsidR="00000000" w:rsidRDefault="00000000">
            <w:pPr>
              <w:keepNext/>
              <w:tabs>
                <w:tab w:val="left" w:pos="288"/>
                <w:tab w:val="left" w:pos="576"/>
                <w:tab w:val="left" w:pos="864"/>
                <w:tab w:val="left" w:pos="1152"/>
              </w:tabs>
              <w:spacing w:before="81" w:after="81" w:line="80" w:lineRule="exact"/>
              <w:ind w:right="43"/>
              <w:jc w:val="right"/>
              <w:rPr>
                <w:i/>
                <w:sz w:val="14"/>
              </w:rPr>
            </w:pPr>
            <w:r>
              <w:rPr>
                <w:i/>
                <w:sz w:val="14"/>
              </w:rPr>
              <w:t>Примечание:</w:t>
            </w:r>
          </w:p>
          <w:p w:rsidR="00000000" w:rsidRDefault="00000000">
            <w:pPr>
              <w:keepNext/>
              <w:tabs>
                <w:tab w:val="left" w:pos="288"/>
                <w:tab w:val="left" w:pos="576"/>
                <w:tab w:val="left" w:pos="864"/>
                <w:tab w:val="left" w:pos="1152"/>
              </w:tabs>
              <w:spacing w:before="81" w:after="81" w:line="80" w:lineRule="exact"/>
              <w:ind w:right="43"/>
              <w:jc w:val="right"/>
              <w:rPr>
                <w:i/>
                <w:sz w:val="14"/>
              </w:rPr>
            </w:pPr>
            <w:r>
              <w:rPr>
                <w:i/>
                <w:sz w:val="14"/>
              </w:rPr>
              <w:t>отсутствие да</w:t>
            </w:r>
            <w:r>
              <w:rPr>
                <w:i/>
                <w:sz w:val="14"/>
              </w:rPr>
              <w:t>н</w:t>
            </w:r>
            <w:r>
              <w:rPr>
                <w:i/>
                <w:sz w:val="14"/>
              </w:rPr>
              <w:t>ных по:</w:t>
            </w:r>
          </w:p>
        </w:tc>
      </w:tr>
      <w:tr w:rsidR="00000000">
        <w:tblPrEx>
          <w:tblCellMar>
            <w:top w:w="0" w:type="dxa"/>
            <w:left w:w="0" w:type="dxa"/>
            <w:bottom w:w="0" w:type="dxa"/>
            <w:right w:w="0" w:type="dxa"/>
          </w:tblCellMar>
        </w:tblPrEx>
        <w:trPr>
          <w:trHeight w:hRule="exact" w:val="115"/>
          <w:tblHeader/>
        </w:trPr>
        <w:tc>
          <w:tcPr>
            <w:tcW w:w="61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80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12" w:type="dxa"/>
            <w:tcBorders>
              <w:top w:val="nil"/>
              <w:left w:val="nil"/>
              <w:bottom w:val="nil"/>
              <w:right w:val="nil"/>
            </w:tcBorders>
            <w:vAlign w:val="bottom"/>
          </w:tcPr>
          <w:p w:rsidR="00000000" w:rsidRDefault="00000000">
            <w:pPr>
              <w:keepNext/>
              <w:spacing w:before="40" w:after="40" w:line="210" w:lineRule="exact"/>
              <w:rPr>
                <w:sz w:val="17"/>
              </w:rPr>
            </w:pPr>
            <w:r>
              <w:rPr>
                <w:sz w:val="17"/>
              </w:rPr>
              <w:t>1996</w:t>
            </w:r>
          </w:p>
        </w:tc>
        <w:tc>
          <w:tcPr>
            <w:tcW w:w="117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244 561</w:t>
            </w:r>
          </w:p>
        </w:tc>
        <w:tc>
          <w:tcPr>
            <w:tcW w:w="126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157 568</w:t>
            </w:r>
          </w:p>
        </w:tc>
        <w:tc>
          <w:tcPr>
            <w:tcW w:w="135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86 993</w:t>
            </w:r>
          </w:p>
        </w:tc>
        <w:tc>
          <w:tcPr>
            <w:tcW w:w="135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35,57</w:t>
            </w:r>
          </w:p>
        </w:tc>
        <w:tc>
          <w:tcPr>
            <w:tcW w:w="1800" w:type="dxa"/>
            <w:tcBorders>
              <w:top w:val="nil"/>
              <w:left w:val="nil"/>
              <w:bottom w:val="nil"/>
              <w:right w:val="nil"/>
            </w:tcBorders>
          </w:tcPr>
          <w:p w:rsidR="00000000" w:rsidRDefault="00000000">
            <w:pPr>
              <w:keepNext/>
              <w:spacing w:before="40" w:after="40" w:line="210" w:lineRule="exact"/>
              <w:jc w:val="right"/>
              <w:rPr>
                <w:sz w:val="17"/>
              </w:rPr>
            </w:pPr>
            <w:r>
              <w:rPr>
                <w:sz w:val="17"/>
              </w:rPr>
              <w:t>РС</w:t>
            </w:r>
          </w:p>
        </w:tc>
      </w:tr>
      <w:tr w:rsidR="00000000">
        <w:tblPrEx>
          <w:tblCellMar>
            <w:top w:w="0" w:type="dxa"/>
            <w:left w:w="0" w:type="dxa"/>
            <w:bottom w:w="0" w:type="dxa"/>
            <w:right w:w="0" w:type="dxa"/>
          </w:tblCellMar>
        </w:tblPrEx>
        <w:tc>
          <w:tcPr>
            <w:tcW w:w="612" w:type="dxa"/>
            <w:tcBorders>
              <w:top w:val="nil"/>
              <w:left w:val="nil"/>
              <w:bottom w:val="nil"/>
              <w:right w:val="nil"/>
            </w:tcBorders>
            <w:vAlign w:val="bottom"/>
          </w:tcPr>
          <w:p w:rsidR="00000000" w:rsidRDefault="00000000">
            <w:pPr>
              <w:spacing w:before="40" w:after="40" w:line="210" w:lineRule="exact"/>
              <w:rPr>
                <w:sz w:val="17"/>
              </w:rPr>
            </w:pPr>
            <w:r>
              <w:rPr>
                <w:sz w:val="17"/>
              </w:rPr>
              <w:t>1997</w:t>
            </w:r>
          </w:p>
        </w:tc>
        <w:tc>
          <w:tcPr>
            <w:tcW w:w="1170" w:type="dxa"/>
            <w:tcBorders>
              <w:top w:val="nil"/>
              <w:left w:val="nil"/>
              <w:bottom w:val="nil"/>
              <w:right w:val="nil"/>
            </w:tcBorders>
            <w:vAlign w:val="bottom"/>
          </w:tcPr>
          <w:p w:rsidR="00000000" w:rsidRDefault="00000000">
            <w:pPr>
              <w:spacing w:before="40" w:after="40" w:line="210" w:lineRule="exact"/>
              <w:jc w:val="right"/>
              <w:rPr>
                <w:sz w:val="17"/>
              </w:rPr>
            </w:pPr>
            <w:r>
              <w:rPr>
                <w:sz w:val="17"/>
              </w:rPr>
              <w:t>259 889</w:t>
            </w:r>
          </w:p>
        </w:tc>
        <w:tc>
          <w:tcPr>
            <w:tcW w:w="1260" w:type="dxa"/>
            <w:tcBorders>
              <w:top w:val="nil"/>
              <w:left w:val="nil"/>
              <w:bottom w:val="nil"/>
              <w:right w:val="nil"/>
            </w:tcBorders>
            <w:vAlign w:val="bottom"/>
          </w:tcPr>
          <w:p w:rsidR="00000000" w:rsidRDefault="00000000">
            <w:pPr>
              <w:spacing w:before="40" w:after="40" w:line="210" w:lineRule="exact"/>
              <w:jc w:val="right"/>
              <w:rPr>
                <w:sz w:val="17"/>
              </w:rPr>
            </w:pPr>
            <w:r>
              <w:rPr>
                <w:sz w:val="17"/>
              </w:rPr>
              <w:t>167 564</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92 325</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35,52</w:t>
            </w:r>
          </w:p>
        </w:tc>
        <w:tc>
          <w:tcPr>
            <w:tcW w:w="1800" w:type="dxa"/>
            <w:tcBorders>
              <w:top w:val="nil"/>
              <w:left w:val="nil"/>
              <w:bottom w:val="nil"/>
              <w:right w:val="nil"/>
            </w:tcBorders>
          </w:tcPr>
          <w:p w:rsidR="00000000" w:rsidRDefault="00000000">
            <w:pPr>
              <w:spacing w:before="40" w:after="40" w:line="210" w:lineRule="exact"/>
              <w:jc w:val="right"/>
              <w:rPr>
                <w:sz w:val="17"/>
              </w:rPr>
            </w:pPr>
            <w:r>
              <w:rPr>
                <w:sz w:val="17"/>
              </w:rPr>
              <w:t>РС</w:t>
            </w:r>
          </w:p>
        </w:tc>
      </w:tr>
      <w:tr w:rsidR="00000000">
        <w:tblPrEx>
          <w:tblCellMar>
            <w:top w:w="0" w:type="dxa"/>
            <w:left w:w="0" w:type="dxa"/>
            <w:bottom w:w="0" w:type="dxa"/>
            <w:right w:w="0" w:type="dxa"/>
          </w:tblCellMar>
        </w:tblPrEx>
        <w:tc>
          <w:tcPr>
            <w:tcW w:w="612" w:type="dxa"/>
            <w:tcBorders>
              <w:top w:val="nil"/>
              <w:left w:val="nil"/>
              <w:bottom w:val="nil"/>
              <w:right w:val="nil"/>
            </w:tcBorders>
            <w:vAlign w:val="bottom"/>
          </w:tcPr>
          <w:p w:rsidR="00000000" w:rsidRDefault="00000000">
            <w:pPr>
              <w:spacing w:before="40" w:after="40" w:line="210" w:lineRule="exact"/>
              <w:rPr>
                <w:sz w:val="17"/>
              </w:rPr>
            </w:pPr>
            <w:r>
              <w:rPr>
                <w:sz w:val="17"/>
              </w:rPr>
              <w:t>1998</w:t>
            </w:r>
          </w:p>
        </w:tc>
        <w:tc>
          <w:tcPr>
            <w:tcW w:w="1170" w:type="dxa"/>
            <w:tcBorders>
              <w:top w:val="nil"/>
              <w:left w:val="nil"/>
              <w:bottom w:val="nil"/>
              <w:right w:val="nil"/>
            </w:tcBorders>
            <w:vAlign w:val="bottom"/>
          </w:tcPr>
          <w:p w:rsidR="00000000" w:rsidRDefault="00000000">
            <w:pPr>
              <w:spacing w:before="40" w:after="40" w:line="210" w:lineRule="exact"/>
              <w:jc w:val="right"/>
              <w:rPr>
                <w:sz w:val="17"/>
              </w:rPr>
            </w:pPr>
            <w:r>
              <w:rPr>
                <w:sz w:val="17"/>
              </w:rPr>
              <w:t>651 314</w:t>
            </w:r>
          </w:p>
        </w:tc>
        <w:tc>
          <w:tcPr>
            <w:tcW w:w="1260" w:type="dxa"/>
            <w:tcBorders>
              <w:top w:val="nil"/>
              <w:left w:val="nil"/>
              <w:bottom w:val="nil"/>
              <w:right w:val="nil"/>
            </w:tcBorders>
            <w:vAlign w:val="bottom"/>
          </w:tcPr>
          <w:p w:rsidR="00000000" w:rsidRDefault="00000000">
            <w:pPr>
              <w:spacing w:before="40" w:after="40" w:line="210" w:lineRule="exact"/>
              <w:jc w:val="right"/>
              <w:rPr>
                <w:sz w:val="17"/>
              </w:rPr>
            </w:pPr>
            <w:r>
              <w:rPr>
                <w:sz w:val="17"/>
              </w:rPr>
              <w:t>439 826</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211 488</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32,47</w:t>
            </w:r>
          </w:p>
        </w:tc>
        <w:tc>
          <w:tcPr>
            <w:tcW w:w="1800" w:type="dxa"/>
            <w:tcBorders>
              <w:top w:val="nil"/>
              <w:left w:val="nil"/>
              <w:bottom w:val="nil"/>
              <w:right w:val="nil"/>
            </w:tcBorders>
          </w:tcPr>
          <w:p w:rsidR="00000000" w:rsidRDefault="00000000">
            <w:pPr>
              <w:spacing w:before="40" w:after="40" w:line="210" w:lineRule="exact"/>
              <w:jc w:val="right"/>
              <w:rPr>
                <w:sz w:val="17"/>
              </w:rPr>
            </w:pPr>
          </w:p>
        </w:tc>
      </w:tr>
      <w:tr w:rsidR="00000000">
        <w:tblPrEx>
          <w:tblCellMar>
            <w:top w:w="0" w:type="dxa"/>
            <w:left w:w="0" w:type="dxa"/>
            <w:bottom w:w="0" w:type="dxa"/>
            <w:right w:w="0" w:type="dxa"/>
          </w:tblCellMar>
        </w:tblPrEx>
        <w:tc>
          <w:tcPr>
            <w:tcW w:w="612" w:type="dxa"/>
            <w:tcBorders>
              <w:top w:val="nil"/>
              <w:left w:val="nil"/>
              <w:bottom w:val="nil"/>
              <w:right w:val="nil"/>
            </w:tcBorders>
            <w:vAlign w:val="bottom"/>
          </w:tcPr>
          <w:p w:rsidR="00000000" w:rsidRDefault="00000000">
            <w:pPr>
              <w:spacing w:before="40" w:after="40" w:line="210" w:lineRule="exact"/>
              <w:rPr>
                <w:sz w:val="17"/>
              </w:rPr>
            </w:pPr>
            <w:r>
              <w:rPr>
                <w:sz w:val="17"/>
              </w:rPr>
              <w:t>1999</w:t>
            </w:r>
          </w:p>
        </w:tc>
        <w:tc>
          <w:tcPr>
            <w:tcW w:w="1170" w:type="dxa"/>
            <w:tcBorders>
              <w:top w:val="nil"/>
              <w:left w:val="nil"/>
              <w:bottom w:val="nil"/>
              <w:right w:val="nil"/>
            </w:tcBorders>
            <w:vAlign w:val="bottom"/>
          </w:tcPr>
          <w:p w:rsidR="00000000" w:rsidRDefault="00000000">
            <w:pPr>
              <w:spacing w:before="40" w:after="40" w:line="210" w:lineRule="exact"/>
              <w:jc w:val="right"/>
              <w:rPr>
                <w:sz w:val="17"/>
              </w:rPr>
            </w:pPr>
            <w:r>
              <w:rPr>
                <w:sz w:val="17"/>
              </w:rPr>
              <w:t>630 890</w:t>
            </w:r>
          </w:p>
        </w:tc>
        <w:tc>
          <w:tcPr>
            <w:tcW w:w="1260" w:type="dxa"/>
            <w:tcBorders>
              <w:top w:val="nil"/>
              <w:left w:val="nil"/>
              <w:bottom w:val="nil"/>
              <w:right w:val="nil"/>
            </w:tcBorders>
            <w:vAlign w:val="bottom"/>
          </w:tcPr>
          <w:p w:rsidR="00000000" w:rsidRDefault="00000000">
            <w:pPr>
              <w:spacing w:before="40" w:after="40" w:line="210" w:lineRule="exact"/>
              <w:jc w:val="right"/>
              <w:rPr>
                <w:sz w:val="17"/>
              </w:rPr>
            </w:pPr>
            <w:r>
              <w:rPr>
                <w:sz w:val="17"/>
              </w:rPr>
              <w:t>428 607</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202 283</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32,06</w:t>
            </w:r>
          </w:p>
        </w:tc>
        <w:tc>
          <w:tcPr>
            <w:tcW w:w="1800" w:type="dxa"/>
            <w:tcBorders>
              <w:top w:val="nil"/>
              <w:left w:val="nil"/>
              <w:bottom w:val="nil"/>
              <w:right w:val="nil"/>
            </w:tcBorders>
          </w:tcPr>
          <w:p w:rsidR="00000000" w:rsidRDefault="00000000">
            <w:pPr>
              <w:spacing w:before="40" w:after="40" w:line="210" w:lineRule="exact"/>
              <w:jc w:val="right"/>
              <w:rPr>
                <w:sz w:val="17"/>
              </w:rPr>
            </w:pPr>
          </w:p>
        </w:tc>
      </w:tr>
      <w:tr w:rsidR="00000000">
        <w:tblPrEx>
          <w:tblCellMar>
            <w:top w:w="0" w:type="dxa"/>
            <w:left w:w="0" w:type="dxa"/>
            <w:bottom w:w="0" w:type="dxa"/>
            <w:right w:w="0" w:type="dxa"/>
          </w:tblCellMar>
        </w:tblPrEx>
        <w:tc>
          <w:tcPr>
            <w:tcW w:w="612" w:type="dxa"/>
            <w:tcBorders>
              <w:top w:val="nil"/>
              <w:left w:val="nil"/>
              <w:bottom w:val="nil"/>
              <w:right w:val="nil"/>
            </w:tcBorders>
            <w:vAlign w:val="bottom"/>
          </w:tcPr>
          <w:p w:rsidR="00000000" w:rsidRDefault="00000000">
            <w:pPr>
              <w:spacing w:before="40" w:after="40" w:line="210" w:lineRule="exact"/>
              <w:rPr>
                <w:sz w:val="17"/>
              </w:rPr>
            </w:pPr>
            <w:r>
              <w:rPr>
                <w:sz w:val="17"/>
              </w:rPr>
              <w:t>2000</w:t>
            </w:r>
          </w:p>
        </w:tc>
        <w:tc>
          <w:tcPr>
            <w:tcW w:w="1170" w:type="dxa"/>
            <w:tcBorders>
              <w:top w:val="nil"/>
              <w:left w:val="nil"/>
              <w:bottom w:val="nil"/>
              <w:right w:val="nil"/>
            </w:tcBorders>
            <w:vAlign w:val="bottom"/>
          </w:tcPr>
          <w:p w:rsidR="00000000" w:rsidRDefault="00000000">
            <w:pPr>
              <w:spacing w:before="40" w:after="40" w:line="210" w:lineRule="exact"/>
              <w:jc w:val="right"/>
              <w:rPr>
                <w:sz w:val="17"/>
              </w:rPr>
            </w:pPr>
            <w:r>
              <w:rPr>
                <w:sz w:val="17"/>
              </w:rPr>
              <w:t>639 053</w:t>
            </w:r>
          </w:p>
        </w:tc>
        <w:tc>
          <w:tcPr>
            <w:tcW w:w="1260" w:type="dxa"/>
            <w:tcBorders>
              <w:top w:val="nil"/>
              <w:left w:val="nil"/>
              <w:bottom w:val="nil"/>
              <w:right w:val="nil"/>
            </w:tcBorders>
            <w:vAlign w:val="bottom"/>
          </w:tcPr>
          <w:p w:rsidR="00000000" w:rsidRDefault="00000000">
            <w:pPr>
              <w:spacing w:before="40" w:after="40" w:line="210" w:lineRule="exact"/>
              <w:jc w:val="right"/>
              <w:rPr>
                <w:sz w:val="17"/>
              </w:rPr>
            </w:pPr>
            <w:r>
              <w:rPr>
                <w:sz w:val="17"/>
              </w:rPr>
              <w:t>432 657</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206 396</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32,29</w:t>
            </w:r>
          </w:p>
        </w:tc>
        <w:tc>
          <w:tcPr>
            <w:tcW w:w="1800" w:type="dxa"/>
            <w:tcBorders>
              <w:top w:val="nil"/>
              <w:left w:val="nil"/>
              <w:bottom w:val="nil"/>
              <w:right w:val="nil"/>
            </w:tcBorders>
          </w:tcPr>
          <w:p w:rsidR="00000000" w:rsidRDefault="00000000">
            <w:pPr>
              <w:spacing w:before="40" w:after="40" w:line="210" w:lineRule="exact"/>
              <w:jc w:val="right"/>
              <w:rPr>
                <w:sz w:val="17"/>
              </w:rPr>
            </w:pPr>
          </w:p>
        </w:tc>
      </w:tr>
      <w:tr w:rsidR="00000000">
        <w:tblPrEx>
          <w:tblCellMar>
            <w:top w:w="0" w:type="dxa"/>
            <w:left w:w="0" w:type="dxa"/>
            <w:bottom w:w="0" w:type="dxa"/>
            <w:right w:w="0" w:type="dxa"/>
          </w:tblCellMar>
        </w:tblPrEx>
        <w:tc>
          <w:tcPr>
            <w:tcW w:w="612" w:type="dxa"/>
            <w:tcBorders>
              <w:top w:val="nil"/>
              <w:left w:val="nil"/>
              <w:bottom w:val="nil"/>
              <w:right w:val="nil"/>
            </w:tcBorders>
            <w:vAlign w:val="bottom"/>
          </w:tcPr>
          <w:p w:rsidR="00000000" w:rsidRDefault="00000000">
            <w:pPr>
              <w:spacing w:before="40" w:after="40" w:line="210" w:lineRule="exact"/>
              <w:rPr>
                <w:sz w:val="17"/>
              </w:rPr>
            </w:pPr>
            <w:r>
              <w:rPr>
                <w:sz w:val="17"/>
              </w:rPr>
              <w:t>2001</w:t>
            </w:r>
          </w:p>
        </w:tc>
        <w:tc>
          <w:tcPr>
            <w:tcW w:w="1170" w:type="dxa"/>
            <w:tcBorders>
              <w:top w:val="nil"/>
              <w:left w:val="nil"/>
              <w:bottom w:val="nil"/>
              <w:right w:val="nil"/>
            </w:tcBorders>
            <w:vAlign w:val="bottom"/>
          </w:tcPr>
          <w:p w:rsidR="00000000" w:rsidRDefault="00000000">
            <w:pPr>
              <w:spacing w:before="40" w:after="40" w:line="210" w:lineRule="exact"/>
              <w:jc w:val="right"/>
              <w:rPr>
                <w:sz w:val="17"/>
              </w:rPr>
            </w:pPr>
            <w:r>
              <w:rPr>
                <w:sz w:val="17"/>
              </w:rPr>
              <w:t>625 643</w:t>
            </w:r>
          </w:p>
        </w:tc>
        <w:tc>
          <w:tcPr>
            <w:tcW w:w="1260" w:type="dxa"/>
            <w:tcBorders>
              <w:top w:val="nil"/>
              <w:left w:val="nil"/>
              <w:bottom w:val="nil"/>
              <w:right w:val="nil"/>
            </w:tcBorders>
            <w:vAlign w:val="bottom"/>
          </w:tcPr>
          <w:p w:rsidR="00000000" w:rsidRDefault="00000000">
            <w:pPr>
              <w:spacing w:before="40" w:after="40" w:line="210" w:lineRule="exact"/>
              <w:jc w:val="right"/>
              <w:rPr>
                <w:sz w:val="17"/>
              </w:rPr>
            </w:pPr>
            <w:r>
              <w:rPr>
                <w:sz w:val="17"/>
              </w:rPr>
              <w:t>426 007</w:t>
            </w:r>
          </w:p>
        </w:tc>
        <w:tc>
          <w:tcPr>
            <w:tcW w:w="1350" w:type="dxa"/>
            <w:tcBorders>
              <w:top w:val="nil"/>
              <w:left w:val="nil"/>
              <w:bottom w:val="nil"/>
              <w:right w:val="nil"/>
            </w:tcBorders>
          </w:tcPr>
          <w:p w:rsidR="00000000" w:rsidRDefault="00000000">
            <w:pPr>
              <w:spacing w:before="40" w:after="40" w:line="210" w:lineRule="exact"/>
              <w:jc w:val="right"/>
              <w:rPr>
                <w:sz w:val="17"/>
              </w:rPr>
            </w:pPr>
            <w:r>
              <w:rPr>
                <w:sz w:val="17"/>
              </w:rPr>
              <w:t>199 636</w:t>
            </w:r>
          </w:p>
        </w:tc>
        <w:tc>
          <w:tcPr>
            <w:tcW w:w="1350" w:type="dxa"/>
            <w:tcBorders>
              <w:top w:val="nil"/>
              <w:left w:val="nil"/>
              <w:bottom w:val="nil"/>
              <w:right w:val="nil"/>
            </w:tcBorders>
            <w:vAlign w:val="bottom"/>
          </w:tcPr>
          <w:p w:rsidR="00000000" w:rsidRDefault="00000000">
            <w:pPr>
              <w:spacing w:before="40" w:after="40" w:line="210" w:lineRule="exact"/>
              <w:jc w:val="right"/>
              <w:rPr>
                <w:sz w:val="17"/>
              </w:rPr>
            </w:pPr>
            <w:r>
              <w:rPr>
                <w:sz w:val="17"/>
              </w:rPr>
              <w:t>31,90</w:t>
            </w:r>
          </w:p>
        </w:tc>
        <w:tc>
          <w:tcPr>
            <w:tcW w:w="1800" w:type="dxa"/>
            <w:tcBorders>
              <w:top w:val="nil"/>
              <w:left w:val="nil"/>
              <w:bottom w:val="nil"/>
              <w:right w:val="nil"/>
            </w:tcBorders>
          </w:tcPr>
          <w:p w:rsidR="00000000" w:rsidRDefault="00000000">
            <w:pPr>
              <w:spacing w:before="40" w:after="40" w:line="210" w:lineRule="exact"/>
              <w:jc w:val="right"/>
              <w:rPr>
                <w:sz w:val="17"/>
              </w:rPr>
            </w:pPr>
          </w:p>
        </w:tc>
      </w:tr>
      <w:tr w:rsidR="00000000">
        <w:tblPrEx>
          <w:tblCellMar>
            <w:top w:w="0" w:type="dxa"/>
            <w:left w:w="0" w:type="dxa"/>
            <w:bottom w:w="0" w:type="dxa"/>
            <w:right w:w="0" w:type="dxa"/>
          </w:tblCellMar>
        </w:tblPrEx>
        <w:tc>
          <w:tcPr>
            <w:tcW w:w="612" w:type="dxa"/>
            <w:tcBorders>
              <w:top w:val="nil"/>
              <w:left w:val="nil"/>
              <w:bottom w:val="single" w:sz="12" w:space="0" w:color="auto"/>
              <w:right w:val="nil"/>
            </w:tcBorders>
            <w:vAlign w:val="bottom"/>
          </w:tcPr>
          <w:p w:rsidR="00000000" w:rsidRDefault="00000000">
            <w:pPr>
              <w:spacing w:before="40" w:after="40" w:line="210" w:lineRule="exact"/>
              <w:rPr>
                <w:sz w:val="17"/>
              </w:rPr>
            </w:pPr>
            <w:r>
              <w:rPr>
                <w:sz w:val="17"/>
              </w:rPr>
              <w:t>2002</w:t>
            </w:r>
          </w:p>
        </w:tc>
        <w:tc>
          <w:tcPr>
            <w:tcW w:w="117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624 914</w:t>
            </w:r>
          </w:p>
        </w:tc>
        <w:tc>
          <w:tcPr>
            <w:tcW w:w="126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425 859</w:t>
            </w:r>
          </w:p>
        </w:tc>
        <w:tc>
          <w:tcPr>
            <w:tcW w:w="1350"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199 055</w:t>
            </w:r>
          </w:p>
        </w:tc>
        <w:tc>
          <w:tcPr>
            <w:tcW w:w="135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31,85</w:t>
            </w:r>
          </w:p>
        </w:tc>
        <w:tc>
          <w:tcPr>
            <w:tcW w:w="1800" w:type="dxa"/>
            <w:tcBorders>
              <w:top w:val="nil"/>
              <w:left w:val="nil"/>
              <w:bottom w:val="single" w:sz="12" w:space="0" w:color="auto"/>
              <w:right w:val="nil"/>
            </w:tcBorders>
          </w:tcPr>
          <w:p w:rsidR="00000000" w:rsidRDefault="00000000">
            <w:pPr>
              <w:spacing w:before="40" w:after="40" w:line="210" w:lineRule="exact"/>
              <w:jc w:val="right"/>
              <w:rPr>
                <w:sz w:val="17"/>
              </w:rPr>
            </w:pPr>
          </w:p>
        </w:tc>
      </w:tr>
    </w:tbl>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i/>
        </w:rPr>
        <w:t>Источник</w:t>
      </w:r>
      <w:r>
        <w:t>: Управление статистики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Средний ежемесячный заработок, 1998-2002 годы (в КМ)</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52"/>
        <w:gridCol w:w="990"/>
        <w:gridCol w:w="900"/>
        <w:gridCol w:w="900"/>
        <w:gridCol w:w="900"/>
        <w:gridCol w:w="900"/>
      </w:tblGrid>
      <w:tr w:rsidR="00000000">
        <w:tblPrEx>
          <w:tblCellMar>
            <w:top w:w="0" w:type="dxa"/>
            <w:left w:w="0" w:type="dxa"/>
            <w:bottom w:w="0" w:type="dxa"/>
            <w:right w:w="0" w:type="dxa"/>
          </w:tblCellMar>
        </w:tblPrEx>
        <w:trPr>
          <w:cantSplit/>
          <w:tblHeader/>
        </w:trPr>
        <w:tc>
          <w:tcPr>
            <w:tcW w:w="7542" w:type="dxa"/>
            <w:gridSpan w:val="6"/>
            <w:tcBorders>
              <w:left w:val="nil"/>
              <w:bottom w:val="single" w:sz="4"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rPr>
                <w:b/>
                <w:i/>
              </w:rPr>
            </w:pPr>
            <w:r>
              <w:rPr>
                <w:b/>
                <w:i/>
              </w:rPr>
              <w:t>Босния и Герцеговина</w:t>
            </w:r>
          </w:p>
        </w:tc>
      </w:tr>
      <w:tr w:rsidR="00000000">
        <w:tblPrEx>
          <w:tblCellMar>
            <w:top w:w="0" w:type="dxa"/>
            <w:left w:w="0" w:type="dxa"/>
            <w:bottom w:w="0" w:type="dxa"/>
            <w:right w:w="0" w:type="dxa"/>
          </w:tblCellMar>
        </w:tblPrEx>
        <w:trPr>
          <w:tblHeader/>
        </w:trPr>
        <w:tc>
          <w:tcPr>
            <w:tcW w:w="2952"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line="240" w:lineRule="auto"/>
              <w:ind w:right="43"/>
              <w:rPr>
                <w:i/>
                <w:sz w:val="14"/>
              </w:rPr>
            </w:pPr>
          </w:p>
        </w:tc>
        <w:tc>
          <w:tcPr>
            <w:tcW w:w="99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1998 год</w:t>
            </w:r>
          </w:p>
        </w:tc>
        <w:tc>
          <w:tcPr>
            <w:tcW w:w="90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1999 год</w:t>
            </w:r>
          </w:p>
        </w:tc>
        <w:tc>
          <w:tcPr>
            <w:tcW w:w="90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2000 год</w:t>
            </w:r>
          </w:p>
        </w:tc>
        <w:tc>
          <w:tcPr>
            <w:tcW w:w="90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2001 год</w:t>
            </w:r>
          </w:p>
        </w:tc>
        <w:tc>
          <w:tcPr>
            <w:tcW w:w="900" w:type="dxa"/>
            <w:tcBorders>
              <w:top w:val="single" w:sz="4" w:space="0" w:color="auto"/>
              <w:left w:val="nil"/>
              <w:bottom w:val="single" w:sz="12" w:space="0" w:color="auto"/>
              <w:right w:val="nil"/>
            </w:tcBorders>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2002 год</w:t>
            </w:r>
          </w:p>
        </w:tc>
      </w:tr>
      <w:tr w:rsidR="00000000">
        <w:tblPrEx>
          <w:tblCellMar>
            <w:top w:w="0" w:type="dxa"/>
            <w:left w:w="0" w:type="dxa"/>
            <w:bottom w:w="0" w:type="dxa"/>
            <w:right w:w="0" w:type="dxa"/>
          </w:tblCellMar>
        </w:tblPrEx>
        <w:trPr>
          <w:trHeight w:hRule="exact" w:val="115"/>
          <w:tblHeader/>
        </w:trPr>
        <w:tc>
          <w:tcPr>
            <w:tcW w:w="295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keepNext/>
              <w:spacing w:before="40" w:after="40" w:line="210" w:lineRule="exact"/>
              <w:rPr>
                <w:sz w:val="17"/>
              </w:rPr>
            </w:pPr>
            <w:r>
              <w:rPr>
                <w:sz w:val="17"/>
              </w:rPr>
              <w:t>Чистый оклад</w:t>
            </w:r>
          </w:p>
        </w:tc>
        <w:tc>
          <w:tcPr>
            <w:tcW w:w="99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296</w:t>
            </w:r>
          </w:p>
        </w:tc>
        <w:tc>
          <w:tcPr>
            <w:tcW w:w="90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343</w:t>
            </w:r>
          </w:p>
        </w:tc>
        <w:tc>
          <w:tcPr>
            <w:tcW w:w="90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374</w:t>
            </w:r>
          </w:p>
        </w:tc>
        <w:tc>
          <w:tcPr>
            <w:tcW w:w="90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443</w:t>
            </w:r>
          </w:p>
        </w:tc>
        <w:tc>
          <w:tcPr>
            <w:tcW w:w="900" w:type="dxa"/>
            <w:tcBorders>
              <w:top w:val="nil"/>
              <w:left w:val="nil"/>
              <w:bottom w:val="nil"/>
              <w:right w:val="nil"/>
            </w:tcBorders>
          </w:tcPr>
          <w:p w:rsidR="00000000" w:rsidRDefault="00000000">
            <w:pPr>
              <w:keepNext/>
              <w:spacing w:before="40" w:after="40" w:line="210" w:lineRule="exact"/>
              <w:jc w:val="right"/>
              <w:rPr>
                <w:sz w:val="17"/>
              </w:rPr>
            </w:pPr>
            <w:r>
              <w:rPr>
                <w:sz w:val="17"/>
              </w:rPr>
              <w:t>446</w:t>
            </w: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spacing w:before="40" w:after="40" w:line="210" w:lineRule="exact"/>
              <w:rPr>
                <w:sz w:val="17"/>
              </w:rPr>
            </w:pPr>
            <w:r>
              <w:rPr>
                <w:sz w:val="17"/>
              </w:rPr>
              <w:t>Оклад с надбавками</w:t>
            </w:r>
          </w:p>
        </w:tc>
        <w:tc>
          <w:tcPr>
            <w:tcW w:w="990" w:type="dxa"/>
            <w:tcBorders>
              <w:top w:val="nil"/>
              <w:left w:val="nil"/>
              <w:bottom w:val="nil"/>
              <w:right w:val="nil"/>
            </w:tcBorders>
            <w:vAlign w:val="bottom"/>
          </w:tcPr>
          <w:p w:rsidR="00000000" w:rsidRDefault="00000000">
            <w:pPr>
              <w:spacing w:before="40" w:after="40" w:line="210" w:lineRule="exact"/>
              <w:jc w:val="right"/>
              <w:rPr>
                <w:sz w:val="17"/>
              </w:rPr>
            </w:pPr>
            <w:r>
              <w:rPr>
                <w:sz w:val="17"/>
              </w:rPr>
              <w:t>454</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503</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541</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652</w:t>
            </w:r>
          </w:p>
        </w:tc>
        <w:tc>
          <w:tcPr>
            <w:tcW w:w="900" w:type="dxa"/>
            <w:tcBorders>
              <w:top w:val="nil"/>
              <w:left w:val="nil"/>
              <w:bottom w:val="nil"/>
              <w:right w:val="nil"/>
            </w:tcBorders>
          </w:tcPr>
          <w:p w:rsidR="00000000" w:rsidRDefault="00000000">
            <w:pPr>
              <w:spacing w:before="40" w:after="40" w:line="210" w:lineRule="exact"/>
              <w:jc w:val="right"/>
              <w:rPr>
                <w:sz w:val="17"/>
              </w:rPr>
            </w:pPr>
            <w:r>
              <w:rPr>
                <w:sz w:val="17"/>
              </w:rPr>
              <w:t>660</w:t>
            </w: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spacing w:before="40" w:after="40" w:line="210" w:lineRule="exact"/>
              <w:rPr>
                <w:sz w:val="17"/>
              </w:rPr>
            </w:pPr>
            <w:r>
              <w:rPr>
                <w:sz w:val="17"/>
              </w:rPr>
              <w:t>Увеличение чистого окл</w:t>
            </w:r>
            <w:r>
              <w:rPr>
                <w:sz w:val="17"/>
              </w:rPr>
              <w:t>а</w:t>
            </w:r>
            <w:r>
              <w:rPr>
                <w:sz w:val="17"/>
              </w:rPr>
              <w:t>да (%)</w:t>
            </w:r>
          </w:p>
        </w:tc>
        <w:tc>
          <w:tcPr>
            <w:tcW w:w="990" w:type="dxa"/>
            <w:tcBorders>
              <w:top w:val="nil"/>
              <w:left w:val="nil"/>
              <w:bottom w:val="nil"/>
              <w:right w:val="nil"/>
            </w:tcBorders>
            <w:vAlign w:val="bottom"/>
          </w:tcPr>
          <w:p w:rsidR="00000000" w:rsidRDefault="00000000">
            <w:pPr>
              <w:spacing w:before="40" w:after="40" w:line="210" w:lineRule="exact"/>
              <w:jc w:val="right"/>
              <w:rPr>
                <w:sz w:val="17"/>
              </w:rPr>
            </w:pPr>
            <w:r>
              <w:rPr>
                <w:sz w:val="17"/>
              </w:rPr>
              <w:t>нет да</w:t>
            </w:r>
            <w:r>
              <w:rPr>
                <w:sz w:val="17"/>
              </w:rPr>
              <w:t>н</w:t>
            </w:r>
            <w:r>
              <w:rPr>
                <w:sz w:val="17"/>
              </w:rPr>
              <w:t>ных</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15,9</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9,0</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18,4</w:t>
            </w:r>
          </w:p>
        </w:tc>
        <w:tc>
          <w:tcPr>
            <w:tcW w:w="900" w:type="dxa"/>
            <w:tcBorders>
              <w:top w:val="nil"/>
              <w:left w:val="nil"/>
              <w:bottom w:val="nil"/>
              <w:right w:val="nil"/>
            </w:tcBorders>
          </w:tcPr>
          <w:p w:rsidR="00000000" w:rsidRDefault="00000000">
            <w:pPr>
              <w:spacing w:before="40" w:after="40" w:line="210" w:lineRule="exact"/>
              <w:jc w:val="right"/>
              <w:rPr>
                <w:sz w:val="17"/>
              </w:rPr>
            </w:pPr>
            <w:r>
              <w:rPr>
                <w:sz w:val="17"/>
              </w:rPr>
              <w:t>0,7</w:t>
            </w:r>
          </w:p>
        </w:tc>
      </w:tr>
      <w:tr w:rsidR="00000000">
        <w:tblPrEx>
          <w:tblCellMar>
            <w:top w:w="0" w:type="dxa"/>
            <w:left w:w="0" w:type="dxa"/>
            <w:bottom w:w="0" w:type="dxa"/>
            <w:right w:w="0" w:type="dxa"/>
          </w:tblCellMar>
        </w:tblPrEx>
        <w:tc>
          <w:tcPr>
            <w:tcW w:w="2952" w:type="dxa"/>
            <w:tcBorders>
              <w:top w:val="nil"/>
              <w:left w:val="nil"/>
              <w:bottom w:val="single" w:sz="12" w:space="0" w:color="auto"/>
              <w:right w:val="nil"/>
            </w:tcBorders>
            <w:vAlign w:val="bottom"/>
          </w:tcPr>
          <w:p w:rsidR="00000000" w:rsidRDefault="00000000">
            <w:pPr>
              <w:spacing w:before="40" w:after="40" w:line="210" w:lineRule="exact"/>
              <w:rPr>
                <w:sz w:val="17"/>
              </w:rPr>
            </w:pPr>
            <w:r>
              <w:rPr>
                <w:sz w:val="17"/>
              </w:rPr>
              <w:t>Увеличение оклада с надбавк</w:t>
            </w:r>
            <w:r>
              <w:rPr>
                <w:sz w:val="17"/>
              </w:rPr>
              <w:t>а</w:t>
            </w:r>
            <w:r>
              <w:rPr>
                <w:sz w:val="17"/>
              </w:rPr>
              <w:t>ми (%)</w:t>
            </w:r>
          </w:p>
        </w:tc>
        <w:tc>
          <w:tcPr>
            <w:tcW w:w="99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нет да</w:t>
            </w:r>
            <w:r>
              <w:rPr>
                <w:sz w:val="17"/>
              </w:rPr>
              <w:t>н</w:t>
            </w:r>
            <w:r>
              <w:rPr>
                <w:sz w:val="17"/>
              </w:rPr>
              <w:t>ных</w:t>
            </w:r>
          </w:p>
        </w:tc>
        <w:tc>
          <w:tcPr>
            <w:tcW w:w="90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10,8</w:t>
            </w:r>
          </w:p>
        </w:tc>
        <w:tc>
          <w:tcPr>
            <w:tcW w:w="90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7,6</w:t>
            </w:r>
          </w:p>
        </w:tc>
        <w:tc>
          <w:tcPr>
            <w:tcW w:w="90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20,5</w:t>
            </w:r>
          </w:p>
        </w:tc>
        <w:tc>
          <w:tcPr>
            <w:tcW w:w="900"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1,2</w:t>
            </w:r>
          </w:p>
        </w:tc>
      </w:tr>
    </w:tbl>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11.5а</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52"/>
        <w:gridCol w:w="990"/>
        <w:gridCol w:w="900"/>
        <w:gridCol w:w="900"/>
        <w:gridCol w:w="900"/>
        <w:gridCol w:w="900"/>
      </w:tblGrid>
      <w:tr w:rsidR="00000000">
        <w:tblPrEx>
          <w:tblCellMar>
            <w:top w:w="0" w:type="dxa"/>
            <w:left w:w="0" w:type="dxa"/>
            <w:bottom w:w="0" w:type="dxa"/>
            <w:right w:w="0" w:type="dxa"/>
          </w:tblCellMar>
        </w:tblPrEx>
        <w:trPr>
          <w:cantSplit/>
          <w:tblHeader/>
        </w:trPr>
        <w:tc>
          <w:tcPr>
            <w:tcW w:w="7542" w:type="dxa"/>
            <w:gridSpan w:val="6"/>
            <w:tcBorders>
              <w:left w:val="nil"/>
              <w:bottom w:val="single" w:sz="4"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rPr>
                <w:b/>
                <w:i/>
              </w:rPr>
            </w:pPr>
            <w:r>
              <w:rPr>
                <w:b/>
                <w:i/>
              </w:rPr>
              <w:t>Федерация Боснии и Герцеговины</w:t>
            </w:r>
          </w:p>
        </w:tc>
      </w:tr>
      <w:tr w:rsidR="00000000">
        <w:tblPrEx>
          <w:tblCellMar>
            <w:top w:w="0" w:type="dxa"/>
            <w:left w:w="0" w:type="dxa"/>
            <w:bottom w:w="0" w:type="dxa"/>
            <w:right w:w="0" w:type="dxa"/>
          </w:tblCellMar>
        </w:tblPrEx>
        <w:trPr>
          <w:tblHeader/>
        </w:trPr>
        <w:tc>
          <w:tcPr>
            <w:tcW w:w="2952"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line="240" w:lineRule="auto"/>
              <w:ind w:right="43"/>
              <w:rPr>
                <w:i/>
                <w:sz w:val="14"/>
              </w:rPr>
            </w:pPr>
          </w:p>
        </w:tc>
        <w:tc>
          <w:tcPr>
            <w:tcW w:w="99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1998 год</w:t>
            </w:r>
          </w:p>
        </w:tc>
        <w:tc>
          <w:tcPr>
            <w:tcW w:w="90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1999 год</w:t>
            </w:r>
          </w:p>
        </w:tc>
        <w:tc>
          <w:tcPr>
            <w:tcW w:w="90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2000 год</w:t>
            </w:r>
          </w:p>
        </w:tc>
        <w:tc>
          <w:tcPr>
            <w:tcW w:w="90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2001 год</w:t>
            </w:r>
          </w:p>
        </w:tc>
        <w:tc>
          <w:tcPr>
            <w:tcW w:w="900" w:type="dxa"/>
            <w:tcBorders>
              <w:top w:val="single" w:sz="4" w:space="0" w:color="auto"/>
              <w:left w:val="nil"/>
              <w:bottom w:val="single" w:sz="12" w:space="0" w:color="auto"/>
              <w:right w:val="nil"/>
            </w:tcBorders>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2002 год</w:t>
            </w:r>
          </w:p>
        </w:tc>
      </w:tr>
      <w:tr w:rsidR="00000000">
        <w:tblPrEx>
          <w:tblCellMar>
            <w:top w:w="0" w:type="dxa"/>
            <w:left w:w="0" w:type="dxa"/>
            <w:bottom w:w="0" w:type="dxa"/>
            <w:right w:w="0" w:type="dxa"/>
          </w:tblCellMar>
        </w:tblPrEx>
        <w:trPr>
          <w:trHeight w:hRule="exact" w:val="115"/>
          <w:tblHeader/>
        </w:trPr>
        <w:tc>
          <w:tcPr>
            <w:tcW w:w="295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keepNext/>
              <w:spacing w:before="40" w:after="40" w:line="210" w:lineRule="exact"/>
              <w:rPr>
                <w:sz w:val="17"/>
              </w:rPr>
            </w:pPr>
            <w:r>
              <w:rPr>
                <w:sz w:val="17"/>
              </w:rPr>
              <w:t xml:space="preserve">Чистый оклад </w:t>
            </w:r>
          </w:p>
        </w:tc>
        <w:tc>
          <w:tcPr>
            <w:tcW w:w="99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329</w:t>
            </w:r>
          </w:p>
        </w:tc>
        <w:tc>
          <w:tcPr>
            <w:tcW w:w="90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374</w:t>
            </w:r>
          </w:p>
        </w:tc>
        <w:tc>
          <w:tcPr>
            <w:tcW w:w="90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414</w:t>
            </w:r>
          </w:p>
        </w:tc>
        <w:tc>
          <w:tcPr>
            <w:tcW w:w="90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443</w:t>
            </w:r>
          </w:p>
        </w:tc>
        <w:tc>
          <w:tcPr>
            <w:tcW w:w="900" w:type="dxa"/>
            <w:tcBorders>
              <w:top w:val="nil"/>
              <w:left w:val="nil"/>
              <w:bottom w:val="nil"/>
              <w:right w:val="nil"/>
            </w:tcBorders>
          </w:tcPr>
          <w:p w:rsidR="00000000" w:rsidRDefault="00000000">
            <w:pPr>
              <w:keepNext/>
              <w:spacing w:before="40" w:after="40" w:line="210" w:lineRule="exact"/>
              <w:jc w:val="right"/>
              <w:rPr>
                <w:sz w:val="17"/>
              </w:rPr>
            </w:pPr>
            <w:r>
              <w:rPr>
                <w:sz w:val="17"/>
              </w:rPr>
              <w:t>483</w:t>
            </w: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spacing w:before="40" w:after="40" w:line="210" w:lineRule="exact"/>
              <w:rPr>
                <w:sz w:val="17"/>
              </w:rPr>
            </w:pPr>
            <w:r>
              <w:rPr>
                <w:sz w:val="17"/>
              </w:rPr>
              <w:t>Оклад с надбавками</w:t>
            </w:r>
          </w:p>
        </w:tc>
        <w:tc>
          <w:tcPr>
            <w:tcW w:w="990" w:type="dxa"/>
            <w:tcBorders>
              <w:top w:val="nil"/>
              <w:left w:val="nil"/>
              <w:bottom w:val="nil"/>
              <w:right w:val="nil"/>
            </w:tcBorders>
            <w:vAlign w:val="bottom"/>
          </w:tcPr>
          <w:p w:rsidR="00000000" w:rsidRDefault="00000000">
            <w:pPr>
              <w:spacing w:before="40" w:after="40" w:line="210" w:lineRule="exact"/>
              <w:jc w:val="right"/>
              <w:rPr>
                <w:sz w:val="17"/>
              </w:rPr>
            </w:pPr>
            <w:r>
              <w:rPr>
                <w:sz w:val="17"/>
              </w:rPr>
              <w:t>507</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551</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626</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652</w:t>
            </w:r>
          </w:p>
        </w:tc>
        <w:tc>
          <w:tcPr>
            <w:tcW w:w="900" w:type="dxa"/>
            <w:tcBorders>
              <w:top w:val="nil"/>
              <w:left w:val="nil"/>
              <w:bottom w:val="nil"/>
              <w:right w:val="nil"/>
            </w:tcBorders>
          </w:tcPr>
          <w:p w:rsidR="00000000" w:rsidRDefault="00000000">
            <w:pPr>
              <w:spacing w:before="40" w:after="40" w:line="210" w:lineRule="exact"/>
              <w:jc w:val="right"/>
              <w:rPr>
                <w:sz w:val="17"/>
              </w:rPr>
            </w:pPr>
            <w:r>
              <w:rPr>
                <w:sz w:val="17"/>
              </w:rPr>
              <w:t>710</w:t>
            </w: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spacing w:before="40" w:after="40" w:line="210" w:lineRule="exact"/>
              <w:rPr>
                <w:sz w:val="17"/>
              </w:rPr>
            </w:pPr>
            <w:r>
              <w:rPr>
                <w:sz w:val="17"/>
              </w:rPr>
              <w:t>Увеличение чистого окл</w:t>
            </w:r>
            <w:r>
              <w:rPr>
                <w:sz w:val="17"/>
              </w:rPr>
              <w:t>а</w:t>
            </w:r>
            <w:r>
              <w:rPr>
                <w:sz w:val="17"/>
              </w:rPr>
              <w:t>да (%)</w:t>
            </w:r>
          </w:p>
        </w:tc>
        <w:tc>
          <w:tcPr>
            <w:tcW w:w="990" w:type="dxa"/>
            <w:tcBorders>
              <w:top w:val="nil"/>
              <w:left w:val="nil"/>
              <w:bottom w:val="nil"/>
              <w:right w:val="nil"/>
            </w:tcBorders>
            <w:vAlign w:val="bottom"/>
          </w:tcPr>
          <w:p w:rsidR="00000000" w:rsidRDefault="00000000">
            <w:pPr>
              <w:spacing w:before="40" w:after="40" w:line="210" w:lineRule="exact"/>
              <w:jc w:val="right"/>
              <w:rPr>
                <w:sz w:val="17"/>
              </w:rPr>
            </w:pPr>
            <w:r>
              <w:rPr>
                <w:sz w:val="17"/>
              </w:rPr>
              <w:t>нет да</w:t>
            </w:r>
            <w:r>
              <w:rPr>
                <w:sz w:val="17"/>
              </w:rPr>
              <w:t>н</w:t>
            </w:r>
            <w:r>
              <w:rPr>
                <w:sz w:val="17"/>
              </w:rPr>
              <w:t>ных</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13,7</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10,7</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7,0</w:t>
            </w:r>
          </w:p>
        </w:tc>
        <w:tc>
          <w:tcPr>
            <w:tcW w:w="900" w:type="dxa"/>
            <w:tcBorders>
              <w:top w:val="nil"/>
              <w:left w:val="nil"/>
              <w:bottom w:val="nil"/>
              <w:right w:val="nil"/>
            </w:tcBorders>
          </w:tcPr>
          <w:p w:rsidR="00000000" w:rsidRDefault="00000000">
            <w:pPr>
              <w:spacing w:before="40" w:after="40" w:line="210" w:lineRule="exact"/>
              <w:jc w:val="right"/>
              <w:rPr>
                <w:sz w:val="17"/>
              </w:rPr>
            </w:pPr>
            <w:r>
              <w:rPr>
                <w:sz w:val="17"/>
              </w:rPr>
              <w:t>9,9</w:t>
            </w:r>
          </w:p>
        </w:tc>
      </w:tr>
      <w:tr w:rsidR="00000000">
        <w:tblPrEx>
          <w:tblCellMar>
            <w:top w:w="0" w:type="dxa"/>
            <w:left w:w="0" w:type="dxa"/>
            <w:bottom w:w="0" w:type="dxa"/>
            <w:right w:w="0" w:type="dxa"/>
          </w:tblCellMar>
        </w:tblPrEx>
        <w:tc>
          <w:tcPr>
            <w:tcW w:w="2952" w:type="dxa"/>
            <w:tcBorders>
              <w:top w:val="nil"/>
              <w:left w:val="nil"/>
              <w:bottom w:val="single" w:sz="12" w:space="0" w:color="auto"/>
              <w:right w:val="nil"/>
            </w:tcBorders>
            <w:vAlign w:val="bottom"/>
          </w:tcPr>
          <w:p w:rsidR="00000000" w:rsidRDefault="00000000">
            <w:pPr>
              <w:spacing w:before="40" w:after="40" w:line="210" w:lineRule="exact"/>
              <w:rPr>
                <w:sz w:val="17"/>
              </w:rPr>
            </w:pPr>
            <w:r>
              <w:rPr>
                <w:sz w:val="17"/>
              </w:rPr>
              <w:t>Увеличение оклада с надбавк</w:t>
            </w:r>
            <w:r>
              <w:rPr>
                <w:sz w:val="17"/>
              </w:rPr>
              <w:t>а</w:t>
            </w:r>
            <w:r>
              <w:rPr>
                <w:sz w:val="17"/>
              </w:rPr>
              <w:t>ми (%)</w:t>
            </w:r>
          </w:p>
        </w:tc>
        <w:tc>
          <w:tcPr>
            <w:tcW w:w="99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нет да</w:t>
            </w:r>
            <w:r>
              <w:rPr>
                <w:sz w:val="17"/>
              </w:rPr>
              <w:t>н</w:t>
            </w:r>
            <w:r>
              <w:rPr>
                <w:sz w:val="17"/>
              </w:rPr>
              <w:t>ных</w:t>
            </w:r>
          </w:p>
        </w:tc>
        <w:tc>
          <w:tcPr>
            <w:tcW w:w="90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8,7</w:t>
            </w:r>
          </w:p>
        </w:tc>
        <w:tc>
          <w:tcPr>
            <w:tcW w:w="90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13,6</w:t>
            </w:r>
          </w:p>
        </w:tc>
        <w:tc>
          <w:tcPr>
            <w:tcW w:w="90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4,2</w:t>
            </w:r>
          </w:p>
        </w:tc>
        <w:tc>
          <w:tcPr>
            <w:tcW w:w="900"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8,9</w:t>
            </w:r>
          </w:p>
        </w:tc>
      </w:tr>
    </w:tbl>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r>
        <w:rPr>
          <w:sz w:val="10"/>
        </w:rPr>
        <w:br w:type="page"/>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11.5b</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52"/>
        <w:gridCol w:w="990"/>
        <w:gridCol w:w="900"/>
        <w:gridCol w:w="900"/>
        <w:gridCol w:w="900"/>
        <w:gridCol w:w="900"/>
      </w:tblGrid>
      <w:tr w:rsidR="00000000">
        <w:tblPrEx>
          <w:tblCellMar>
            <w:top w:w="0" w:type="dxa"/>
            <w:left w:w="0" w:type="dxa"/>
            <w:bottom w:w="0" w:type="dxa"/>
            <w:right w:w="0" w:type="dxa"/>
          </w:tblCellMar>
        </w:tblPrEx>
        <w:trPr>
          <w:cantSplit/>
          <w:tblHeader/>
        </w:trPr>
        <w:tc>
          <w:tcPr>
            <w:tcW w:w="7542" w:type="dxa"/>
            <w:gridSpan w:val="6"/>
            <w:tcBorders>
              <w:left w:val="nil"/>
              <w:bottom w:val="single" w:sz="4"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rPr>
                <w:b/>
                <w:i/>
              </w:rPr>
            </w:pPr>
            <w:r>
              <w:rPr>
                <w:b/>
                <w:i/>
              </w:rPr>
              <w:t>Республика Сербская</w:t>
            </w:r>
          </w:p>
        </w:tc>
      </w:tr>
      <w:tr w:rsidR="00000000">
        <w:tblPrEx>
          <w:tblCellMar>
            <w:top w:w="0" w:type="dxa"/>
            <w:left w:w="0" w:type="dxa"/>
            <w:bottom w:w="0" w:type="dxa"/>
            <w:right w:w="0" w:type="dxa"/>
          </w:tblCellMar>
        </w:tblPrEx>
        <w:trPr>
          <w:tblHeader/>
        </w:trPr>
        <w:tc>
          <w:tcPr>
            <w:tcW w:w="2952"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line="240" w:lineRule="auto"/>
              <w:ind w:right="43"/>
              <w:rPr>
                <w:i/>
                <w:sz w:val="14"/>
              </w:rPr>
            </w:pPr>
          </w:p>
        </w:tc>
        <w:tc>
          <w:tcPr>
            <w:tcW w:w="99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1998 год</w:t>
            </w:r>
          </w:p>
        </w:tc>
        <w:tc>
          <w:tcPr>
            <w:tcW w:w="90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1999 год</w:t>
            </w:r>
          </w:p>
        </w:tc>
        <w:tc>
          <w:tcPr>
            <w:tcW w:w="90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2000 год</w:t>
            </w:r>
          </w:p>
        </w:tc>
        <w:tc>
          <w:tcPr>
            <w:tcW w:w="90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2001 год</w:t>
            </w:r>
          </w:p>
        </w:tc>
        <w:tc>
          <w:tcPr>
            <w:tcW w:w="90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2002 год</w:t>
            </w:r>
          </w:p>
        </w:tc>
      </w:tr>
      <w:tr w:rsidR="00000000">
        <w:tblPrEx>
          <w:tblCellMar>
            <w:top w:w="0" w:type="dxa"/>
            <w:left w:w="0" w:type="dxa"/>
            <w:bottom w:w="0" w:type="dxa"/>
            <w:right w:w="0" w:type="dxa"/>
          </w:tblCellMar>
        </w:tblPrEx>
        <w:trPr>
          <w:trHeight w:hRule="exact" w:val="115"/>
          <w:tblHeader/>
        </w:trPr>
        <w:tc>
          <w:tcPr>
            <w:tcW w:w="295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keepNext/>
              <w:spacing w:before="40" w:after="40" w:line="210" w:lineRule="exact"/>
              <w:rPr>
                <w:sz w:val="17"/>
              </w:rPr>
            </w:pPr>
            <w:r>
              <w:rPr>
                <w:sz w:val="17"/>
              </w:rPr>
              <w:t xml:space="preserve">Чистый оклад </w:t>
            </w:r>
          </w:p>
        </w:tc>
        <w:tc>
          <w:tcPr>
            <w:tcW w:w="99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170</w:t>
            </w:r>
          </w:p>
        </w:tc>
        <w:tc>
          <w:tcPr>
            <w:tcW w:w="90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216</w:t>
            </w:r>
          </w:p>
        </w:tc>
        <w:tc>
          <w:tcPr>
            <w:tcW w:w="90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277</w:t>
            </w:r>
          </w:p>
        </w:tc>
        <w:tc>
          <w:tcPr>
            <w:tcW w:w="90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309</w:t>
            </w:r>
          </w:p>
        </w:tc>
        <w:tc>
          <w:tcPr>
            <w:tcW w:w="900" w:type="dxa"/>
            <w:tcBorders>
              <w:top w:val="nil"/>
              <w:left w:val="nil"/>
              <w:bottom w:val="nil"/>
              <w:right w:val="nil"/>
            </w:tcBorders>
          </w:tcPr>
          <w:p w:rsidR="00000000" w:rsidRDefault="00000000">
            <w:pPr>
              <w:keepNext/>
              <w:spacing w:before="40" w:after="40" w:line="210" w:lineRule="exact"/>
              <w:jc w:val="right"/>
              <w:rPr>
                <w:sz w:val="17"/>
              </w:rPr>
            </w:pPr>
            <w:r>
              <w:rPr>
                <w:sz w:val="17"/>
              </w:rPr>
              <w:t>347</w:t>
            </w: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spacing w:before="40" w:after="40" w:line="210" w:lineRule="exact"/>
              <w:rPr>
                <w:sz w:val="17"/>
              </w:rPr>
            </w:pPr>
            <w:r>
              <w:rPr>
                <w:sz w:val="17"/>
              </w:rPr>
              <w:t>Оклад с надбавками</w:t>
            </w:r>
          </w:p>
        </w:tc>
        <w:tc>
          <w:tcPr>
            <w:tcW w:w="990" w:type="dxa"/>
            <w:tcBorders>
              <w:top w:val="nil"/>
              <w:left w:val="nil"/>
              <w:bottom w:val="nil"/>
              <w:right w:val="nil"/>
            </w:tcBorders>
            <w:vAlign w:val="bottom"/>
          </w:tcPr>
          <w:p w:rsidR="00000000" w:rsidRDefault="00000000">
            <w:pPr>
              <w:spacing w:before="40" w:after="40" w:line="210" w:lineRule="exact"/>
              <w:jc w:val="right"/>
              <w:rPr>
                <w:sz w:val="17"/>
              </w:rPr>
            </w:pPr>
            <w:r>
              <w:rPr>
                <w:sz w:val="17"/>
              </w:rPr>
              <w:t>256</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314</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387</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444</w:t>
            </w:r>
          </w:p>
        </w:tc>
        <w:tc>
          <w:tcPr>
            <w:tcW w:w="900" w:type="dxa"/>
            <w:tcBorders>
              <w:top w:val="nil"/>
              <w:left w:val="nil"/>
              <w:bottom w:val="nil"/>
              <w:right w:val="nil"/>
            </w:tcBorders>
          </w:tcPr>
          <w:p w:rsidR="00000000" w:rsidRDefault="00000000">
            <w:pPr>
              <w:spacing w:before="40" w:after="40" w:line="210" w:lineRule="exact"/>
              <w:jc w:val="right"/>
              <w:rPr>
                <w:sz w:val="17"/>
              </w:rPr>
            </w:pPr>
            <w:r>
              <w:rPr>
                <w:sz w:val="17"/>
              </w:rPr>
              <w:t>528</w:t>
            </w: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spacing w:before="40" w:after="40" w:line="210" w:lineRule="exact"/>
              <w:rPr>
                <w:sz w:val="17"/>
              </w:rPr>
            </w:pPr>
            <w:r>
              <w:rPr>
                <w:sz w:val="17"/>
              </w:rPr>
              <w:t>Увеличение чистого окл</w:t>
            </w:r>
            <w:r>
              <w:rPr>
                <w:sz w:val="17"/>
              </w:rPr>
              <w:t>а</w:t>
            </w:r>
            <w:r>
              <w:rPr>
                <w:sz w:val="17"/>
              </w:rPr>
              <w:t>да (%)</w:t>
            </w:r>
          </w:p>
        </w:tc>
        <w:tc>
          <w:tcPr>
            <w:tcW w:w="990" w:type="dxa"/>
            <w:tcBorders>
              <w:top w:val="nil"/>
              <w:left w:val="nil"/>
              <w:bottom w:val="nil"/>
              <w:right w:val="nil"/>
            </w:tcBorders>
            <w:vAlign w:val="bottom"/>
          </w:tcPr>
          <w:p w:rsidR="00000000" w:rsidRDefault="00000000">
            <w:pPr>
              <w:spacing w:before="40" w:after="40" w:line="210" w:lineRule="exact"/>
              <w:jc w:val="right"/>
              <w:rPr>
                <w:sz w:val="17"/>
              </w:rPr>
            </w:pPr>
            <w:r>
              <w:rPr>
                <w:sz w:val="17"/>
              </w:rPr>
              <w:t>нет да</w:t>
            </w:r>
            <w:r>
              <w:rPr>
                <w:sz w:val="17"/>
              </w:rPr>
              <w:t>н</w:t>
            </w:r>
            <w:r>
              <w:rPr>
                <w:sz w:val="17"/>
              </w:rPr>
              <w:t>ных</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27,1</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28,2</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11,6</w:t>
            </w:r>
          </w:p>
        </w:tc>
        <w:tc>
          <w:tcPr>
            <w:tcW w:w="900" w:type="dxa"/>
            <w:tcBorders>
              <w:top w:val="nil"/>
              <w:left w:val="nil"/>
              <w:bottom w:val="nil"/>
              <w:right w:val="nil"/>
            </w:tcBorders>
          </w:tcPr>
          <w:p w:rsidR="00000000" w:rsidRDefault="00000000">
            <w:pPr>
              <w:spacing w:before="40" w:after="40" w:line="210" w:lineRule="exact"/>
              <w:jc w:val="right"/>
              <w:rPr>
                <w:sz w:val="17"/>
              </w:rPr>
            </w:pPr>
            <w:r>
              <w:rPr>
                <w:sz w:val="17"/>
              </w:rPr>
              <w:t>12,3</w:t>
            </w:r>
          </w:p>
        </w:tc>
      </w:tr>
      <w:tr w:rsidR="00000000">
        <w:tblPrEx>
          <w:tblCellMar>
            <w:top w:w="0" w:type="dxa"/>
            <w:left w:w="0" w:type="dxa"/>
            <w:bottom w:w="0" w:type="dxa"/>
            <w:right w:w="0" w:type="dxa"/>
          </w:tblCellMar>
        </w:tblPrEx>
        <w:tc>
          <w:tcPr>
            <w:tcW w:w="2952" w:type="dxa"/>
            <w:tcBorders>
              <w:top w:val="nil"/>
              <w:left w:val="nil"/>
              <w:bottom w:val="single" w:sz="12" w:space="0" w:color="auto"/>
              <w:right w:val="nil"/>
            </w:tcBorders>
            <w:vAlign w:val="bottom"/>
          </w:tcPr>
          <w:p w:rsidR="00000000" w:rsidRDefault="00000000">
            <w:pPr>
              <w:spacing w:before="40" w:after="40" w:line="210" w:lineRule="exact"/>
              <w:rPr>
                <w:sz w:val="17"/>
              </w:rPr>
            </w:pPr>
            <w:r>
              <w:rPr>
                <w:sz w:val="17"/>
              </w:rPr>
              <w:t>Увеличение оклада с надбавк</w:t>
            </w:r>
            <w:r>
              <w:rPr>
                <w:sz w:val="17"/>
              </w:rPr>
              <w:t>а</w:t>
            </w:r>
            <w:r>
              <w:rPr>
                <w:sz w:val="17"/>
              </w:rPr>
              <w:t>ми (%)</w:t>
            </w:r>
          </w:p>
        </w:tc>
        <w:tc>
          <w:tcPr>
            <w:tcW w:w="99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нет да</w:t>
            </w:r>
            <w:r>
              <w:rPr>
                <w:sz w:val="17"/>
              </w:rPr>
              <w:t>н</w:t>
            </w:r>
            <w:r>
              <w:rPr>
                <w:sz w:val="17"/>
              </w:rPr>
              <w:t>ных</w:t>
            </w:r>
          </w:p>
        </w:tc>
        <w:tc>
          <w:tcPr>
            <w:tcW w:w="90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22,7</w:t>
            </w:r>
          </w:p>
        </w:tc>
        <w:tc>
          <w:tcPr>
            <w:tcW w:w="90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23,2</w:t>
            </w:r>
          </w:p>
        </w:tc>
        <w:tc>
          <w:tcPr>
            <w:tcW w:w="90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14,7</w:t>
            </w:r>
          </w:p>
        </w:tc>
        <w:tc>
          <w:tcPr>
            <w:tcW w:w="900"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18,9</w:t>
            </w:r>
          </w:p>
        </w:tc>
      </w:tr>
    </w:tbl>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i/>
        </w:rPr>
        <w:t>Источник</w:t>
      </w:r>
      <w:r>
        <w:t>: Статистический бюллетень № 4, 2003 год, Управление статистики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i/>
        </w:rPr>
        <w:t>Примечание</w:t>
      </w:r>
      <w:r>
        <w:t>: В регионе Брчко применялась иная методология сбора данных об окладах.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11.5с</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52"/>
        <w:gridCol w:w="990"/>
        <w:gridCol w:w="900"/>
        <w:gridCol w:w="900"/>
        <w:gridCol w:w="900"/>
        <w:gridCol w:w="900"/>
      </w:tblGrid>
      <w:tr w:rsidR="00000000">
        <w:tblPrEx>
          <w:tblCellMar>
            <w:top w:w="0" w:type="dxa"/>
            <w:left w:w="0" w:type="dxa"/>
            <w:bottom w:w="0" w:type="dxa"/>
            <w:right w:w="0" w:type="dxa"/>
          </w:tblCellMar>
        </w:tblPrEx>
        <w:trPr>
          <w:cantSplit/>
          <w:tblHeader/>
        </w:trPr>
        <w:tc>
          <w:tcPr>
            <w:tcW w:w="7542" w:type="dxa"/>
            <w:gridSpan w:val="6"/>
            <w:tcBorders>
              <w:left w:val="nil"/>
              <w:bottom w:val="single" w:sz="4"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rPr>
                <w:b/>
                <w:i/>
              </w:rPr>
            </w:pPr>
            <w:r>
              <w:rPr>
                <w:b/>
                <w:i/>
              </w:rPr>
              <w:t>Регион Брчко Боснии и Герцеговины</w:t>
            </w:r>
          </w:p>
        </w:tc>
      </w:tr>
      <w:tr w:rsidR="00000000">
        <w:tblPrEx>
          <w:tblCellMar>
            <w:top w:w="0" w:type="dxa"/>
            <w:left w:w="0" w:type="dxa"/>
            <w:bottom w:w="0" w:type="dxa"/>
            <w:right w:w="0" w:type="dxa"/>
          </w:tblCellMar>
        </w:tblPrEx>
        <w:trPr>
          <w:tblHeader/>
        </w:trPr>
        <w:tc>
          <w:tcPr>
            <w:tcW w:w="2952"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rPr>
                <w:i/>
                <w:sz w:val="14"/>
              </w:rPr>
            </w:pPr>
          </w:p>
        </w:tc>
        <w:tc>
          <w:tcPr>
            <w:tcW w:w="99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2001 год</w:t>
            </w:r>
          </w:p>
        </w:tc>
        <w:tc>
          <w:tcPr>
            <w:tcW w:w="90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2002 год</w:t>
            </w:r>
          </w:p>
        </w:tc>
        <w:tc>
          <w:tcPr>
            <w:tcW w:w="90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p>
        </w:tc>
        <w:tc>
          <w:tcPr>
            <w:tcW w:w="90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p>
        </w:tc>
        <w:tc>
          <w:tcPr>
            <w:tcW w:w="900" w:type="dxa"/>
            <w:tcBorders>
              <w:top w:val="single" w:sz="4" w:space="0" w:color="auto"/>
              <w:left w:val="nil"/>
              <w:bottom w:val="single" w:sz="12" w:space="0" w:color="auto"/>
              <w:right w:val="nil"/>
            </w:tcBorders>
          </w:tcPr>
          <w:p w:rsidR="00000000" w:rsidRDefault="00000000">
            <w:pPr>
              <w:keepNext/>
              <w:tabs>
                <w:tab w:val="left" w:pos="288"/>
                <w:tab w:val="left" w:pos="576"/>
                <w:tab w:val="left" w:pos="864"/>
                <w:tab w:val="left" w:pos="1152"/>
              </w:tabs>
              <w:spacing w:before="81" w:after="81" w:line="240" w:lineRule="auto"/>
              <w:ind w:right="43"/>
              <w:jc w:val="right"/>
              <w:rPr>
                <w:i/>
                <w:sz w:val="14"/>
              </w:rPr>
            </w:pPr>
          </w:p>
        </w:tc>
      </w:tr>
      <w:tr w:rsidR="00000000">
        <w:tblPrEx>
          <w:tblCellMar>
            <w:top w:w="0" w:type="dxa"/>
            <w:left w:w="0" w:type="dxa"/>
            <w:bottom w:w="0" w:type="dxa"/>
            <w:right w:w="0" w:type="dxa"/>
          </w:tblCellMar>
        </w:tblPrEx>
        <w:trPr>
          <w:trHeight w:hRule="exact" w:val="115"/>
          <w:tblHeader/>
        </w:trPr>
        <w:tc>
          <w:tcPr>
            <w:tcW w:w="295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keepNext/>
              <w:spacing w:before="40" w:after="40" w:line="210" w:lineRule="exact"/>
              <w:rPr>
                <w:sz w:val="17"/>
              </w:rPr>
            </w:pPr>
            <w:r>
              <w:rPr>
                <w:sz w:val="17"/>
              </w:rPr>
              <w:t xml:space="preserve">Чистый оклад </w:t>
            </w:r>
          </w:p>
        </w:tc>
        <w:tc>
          <w:tcPr>
            <w:tcW w:w="99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504</w:t>
            </w:r>
          </w:p>
        </w:tc>
        <w:tc>
          <w:tcPr>
            <w:tcW w:w="90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676</w:t>
            </w:r>
          </w:p>
        </w:tc>
        <w:tc>
          <w:tcPr>
            <w:tcW w:w="900" w:type="dxa"/>
            <w:tcBorders>
              <w:top w:val="nil"/>
              <w:left w:val="nil"/>
              <w:bottom w:val="nil"/>
              <w:right w:val="nil"/>
            </w:tcBorders>
            <w:vAlign w:val="bottom"/>
          </w:tcPr>
          <w:p w:rsidR="00000000" w:rsidRDefault="00000000">
            <w:pPr>
              <w:keepNext/>
              <w:spacing w:before="40" w:after="40" w:line="210" w:lineRule="exact"/>
              <w:jc w:val="right"/>
              <w:rPr>
                <w:sz w:val="17"/>
              </w:rPr>
            </w:pPr>
          </w:p>
        </w:tc>
        <w:tc>
          <w:tcPr>
            <w:tcW w:w="900" w:type="dxa"/>
            <w:tcBorders>
              <w:top w:val="nil"/>
              <w:left w:val="nil"/>
              <w:bottom w:val="nil"/>
              <w:right w:val="nil"/>
            </w:tcBorders>
            <w:vAlign w:val="bottom"/>
          </w:tcPr>
          <w:p w:rsidR="00000000" w:rsidRDefault="00000000">
            <w:pPr>
              <w:keepNext/>
              <w:spacing w:before="40" w:after="40" w:line="210" w:lineRule="exact"/>
              <w:jc w:val="right"/>
              <w:rPr>
                <w:sz w:val="17"/>
              </w:rPr>
            </w:pPr>
          </w:p>
        </w:tc>
        <w:tc>
          <w:tcPr>
            <w:tcW w:w="900" w:type="dxa"/>
            <w:tcBorders>
              <w:top w:val="nil"/>
              <w:left w:val="nil"/>
              <w:bottom w:val="nil"/>
              <w:right w:val="nil"/>
            </w:tcBorders>
          </w:tcPr>
          <w:p w:rsidR="00000000" w:rsidRDefault="00000000">
            <w:pPr>
              <w:keepNext/>
              <w:spacing w:before="40" w:after="40" w:line="210" w:lineRule="exact"/>
              <w:jc w:val="right"/>
              <w:rPr>
                <w:sz w:val="17"/>
              </w:rPr>
            </w:pP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spacing w:before="40" w:after="40" w:line="210" w:lineRule="exact"/>
              <w:rPr>
                <w:sz w:val="17"/>
              </w:rPr>
            </w:pPr>
            <w:r>
              <w:rPr>
                <w:sz w:val="17"/>
              </w:rPr>
              <w:t>Оклад с надбавками</w:t>
            </w:r>
          </w:p>
        </w:tc>
        <w:tc>
          <w:tcPr>
            <w:tcW w:w="990" w:type="dxa"/>
            <w:tcBorders>
              <w:top w:val="nil"/>
              <w:left w:val="nil"/>
              <w:bottom w:val="nil"/>
              <w:right w:val="nil"/>
            </w:tcBorders>
            <w:vAlign w:val="bottom"/>
          </w:tcPr>
          <w:p w:rsidR="00000000" w:rsidRDefault="00000000">
            <w:pPr>
              <w:spacing w:before="40" w:after="40" w:line="210" w:lineRule="exact"/>
              <w:jc w:val="right"/>
              <w:rPr>
                <w:sz w:val="17"/>
              </w:rPr>
            </w:pPr>
            <w:r>
              <w:rPr>
                <w:sz w:val="17"/>
              </w:rPr>
              <w:t>792</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1031</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p>
        </w:tc>
        <w:tc>
          <w:tcPr>
            <w:tcW w:w="900" w:type="dxa"/>
            <w:tcBorders>
              <w:top w:val="nil"/>
              <w:left w:val="nil"/>
              <w:bottom w:val="nil"/>
              <w:right w:val="nil"/>
            </w:tcBorders>
          </w:tcPr>
          <w:p w:rsidR="00000000" w:rsidRDefault="00000000">
            <w:pPr>
              <w:spacing w:before="40" w:after="40" w:line="210" w:lineRule="exact"/>
              <w:jc w:val="right"/>
              <w:rPr>
                <w:sz w:val="17"/>
              </w:rPr>
            </w:pPr>
          </w:p>
        </w:tc>
      </w:tr>
      <w:tr w:rsidR="00000000">
        <w:tblPrEx>
          <w:tblCellMar>
            <w:top w:w="0" w:type="dxa"/>
            <w:left w:w="0" w:type="dxa"/>
            <w:bottom w:w="0" w:type="dxa"/>
            <w:right w:w="0" w:type="dxa"/>
          </w:tblCellMar>
        </w:tblPrEx>
        <w:tc>
          <w:tcPr>
            <w:tcW w:w="2952" w:type="dxa"/>
            <w:tcBorders>
              <w:top w:val="nil"/>
              <w:left w:val="nil"/>
              <w:bottom w:val="nil"/>
              <w:right w:val="nil"/>
            </w:tcBorders>
            <w:vAlign w:val="bottom"/>
          </w:tcPr>
          <w:p w:rsidR="00000000" w:rsidRDefault="00000000">
            <w:pPr>
              <w:spacing w:before="40" w:after="40" w:line="210" w:lineRule="exact"/>
              <w:rPr>
                <w:sz w:val="17"/>
              </w:rPr>
            </w:pPr>
            <w:r>
              <w:rPr>
                <w:sz w:val="17"/>
              </w:rPr>
              <w:t>Увеличение чистого окл</w:t>
            </w:r>
            <w:r>
              <w:rPr>
                <w:sz w:val="17"/>
              </w:rPr>
              <w:t>а</w:t>
            </w:r>
            <w:r>
              <w:rPr>
                <w:sz w:val="17"/>
              </w:rPr>
              <w:t>да (%)</w:t>
            </w:r>
          </w:p>
        </w:tc>
        <w:tc>
          <w:tcPr>
            <w:tcW w:w="990" w:type="dxa"/>
            <w:tcBorders>
              <w:top w:val="nil"/>
              <w:left w:val="nil"/>
              <w:bottom w:val="nil"/>
              <w:right w:val="nil"/>
            </w:tcBorders>
            <w:vAlign w:val="bottom"/>
          </w:tcPr>
          <w:p w:rsidR="00000000" w:rsidRDefault="00000000">
            <w:pPr>
              <w:spacing w:before="40" w:after="40" w:line="210" w:lineRule="exact"/>
              <w:jc w:val="right"/>
              <w:rPr>
                <w:sz w:val="17"/>
              </w:rPr>
            </w:pPr>
            <w:r>
              <w:rPr>
                <w:sz w:val="17"/>
              </w:rPr>
              <w:t>нет да</w:t>
            </w:r>
            <w:r>
              <w:rPr>
                <w:sz w:val="17"/>
              </w:rPr>
              <w:t>н</w:t>
            </w:r>
            <w:r>
              <w:rPr>
                <w:sz w:val="17"/>
              </w:rPr>
              <w:t>ных</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r>
              <w:rPr>
                <w:sz w:val="17"/>
              </w:rPr>
              <w:t>34,1</w:t>
            </w: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p>
        </w:tc>
        <w:tc>
          <w:tcPr>
            <w:tcW w:w="900" w:type="dxa"/>
            <w:tcBorders>
              <w:top w:val="nil"/>
              <w:left w:val="nil"/>
              <w:bottom w:val="nil"/>
              <w:right w:val="nil"/>
            </w:tcBorders>
            <w:vAlign w:val="bottom"/>
          </w:tcPr>
          <w:p w:rsidR="00000000" w:rsidRDefault="00000000">
            <w:pPr>
              <w:spacing w:before="40" w:after="40" w:line="210" w:lineRule="exact"/>
              <w:jc w:val="right"/>
              <w:rPr>
                <w:sz w:val="17"/>
              </w:rPr>
            </w:pPr>
          </w:p>
        </w:tc>
        <w:tc>
          <w:tcPr>
            <w:tcW w:w="900" w:type="dxa"/>
            <w:tcBorders>
              <w:top w:val="nil"/>
              <w:left w:val="nil"/>
              <w:bottom w:val="nil"/>
              <w:right w:val="nil"/>
            </w:tcBorders>
          </w:tcPr>
          <w:p w:rsidR="00000000" w:rsidRDefault="00000000">
            <w:pPr>
              <w:spacing w:before="40" w:after="40" w:line="210" w:lineRule="exact"/>
              <w:jc w:val="right"/>
              <w:rPr>
                <w:sz w:val="17"/>
              </w:rPr>
            </w:pPr>
          </w:p>
        </w:tc>
      </w:tr>
      <w:tr w:rsidR="00000000">
        <w:tblPrEx>
          <w:tblCellMar>
            <w:top w:w="0" w:type="dxa"/>
            <w:left w:w="0" w:type="dxa"/>
            <w:bottom w:w="0" w:type="dxa"/>
            <w:right w:w="0" w:type="dxa"/>
          </w:tblCellMar>
        </w:tblPrEx>
        <w:tc>
          <w:tcPr>
            <w:tcW w:w="2952" w:type="dxa"/>
            <w:tcBorders>
              <w:top w:val="nil"/>
              <w:left w:val="nil"/>
              <w:bottom w:val="single" w:sz="12" w:space="0" w:color="auto"/>
              <w:right w:val="nil"/>
            </w:tcBorders>
            <w:vAlign w:val="bottom"/>
          </w:tcPr>
          <w:p w:rsidR="00000000" w:rsidRDefault="00000000">
            <w:pPr>
              <w:spacing w:before="40" w:after="40" w:line="210" w:lineRule="exact"/>
              <w:rPr>
                <w:sz w:val="17"/>
              </w:rPr>
            </w:pPr>
            <w:r>
              <w:rPr>
                <w:sz w:val="17"/>
              </w:rPr>
              <w:t>Увеличение оклада с надбавк</w:t>
            </w:r>
            <w:r>
              <w:rPr>
                <w:sz w:val="17"/>
              </w:rPr>
              <w:t>а</w:t>
            </w:r>
            <w:r>
              <w:rPr>
                <w:sz w:val="17"/>
              </w:rPr>
              <w:t>ми (%)</w:t>
            </w:r>
          </w:p>
        </w:tc>
        <w:tc>
          <w:tcPr>
            <w:tcW w:w="99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нет да</w:t>
            </w:r>
            <w:r>
              <w:rPr>
                <w:sz w:val="17"/>
              </w:rPr>
              <w:t>н</w:t>
            </w:r>
            <w:r>
              <w:rPr>
                <w:sz w:val="17"/>
              </w:rPr>
              <w:t>ных</w:t>
            </w:r>
          </w:p>
        </w:tc>
        <w:tc>
          <w:tcPr>
            <w:tcW w:w="90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30,2</w:t>
            </w:r>
          </w:p>
        </w:tc>
        <w:tc>
          <w:tcPr>
            <w:tcW w:w="90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p>
        </w:tc>
        <w:tc>
          <w:tcPr>
            <w:tcW w:w="90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p>
        </w:tc>
        <w:tc>
          <w:tcPr>
            <w:tcW w:w="900" w:type="dxa"/>
            <w:tcBorders>
              <w:top w:val="nil"/>
              <w:left w:val="nil"/>
              <w:bottom w:val="single" w:sz="12" w:space="0" w:color="auto"/>
              <w:right w:val="nil"/>
            </w:tcBorders>
          </w:tcPr>
          <w:p w:rsidR="00000000" w:rsidRDefault="00000000">
            <w:pPr>
              <w:spacing w:before="40" w:after="40" w:line="210" w:lineRule="exact"/>
              <w:jc w:val="right"/>
              <w:rPr>
                <w:sz w:val="17"/>
              </w:rPr>
            </w:pP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Уровень безработицы в разбивке по возрастным группам, 2001 год</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982"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60"/>
        <w:gridCol w:w="2160"/>
      </w:tblGrid>
      <w:tr w:rsidR="00000000">
        <w:tblPrEx>
          <w:tblCellMar>
            <w:top w:w="0" w:type="dxa"/>
            <w:left w:w="0" w:type="dxa"/>
            <w:bottom w:w="0" w:type="dxa"/>
            <w:right w:w="0" w:type="dxa"/>
          </w:tblCellMar>
        </w:tblPrEx>
        <w:trPr>
          <w:tblHeader/>
        </w:trPr>
        <w:tc>
          <w:tcPr>
            <w:tcW w:w="216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rPr>
                <w:i/>
                <w:sz w:val="14"/>
              </w:rPr>
            </w:pPr>
            <w:r>
              <w:rPr>
                <w:i/>
                <w:sz w:val="14"/>
              </w:rPr>
              <w:t>Возра</w:t>
            </w:r>
            <w:r>
              <w:rPr>
                <w:i/>
                <w:sz w:val="14"/>
              </w:rPr>
              <w:t>с</w:t>
            </w:r>
            <w:r>
              <w:rPr>
                <w:i/>
                <w:sz w:val="14"/>
              </w:rPr>
              <w:t>тная группа</w:t>
            </w:r>
          </w:p>
        </w:tc>
        <w:tc>
          <w:tcPr>
            <w:tcW w:w="216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Уровень бе</w:t>
            </w:r>
            <w:r>
              <w:rPr>
                <w:i/>
                <w:sz w:val="14"/>
              </w:rPr>
              <w:t>з</w:t>
            </w:r>
            <w:r>
              <w:rPr>
                <w:i/>
                <w:sz w:val="14"/>
              </w:rPr>
              <w:t>работицы в %</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210" w:lineRule="exact"/>
              <w:ind w:right="40"/>
              <w:rPr>
                <w:sz w:val="17"/>
              </w:rPr>
            </w:pPr>
          </w:p>
        </w:tc>
        <w:tc>
          <w:tcPr>
            <w:tcW w:w="216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210" w:lineRule="exact"/>
              <w:ind w:right="40"/>
              <w:jc w:val="right"/>
              <w:rPr>
                <w:sz w:val="17"/>
              </w:rPr>
            </w:pPr>
          </w:p>
        </w:tc>
      </w:tr>
      <w:tr w:rsidR="00000000">
        <w:tblPrEx>
          <w:tblCellMar>
            <w:top w:w="0" w:type="dxa"/>
            <w:left w:w="0" w:type="dxa"/>
            <w:bottom w:w="0" w:type="dxa"/>
            <w:right w:w="0" w:type="dxa"/>
          </w:tblCellMar>
        </w:tblPrEx>
        <w:tc>
          <w:tcPr>
            <w:tcW w:w="2160" w:type="dxa"/>
            <w:tcBorders>
              <w:top w:val="nil"/>
              <w:left w:val="nil"/>
              <w:bottom w:val="nil"/>
              <w:right w:val="nil"/>
            </w:tcBorders>
            <w:vAlign w:val="bottom"/>
          </w:tcPr>
          <w:p w:rsidR="00000000" w:rsidRDefault="00000000">
            <w:pPr>
              <w:keepNext/>
              <w:spacing w:before="40" w:after="40" w:line="210" w:lineRule="exact"/>
              <w:rPr>
                <w:sz w:val="17"/>
              </w:rPr>
            </w:pPr>
            <w:r>
              <w:rPr>
                <w:sz w:val="17"/>
              </w:rPr>
              <w:t>19-24 года</w:t>
            </w:r>
          </w:p>
        </w:tc>
        <w:tc>
          <w:tcPr>
            <w:tcW w:w="216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34,8</w:t>
            </w:r>
          </w:p>
        </w:tc>
      </w:tr>
      <w:tr w:rsidR="00000000">
        <w:tblPrEx>
          <w:tblCellMar>
            <w:top w:w="0" w:type="dxa"/>
            <w:left w:w="0" w:type="dxa"/>
            <w:bottom w:w="0" w:type="dxa"/>
            <w:right w:w="0" w:type="dxa"/>
          </w:tblCellMar>
        </w:tblPrEx>
        <w:tc>
          <w:tcPr>
            <w:tcW w:w="2160" w:type="dxa"/>
            <w:tcBorders>
              <w:top w:val="nil"/>
              <w:left w:val="nil"/>
              <w:bottom w:val="nil"/>
              <w:right w:val="nil"/>
            </w:tcBorders>
            <w:vAlign w:val="bottom"/>
          </w:tcPr>
          <w:p w:rsidR="00000000" w:rsidRDefault="00000000">
            <w:pPr>
              <w:spacing w:before="40" w:after="40" w:line="210" w:lineRule="exact"/>
              <w:rPr>
                <w:b/>
                <w:sz w:val="17"/>
              </w:rPr>
            </w:pPr>
            <w:r>
              <w:rPr>
                <w:b/>
                <w:sz w:val="17"/>
              </w:rPr>
              <w:t>25-49 лет</w:t>
            </w:r>
          </w:p>
        </w:tc>
        <w:tc>
          <w:tcPr>
            <w:tcW w:w="2160" w:type="dxa"/>
            <w:tcBorders>
              <w:top w:val="nil"/>
              <w:left w:val="nil"/>
              <w:bottom w:val="nil"/>
              <w:right w:val="nil"/>
            </w:tcBorders>
            <w:vAlign w:val="bottom"/>
          </w:tcPr>
          <w:p w:rsidR="00000000" w:rsidRDefault="00000000">
            <w:pPr>
              <w:spacing w:before="40" w:after="40" w:line="210" w:lineRule="exact"/>
              <w:jc w:val="right"/>
              <w:rPr>
                <w:sz w:val="17"/>
              </w:rPr>
            </w:pPr>
            <w:r>
              <w:rPr>
                <w:sz w:val="17"/>
              </w:rPr>
              <w:t>13,4</w:t>
            </w:r>
          </w:p>
        </w:tc>
      </w:tr>
      <w:tr w:rsidR="00000000">
        <w:tblPrEx>
          <w:tblCellMar>
            <w:top w:w="0" w:type="dxa"/>
            <w:left w:w="0" w:type="dxa"/>
            <w:bottom w:w="0" w:type="dxa"/>
            <w:right w:w="0" w:type="dxa"/>
          </w:tblCellMar>
        </w:tblPrEx>
        <w:tc>
          <w:tcPr>
            <w:tcW w:w="2160" w:type="dxa"/>
            <w:tcBorders>
              <w:top w:val="nil"/>
              <w:left w:val="nil"/>
              <w:bottom w:val="nil"/>
              <w:right w:val="nil"/>
            </w:tcBorders>
            <w:vAlign w:val="bottom"/>
          </w:tcPr>
          <w:p w:rsidR="00000000" w:rsidRDefault="00000000">
            <w:pPr>
              <w:spacing w:before="40" w:after="40" w:line="210" w:lineRule="exact"/>
              <w:rPr>
                <w:sz w:val="17"/>
              </w:rPr>
            </w:pPr>
            <w:r>
              <w:rPr>
                <w:sz w:val="17"/>
              </w:rPr>
              <w:t>50-60 лет</w:t>
            </w:r>
          </w:p>
        </w:tc>
        <w:tc>
          <w:tcPr>
            <w:tcW w:w="2160" w:type="dxa"/>
            <w:tcBorders>
              <w:top w:val="nil"/>
              <w:left w:val="nil"/>
              <w:bottom w:val="nil"/>
              <w:right w:val="nil"/>
            </w:tcBorders>
            <w:vAlign w:val="bottom"/>
          </w:tcPr>
          <w:p w:rsidR="00000000" w:rsidRDefault="00000000">
            <w:pPr>
              <w:spacing w:before="40" w:after="40" w:line="210" w:lineRule="exact"/>
              <w:jc w:val="right"/>
              <w:rPr>
                <w:sz w:val="17"/>
              </w:rPr>
            </w:pPr>
            <w:r>
              <w:rPr>
                <w:sz w:val="17"/>
              </w:rPr>
              <w:t>9,7</w:t>
            </w:r>
          </w:p>
        </w:tc>
      </w:tr>
      <w:tr w:rsidR="00000000">
        <w:tblPrEx>
          <w:tblCellMar>
            <w:top w:w="0" w:type="dxa"/>
            <w:left w:w="0" w:type="dxa"/>
            <w:bottom w:w="0" w:type="dxa"/>
            <w:right w:w="0" w:type="dxa"/>
          </w:tblCellMar>
        </w:tblPrEx>
        <w:tc>
          <w:tcPr>
            <w:tcW w:w="2160" w:type="dxa"/>
            <w:tcBorders>
              <w:top w:val="nil"/>
              <w:left w:val="nil"/>
              <w:bottom w:val="single" w:sz="12" w:space="0" w:color="auto"/>
              <w:right w:val="nil"/>
            </w:tcBorders>
            <w:vAlign w:val="bottom"/>
          </w:tcPr>
          <w:p w:rsidR="00000000" w:rsidRDefault="00000000">
            <w:pPr>
              <w:spacing w:before="40" w:after="40" w:line="210" w:lineRule="exact"/>
              <w:rPr>
                <w:sz w:val="17"/>
              </w:rPr>
            </w:pPr>
            <w:r>
              <w:rPr>
                <w:sz w:val="17"/>
              </w:rPr>
              <w:t>Всего</w:t>
            </w:r>
          </w:p>
        </w:tc>
        <w:tc>
          <w:tcPr>
            <w:tcW w:w="216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16,1</w:t>
            </w:r>
          </w:p>
        </w:tc>
      </w:tr>
    </w:tbl>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i/>
        </w:rPr>
        <w:t>Примечание</w:t>
      </w:r>
      <w:r>
        <w:t>: Статистические службы не включили данные о заработной платы в разбивке по полу.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i/>
        </w:rPr>
        <w:t>Источник</w:t>
      </w:r>
      <w:r>
        <w:t>: Исследование о показателях уровня жизни (ИПУЖ, май 2002 года) и Доклад о развитии людских ресурсов в Боснии и Герцеговине.</w:t>
      </w:r>
    </w:p>
    <w:p w:rsidR="00000000" w:rsidRDefault="00000000">
      <w:pPr>
        <w:pStyle w:val="SingleTxt"/>
        <w:keepNext/>
        <w:spacing w:after="0" w:line="240" w:lineRule="auto"/>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Уровень и структура безработицы в 2001 году</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62"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30"/>
        <w:gridCol w:w="990"/>
        <w:gridCol w:w="900"/>
        <w:gridCol w:w="1080"/>
        <w:gridCol w:w="1260"/>
        <w:gridCol w:w="990"/>
        <w:gridCol w:w="810"/>
      </w:tblGrid>
      <w:tr w:rsidR="00000000">
        <w:tblPrEx>
          <w:tblCellMar>
            <w:top w:w="0" w:type="dxa"/>
            <w:left w:w="0" w:type="dxa"/>
            <w:bottom w:w="0" w:type="dxa"/>
            <w:right w:w="0" w:type="dxa"/>
          </w:tblCellMar>
        </w:tblPrEx>
        <w:trPr>
          <w:cantSplit/>
          <w:tblHeader/>
        </w:trPr>
        <w:tc>
          <w:tcPr>
            <w:tcW w:w="1530" w:type="dxa"/>
            <w:tcBorders>
              <w:left w:val="nil"/>
              <w:bottom w:val="nil"/>
              <w:right w:val="nil"/>
            </w:tcBorders>
            <w:vAlign w:val="bottom"/>
          </w:tcPr>
          <w:p w:rsidR="00000000" w:rsidRDefault="00000000">
            <w:pPr>
              <w:keepNext/>
              <w:tabs>
                <w:tab w:val="left" w:pos="288"/>
                <w:tab w:val="left" w:pos="576"/>
                <w:tab w:val="left" w:pos="864"/>
                <w:tab w:val="left" w:pos="1152"/>
              </w:tabs>
              <w:spacing w:before="81" w:after="81" w:line="160" w:lineRule="atLeast"/>
              <w:ind w:right="43"/>
              <w:rPr>
                <w:i/>
                <w:sz w:val="14"/>
              </w:rPr>
            </w:pPr>
          </w:p>
        </w:tc>
        <w:tc>
          <w:tcPr>
            <w:tcW w:w="1890" w:type="dxa"/>
            <w:gridSpan w:val="2"/>
            <w:tcBorders>
              <w:left w:val="nil"/>
              <w:bottom w:val="single" w:sz="4" w:space="0" w:color="auto"/>
              <w:right w:val="nil"/>
            </w:tcBorders>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Босния и Герцеговина</w:t>
            </w:r>
          </w:p>
        </w:tc>
        <w:tc>
          <w:tcPr>
            <w:tcW w:w="2340" w:type="dxa"/>
            <w:gridSpan w:val="2"/>
            <w:tcBorders>
              <w:left w:val="nil"/>
              <w:bottom w:val="single" w:sz="4" w:space="0" w:color="auto"/>
              <w:right w:val="nil"/>
            </w:tcBorders>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Федерация Боснии и Герцегов</w:t>
            </w:r>
            <w:r>
              <w:rPr>
                <w:i/>
                <w:sz w:val="14"/>
              </w:rPr>
              <w:t>и</w:t>
            </w:r>
            <w:r>
              <w:rPr>
                <w:i/>
                <w:sz w:val="14"/>
              </w:rPr>
              <w:t>ны</w:t>
            </w:r>
          </w:p>
        </w:tc>
        <w:tc>
          <w:tcPr>
            <w:tcW w:w="1800" w:type="dxa"/>
            <w:gridSpan w:val="2"/>
            <w:tcBorders>
              <w:left w:val="nil"/>
              <w:bottom w:val="single" w:sz="4" w:space="0" w:color="auto"/>
              <w:right w:val="nil"/>
            </w:tcBorders>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Республика Сербская</w:t>
            </w:r>
          </w:p>
        </w:tc>
      </w:tr>
      <w:tr w:rsidR="00000000">
        <w:tblPrEx>
          <w:tblCellMar>
            <w:top w:w="0" w:type="dxa"/>
            <w:left w:w="0" w:type="dxa"/>
            <w:bottom w:w="0" w:type="dxa"/>
            <w:right w:w="0" w:type="dxa"/>
          </w:tblCellMar>
        </w:tblPrEx>
        <w:trPr>
          <w:tblHeader/>
        </w:trPr>
        <w:tc>
          <w:tcPr>
            <w:tcW w:w="1530" w:type="dxa"/>
            <w:tcBorders>
              <w:top w:val="nil"/>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160" w:lineRule="atLeast"/>
              <w:ind w:right="43"/>
              <w:rPr>
                <w:i/>
                <w:sz w:val="14"/>
              </w:rPr>
            </w:pPr>
          </w:p>
        </w:tc>
        <w:tc>
          <w:tcPr>
            <w:tcW w:w="990" w:type="dxa"/>
            <w:tcBorders>
              <w:top w:val="single" w:sz="4" w:space="0" w:color="auto"/>
              <w:left w:val="nil"/>
              <w:bottom w:val="single" w:sz="12" w:space="0" w:color="auto"/>
              <w:right w:val="nil"/>
            </w:tcBorders>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Численность</w:t>
            </w:r>
          </w:p>
        </w:tc>
        <w:tc>
          <w:tcPr>
            <w:tcW w:w="900" w:type="dxa"/>
            <w:tcBorders>
              <w:top w:val="single" w:sz="4" w:space="0" w:color="auto"/>
              <w:left w:val="nil"/>
              <w:bottom w:val="single" w:sz="12" w:space="0" w:color="auto"/>
              <w:right w:val="nil"/>
            </w:tcBorders>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Доля в %</w:t>
            </w:r>
          </w:p>
        </w:tc>
        <w:tc>
          <w:tcPr>
            <w:tcW w:w="1080" w:type="dxa"/>
            <w:tcBorders>
              <w:top w:val="single" w:sz="4" w:space="0" w:color="auto"/>
              <w:left w:val="nil"/>
              <w:bottom w:val="single" w:sz="12" w:space="0" w:color="auto"/>
              <w:right w:val="nil"/>
            </w:tcBorders>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Численность</w:t>
            </w:r>
          </w:p>
        </w:tc>
        <w:tc>
          <w:tcPr>
            <w:tcW w:w="1260" w:type="dxa"/>
            <w:tcBorders>
              <w:top w:val="single" w:sz="4" w:space="0" w:color="auto"/>
              <w:left w:val="nil"/>
              <w:bottom w:val="single" w:sz="12" w:space="0" w:color="auto"/>
              <w:right w:val="nil"/>
            </w:tcBorders>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Доля в %</w:t>
            </w:r>
          </w:p>
        </w:tc>
        <w:tc>
          <w:tcPr>
            <w:tcW w:w="990" w:type="dxa"/>
            <w:tcBorders>
              <w:top w:val="single" w:sz="4" w:space="0" w:color="auto"/>
              <w:left w:val="nil"/>
              <w:bottom w:val="single" w:sz="12" w:space="0" w:color="auto"/>
              <w:right w:val="nil"/>
            </w:tcBorders>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Числе</w:t>
            </w:r>
            <w:r>
              <w:rPr>
                <w:i/>
                <w:sz w:val="14"/>
              </w:rPr>
              <w:t>н</w:t>
            </w:r>
            <w:r>
              <w:rPr>
                <w:i/>
                <w:sz w:val="14"/>
              </w:rPr>
              <w:t>ность</w:t>
            </w:r>
          </w:p>
        </w:tc>
        <w:tc>
          <w:tcPr>
            <w:tcW w:w="81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Доля в %</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160" w:lineRule="atLeast"/>
              <w:ind w:right="40"/>
              <w:rPr>
                <w:sz w:val="17"/>
              </w:rPr>
            </w:pPr>
          </w:p>
        </w:tc>
        <w:tc>
          <w:tcPr>
            <w:tcW w:w="99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c>
          <w:tcPr>
            <w:tcW w:w="90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c>
          <w:tcPr>
            <w:tcW w:w="108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c>
          <w:tcPr>
            <w:tcW w:w="126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c>
          <w:tcPr>
            <w:tcW w:w="99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c>
          <w:tcPr>
            <w:tcW w:w="81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r>
      <w:tr w:rsidR="00000000">
        <w:tblPrEx>
          <w:tblCellMar>
            <w:top w:w="0" w:type="dxa"/>
            <w:left w:w="0" w:type="dxa"/>
            <w:bottom w:w="0" w:type="dxa"/>
            <w:right w:w="0" w:type="dxa"/>
          </w:tblCellMar>
        </w:tblPrEx>
        <w:trPr>
          <w:cantSplit/>
        </w:trPr>
        <w:tc>
          <w:tcPr>
            <w:tcW w:w="7560" w:type="dxa"/>
            <w:gridSpan w:val="7"/>
            <w:tcBorders>
              <w:top w:val="nil"/>
              <w:left w:val="nil"/>
              <w:bottom w:val="nil"/>
              <w:right w:val="nil"/>
            </w:tcBorders>
            <w:vAlign w:val="bottom"/>
          </w:tcPr>
          <w:p w:rsidR="00000000" w:rsidRDefault="00000000">
            <w:pPr>
              <w:keepNext/>
              <w:spacing w:before="40" w:after="40" w:line="240" w:lineRule="auto"/>
              <w:rPr>
                <w:sz w:val="17"/>
              </w:rPr>
            </w:pPr>
            <w:r>
              <w:rPr>
                <w:sz w:val="17"/>
              </w:rPr>
              <w:t>А. Численность безработных</w:t>
            </w:r>
          </w:p>
          <w:p w:rsidR="00000000" w:rsidRDefault="00000000">
            <w:pPr>
              <w:keepNext/>
              <w:spacing w:before="40" w:after="40" w:line="210" w:lineRule="atLeast"/>
              <w:jc w:val="right"/>
              <w:rPr>
                <w:sz w:val="17"/>
              </w:rPr>
            </w:pPr>
          </w:p>
        </w:tc>
      </w:tr>
      <w:tr w:rsidR="00000000">
        <w:tblPrEx>
          <w:tblCellMar>
            <w:top w:w="0" w:type="dxa"/>
            <w:left w:w="0" w:type="dxa"/>
            <w:bottom w:w="0" w:type="dxa"/>
            <w:right w:w="0" w:type="dxa"/>
          </w:tblCellMar>
        </w:tblPrEx>
        <w:tc>
          <w:tcPr>
            <w:tcW w:w="1530" w:type="dxa"/>
            <w:tcBorders>
              <w:top w:val="nil"/>
              <w:left w:val="nil"/>
              <w:bottom w:val="nil"/>
              <w:right w:val="nil"/>
            </w:tcBorders>
            <w:vAlign w:val="bottom"/>
          </w:tcPr>
          <w:p w:rsidR="00000000" w:rsidRDefault="00000000">
            <w:pPr>
              <w:spacing w:before="40" w:after="40" w:line="210" w:lineRule="atLeast"/>
              <w:rPr>
                <w:sz w:val="17"/>
              </w:rPr>
            </w:pPr>
            <w:r>
              <w:rPr>
                <w:sz w:val="17"/>
              </w:rPr>
              <w:t>Всего</w:t>
            </w:r>
          </w:p>
        </w:tc>
        <w:tc>
          <w:tcPr>
            <w:tcW w:w="990" w:type="dxa"/>
            <w:tcBorders>
              <w:top w:val="nil"/>
              <w:left w:val="nil"/>
              <w:bottom w:val="nil"/>
              <w:right w:val="nil"/>
            </w:tcBorders>
          </w:tcPr>
          <w:p w:rsidR="00000000" w:rsidRDefault="00000000">
            <w:pPr>
              <w:spacing w:before="40" w:after="40" w:line="210" w:lineRule="atLeast"/>
              <w:jc w:val="right"/>
              <w:rPr>
                <w:sz w:val="17"/>
              </w:rPr>
            </w:pPr>
            <w:r>
              <w:rPr>
                <w:sz w:val="17"/>
              </w:rPr>
              <w:t>423 526</w:t>
            </w:r>
          </w:p>
        </w:tc>
        <w:tc>
          <w:tcPr>
            <w:tcW w:w="900" w:type="dxa"/>
            <w:tcBorders>
              <w:top w:val="nil"/>
              <w:left w:val="nil"/>
              <w:bottom w:val="nil"/>
              <w:right w:val="nil"/>
            </w:tcBorders>
          </w:tcPr>
          <w:p w:rsidR="00000000" w:rsidRDefault="00000000">
            <w:pPr>
              <w:spacing w:before="40" w:after="40" w:line="210" w:lineRule="atLeast"/>
              <w:jc w:val="right"/>
              <w:rPr>
                <w:sz w:val="17"/>
              </w:rPr>
            </w:pPr>
            <w:r>
              <w:rPr>
                <w:sz w:val="17"/>
              </w:rPr>
              <w:t>100</w:t>
            </w:r>
          </w:p>
        </w:tc>
        <w:tc>
          <w:tcPr>
            <w:tcW w:w="1080" w:type="dxa"/>
            <w:tcBorders>
              <w:top w:val="nil"/>
              <w:left w:val="nil"/>
              <w:bottom w:val="nil"/>
              <w:right w:val="nil"/>
            </w:tcBorders>
          </w:tcPr>
          <w:p w:rsidR="00000000" w:rsidRDefault="00000000">
            <w:pPr>
              <w:spacing w:before="40" w:after="40" w:line="210" w:lineRule="atLeast"/>
              <w:jc w:val="right"/>
              <w:rPr>
                <w:sz w:val="17"/>
              </w:rPr>
            </w:pPr>
            <w:r>
              <w:rPr>
                <w:sz w:val="17"/>
              </w:rPr>
              <w:t>275 777</w:t>
            </w:r>
          </w:p>
        </w:tc>
        <w:tc>
          <w:tcPr>
            <w:tcW w:w="1260" w:type="dxa"/>
            <w:tcBorders>
              <w:top w:val="nil"/>
              <w:left w:val="nil"/>
              <w:bottom w:val="nil"/>
              <w:right w:val="nil"/>
            </w:tcBorders>
          </w:tcPr>
          <w:p w:rsidR="00000000" w:rsidRDefault="00000000">
            <w:pPr>
              <w:spacing w:before="40" w:after="40" w:line="210" w:lineRule="atLeast"/>
              <w:jc w:val="right"/>
              <w:rPr>
                <w:sz w:val="17"/>
              </w:rPr>
            </w:pPr>
            <w:r>
              <w:rPr>
                <w:sz w:val="17"/>
              </w:rPr>
              <w:t>100</w:t>
            </w:r>
          </w:p>
        </w:tc>
        <w:tc>
          <w:tcPr>
            <w:tcW w:w="990" w:type="dxa"/>
            <w:tcBorders>
              <w:top w:val="nil"/>
              <w:left w:val="nil"/>
              <w:bottom w:val="nil"/>
              <w:right w:val="nil"/>
            </w:tcBorders>
          </w:tcPr>
          <w:p w:rsidR="00000000" w:rsidRDefault="00000000">
            <w:pPr>
              <w:spacing w:before="40" w:after="40" w:line="210" w:lineRule="atLeast"/>
              <w:jc w:val="right"/>
              <w:rPr>
                <w:sz w:val="17"/>
              </w:rPr>
            </w:pPr>
            <w:r>
              <w:rPr>
                <w:sz w:val="17"/>
              </w:rPr>
              <w:t>147 749</w:t>
            </w:r>
          </w:p>
        </w:tc>
        <w:tc>
          <w:tcPr>
            <w:tcW w:w="81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100</w:t>
            </w:r>
          </w:p>
        </w:tc>
      </w:tr>
      <w:tr w:rsidR="00000000">
        <w:tblPrEx>
          <w:tblCellMar>
            <w:top w:w="0" w:type="dxa"/>
            <w:left w:w="0" w:type="dxa"/>
            <w:bottom w:w="0" w:type="dxa"/>
            <w:right w:w="0" w:type="dxa"/>
          </w:tblCellMar>
        </w:tblPrEx>
        <w:trPr>
          <w:cantSplit/>
        </w:trPr>
        <w:tc>
          <w:tcPr>
            <w:tcW w:w="7560" w:type="dxa"/>
            <w:gridSpan w:val="7"/>
            <w:tcBorders>
              <w:top w:val="nil"/>
              <w:left w:val="nil"/>
              <w:bottom w:val="nil"/>
              <w:right w:val="nil"/>
            </w:tcBorders>
            <w:vAlign w:val="bottom"/>
          </w:tcPr>
          <w:p w:rsidR="00000000" w:rsidRDefault="00000000">
            <w:pPr>
              <w:spacing w:before="40" w:after="40" w:line="210" w:lineRule="atLeast"/>
              <w:rPr>
                <w:sz w:val="17"/>
              </w:rPr>
            </w:pPr>
            <w:r>
              <w:rPr>
                <w:sz w:val="17"/>
              </w:rPr>
              <w:t>В. Пол</w:t>
            </w:r>
          </w:p>
        </w:tc>
      </w:tr>
      <w:tr w:rsidR="00000000">
        <w:tblPrEx>
          <w:tblCellMar>
            <w:top w:w="0" w:type="dxa"/>
            <w:left w:w="0" w:type="dxa"/>
            <w:bottom w:w="0" w:type="dxa"/>
            <w:right w:w="0" w:type="dxa"/>
          </w:tblCellMar>
        </w:tblPrEx>
        <w:tc>
          <w:tcPr>
            <w:tcW w:w="1530" w:type="dxa"/>
            <w:tcBorders>
              <w:top w:val="nil"/>
              <w:left w:val="nil"/>
              <w:bottom w:val="nil"/>
              <w:right w:val="nil"/>
            </w:tcBorders>
            <w:vAlign w:val="bottom"/>
          </w:tcPr>
          <w:p w:rsidR="00000000" w:rsidRDefault="00000000">
            <w:pPr>
              <w:spacing w:before="40" w:after="40" w:line="210" w:lineRule="atLeast"/>
              <w:rPr>
                <w:sz w:val="17"/>
              </w:rPr>
            </w:pPr>
            <w:r>
              <w:rPr>
                <w:sz w:val="17"/>
              </w:rPr>
              <w:t>Мужчины</w:t>
            </w:r>
          </w:p>
        </w:tc>
        <w:tc>
          <w:tcPr>
            <w:tcW w:w="990" w:type="dxa"/>
            <w:tcBorders>
              <w:top w:val="nil"/>
              <w:left w:val="nil"/>
              <w:bottom w:val="nil"/>
              <w:right w:val="nil"/>
            </w:tcBorders>
          </w:tcPr>
          <w:p w:rsidR="00000000" w:rsidRDefault="00000000">
            <w:pPr>
              <w:spacing w:before="40" w:after="40" w:line="210" w:lineRule="atLeast"/>
              <w:jc w:val="right"/>
              <w:rPr>
                <w:sz w:val="17"/>
              </w:rPr>
            </w:pPr>
            <w:r>
              <w:rPr>
                <w:sz w:val="17"/>
              </w:rPr>
              <w:t>234 731</w:t>
            </w:r>
          </w:p>
        </w:tc>
        <w:tc>
          <w:tcPr>
            <w:tcW w:w="900" w:type="dxa"/>
            <w:tcBorders>
              <w:top w:val="nil"/>
              <w:left w:val="nil"/>
              <w:bottom w:val="nil"/>
              <w:right w:val="nil"/>
            </w:tcBorders>
          </w:tcPr>
          <w:p w:rsidR="00000000" w:rsidRDefault="00000000">
            <w:pPr>
              <w:spacing w:before="40" w:after="40" w:line="210" w:lineRule="atLeast"/>
              <w:jc w:val="right"/>
              <w:rPr>
                <w:sz w:val="17"/>
              </w:rPr>
            </w:pPr>
            <w:r>
              <w:rPr>
                <w:sz w:val="17"/>
              </w:rPr>
              <w:t>55,4</w:t>
            </w:r>
          </w:p>
        </w:tc>
        <w:tc>
          <w:tcPr>
            <w:tcW w:w="1080" w:type="dxa"/>
            <w:tcBorders>
              <w:top w:val="nil"/>
              <w:left w:val="nil"/>
              <w:bottom w:val="nil"/>
              <w:right w:val="nil"/>
            </w:tcBorders>
          </w:tcPr>
          <w:p w:rsidR="00000000" w:rsidRDefault="00000000">
            <w:pPr>
              <w:spacing w:before="40" w:after="40" w:line="210" w:lineRule="atLeast"/>
              <w:jc w:val="right"/>
              <w:rPr>
                <w:sz w:val="17"/>
              </w:rPr>
            </w:pPr>
            <w:r>
              <w:rPr>
                <w:sz w:val="17"/>
              </w:rPr>
              <w:t>148 084</w:t>
            </w:r>
          </w:p>
        </w:tc>
        <w:tc>
          <w:tcPr>
            <w:tcW w:w="1260" w:type="dxa"/>
            <w:tcBorders>
              <w:top w:val="nil"/>
              <w:left w:val="nil"/>
              <w:bottom w:val="nil"/>
              <w:right w:val="nil"/>
            </w:tcBorders>
          </w:tcPr>
          <w:p w:rsidR="00000000" w:rsidRDefault="00000000">
            <w:pPr>
              <w:spacing w:before="40" w:after="40" w:line="210" w:lineRule="atLeast"/>
              <w:jc w:val="right"/>
              <w:rPr>
                <w:sz w:val="17"/>
              </w:rPr>
            </w:pPr>
            <w:r>
              <w:rPr>
                <w:sz w:val="17"/>
              </w:rPr>
              <w:t>53,7</w:t>
            </w:r>
          </w:p>
        </w:tc>
        <w:tc>
          <w:tcPr>
            <w:tcW w:w="990" w:type="dxa"/>
            <w:tcBorders>
              <w:top w:val="nil"/>
              <w:left w:val="nil"/>
              <w:bottom w:val="nil"/>
              <w:right w:val="nil"/>
            </w:tcBorders>
          </w:tcPr>
          <w:p w:rsidR="00000000" w:rsidRDefault="00000000">
            <w:pPr>
              <w:spacing w:before="40" w:after="40" w:line="210" w:lineRule="atLeast"/>
              <w:jc w:val="right"/>
              <w:rPr>
                <w:sz w:val="17"/>
              </w:rPr>
            </w:pPr>
            <w:r>
              <w:rPr>
                <w:sz w:val="17"/>
              </w:rPr>
              <w:t>86 647</w:t>
            </w:r>
          </w:p>
        </w:tc>
        <w:tc>
          <w:tcPr>
            <w:tcW w:w="81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58,6</w:t>
            </w:r>
          </w:p>
        </w:tc>
      </w:tr>
      <w:tr w:rsidR="00000000">
        <w:tblPrEx>
          <w:tblCellMar>
            <w:top w:w="0" w:type="dxa"/>
            <w:left w:w="0" w:type="dxa"/>
            <w:bottom w:w="0" w:type="dxa"/>
            <w:right w:w="0" w:type="dxa"/>
          </w:tblCellMar>
        </w:tblPrEx>
        <w:tc>
          <w:tcPr>
            <w:tcW w:w="1530" w:type="dxa"/>
            <w:tcBorders>
              <w:top w:val="nil"/>
              <w:left w:val="nil"/>
              <w:bottom w:val="nil"/>
              <w:right w:val="nil"/>
            </w:tcBorders>
            <w:vAlign w:val="bottom"/>
          </w:tcPr>
          <w:p w:rsidR="00000000" w:rsidRDefault="00000000">
            <w:pPr>
              <w:spacing w:before="40" w:after="40" w:line="210" w:lineRule="atLeast"/>
              <w:rPr>
                <w:sz w:val="17"/>
              </w:rPr>
            </w:pPr>
            <w:r>
              <w:rPr>
                <w:sz w:val="17"/>
              </w:rPr>
              <w:t>Женщины</w:t>
            </w:r>
          </w:p>
        </w:tc>
        <w:tc>
          <w:tcPr>
            <w:tcW w:w="990" w:type="dxa"/>
            <w:tcBorders>
              <w:top w:val="nil"/>
              <w:left w:val="nil"/>
              <w:bottom w:val="nil"/>
              <w:right w:val="nil"/>
            </w:tcBorders>
          </w:tcPr>
          <w:p w:rsidR="00000000" w:rsidRDefault="00000000">
            <w:pPr>
              <w:spacing w:before="40" w:after="40" w:line="210" w:lineRule="atLeast"/>
              <w:jc w:val="right"/>
              <w:rPr>
                <w:sz w:val="17"/>
              </w:rPr>
            </w:pPr>
            <w:r>
              <w:rPr>
                <w:sz w:val="17"/>
              </w:rPr>
              <w:t>188 795</w:t>
            </w:r>
          </w:p>
        </w:tc>
        <w:tc>
          <w:tcPr>
            <w:tcW w:w="900" w:type="dxa"/>
            <w:tcBorders>
              <w:top w:val="nil"/>
              <w:left w:val="nil"/>
              <w:bottom w:val="nil"/>
              <w:right w:val="nil"/>
            </w:tcBorders>
          </w:tcPr>
          <w:p w:rsidR="00000000" w:rsidRDefault="00000000">
            <w:pPr>
              <w:spacing w:before="40" w:after="40" w:line="210" w:lineRule="atLeast"/>
              <w:jc w:val="right"/>
              <w:rPr>
                <w:sz w:val="17"/>
              </w:rPr>
            </w:pPr>
            <w:r>
              <w:rPr>
                <w:sz w:val="17"/>
              </w:rPr>
              <w:t>44,6</w:t>
            </w:r>
          </w:p>
        </w:tc>
        <w:tc>
          <w:tcPr>
            <w:tcW w:w="1080" w:type="dxa"/>
            <w:tcBorders>
              <w:top w:val="nil"/>
              <w:left w:val="nil"/>
              <w:bottom w:val="nil"/>
              <w:right w:val="nil"/>
            </w:tcBorders>
          </w:tcPr>
          <w:p w:rsidR="00000000" w:rsidRDefault="00000000">
            <w:pPr>
              <w:spacing w:before="40" w:after="40" w:line="210" w:lineRule="atLeast"/>
              <w:jc w:val="right"/>
              <w:rPr>
                <w:sz w:val="17"/>
              </w:rPr>
            </w:pPr>
            <w:r>
              <w:rPr>
                <w:sz w:val="17"/>
              </w:rPr>
              <w:t>127 693</w:t>
            </w:r>
          </w:p>
        </w:tc>
        <w:tc>
          <w:tcPr>
            <w:tcW w:w="1260" w:type="dxa"/>
            <w:tcBorders>
              <w:top w:val="nil"/>
              <w:left w:val="nil"/>
              <w:bottom w:val="nil"/>
              <w:right w:val="nil"/>
            </w:tcBorders>
          </w:tcPr>
          <w:p w:rsidR="00000000" w:rsidRDefault="00000000">
            <w:pPr>
              <w:spacing w:before="40" w:after="40" w:line="210" w:lineRule="atLeast"/>
              <w:jc w:val="right"/>
              <w:rPr>
                <w:sz w:val="17"/>
              </w:rPr>
            </w:pPr>
            <w:r>
              <w:rPr>
                <w:sz w:val="17"/>
              </w:rPr>
              <w:t>46,3</w:t>
            </w:r>
          </w:p>
        </w:tc>
        <w:tc>
          <w:tcPr>
            <w:tcW w:w="990" w:type="dxa"/>
            <w:tcBorders>
              <w:top w:val="nil"/>
              <w:left w:val="nil"/>
              <w:bottom w:val="nil"/>
              <w:right w:val="nil"/>
            </w:tcBorders>
          </w:tcPr>
          <w:p w:rsidR="00000000" w:rsidRDefault="00000000">
            <w:pPr>
              <w:spacing w:before="40" w:after="40" w:line="210" w:lineRule="atLeast"/>
              <w:jc w:val="right"/>
              <w:rPr>
                <w:sz w:val="17"/>
              </w:rPr>
            </w:pPr>
            <w:r>
              <w:rPr>
                <w:sz w:val="17"/>
              </w:rPr>
              <w:t>61 102</w:t>
            </w:r>
          </w:p>
        </w:tc>
        <w:tc>
          <w:tcPr>
            <w:tcW w:w="81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41,4</w:t>
            </w:r>
          </w:p>
        </w:tc>
      </w:tr>
      <w:tr w:rsidR="00000000">
        <w:tblPrEx>
          <w:tblCellMar>
            <w:top w:w="0" w:type="dxa"/>
            <w:left w:w="0" w:type="dxa"/>
            <w:bottom w:w="0" w:type="dxa"/>
            <w:right w:w="0" w:type="dxa"/>
          </w:tblCellMar>
        </w:tblPrEx>
        <w:trPr>
          <w:cantSplit/>
        </w:trPr>
        <w:tc>
          <w:tcPr>
            <w:tcW w:w="7560" w:type="dxa"/>
            <w:gridSpan w:val="7"/>
            <w:tcBorders>
              <w:top w:val="nil"/>
              <w:left w:val="nil"/>
              <w:bottom w:val="nil"/>
              <w:right w:val="nil"/>
            </w:tcBorders>
            <w:vAlign w:val="bottom"/>
          </w:tcPr>
          <w:p w:rsidR="00000000" w:rsidRDefault="00000000">
            <w:pPr>
              <w:spacing w:before="40" w:after="40" w:line="210" w:lineRule="atLeast"/>
              <w:rPr>
                <w:sz w:val="17"/>
              </w:rPr>
            </w:pPr>
            <w:r>
              <w:rPr>
                <w:sz w:val="17"/>
              </w:rPr>
              <w:t>С. Возраст</w:t>
            </w:r>
          </w:p>
        </w:tc>
      </w:tr>
      <w:tr w:rsidR="00000000">
        <w:tblPrEx>
          <w:tblCellMar>
            <w:top w:w="0" w:type="dxa"/>
            <w:left w:w="0" w:type="dxa"/>
            <w:bottom w:w="0" w:type="dxa"/>
            <w:right w:w="0" w:type="dxa"/>
          </w:tblCellMar>
        </w:tblPrEx>
        <w:tc>
          <w:tcPr>
            <w:tcW w:w="1530" w:type="dxa"/>
            <w:tcBorders>
              <w:top w:val="nil"/>
              <w:left w:val="nil"/>
              <w:bottom w:val="nil"/>
              <w:right w:val="nil"/>
            </w:tcBorders>
            <w:vAlign w:val="bottom"/>
          </w:tcPr>
          <w:p w:rsidR="00000000" w:rsidRDefault="00000000">
            <w:pPr>
              <w:spacing w:before="40" w:after="40" w:line="210" w:lineRule="atLeast"/>
              <w:rPr>
                <w:sz w:val="17"/>
              </w:rPr>
            </w:pPr>
            <w:r>
              <w:rPr>
                <w:sz w:val="17"/>
              </w:rPr>
              <w:t>До 26 лет</w:t>
            </w:r>
          </w:p>
        </w:tc>
        <w:tc>
          <w:tcPr>
            <w:tcW w:w="990" w:type="dxa"/>
            <w:tcBorders>
              <w:top w:val="nil"/>
              <w:left w:val="nil"/>
              <w:bottom w:val="nil"/>
              <w:right w:val="nil"/>
            </w:tcBorders>
          </w:tcPr>
          <w:p w:rsidR="00000000" w:rsidRDefault="00000000">
            <w:pPr>
              <w:spacing w:before="40" w:after="40" w:line="210" w:lineRule="atLeast"/>
              <w:jc w:val="right"/>
              <w:rPr>
                <w:sz w:val="17"/>
              </w:rPr>
            </w:pPr>
            <w:r>
              <w:rPr>
                <w:sz w:val="17"/>
              </w:rPr>
              <w:t>116 441</w:t>
            </w:r>
          </w:p>
        </w:tc>
        <w:tc>
          <w:tcPr>
            <w:tcW w:w="900" w:type="dxa"/>
            <w:tcBorders>
              <w:top w:val="nil"/>
              <w:left w:val="nil"/>
              <w:bottom w:val="nil"/>
              <w:right w:val="nil"/>
            </w:tcBorders>
          </w:tcPr>
          <w:p w:rsidR="00000000" w:rsidRDefault="00000000">
            <w:pPr>
              <w:spacing w:before="40" w:after="40" w:line="210" w:lineRule="atLeast"/>
              <w:jc w:val="right"/>
              <w:rPr>
                <w:sz w:val="17"/>
              </w:rPr>
            </w:pPr>
            <w:r>
              <w:rPr>
                <w:sz w:val="17"/>
              </w:rPr>
              <w:t>27,5</w:t>
            </w:r>
          </w:p>
        </w:tc>
        <w:tc>
          <w:tcPr>
            <w:tcW w:w="1080" w:type="dxa"/>
            <w:tcBorders>
              <w:top w:val="nil"/>
              <w:left w:val="nil"/>
              <w:bottom w:val="nil"/>
              <w:right w:val="nil"/>
            </w:tcBorders>
          </w:tcPr>
          <w:p w:rsidR="00000000" w:rsidRDefault="00000000">
            <w:pPr>
              <w:spacing w:before="40" w:after="40" w:line="210" w:lineRule="atLeast"/>
              <w:jc w:val="right"/>
              <w:rPr>
                <w:sz w:val="17"/>
              </w:rPr>
            </w:pPr>
            <w:r>
              <w:rPr>
                <w:sz w:val="17"/>
              </w:rPr>
              <w:t>82 292</w:t>
            </w:r>
          </w:p>
        </w:tc>
        <w:tc>
          <w:tcPr>
            <w:tcW w:w="1260" w:type="dxa"/>
            <w:tcBorders>
              <w:top w:val="nil"/>
              <w:left w:val="nil"/>
              <w:bottom w:val="nil"/>
              <w:right w:val="nil"/>
            </w:tcBorders>
          </w:tcPr>
          <w:p w:rsidR="00000000" w:rsidRDefault="00000000">
            <w:pPr>
              <w:spacing w:before="40" w:after="40" w:line="210" w:lineRule="atLeast"/>
              <w:jc w:val="right"/>
              <w:rPr>
                <w:sz w:val="17"/>
              </w:rPr>
            </w:pPr>
            <w:r>
              <w:rPr>
                <w:sz w:val="17"/>
              </w:rPr>
              <w:t>29,8</w:t>
            </w:r>
          </w:p>
        </w:tc>
        <w:tc>
          <w:tcPr>
            <w:tcW w:w="990" w:type="dxa"/>
            <w:tcBorders>
              <w:top w:val="nil"/>
              <w:left w:val="nil"/>
              <w:bottom w:val="nil"/>
              <w:right w:val="nil"/>
            </w:tcBorders>
          </w:tcPr>
          <w:p w:rsidR="00000000" w:rsidRDefault="00000000">
            <w:pPr>
              <w:spacing w:before="40" w:after="40" w:line="210" w:lineRule="atLeast"/>
              <w:jc w:val="right"/>
              <w:rPr>
                <w:sz w:val="17"/>
              </w:rPr>
            </w:pPr>
            <w:r>
              <w:rPr>
                <w:sz w:val="17"/>
              </w:rPr>
              <w:t>34 149</w:t>
            </w:r>
          </w:p>
        </w:tc>
        <w:tc>
          <w:tcPr>
            <w:tcW w:w="81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23,1</w:t>
            </w:r>
          </w:p>
        </w:tc>
      </w:tr>
      <w:tr w:rsidR="00000000">
        <w:tblPrEx>
          <w:tblCellMar>
            <w:top w:w="0" w:type="dxa"/>
            <w:left w:w="0" w:type="dxa"/>
            <w:bottom w:w="0" w:type="dxa"/>
            <w:right w:w="0" w:type="dxa"/>
          </w:tblCellMar>
        </w:tblPrEx>
        <w:tc>
          <w:tcPr>
            <w:tcW w:w="1530" w:type="dxa"/>
            <w:tcBorders>
              <w:top w:val="nil"/>
              <w:left w:val="nil"/>
              <w:bottom w:val="nil"/>
              <w:right w:val="nil"/>
            </w:tcBorders>
            <w:vAlign w:val="bottom"/>
          </w:tcPr>
          <w:p w:rsidR="00000000" w:rsidRDefault="00000000">
            <w:pPr>
              <w:spacing w:before="40" w:after="40" w:line="210" w:lineRule="atLeast"/>
              <w:rPr>
                <w:sz w:val="17"/>
              </w:rPr>
            </w:pPr>
            <w:r>
              <w:rPr>
                <w:sz w:val="17"/>
              </w:rPr>
              <w:t>27-39 лет</w:t>
            </w:r>
          </w:p>
        </w:tc>
        <w:tc>
          <w:tcPr>
            <w:tcW w:w="990" w:type="dxa"/>
            <w:tcBorders>
              <w:top w:val="nil"/>
              <w:left w:val="nil"/>
              <w:bottom w:val="nil"/>
              <w:right w:val="nil"/>
            </w:tcBorders>
          </w:tcPr>
          <w:p w:rsidR="00000000" w:rsidRDefault="00000000">
            <w:pPr>
              <w:spacing w:before="40" w:after="40" w:line="210" w:lineRule="atLeast"/>
              <w:jc w:val="right"/>
              <w:rPr>
                <w:sz w:val="17"/>
              </w:rPr>
            </w:pPr>
            <w:r>
              <w:rPr>
                <w:sz w:val="17"/>
              </w:rPr>
              <w:t>175 008</w:t>
            </w:r>
          </w:p>
        </w:tc>
        <w:tc>
          <w:tcPr>
            <w:tcW w:w="900" w:type="dxa"/>
            <w:tcBorders>
              <w:top w:val="nil"/>
              <w:left w:val="nil"/>
              <w:bottom w:val="nil"/>
              <w:right w:val="nil"/>
            </w:tcBorders>
          </w:tcPr>
          <w:p w:rsidR="00000000" w:rsidRDefault="00000000">
            <w:pPr>
              <w:spacing w:before="40" w:after="40" w:line="210" w:lineRule="atLeast"/>
              <w:jc w:val="right"/>
              <w:rPr>
                <w:sz w:val="17"/>
              </w:rPr>
            </w:pPr>
            <w:r>
              <w:rPr>
                <w:sz w:val="17"/>
              </w:rPr>
              <w:t>41,3</w:t>
            </w:r>
          </w:p>
        </w:tc>
        <w:tc>
          <w:tcPr>
            <w:tcW w:w="1080" w:type="dxa"/>
            <w:tcBorders>
              <w:top w:val="nil"/>
              <w:left w:val="nil"/>
              <w:bottom w:val="nil"/>
              <w:right w:val="nil"/>
            </w:tcBorders>
          </w:tcPr>
          <w:p w:rsidR="00000000" w:rsidRDefault="00000000">
            <w:pPr>
              <w:spacing w:before="40" w:after="40" w:line="210" w:lineRule="atLeast"/>
              <w:jc w:val="right"/>
              <w:rPr>
                <w:sz w:val="17"/>
              </w:rPr>
            </w:pPr>
            <w:r>
              <w:rPr>
                <w:sz w:val="17"/>
              </w:rPr>
              <w:t>114 723</w:t>
            </w:r>
          </w:p>
        </w:tc>
        <w:tc>
          <w:tcPr>
            <w:tcW w:w="1260" w:type="dxa"/>
            <w:tcBorders>
              <w:top w:val="nil"/>
              <w:left w:val="nil"/>
              <w:bottom w:val="nil"/>
              <w:right w:val="nil"/>
            </w:tcBorders>
          </w:tcPr>
          <w:p w:rsidR="00000000" w:rsidRDefault="00000000">
            <w:pPr>
              <w:spacing w:before="40" w:after="40" w:line="210" w:lineRule="atLeast"/>
              <w:jc w:val="right"/>
              <w:rPr>
                <w:sz w:val="17"/>
              </w:rPr>
            </w:pPr>
            <w:r>
              <w:rPr>
                <w:sz w:val="17"/>
              </w:rPr>
              <w:t>41,6</w:t>
            </w:r>
          </w:p>
        </w:tc>
        <w:tc>
          <w:tcPr>
            <w:tcW w:w="990" w:type="dxa"/>
            <w:tcBorders>
              <w:top w:val="nil"/>
              <w:left w:val="nil"/>
              <w:bottom w:val="nil"/>
              <w:right w:val="nil"/>
            </w:tcBorders>
          </w:tcPr>
          <w:p w:rsidR="00000000" w:rsidRDefault="00000000">
            <w:pPr>
              <w:spacing w:before="40" w:after="40" w:line="210" w:lineRule="atLeast"/>
              <w:jc w:val="right"/>
              <w:rPr>
                <w:sz w:val="17"/>
              </w:rPr>
            </w:pPr>
            <w:r>
              <w:rPr>
                <w:sz w:val="17"/>
              </w:rPr>
              <w:t>60 285</w:t>
            </w:r>
          </w:p>
        </w:tc>
        <w:tc>
          <w:tcPr>
            <w:tcW w:w="81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40,8</w:t>
            </w:r>
          </w:p>
        </w:tc>
      </w:tr>
      <w:tr w:rsidR="00000000">
        <w:tblPrEx>
          <w:tblCellMar>
            <w:top w:w="0" w:type="dxa"/>
            <w:left w:w="0" w:type="dxa"/>
            <w:bottom w:w="0" w:type="dxa"/>
            <w:right w:w="0" w:type="dxa"/>
          </w:tblCellMar>
        </w:tblPrEx>
        <w:tc>
          <w:tcPr>
            <w:tcW w:w="1530" w:type="dxa"/>
            <w:tcBorders>
              <w:top w:val="nil"/>
              <w:left w:val="nil"/>
              <w:bottom w:val="nil"/>
              <w:right w:val="nil"/>
            </w:tcBorders>
            <w:vAlign w:val="bottom"/>
          </w:tcPr>
          <w:p w:rsidR="00000000" w:rsidRDefault="00000000">
            <w:pPr>
              <w:spacing w:before="40" w:after="40" w:line="210" w:lineRule="atLeast"/>
              <w:rPr>
                <w:sz w:val="17"/>
              </w:rPr>
            </w:pPr>
            <w:r>
              <w:rPr>
                <w:sz w:val="17"/>
              </w:rPr>
              <w:t>40-49 лет</w:t>
            </w:r>
          </w:p>
        </w:tc>
        <w:tc>
          <w:tcPr>
            <w:tcW w:w="990" w:type="dxa"/>
            <w:tcBorders>
              <w:top w:val="nil"/>
              <w:left w:val="nil"/>
              <w:bottom w:val="nil"/>
              <w:right w:val="nil"/>
            </w:tcBorders>
          </w:tcPr>
          <w:p w:rsidR="00000000" w:rsidRDefault="00000000">
            <w:pPr>
              <w:spacing w:before="40" w:after="40" w:line="210" w:lineRule="atLeast"/>
              <w:jc w:val="right"/>
              <w:rPr>
                <w:sz w:val="17"/>
              </w:rPr>
            </w:pPr>
            <w:r>
              <w:rPr>
                <w:sz w:val="17"/>
              </w:rPr>
              <w:t>89 138</w:t>
            </w:r>
          </w:p>
        </w:tc>
        <w:tc>
          <w:tcPr>
            <w:tcW w:w="900" w:type="dxa"/>
            <w:tcBorders>
              <w:top w:val="nil"/>
              <w:left w:val="nil"/>
              <w:bottom w:val="nil"/>
              <w:right w:val="nil"/>
            </w:tcBorders>
          </w:tcPr>
          <w:p w:rsidR="00000000" w:rsidRDefault="00000000">
            <w:pPr>
              <w:spacing w:before="40" w:after="40" w:line="210" w:lineRule="atLeast"/>
              <w:jc w:val="right"/>
              <w:rPr>
                <w:sz w:val="17"/>
              </w:rPr>
            </w:pPr>
            <w:r>
              <w:rPr>
                <w:sz w:val="17"/>
              </w:rPr>
              <w:t>21,0</w:t>
            </w:r>
          </w:p>
        </w:tc>
        <w:tc>
          <w:tcPr>
            <w:tcW w:w="1080" w:type="dxa"/>
            <w:tcBorders>
              <w:top w:val="nil"/>
              <w:left w:val="nil"/>
              <w:bottom w:val="nil"/>
              <w:right w:val="nil"/>
            </w:tcBorders>
          </w:tcPr>
          <w:p w:rsidR="00000000" w:rsidRDefault="00000000">
            <w:pPr>
              <w:spacing w:before="40" w:after="40" w:line="210" w:lineRule="atLeast"/>
              <w:jc w:val="right"/>
              <w:rPr>
                <w:sz w:val="17"/>
              </w:rPr>
            </w:pPr>
            <w:r>
              <w:rPr>
                <w:sz w:val="17"/>
              </w:rPr>
              <w:t>54 273</w:t>
            </w:r>
          </w:p>
        </w:tc>
        <w:tc>
          <w:tcPr>
            <w:tcW w:w="1260" w:type="dxa"/>
            <w:tcBorders>
              <w:top w:val="nil"/>
              <w:left w:val="nil"/>
              <w:bottom w:val="nil"/>
              <w:right w:val="nil"/>
            </w:tcBorders>
          </w:tcPr>
          <w:p w:rsidR="00000000" w:rsidRDefault="00000000">
            <w:pPr>
              <w:spacing w:before="40" w:after="40" w:line="210" w:lineRule="atLeast"/>
              <w:jc w:val="right"/>
              <w:rPr>
                <w:sz w:val="17"/>
              </w:rPr>
            </w:pPr>
            <w:r>
              <w:rPr>
                <w:sz w:val="17"/>
              </w:rPr>
              <w:t>19,7</w:t>
            </w:r>
          </w:p>
        </w:tc>
        <w:tc>
          <w:tcPr>
            <w:tcW w:w="990" w:type="dxa"/>
            <w:tcBorders>
              <w:top w:val="nil"/>
              <w:left w:val="nil"/>
              <w:bottom w:val="nil"/>
              <w:right w:val="nil"/>
            </w:tcBorders>
          </w:tcPr>
          <w:p w:rsidR="00000000" w:rsidRDefault="00000000">
            <w:pPr>
              <w:spacing w:before="40" w:after="40" w:line="210" w:lineRule="atLeast"/>
              <w:jc w:val="right"/>
              <w:rPr>
                <w:sz w:val="17"/>
              </w:rPr>
            </w:pPr>
            <w:r>
              <w:rPr>
                <w:sz w:val="17"/>
              </w:rPr>
              <w:t>34 865</w:t>
            </w:r>
          </w:p>
        </w:tc>
        <w:tc>
          <w:tcPr>
            <w:tcW w:w="81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23,6</w:t>
            </w:r>
          </w:p>
        </w:tc>
      </w:tr>
      <w:tr w:rsidR="00000000">
        <w:tblPrEx>
          <w:tblCellMar>
            <w:top w:w="0" w:type="dxa"/>
            <w:left w:w="0" w:type="dxa"/>
            <w:bottom w:w="0" w:type="dxa"/>
            <w:right w:w="0" w:type="dxa"/>
          </w:tblCellMar>
        </w:tblPrEx>
        <w:tc>
          <w:tcPr>
            <w:tcW w:w="1530" w:type="dxa"/>
            <w:tcBorders>
              <w:top w:val="nil"/>
              <w:left w:val="nil"/>
              <w:bottom w:val="single" w:sz="12" w:space="0" w:color="auto"/>
              <w:right w:val="nil"/>
            </w:tcBorders>
            <w:vAlign w:val="bottom"/>
          </w:tcPr>
          <w:p w:rsidR="00000000" w:rsidRDefault="00000000">
            <w:pPr>
              <w:spacing w:before="40" w:after="40" w:line="210" w:lineRule="atLeast"/>
              <w:rPr>
                <w:sz w:val="17"/>
              </w:rPr>
            </w:pPr>
            <w:r>
              <w:rPr>
                <w:sz w:val="17"/>
              </w:rPr>
              <w:t>50 лет и старше</w:t>
            </w:r>
          </w:p>
        </w:tc>
        <w:tc>
          <w:tcPr>
            <w:tcW w:w="990" w:type="dxa"/>
            <w:tcBorders>
              <w:top w:val="nil"/>
              <w:left w:val="nil"/>
              <w:bottom w:val="single" w:sz="12" w:space="0" w:color="auto"/>
              <w:right w:val="nil"/>
            </w:tcBorders>
          </w:tcPr>
          <w:p w:rsidR="00000000" w:rsidRDefault="00000000">
            <w:pPr>
              <w:spacing w:before="40" w:after="40" w:line="210" w:lineRule="atLeast"/>
              <w:jc w:val="right"/>
              <w:rPr>
                <w:sz w:val="17"/>
              </w:rPr>
            </w:pPr>
            <w:r>
              <w:rPr>
                <w:sz w:val="17"/>
              </w:rPr>
              <w:t>42 939</w:t>
            </w:r>
          </w:p>
        </w:tc>
        <w:tc>
          <w:tcPr>
            <w:tcW w:w="900" w:type="dxa"/>
            <w:tcBorders>
              <w:top w:val="nil"/>
              <w:left w:val="nil"/>
              <w:bottom w:val="single" w:sz="12" w:space="0" w:color="auto"/>
              <w:right w:val="nil"/>
            </w:tcBorders>
          </w:tcPr>
          <w:p w:rsidR="00000000" w:rsidRDefault="00000000">
            <w:pPr>
              <w:spacing w:before="40" w:after="40" w:line="210" w:lineRule="atLeast"/>
              <w:jc w:val="right"/>
              <w:rPr>
                <w:sz w:val="17"/>
              </w:rPr>
            </w:pPr>
            <w:r>
              <w:rPr>
                <w:sz w:val="17"/>
              </w:rPr>
              <w:t>10,1</w:t>
            </w:r>
          </w:p>
        </w:tc>
        <w:tc>
          <w:tcPr>
            <w:tcW w:w="1080" w:type="dxa"/>
            <w:tcBorders>
              <w:top w:val="nil"/>
              <w:left w:val="nil"/>
              <w:bottom w:val="single" w:sz="12" w:space="0" w:color="auto"/>
              <w:right w:val="nil"/>
            </w:tcBorders>
          </w:tcPr>
          <w:p w:rsidR="00000000" w:rsidRDefault="00000000">
            <w:pPr>
              <w:spacing w:before="40" w:after="40" w:line="210" w:lineRule="atLeast"/>
              <w:jc w:val="right"/>
              <w:rPr>
                <w:sz w:val="17"/>
              </w:rPr>
            </w:pPr>
            <w:r>
              <w:rPr>
                <w:sz w:val="17"/>
              </w:rPr>
              <w:t>24 489</w:t>
            </w:r>
          </w:p>
        </w:tc>
        <w:tc>
          <w:tcPr>
            <w:tcW w:w="1260" w:type="dxa"/>
            <w:tcBorders>
              <w:top w:val="nil"/>
              <w:left w:val="nil"/>
              <w:bottom w:val="single" w:sz="12" w:space="0" w:color="auto"/>
              <w:right w:val="nil"/>
            </w:tcBorders>
          </w:tcPr>
          <w:p w:rsidR="00000000" w:rsidRDefault="00000000">
            <w:pPr>
              <w:spacing w:before="40" w:after="40" w:line="210" w:lineRule="atLeast"/>
              <w:jc w:val="right"/>
              <w:rPr>
                <w:sz w:val="17"/>
              </w:rPr>
            </w:pPr>
            <w:r>
              <w:rPr>
                <w:sz w:val="17"/>
              </w:rPr>
              <w:t>8,9</w:t>
            </w:r>
          </w:p>
        </w:tc>
        <w:tc>
          <w:tcPr>
            <w:tcW w:w="990" w:type="dxa"/>
            <w:tcBorders>
              <w:top w:val="nil"/>
              <w:left w:val="nil"/>
              <w:bottom w:val="single" w:sz="12" w:space="0" w:color="auto"/>
              <w:right w:val="nil"/>
            </w:tcBorders>
          </w:tcPr>
          <w:p w:rsidR="00000000" w:rsidRDefault="00000000">
            <w:pPr>
              <w:spacing w:before="40" w:after="40" w:line="210" w:lineRule="atLeast"/>
              <w:jc w:val="right"/>
              <w:rPr>
                <w:sz w:val="17"/>
              </w:rPr>
            </w:pPr>
            <w:r>
              <w:rPr>
                <w:sz w:val="17"/>
              </w:rPr>
              <w:t>18 450</w:t>
            </w:r>
          </w:p>
        </w:tc>
        <w:tc>
          <w:tcPr>
            <w:tcW w:w="810" w:type="dxa"/>
            <w:tcBorders>
              <w:top w:val="nil"/>
              <w:left w:val="nil"/>
              <w:bottom w:val="single" w:sz="12" w:space="0" w:color="auto"/>
              <w:right w:val="nil"/>
            </w:tcBorders>
            <w:vAlign w:val="bottom"/>
          </w:tcPr>
          <w:p w:rsidR="00000000" w:rsidRDefault="00000000">
            <w:pPr>
              <w:spacing w:before="40" w:after="40" w:line="210" w:lineRule="atLeast"/>
              <w:jc w:val="right"/>
              <w:rPr>
                <w:sz w:val="17"/>
              </w:rPr>
            </w:pPr>
            <w:r>
              <w:rPr>
                <w:sz w:val="17"/>
              </w:rPr>
              <w:t>12,5</w:t>
            </w:r>
          </w:p>
        </w:tc>
      </w:tr>
    </w:tbl>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pPr>
      <w:r>
        <w:rPr>
          <w:i/>
        </w:rPr>
        <w:t>Источник</w:t>
      </w:r>
      <w:r>
        <w:t>: Статистический ежегодник 2001 года, Федеральный институт ст</w:t>
      </w:r>
      <w:r>
        <w:t>а</w:t>
      </w:r>
      <w:r>
        <w:t>тистики, Сараево. Статистические данные в области экономических и других тенденций, февраль 2002 года, Федеральный институт статистики, Сараево. Ежемесячный статистический обзор, 4/2002, Бюро занятости Республика Сер</w:t>
      </w:r>
      <w:r>
        <w:t>б</w:t>
      </w:r>
      <w:r>
        <w:t>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Численность участников программы в области безработицы</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82"/>
        <w:gridCol w:w="990"/>
        <w:gridCol w:w="1080"/>
        <w:gridCol w:w="990"/>
        <w:gridCol w:w="990"/>
        <w:gridCol w:w="1080"/>
      </w:tblGrid>
      <w:tr w:rsidR="00000000">
        <w:tblPrEx>
          <w:tblCellMar>
            <w:top w:w="0" w:type="dxa"/>
            <w:left w:w="0" w:type="dxa"/>
            <w:bottom w:w="0" w:type="dxa"/>
            <w:right w:w="0" w:type="dxa"/>
          </w:tblCellMar>
        </w:tblPrEx>
        <w:trPr>
          <w:tblHeader/>
        </w:trPr>
        <w:tc>
          <w:tcPr>
            <w:tcW w:w="2682"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160" w:lineRule="atLeast"/>
              <w:ind w:right="43"/>
              <w:rPr>
                <w:i/>
                <w:sz w:val="14"/>
              </w:rPr>
            </w:pPr>
          </w:p>
        </w:tc>
        <w:tc>
          <w:tcPr>
            <w:tcW w:w="99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1997 год</w:t>
            </w:r>
          </w:p>
        </w:tc>
        <w:tc>
          <w:tcPr>
            <w:tcW w:w="108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1998 год</w:t>
            </w:r>
          </w:p>
        </w:tc>
        <w:tc>
          <w:tcPr>
            <w:tcW w:w="99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1999 год</w:t>
            </w:r>
          </w:p>
        </w:tc>
        <w:tc>
          <w:tcPr>
            <w:tcW w:w="99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2000 год</w:t>
            </w:r>
          </w:p>
        </w:tc>
        <w:tc>
          <w:tcPr>
            <w:tcW w:w="1080" w:type="dxa"/>
            <w:tcBorders>
              <w:top w:val="single" w:sz="4" w:space="0" w:color="auto"/>
              <w:left w:val="nil"/>
              <w:bottom w:val="single" w:sz="12" w:space="0" w:color="auto"/>
              <w:right w:val="nil"/>
            </w:tcBorders>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2001 год</w:t>
            </w:r>
          </w:p>
        </w:tc>
      </w:tr>
      <w:tr w:rsidR="00000000">
        <w:tblPrEx>
          <w:tblCellMar>
            <w:top w:w="0" w:type="dxa"/>
            <w:left w:w="0" w:type="dxa"/>
            <w:bottom w:w="0" w:type="dxa"/>
            <w:right w:w="0" w:type="dxa"/>
          </w:tblCellMar>
        </w:tblPrEx>
        <w:trPr>
          <w:trHeight w:hRule="exact" w:val="115"/>
          <w:tblHeader/>
        </w:trPr>
        <w:tc>
          <w:tcPr>
            <w:tcW w:w="268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160" w:lineRule="atLeast"/>
              <w:ind w:right="40"/>
              <w:rPr>
                <w:sz w:val="17"/>
              </w:rPr>
            </w:pPr>
          </w:p>
        </w:tc>
        <w:tc>
          <w:tcPr>
            <w:tcW w:w="9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c>
          <w:tcPr>
            <w:tcW w:w="108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c>
          <w:tcPr>
            <w:tcW w:w="9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c>
          <w:tcPr>
            <w:tcW w:w="9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c>
          <w:tcPr>
            <w:tcW w:w="108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r>
      <w:tr w:rsidR="00000000">
        <w:tblPrEx>
          <w:tblCellMar>
            <w:top w:w="0" w:type="dxa"/>
            <w:left w:w="0" w:type="dxa"/>
            <w:bottom w:w="0" w:type="dxa"/>
            <w:right w:w="0" w:type="dxa"/>
          </w:tblCellMar>
        </w:tblPrEx>
        <w:trPr>
          <w:cantSplit/>
        </w:trPr>
        <w:tc>
          <w:tcPr>
            <w:tcW w:w="7812" w:type="dxa"/>
            <w:gridSpan w:val="6"/>
            <w:tcBorders>
              <w:top w:val="nil"/>
              <w:left w:val="nil"/>
              <w:bottom w:val="nil"/>
              <w:right w:val="nil"/>
            </w:tcBorders>
            <w:vAlign w:val="bottom"/>
          </w:tcPr>
          <w:p w:rsidR="00000000" w:rsidRDefault="00000000">
            <w:pPr>
              <w:keepNext/>
              <w:spacing w:before="40" w:after="40" w:line="210" w:lineRule="atLeast"/>
              <w:rPr>
                <w:sz w:val="17"/>
              </w:rPr>
            </w:pPr>
            <w:r>
              <w:rPr>
                <w:sz w:val="17"/>
              </w:rPr>
              <w:t>А. Участники программы компенсационных выплат в связи с безработицей (в тыс. человек)</w:t>
            </w:r>
          </w:p>
        </w:tc>
      </w:tr>
      <w:tr w:rsidR="00000000">
        <w:tblPrEx>
          <w:tblCellMar>
            <w:top w:w="0" w:type="dxa"/>
            <w:left w:w="0" w:type="dxa"/>
            <w:bottom w:w="0" w:type="dxa"/>
            <w:right w:w="0" w:type="dxa"/>
          </w:tblCellMar>
        </w:tblPrEx>
        <w:tc>
          <w:tcPr>
            <w:tcW w:w="2682" w:type="dxa"/>
            <w:tcBorders>
              <w:top w:val="nil"/>
              <w:left w:val="nil"/>
              <w:bottom w:val="nil"/>
              <w:right w:val="nil"/>
            </w:tcBorders>
            <w:vAlign w:val="bottom"/>
          </w:tcPr>
          <w:p w:rsidR="00000000" w:rsidRDefault="00000000">
            <w:pPr>
              <w:keepNext/>
              <w:spacing w:before="40" w:after="40" w:line="210" w:lineRule="atLeast"/>
              <w:ind w:left="162"/>
              <w:rPr>
                <w:sz w:val="17"/>
              </w:rPr>
            </w:pPr>
            <w:r>
              <w:rPr>
                <w:sz w:val="17"/>
              </w:rPr>
              <w:t>Босния и Герцеговина</w:t>
            </w:r>
          </w:p>
        </w:tc>
        <w:tc>
          <w:tcPr>
            <w:tcW w:w="99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 xml:space="preserve">нет данных </w:t>
            </w:r>
          </w:p>
        </w:tc>
        <w:tc>
          <w:tcPr>
            <w:tcW w:w="108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нет да</w:t>
            </w:r>
            <w:r>
              <w:rPr>
                <w:sz w:val="17"/>
              </w:rPr>
              <w:t>н</w:t>
            </w:r>
            <w:r>
              <w:rPr>
                <w:sz w:val="17"/>
              </w:rPr>
              <w:t>ных</w:t>
            </w:r>
          </w:p>
        </w:tc>
        <w:tc>
          <w:tcPr>
            <w:tcW w:w="99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нет да</w:t>
            </w:r>
            <w:r>
              <w:rPr>
                <w:sz w:val="17"/>
              </w:rPr>
              <w:t>н</w:t>
            </w:r>
            <w:r>
              <w:rPr>
                <w:sz w:val="17"/>
              </w:rPr>
              <w:t>ных</w:t>
            </w:r>
          </w:p>
        </w:tc>
        <w:tc>
          <w:tcPr>
            <w:tcW w:w="99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нет да</w:t>
            </w:r>
            <w:r>
              <w:rPr>
                <w:sz w:val="17"/>
              </w:rPr>
              <w:t>н</w:t>
            </w:r>
            <w:r>
              <w:rPr>
                <w:sz w:val="17"/>
              </w:rPr>
              <w:t>ных</w:t>
            </w:r>
          </w:p>
        </w:tc>
        <w:tc>
          <w:tcPr>
            <w:tcW w:w="1080" w:type="dxa"/>
            <w:tcBorders>
              <w:top w:val="nil"/>
              <w:left w:val="nil"/>
              <w:bottom w:val="nil"/>
              <w:right w:val="nil"/>
            </w:tcBorders>
          </w:tcPr>
          <w:p w:rsidR="00000000" w:rsidRDefault="00000000">
            <w:pPr>
              <w:keepNext/>
              <w:spacing w:before="40" w:after="40" w:line="210" w:lineRule="atLeast"/>
              <w:jc w:val="right"/>
              <w:rPr>
                <w:sz w:val="17"/>
              </w:rPr>
            </w:pPr>
            <w:r>
              <w:rPr>
                <w:sz w:val="17"/>
              </w:rPr>
              <w:t>нет да</w:t>
            </w:r>
            <w:r>
              <w:rPr>
                <w:sz w:val="17"/>
              </w:rPr>
              <w:t>н</w:t>
            </w:r>
            <w:r>
              <w:rPr>
                <w:sz w:val="17"/>
              </w:rPr>
              <w:t>ных</w:t>
            </w:r>
          </w:p>
        </w:tc>
      </w:tr>
      <w:tr w:rsidR="00000000">
        <w:tblPrEx>
          <w:tblCellMar>
            <w:top w:w="0" w:type="dxa"/>
            <w:left w:w="0" w:type="dxa"/>
            <w:bottom w:w="0" w:type="dxa"/>
            <w:right w:w="0" w:type="dxa"/>
          </w:tblCellMar>
        </w:tblPrEx>
        <w:tc>
          <w:tcPr>
            <w:tcW w:w="2682" w:type="dxa"/>
            <w:tcBorders>
              <w:top w:val="nil"/>
              <w:left w:val="nil"/>
              <w:bottom w:val="nil"/>
              <w:right w:val="nil"/>
            </w:tcBorders>
            <w:vAlign w:val="bottom"/>
          </w:tcPr>
          <w:p w:rsidR="00000000" w:rsidRDefault="00000000">
            <w:pPr>
              <w:keepNext/>
              <w:spacing w:before="40" w:after="40" w:line="210" w:lineRule="atLeast"/>
              <w:ind w:left="162"/>
              <w:rPr>
                <w:sz w:val="17"/>
              </w:rPr>
            </w:pPr>
            <w:r>
              <w:rPr>
                <w:sz w:val="17"/>
              </w:rPr>
              <w:t>Федерация (ежегодно)</w:t>
            </w:r>
          </w:p>
        </w:tc>
        <w:tc>
          <w:tcPr>
            <w:tcW w:w="99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14,0</w:t>
            </w:r>
          </w:p>
        </w:tc>
        <w:tc>
          <w:tcPr>
            <w:tcW w:w="108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29,4</w:t>
            </w:r>
          </w:p>
        </w:tc>
        <w:tc>
          <w:tcPr>
            <w:tcW w:w="99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34,0</w:t>
            </w:r>
          </w:p>
        </w:tc>
        <w:tc>
          <w:tcPr>
            <w:tcW w:w="99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27,4</w:t>
            </w:r>
          </w:p>
        </w:tc>
        <w:tc>
          <w:tcPr>
            <w:tcW w:w="1080" w:type="dxa"/>
            <w:tcBorders>
              <w:top w:val="nil"/>
              <w:left w:val="nil"/>
              <w:bottom w:val="nil"/>
              <w:right w:val="nil"/>
            </w:tcBorders>
          </w:tcPr>
          <w:p w:rsidR="00000000" w:rsidRDefault="00000000">
            <w:pPr>
              <w:keepNext/>
              <w:spacing w:before="40" w:after="40" w:line="210" w:lineRule="atLeast"/>
              <w:jc w:val="right"/>
              <w:rPr>
                <w:sz w:val="17"/>
              </w:rPr>
            </w:pPr>
            <w:r>
              <w:rPr>
                <w:sz w:val="17"/>
              </w:rPr>
              <w:t>36,2</w:t>
            </w:r>
          </w:p>
        </w:tc>
      </w:tr>
      <w:tr w:rsidR="00000000">
        <w:tblPrEx>
          <w:tblCellMar>
            <w:top w:w="0" w:type="dxa"/>
            <w:left w:w="0" w:type="dxa"/>
            <w:bottom w:w="0" w:type="dxa"/>
            <w:right w:w="0" w:type="dxa"/>
          </w:tblCellMar>
        </w:tblPrEx>
        <w:tc>
          <w:tcPr>
            <w:tcW w:w="2682" w:type="dxa"/>
            <w:tcBorders>
              <w:top w:val="nil"/>
              <w:left w:val="nil"/>
              <w:bottom w:val="nil"/>
              <w:right w:val="nil"/>
            </w:tcBorders>
            <w:vAlign w:val="bottom"/>
          </w:tcPr>
          <w:p w:rsidR="00000000" w:rsidRDefault="00000000">
            <w:pPr>
              <w:keepNext/>
              <w:spacing w:before="40" w:after="40" w:line="210" w:lineRule="atLeast"/>
              <w:ind w:left="162"/>
              <w:rPr>
                <w:sz w:val="17"/>
              </w:rPr>
            </w:pPr>
            <w:r>
              <w:rPr>
                <w:sz w:val="17"/>
              </w:rPr>
              <w:t>Федерация (по состоянию на конец года)</w:t>
            </w:r>
          </w:p>
        </w:tc>
        <w:tc>
          <w:tcPr>
            <w:tcW w:w="99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2,0</w:t>
            </w:r>
          </w:p>
        </w:tc>
        <w:tc>
          <w:tcPr>
            <w:tcW w:w="108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4,0</w:t>
            </w:r>
          </w:p>
        </w:tc>
        <w:tc>
          <w:tcPr>
            <w:tcW w:w="99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2,3</w:t>
            </w:r>
          </w:p>
        </w:tc>
        <w:tc>
          <w:tcPr>
            <w:tcW w:w="99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2,9</w:t>
            </w:r>
          </w:p>
        </w:tc>
        <w:tc>
          <w:tcPr>
            <w:tcW w:w="108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3,3</w:t>
            </w:r>
          </w:p>
        </w:tc>
      </w:tr>
      <w:tr w:rsidR="00000000">
        <w:tblPrEx>
          <w:tblCellMar>
            <w:top w:w="0" w:type="dxa"/>
            <w:left w:w="0" w:type="dxa"/>
            <w:bottom w:w="0" w:type="dxa"/>
            <w:right w:w="0" w:type="dxa"/>
          </w:tblCellMar>
        </w:tblPrEx>
        <w:tc>
          <w:tcPr>
            <w:tcW w:w="2682" w:type="dxa"/>
            <w:tcBorders>
              <w:top w:val="nil"/>
              <w:left w:val="nil"/>
              <w:bottom w:val="nil"/>
              <w:right w:val="nil"/>
            </w:tcBorders>
            <w:vAlign w:val="bottom"/>
          </w:tcPr>
          <w:p w:rsidR="00000000" w:rsidRDefault="00000000">
            <w:pPr>
              <w:keepNext/>
              <w:spacing w:before="40" w:after="40" w:line="210" w:lineRule="atLeast"/>
              <w:ind w:left="162"/>
              <w:rPr>
                <w:sz w:val="17"/>
              </w:rPr>
            </w:pPr>
            <w:r>
              <w:rPr>
                <w:sz w:val="17"/>
              </w:rPr>
              <w:t>Республика Сербская (на конец г</w:t>
            </w:r>
            <w:r>
              <w:rPr>
                <w:sz w:val="17"/>
              </w:rPr>
              <w:t>о</w:t>
            </w:r>
            <w:r>
              <w:rPr>
                <w:sz w:val="17"/>
              </w:rPr>
              <w:t>да)</w:t>
            </w:r>
          </w:p>
        </w:tc>
        <w:tc>
          <w:tcPr>
            <w:tcW w:w="99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нет данных</w:t>
            </w:r>
          </w:p>
        </w:tc>
        <w:tc>
          <w:tcPr>
            <w:tcW w:w="108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нет данных</w:t>
            </w:r>
          </w:p>
        </w:tc>
        <w:tc>
          <w:tcPr>
            <w:tcW w:w="99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нет данных</w:t>
            </w:r>
          </w:p>
        </w:tc>
        <w:tc>
          <w:tcPr>
            <w:tcW w:w="99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1,3</w:t>
            </w:r>
          </w:p>
        </w:tc>
        <w:tc>
          <w:tcPr>
            <w:tcW w:w="1080" w:type="dxa"/>
            <w:tcBorders>
              <w:top w:val="nil"/>
              <w:left w:val="nil"/>
              <w:bottom w:val="nil"/>
              <w:right w:val="nil"/>
            </w:tcBorders>
          </w:tcPr>
          <w:p w:rsidR="00000000" w:rsidRDefault="00000000">
            <w:pPr>
              <w:keepNext/>
              <w:spacing w:before="40" w:after="40" w:line="210" w:lineRule="atLeast"/>
              <w:jc w:val="right"/>
              <w:rPr>
                <w:sz w:val="17"/>
              </w:rPr>
            </w:pPr>
            <w:r>
              <w:rPr>
                <w:sz w:val="17"/>
              </w:rPr>
              <w:t>1-6</w:t>
            </w:r>
          </w:p>
        </w:tc>
      </w:tr>
      <w:tr w:rsidR="00000000">
        <w:tblPrEx>
          <w:tblCellMar>
            <w:top w:w="0" w:type="dxa"/>
            <w:left w:w="0" w:type="dxa"/>
            <w:bottom w:w="0" w:type="dxa"/>
            <w:right w:w="0" w:type="dxa"/>
          </w:tblCellMar>
        </w:tblPrEx>
        <w:trPr>
          <w:cantSplit/>
        </w:trPr>
        <w:tc>
          <w:tcPr>
            <w:tcW w:w="7812" w:type="dxa"/>
            <w:gridSpan w:val="6"/>
            <w:tcBorders>
              <w:top w:val="nil"/>
              <w:left w:val="nil"/>
              <w:bottom w:val="nil"/>
              <w:right w:val="nil"/>
            </w:tcBorders>
            <w:vAlign w:val="bottom"/>
          </w:tcPr>
          <w:p w:rsidR="00000000" w:rsidRDefault="00000000">
            <w:pPr>
              <w:keepNext/>
              <w:spacing w:before="40" w:after="40" w:line="210" w:lineRule="atLeast"/>
              <w:rPr>
                <w:sz w:val="17"/>
              </w:rPr>
            </w:pPr>
            <w:r>
              <w:rPr>
                <w:sz w:val="17"/>
              </w:rPr>
              <w:t>В. Средний размер компенсационных выплат в связи с безработицей (в КМ)</w:t>
            </w:r>
          </w:p>
        </w:tc>
      </w:tr>
      <w:tr w:rsidR="00000000">
        <w:tblPrEx>
          <w:tblCellMar>
            <w:top w:w="0" w:type="dxa"/>
            <w:left w:w="0" w:type="dxa"/>
            <w:bottom w:w="0" w:type="dxa"/>
            <w:right w:w="0" w:type="dxa"/>
          </w:tblCellMar>
        </w:tblPrEx>
        <w:tc>
          <w:tcPr>
            <w:tcW w:w="2682" w:type="dxa"/>
            <w:tcBorders>
              <w:top w:val="nil"/>
              <w:left w:val="nil"/>
              <w:bottom w:val="nil"/>
              <w:right w:val="nil"/>
            </w:tcBorders>
            <w:vAlign w:val="bottom"/>
          </w:tcPr>
          <w:p w:rsidR="00000000" w:rsidRDefault="00000000">
            <w:pPr>
              <w:spacing w:before="40" w:after="40" w:line="210" w:lineRule="atLeast"/>
              <w:ind w:left="162"/>
              <w:rPr>
                <w:sz w:val="17"/>
              </w:rPr>
            </w:pPr>
            <w:r>
              <w:rPr>
                <w:sz w:val="17"/>
              </w:rPr>
              <w:t>Босния и Герцеговина</w:t>
            </w:r>
          </w:p>
        </w:tc>
        <w:tc>
          <w:tcPr>
            <w:tcW w:w="99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нет данных</w:t>
            </w:r>
          </w:p>
        </w:tc>
        <w:tc>
          <w:tcPr>
            <w:tcW w:w="108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нет данных</w:t>
            </w:r>
          </w:p>
        </w:tc>
        <w:tc>
          <w:tcPr>
            <w:tcW w:w="99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нет данных</w:t>
            </w:r>
          </w:p>
        </w:tc>
        <w:tc>
          <w:tcPr>
            <w:tcW w:w="99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169,0</w:t>
            </w:r>
          </w:p>
        </w:tc>
        <w:tc>
          <w:tcPr>
            <w:tcW w:w="1080" w:type="dxa"/>
            <w:tcBorders>
              <w:top w:val="nil"/>
              <w:left w:val="nil"/>
              <w:bottom w:val="nil"/>
              <w:right w:val="nil"/>
            </w:tcBorders>
          </w:tcPr>
          <w:p w:rsidR="00000000" w:rsidRDefault="00000000">
            <w:pPr>
              <w:spacing w:before="40" w:after="40" w:line="210" w:lineRule="atLeast"/>
              <w:jc w:val="right"/>
              <w:rPr>
                <w:sz w:val="17"/>
              </w:rPr>
            </w:pPr>
            <w:r>
              <w:rPr>
                <w:sz w:val="17"/>
              </w:rPr>
              <w:t>153,7</w:t>
            </w:r>
          </w:p>
        </w:tc>
      </w:tr>
      <w:tr w:rsidR="00000000">
        <w:tblPrEx>
          <w:tblCellMar>
            <w:top w:w="0" w:type="dxa"/>
            <w:left w:w="0" w:type="dxa"/>
            <w:bottom w:w="0" w:type="dxa"/>
            <w:right w:w="0" w:type="dxa"/>
          </w:tblCellMar>
        </w:tblPrEx>
        <w:tc>
          <w:tcPr>
            <w:tcW w:w="2682" w:type="dxa"/>
            <w:tcBorders>
              <w:top w:val="nil"/>
              <w:left w:val="nil"/>
              <w:bottom w:val="nil"/>
              <w:right w:val="nil"/>
            </w:tcBorders>
            <w:vAlign w:val="bottom"/>
          </w:tcPr>
          <w:p w:rsidR="00000000" w:rsidRDefault="00000000">
            <w:pPr>
              <w:spacing w:before="40" w:after="40" w:line="210" w:lineRule="atLeast"/>
              <w:ind w:left="162"/>
              <w:rPr>
                <w:sz w:val="17"/>
              </w:rPr>
            </w:pPr>
            <w:r>
              <w:rPr>
                <w:sz w:val="17"/>
              </w:rPr>
              <w:t>Федерация Боснии и Герцег</w:t>
            </w:r>
            <w:r>
              <w:rPr>
                <w:sz w:val="17"/>
              </w:rPr>
              <w:t>о</w:t>
            </w:r>
            <w:r>
              <w:rPr>
                <w:sz w:val="17"/>
              </w:rPr>
              <w:t>вины</w:t>
            </w:r>
          </w:p>
        </w:tc>
        <w:tc>
          <w:tcPr>
            <w:tcW w:w="99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нет данных</w:t>
            </w:r>
          </w:p>
        </w:tc>
        <w:tc>
          <w:tcPr>
            <w:tcW w:w="108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нет данных</w:t>
            </w:r>
          </w:p>
        </w:tc>
        <w:tc>
          <w:tcPr>
            <w:tcW w:w="99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нет данных</w:t>
            </w:r>
          </w:p>
        </w:tc>
        <w:tc>
          <w:tcPr>
            <w:tcW w:w="99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144,3</w:t>
            </w:r>
          </w:p>
        </w:tc>
        <w:tc>
          <w:tcPr>
            <w:tcW w:w="1080" w:type="dxa"/>
            <w:tcBorders>
              <w:top w:val="nil"/>
              <w:left w:val="nil"/>
              <w:bottom w:val="nil"/>
              <w:right w:val="nil"/>
            </w:tcBorders>
          </w:tcPr>
          <w:p w:rsidR="00000000" w:rsidRDefault="00000000">
            <w:pPr>
              <w:spacing w:before="40" w:after="40" w:line="210" w:lineRule="atLeast"/>
              <w:jc w:val="right"/>
              <w:rPr>
                <w:sz w:val="17"/>
              </w:rPr>
            </w:pPr>
            <w:r>
              <w:rPr>
                <w:sz w:val="17"/>
              </w:rPr>
              <w:t>155,1</w:t>
            </w:r>
          </w:p>
        </w:tc>
      </w:tr>
      <w:tr w:rsidR="00000000">
        <w:tblPrEx>
          <w:tblCellMar>
            <w:top w:w="0" w:type="dxa"/>
            <w:left w:w="0" w:type="dxa"/>
            <w:bottom w:w="0" w:type="dxa"/>
            <w:right w:w="0" w:type="dxa"/>
          </w:tblCellMar>
        </w:tblPrEx>
        <w:tc>
          <w:tcPr>
            <w:tcW w:w="2682" w:type="dxa"/>
            <w:tcBorders>
              <w:top w:val="nil"/>
              <w:left w:val="nil"/>
              <w:bottom w:val="single" w:sz="12" w:space="0" w:color="auto"/>
              <w:right w:val="nil"/>
            </w:tcBorders>
            <w:vAlign w:val="bottom"/>
          </w:tcPr>
          <w:p w:rsidR="00000000" w:rsidRDefault="00000000">
            <w:pPr>
              <w:spacing w:before="40" w:after="40" w:line="210" w:lineRule="atLeast"/>
              <w:ind w:left="162"/>
              <w:rPr>
                <w:sz w:val="17"/>
              </w:rPr>
            </w:pPr>
            <w:r>
              <w:rPr>
                <w:sz w:val="17"/>
              </w:rPr>
              <w:t>Республика Сербская</w:t>
            </w:r>
          </w:p>
        </w:tc>
        <w:tc>
          <w:tcPr>
            <w:tcW w:w="990" w:type="dxa"/>
            <w:tcBorders>
              <w:top w:val="nil"/>
              <w:left w:val="nil"/>
              <w:bottom w:val="single" w:sz="12" w:space="0" w:color="auto"/>
              <w:right w:val="nil"/>
            </w:tcBorders>
            <w:vAlign w:val="bottom"/>
          </w:tcPr>
          <w:p w:rsidR="00000000" w:rsidRDefault="00000000">
            <w:pPr>
              <w:spacing w:before="40" w:after="40" w:line="210" w:lineRule="atLeast"/>
              <w:jc w:val="right"/>
              <w:rPr>
                <w:sz w:val="17"/>
              </w:rPr>
            </w:pPr>
            <w:r>
              <w:rPr>
                <w:sz w:val="17"/>
              </w:rPr>
              <w:t>нет данных</w:t>
            </w:r>
          </w:p>
        </w:tc>
        <w:tc>
          <w:tcPr>
            <w:tcW w:w="1080" w:type="dxa"/>
            <w:tcBorders>
              <w:top w:val="nil"/>
              <w:left w:val="nil"/>
              <w:bottom w:val="single" w:sz="12" w:space="0" w:color="auto"/>
              <w:right w:val="nil"/>
            </w:tcBorders>
            <w:vAlign w:val="bottom"/>
          </w:tcPr>
          <w:p w:rsidR="00000000" w:rsidRDefault="00000000">
            <w:pPr>
              <w:spacing w:before="40" w:after="40" w:line="210" w:lineRule="atLeast"/>
              <w:jc w:val="right"/>
              <w:rPr>
                <w:sz w:val="17"/>
              </w:rPr>
            </w:pPr>
            <w:r>
              <w:rPr>
                <w:sz w:val="17"/>
              </w:rPr>
              <w:t>нет данных</w:t>
            </w:r>
          </w:p>
        </w:tc>
        <w:tc>
          <w:tcPr>
            <w:tcW w:w="990" w:type="dxa"/>
            <w:tcBorders>
              <w:top w:val="nil"/>
              <w:left w:val="nil"/>
              <w:bottom w:val="single" w:sz="12" w:space="0" w:color="auto"/>
              <w:right w:val="nil"/>
            </w:tcBorders>
            <w:vAlign w:val="bottom"/>
          </w:tcPr>
          <w:p w:rsidR="00000000" w:rsidRDefault="00000000">
            <w:pPr>
              <w:spacing w:before="40" w:after="40" w:line="210" w:lineRule="atLeast"/>
              <w:jc w:val="right"/>
              <w:rPr>
                <w:sz w:val="17"/>
              </w:rPr>
            </w:pPr>
            <w:r>
              <w:rPr>
                <w:sz w:val="17"/>
              </w:rPr>
              <w:t>нет данных</w:t>
            </w:r>
          </w:p>
        </w:tc>
        <w:tc>
          <w:tcPr>
            <w:tcW w:w="990" w:type="dxa"/>
            <w:tcBorders>
              <w:top w:val="nil"/>
              <w:left w:val="nil"/>
              <w:bottom w:val="single" w:sz="12" w:space="0" w:color="auto"/>
              <w:right w:val="nil"/>
            </w:tcBorders>
            <w:vAlign w:val="bottom"/>
          </w:tcPr>
          <w:p w:rsidR="00000000" w:rsidRDefault="00000000">
            <w:pPr>
              <w:spacing w:before="40" w:after="40" w:line="210" w:lineRule="atLeast"/>
              <w:jc w:val="right"/>
              <w:rPr>
                <w:sz w:val="17"/>
              </w:rPr>
            </w:pPr>
            <w:r>
              <w:rPr>
                <w:sz w:val="17"/>
              </w:rPr>
              <w:t>193,6</w:t>
            </w:r>
          </w:p>
        </w:tc>
        <w:tc>
          <w:tcPr>
            <w:tcW w:w="1080" w:type="dxa"/>
            <w:tcBorders>
              <w:top w:val="nil"/>
              <w:left w:val="nil"/>
              <w:bottom w:val="single" w:sz="12" w:space="0" w:color="auto"/>
              <w:right w:val="nil"/>
            </w:tcBorders>
          </w:tcPr>
          <w:p w:rsidR="00000000" w:rsidRDefault="00000000">
            <w:pPr>
              <w:spacing w:before="40" w:after="40" w:line="210" w:lineRule="atLeast"/>
              <w:jc w:val="right"/>
              <w:rPr>
                <w:sz w:val="17"/>
              </w:rPr>
            </w:pPr>
            <w:r>
              <w:rPr>
                <w:sz w:val="17"/>
              </w:rPr>
              <w:t>152,3</w:t>
            </w:r>
          </w:p>
        </w:tc>
      </w:tr>
    </w:tbl>
    <w:p w:rsidR="00000000" w:rsidRDefault="00000000">
      <w:pPr>
        <w:pStyle w:val="SingleTxt"/>
        <w:spacing w:after="0" w:line="120" w:lineRule="exact"/>
        <w:ind w:left="1264" w:right="1264"/>
        <w:jc w:val="left"/>
        <w:rPr>
          <w:sz w:val="10"/>
        </w:rPr>
      </w:pPr>
    </w:p>
    <w:p w:rsidR="00000000" w:rsidRDefault="00000000">
      <w:pPr>
        <w:pStyle w:val="SingleTxt"/>
        <w:keepNext/>
        <w:spacing w:after="0" w:line="24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pPr>
      <w:r>
        <w:rPr>
          <w:i/>
        </w:rPr>
        <w:t>Источник</w:t>
      </w:r>
      <w:r>
        <w:t>: Федеральное бюро по вопросам занятости (внутренние материалы), Федерация Боснии и Герцеговины, Сараево. Ежемесячный обзор, 3 4/2001, И</w:t>
      </w:r>
      <w:r>
        <w:t>н</w:t>
      </w:r>
      <w:r>
        <w:t>ститут статистики Республики Сербской.</w:t>
      </w:r>
    </w:p>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Численность трудящихся в Федерации, 1997-2001 годы</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82"/>
        <w:gridCol w:w="634"/>
        <w:gridCol w:w="630"/>
        <w:gridCol w:w="634"/>
        <w:gridCol w:w="634"/>
        <w:gridCol w:w="1248"/>
      </w:tblGrid>
      <w:tr w:rsidR="00000000">
        <w:tblPrEx>
          <w:tblCellMar>
            <w:top w:w="0" w:type="dxa"/>
            <w:left w:w="0" w:type="dxa"/>
            <w:bottom w:w="0" w:type="dxa"/>
            <w:right w:w="0" w:type="dxa"/>
          </w:tblCellMar>
        </w:tblPrEx>
        <w:trPr>
          <w:tblHeader/>
        </w:trPr>
        <w:tc>
          <w:tcPr>
            <w:tcW w:w="3582"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160" w:lineRule="atLeast"/>
              <w:ind w:right="43"/>
              <w:rPr>
                <w:i/>
                <w:sz w:val="14"/>
              </w:rPr>
            </w:pPr>
          </w:p>
        </w:tc>
        <w:tc>
          <w:tcPr>
            <w:tcW w:w="634"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1997 год</w:t>
            </w:r>
          </w:p>
        </w:tc>
        <w:tc>
          <w:tcPr>
            <w:tcW w:w="63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1998 год</w:t>
            </w:r>
          </w:p>
        </w:tc>
        <w:tc>
          <w:tcPr>
            <w:tcW w:w="634"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1999 год</w:t>
            </w:r>
          </w:p>
        </w:tc>
        <w:tc>
          <w:tcPr>
            <w:tcW w:w="634"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2000 год</w:t>
            </w:r>
          </w:p>
        </w:tc>
        <w:tc>
          <w:tcPr>
            <w:tcW w:w="1248" w:type="dxa"/>
            <w:tcBorders>
              <w:left w:val="nil"/>
              <w:bottom w:val="single" w:sz="12" w:space="0" w:color="auto"/>
              <w:right w:val="nil"/>
            </w:tcBorders>
          </w:tcPr>
          <w:p w:rsidR="00000000" w:rsidRDefault="00000000">
            <w:pPr>
              <w:keepNext/>
              <w:tabs>
                <w:tab w:val="left" w:pos="288"/>
                <w:tab w:val="left" w:pos="576"/>
                <w:tab w:val="left" w:pos="864"/>
                <w:tab w:val="left" w:pos="1152"/>
              </w:tabs>
              <w:spacing w:before="81" w:after="81" w:line="160" w:lineRule="atLeast"/>
              <w:ind w:right="43"/>
              <w:jc w:val="right"/>
              <w:rPr>
                <w:i/>
                <w:sz w:val="14"/>
              </w:rPr>
            </w:pPr>
            <w:r>
              <w:rPr>
                <w:i/>
                <w:sz w:val="14"/>
              </w:rPr>
              <w:t>2001 год (июль)</w:t>
            </w:r>
          </w:p>
        </w:tc>
      </w:tr>
      <w:tr w:rsidR="00000000">
        <w:tblPrEx>
          <w:tblCellMar>
            <w:top w:w="0" w:type="dxa"/>
            <w:left w:w="0" w:type="dxa"/>
            <w:bottom w:w="0" w:type="dxa"/>
            <w:right w:w="0" w:type="dxa"/>
          </w:tblCellMar>
        </w:tblPrEx>
        <w:trPr>
          <w:trHeight w:hRule="exact" w:val="115"/>
          <w:tblHeader/>
        </w:trPr>
        <w:tc>
          <w:tcPr>
            <w:tcW w:w="358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160" w:lineRule="atLeast"/>
              <w:ind w:right="40"/>
              <w:rPr>
                <w:sz w:val="17"/>
              </w:rPr>
            </w:pPr>
          </w:p>
        </w:tc>
        <w:tc>
          <w:tcPr>
            <w:tcW w:w="634"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c>
          <w:tcPr>
            <w:tcW w:w="63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c>
          <w:tcPr>
            <w:tcW w:w="634"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c>
          <w:tcPr>
            <w:tcW w:w="634"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c>
          <w:tcPr>
            <w:tcW w:w="1248"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81" w:after="81" w:line="160" w:lineRule="atLeast"/>
              <w:ind w:right="40"/>
              <w:jc w:val="right"/>
              <w:rPr>
                <w:sz w:val="17"/>
              </w:rPr>
            </w:pPr>
          </w:p>
        </w:tc>
      </w:tr>
      <w:tr w:rsidR="00000000">
        <w:tblPrEx>
          <w:tblCellMar>
            <w:top w:w="0" w:type="dxa"/>
            <w:left w:w="0" w:type="dxa"/>
            <w:bottom w:w="0" w:type="dxa"/>
            <w:right w:w="0" w:type="dxa"/>
          </w:tblCellMar>
        </w:tblPrEx>
        <w:tc>
          <w:tcPr>
            <w:tcW w:w="3582" w:type="dxa"/>
            <w:tcBorders>
              <w:top w:val="nil"/>
              <w:left w:val="nil"/>
              <w:bottom w:val="nil"/>
              <w:right w:val="nil"/>
            </w:tcBorders>
            <w:vAlign w:val="bottom"/>
          </w:tcPr>
          <w:p w:rsidR="00000000" w:rsidRDefault="00000000">
            <w:pPr>
              <w:keepNext/>
              <w:spacing w:before="40" w:after="40" w:line="210" w:lineRule="atLeast"/>
              <w:rPr>
                <w:sz w:val="17"/>
              </w:rPr>
            </w:pPr>
            <w:r>
              <w:rPr>
                <w:sz w:val="17"/>
              </w:rPr>
              <w:t>Всего</w:t>
            </w:r>
          </w:p>
        </w:tc>
        <w:tc>
          <w:tcPr>
            <w:tcW w:w="634"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87 781</w:t>
            </w:r>
          </w:p>
        </w:tc>
        <w:tc>
          <w:tcPr>
            <w:tcW w:w="630"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70 985</w:t>
            </w:r>
          </w:p>
        </w:tc>
        <w:tc>
          <w:tcPr>
            <w:tcW w:w="634"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53 912</w:t>
            </w:r>
          </w:p>
        </w:tc>
        <w:tc>
          <w:tcPr>
            <w:tcW w:w="634" w:type="dxa"/>
            <w:tcBorders>
              <w:top w:val="nil"/>
              <w:left w:val="nil"/>
              <w:bottom w:val="nil"/>
              <w:right w:val="nil"/>
            </w:tcBorders>
            <w:vAlign w:val="bottom"/>
          </w:tcPr>
          <w:p w:rsidR="00000000" w:rsidRDefault="00000000">
            <w:pPr>
              <w:keepNext/>
              <w:spacing w:before="40" w:after="40" w:line="210" w:lineRule="atLeast"/>
              <w:jc w:val="right"/>
              <w:rPr>
                <w:sz w:val="17"/>
              </w:rPr>
            </w:pPr>
            <w:r>
              <w:rPr>
                <w:sz w:val="17"/>
              </w:rPr>
              <w:t>40 262</w:t>
            </w:r>
          </w:p>
        </w:tc>
        <w:tc>
          <w:tcPr>
            <w:tcW w:w="1248" w:type="dxa"/>
            <w:tcBorders>
              <w:top w:val="nil"/>
              <w:left w:val="nil"/>
              <w:bottom w:val="nil"/>
              <w:right w:val="nil"/>
            </w:tcBorders>
          </w:tcPr>
          <w:p w:rsidR="00000000" w:rsidRDefault="00000000">
            <w:pPr>
              <w:keepNext/>
              <w:spacing w:before="40" w:after="40" w:line="210" w:lineRule="atLeast"/>
              <w:jc w:val="right"/>
              <w:rPr>
                <w:sz w:val="17"/>
              </w:rPr>
            </w:pPr>
            <w:r>
              <w:rPr>
                <w:sz w:val="17"/>
              </w:rPr>
              <w:t>31 991</w:t>
            </w:r>
          </w:p>
        </w:tc>
      </w:tr>
      <w:tr w:rsidR="00000000">
        <w:tblPrEx>
          <w:tblCellMar>
            <w:top w:w="0" w:type="dxa"/>
            <w:left w:w="0" w:type="dxa"/>
            <w:bottom w:w="0" w:type="dxa"/>
            <w:right w:w="0" w:type="dxa"/>
          </w:tblCellMar>
        </w:tblPrEx>
        <w:tc>
          <w:tcPr>
            <w:tcW w:w="3582" w:type="dxa"/>
            <w:tcBorders>
              <w:top w:val="nil"/>
              <w:left w:val="nil"/>
              <w:bottom w:val="nil"/>
              <w:right w:val="nil"/>
            </w:tcBorders>
            <w:vAlign w:val="bottom"/>
          </w:tcPr>
          <w:p w:rsidR="00000000" w:rsidRDefault="00000000">
            <w:pPr>
              <w:spacing w:before="40" w:after="40" w:line="210" w:lineRule="atLeast"/>
              <w:rPr>
                <w:sz w:val="17"/>
              </w:rPr>
            </w:pPr>
            <w:r>
              <w:rPr>
                <w:sz w:val="17"/>
              </w:rPr>
              <w:t>Промышленность и добывающая промы</w:t>
            </w:r>
            <w:r>
              <w:rPr>
                <w:sz w:val="17"/>
              </w:rPr>
              <w:t>ш</w:t>
            </w:r>
            <w:r>
              <w:rPr>
                <w:sz w:val="17"/>
              </w:rPr>
              <w:t>ленность</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58,60</w:t>
            </w:r>
          </w:p>
        </w:tc>
        <w:tc>
          <w:tcPr>
            <w:tcW w:w="63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47 951</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36 721</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28 927</w:t>
            </w:r>
          </w:p>
        </w:tc>
        <w:tc>
          <w:tcPr>
            <w:tcW w:w="1248"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21 260</w:t>
            </w:r>
          </w:p>
        </w:tc>
      </w:tr>
      <w:tr w:rsidR="00000000">
        <w:tblPrEx>
          <w:tblCellMar>
            <w:top w:w="0" w:type="dxa"/>
            <w:left w:w="0" w:type="dxa"/>
            <w:bottom w:w="0" w:type="dxa"/>
            <w:right w:w="0" w:type="dxa"/>
          </w:tblCellMar>
        </w:tblPrEx>
        <w:tc>
          <w:tcPr>
            <w:tcW w:w="3582" w:type="dxa"/>
            <w:tcBorders>
              <w:top w:val="nil"/>
              <w:left w:val="nil"/>
              <w:bottom w:val="nil"/>
              <w:right w:val="nil"/>
            </w:tcBorders>
            <w:vAlign w:val="bottom"/>
          </w:tcPr>
          <w:p w:rsidR="00000000" w:rsidRDefault="00000000">
            <w:pPr>
              <w:spacing w:before="40" w:after="40" w:line="210" w:lineRule="atLeast"/>
              <w:rPr>
                <w:sz w:val="17"/>
              </w:rPr>
            </w:pPr>
            <w:r>
              <w:rPr>
                <w:sz w:val="17"/>
              </w:rPr>
              <w:t>Сельское хозяйство и рыболовство</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24,60</w:t>
            </w:r>
          </w:p>
        </w:tc>
        <w:tc>
          <w:tcPr>
            <w:tcW w:w="63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1 754</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1 199</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741</w:t>
            </w:r>
          </w:p>
        </w:tc>
        <w:tc>
          <w:tcPr>
            <w:tcW w:w="1248" w:type="dxa"/>
            <w:tcBorders>
              <w:top w:val="nil"/>
              <w:left w:val="nil"/>
              <w:bottom w:val="nil"/>
              <w:right w:val="nil"/>
            </w:tcBorders>
          </w:tcPr>
          <w:p w:rsidR="00000000" w:rsidRDefault="00000000">
            <w:pPr>
              <w:spacing w:before="40" w:after="40" w:line="210" w:lineRule="atLeast"/>
              <w:jc w:val="right"/>
              <w:rPr>
                <w:sz w:val="17"/>
              </w:rPr>
            </w:pPr>
            <w:r>
              <w:rPr>
                <w:sz w:val="17"/>
              </w:rPr>
              <w:t>680</w:t>
            </w:r>
          </w:p>
        </w:tc>
      </w:tr>
      <w:tr w:rsidR="00000000">
        <w:tblPrEx>
          <w:tblCellMar>
            <w:top w:w="0" w:type="dxa"/>
            <w:left w:w="0" w:type="dxa"/>
            <w:bottom w:w="0" w:type="dxa"/>
            <w:right w:w="0" w:type="dxa"/>
          </w:tblCellMar>
        </w:tblPrEx>
        <w:tc>
          <w:tcPr>
            <w:tcW w:w="3582" w:type="dxa"/>
            <w:tcBorders>
              <w:top w:val="nil"/>
              <w:left w:val="nil"/>
              <w:bottom w:val="nil"/>
              <w:right w:val="nil"/>
            </w:tcBorders>
            <w:vAlign w:val="bottom"/>
          </w:tcPr>
          <w:p w:rsidR="00000000" w:rsidRDefault="00000000">
            <w:pPr>
              <w:spacing w:before="40" w:after="40" w:line="210" w:lineRule="atLeast"/>
              <w:rPr>
                <w:sz w:val="17"/>
              </w:rPr>
            </w:pPr>
            <w:r>
              <w:rPr>
                <w:sz w:val="17"/>
              </w:rPr>
              <w:t>Лесное хозяйство</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730</w:t>
            </w:r>
          </w:p>
        </w:tc>
        <w:tc>
          <w:tcPr>
            <w:tcW w:w="63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525</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290</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0</w:t>
            </w:r>
          </w:p>
        </w:tc>
        <w:tc>
          <w:tcPr>
            <w:tcW w:w="1248" w:type="dxa"/>
            <w:tcBorders>
              <w:top w:val="nil"/>
              <w:left w:val="nil"/>
              <w:bottom w:val="nil"/>
              <w:right w:val="nil"/>
            </w:tcBorders>
          </w:tcPr>
          <w:p w:rsidR="00000000" w:rsidRDefault="00000000">
            <w:pPr>
              <w:spacing w:before="40" w:after="40" w:line="210" w:lineRule="atLeast"/>
              <w:jc w:val="right"/>
              <w:rPr>
                <w:sz w:val="17"/>
              </w:rPr>
            </w:pPr>
            <w:r>
              <w:rPr>
                <w:sz w:val="17"/>
              </w:rPr>
              <w:t>0</w:t>
            </w:r>
          </w:p>
        </w:tc>
      </w:tr>
      <w:tr w:rsidR="00000000">
        <w:tblPrEx>
          <w:tblCellMar>
            <w:top w:w="0" w:type="dxa"/>
            <w:left w:w="0" w:type="dxa"/>
            <w:bottom w:w="0" w:type="dxa"/>
            <w:right w:w="0" w:type="dxa"/>
          </w:tblCellMar>
        </w:tblPrEx>
        <w:tc>
          <w:tcPr>
            <w:tcW w:w="3582" w:type="dxa"/>
            <w:tcBorders>
              <w:top w:val="nil"/>
              <w:left w:val="nil"/>
              <w:bottom w:val="nil"/>
              <w:right w:val="nil"/>
            </w:tcBorders>
            <w:vAlign w:val="bottom"/>
          </w:tcPr>
          <w:p w:rsidR="00000000" w:rsidRDefault="00000000">
            <w:pPr>
              <w:spacing w:before="40" w:after="40" w:line="210" w:lineRule="atLeast"/>
              <w:rPr>
                <w:sz w:val="17"/>
              </w:rPr>
            </w:pPr>
            <w:r>
              <w:rPr>
                <w:sz w:val="17"/>
              </w:rPr>
              <w:t>Гидроэлектроэнергия</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115</w:t>
            </w:r>
          </w:p>
        </w:tc>
        <w:tc>
          <w:tcPr>
            <w:tcW w:w="63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114</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74</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181</w:t>
            </w:r>
          </w:p>
        </w:tc>
        <w:tc>
          <w:tcPr>
            <w:tcW w:w="1248" w:type="dxa"/>
            <w:tcBorders>
              <w:top w:val="nil"/>
              <w:left w:val="nil"/>
              <w:bottom w:val="nil"/>
              <w:right w:val="nil"/>
            </w:tcBorders>
          </w:tcPr>
          <w:p w:rsidR="00000000" w:rsidRDefault="00000000">
            <w:pPr>
              <w:spacing w:before="40" w:after="40" w:line="210" w:lineRule="atLeast"/>
              <w:jc w:val="right"/>
              <w:rPr>
                <w:sz w:val="17"/>
              </w:rPr>
            </w:pPr>
            <w:r>
              <w:rPr>
                <w:sz w:val="17"/>
              </w:rPr>
              <w:t>131</w:t>
            </w:r>
          </w:p>
        </w:tc>
      </w:tr>
      <w:tr w:rsidR="00000000">
        <w:tblPrEx>
          <w:tblCellMar>
            <w:top w:w="0" w:type="dxa"/>
            <w:left w:w="0" w:type="dxa"/>
            <w:bottom w:w="0" w:type="dxa"/>
            <w:right w:w="0" w:type="dxa"/>
          </w:tblCellMar>
        </w:tblPrEx>
        <w:tc>
          <w:tcPr>
            <w:tcW w:w="3582" w:type="dxa"/>
            <w:tcBorders>
              <w:top w:val="nil"/>
              <w:left w:val="nil"/>
              <w:bottom w:val="nil"/>
              <w:right w:val="nil"/>
            </w:tcBorders>
            <w:vAlign w:val="bottom"/>
          </w:tcPr>
          <w:p w:rsidR="00000000" w:rsidRDefault="00000000">
            <w:pPr>
              <w:spacing w:before="40" w:after="40" w:line="210" w:lineRule="atLeast"/>
              <w:rPr>
                <w:sz w:val="17"/>
              </w:rPr>
            </w:pPr>
            <w:r>
              <w:rPr>
                <w:sz w:val="17"/>
              </w:rPr>
              <w:t>Строительство</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7 752</w:t>
            </w:r>
          </w:p>
        </w:tc>
        <w:tc>
          <w:tcPr>
            <w:tcW w:w="63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6 464</w:t>
            </w:r>
          </w:p>
        </w:tc>
        <w:tc>
          <w:tcPr>
            <w:tcW w:w="634" w:type="dxa"/>
            <w:tcBorders>
              <w:top w:val="nil"/>
              <w:left w:val="nil"/>
              <w:bottom w:val="nil"/>
              <w:right w:val="nil"/>
            </w:tcBorders>
          </w:tcPr>
          <w:p w:rsidR="00000000" w:rsidRDefault="00000000">
            <w:pPr>
              <w:spacing w:before="40" w:after="40" w:line="210" w:lineRule="atLeast"/>
              <w:jc w:val="right"/>
              <w:rPr>
                <w:sz w:val="17"/>
              </w:rPr>
            </w:pPr>
            <w:r>
              <w:rPr>
                <w:sz w:val="17"/>
              </w:rPr>
              <w:t>5 514</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4 406</w:t>
            </w:r>
          </w:p>
        </w:tc>
        <w:tc>
          <w:tcPr>
            <w:tcW w:w="1248" w:type="dxa"/>
            <w:tcBorders>
              <w:top w:val="nil"/>
              <w:left w:val="nil"/>
              <w:bottom w:val="nil"/>
              <w:right w:val="nil"/>
            </w:tcBorders>
          </w:tcPr>
          <w:p w:rsidR="00000000" w:rsidRDefault="00000000">
            <w:pPr>
              <w:spacing w:before="40" w:after="40" w:line="210" w:lineRule="atLeast"/>
              <w:jc w:val="right"/>
              <w:rPr>
                <w:sz w:val="17"/>
              </w:rPr>
            </w:pPr>
            <w:r>
              <w:rPr>
                <w:sz w:val="17"/>
              </w:rPr>
              <w:t>4 092</w:t>
            </w:r>
          </w:p>
        </w:tc>
      </w:tr>
      <w:tr w:rsidR="00000000">
        <w:tblPrEx>
          <w:tblCellMar>
            <w:top w:w="0" w:type="dxa"/>
            <w:left w:w="0" w:type="dxa"/>
            <w:bottom w:w="0" w:type="dxa"/>
            <w:right w:w="0" w:type="dxa"/>
          </w:tblCellMar>
        </w:tblPrEx>
        <w:tc>
          <w:tcPr>
            <w:tcW w:w="3582" w:type="dxa"/>
            <w:tcBorders>
              <w:top w:val="nil"/>
              <w:left w:val="nil"/>
              <w:bottom w:val="nil"/>
              <w:right w:val="nil"/>
            </w:tcBorders>
            <w:vAlign w:val="bottom"/>
          </w:tcPr>
          <w:p w:rsidR="00000000" w:rsidRDefault="00000000">
            <w:pPr>
              <w:spacing w:before="40" w:after="40" w:line="210" w:lineRule="atLeast"/>
              <w:rPr>
                <w:sz w:val="17"/>
              </w:rPr>
            </w:pPr>
            <w:r>
              <w:rPr>
                <w:sz w:val="17"/>
              </w:rPr>
              <w:t>Транспорт и коммуникации</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4 828</w:t>
            </w:r>
          </w:p>
        </w:tc>
        <w:tc>
          <w:tcPr>
            <w:tcW w:w="63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3 650</w:t>
            </w:r>
          </w:p>
        </w:tc>
        <w:tc>
          <w:tcPr>
            <w:tcW w:w="634" w:type="dxa"/>
            <w:tcBorders>
              <w:top w:val="nil"/>
              <w:left w:val="nil"/>
              <w:bottom w:val="nil"/>
              <w:right w:val="nil"/>
            </w:tcBorders>
          </w:tcPr>
          <w:p w:rsidR="00000000" w:rsidRDefault="00000000">
            <w:pPr>
              <w:spacing w:before="40" w:after="40" w:line="210" w:lineRule="atLeast"/>
              <w:jc w:val="right"/>
              <w:rPr>
                <w:sz w:val="17"/>
              </w:rPr>
            </w:pPr>
            <w:r>
              <w:rPr>
                <w:sz w:val="17"/>
              </w:rPr>
              <w:t>2 630</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2 000</w:t>
            </w:r>
          </w:p>
        </w:tc>
        <w:tc>
          <w:tcPr>
            <w:tcW w:w="1248" w:type="dxa"/>
            <w:tcBorders>
              <w:top w:val="nil"/>
              <w:left w:val="nil"/>
              <w:bottom w:val="nil"/>
              <w:right w:val="nil"/>
            </w:tcBorders>
          </w:tcPr>
          <w:p w:rsidR="00000000" w:rsidRDefault="00000000">
            <w:pPr>
              <w:spacing w:before="40" w:after="40" w:line="210" w:lineRule="atLeast"/>
              <w:jc w:val="right"/>
              <w:rPr>
                <w:sz w:val="17"/>
              </w:rPr>
            </w:pPr>
            <w:r>
              <w:rPr>
                <w:sz w:val="17"/>
              </w:rPr>
              <w:t>1 983</w:t>
            </w:r>
          </w:p>
        </w:tc>
      </w:tr>
      <w:tr w:rsidR="00000000">
        <w:tblPrEx>
          <w:tblCellMar>
            <w:top w:w="0" w:type="dxa"/>
            <w:left w:w="0" w:type="dxa"/>
            <w:bottom w:w="0" w:type="dxa"/>
            <w:right w:w="0" w:type="dxa"/>
          </w:tblCellMar>
        </w:tblPrEx>
        <w:tc>
          <w:tcPr>
            <w:tcW w:w="3582" w:type="dxa"/>
            <w:tcBorders>
              <w:top w:val="nil"/>
              <w:left w:val="nil"/>
              <w:bottom w:val="nil"/>
              <w:right w:val="nil"/>
            </w:tcBorders>
            <w:vAlign w:val="bottom"/>
          </w:tcPr>
          <w:p w:rsidR="00000000" w:rsidRDefault="00000000">
            <w:pPr>
              <w:spacing w:before="40" w:after="40" w:line="210" w:lineRule="atLeast"/>
              <w:rPr>
                <w:sz w:val="17"/>
              </w:rPr>
            </w:pPr>
            <w:r>
              <w:rPr>
                <w:sz w:val="17"/>
              </w:rPr>
              <w:t>Торговля</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5 758</w:t>
            </w:r>
          </w:p>
        </w:tc>
        <w:tc>
          <w:tcPr>
            <w:tcW w:w="63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4 703</w:t>
            </w:r>
          </w:p>
        </w:tc>
        <w:tc>
          <w:tcPr>
            <w:tcW w:w="634" w:type="dxa"/>
            <w:tcBorders>
              <w:top w:val="nil"/>
              <w:left w:val="nil"/>
              <w:bottom w:val="nil"/>
              <w:right w:val="nil"/>
            </w:tcBorders>
          </w:tcPr>
          <w:p w:rsidR="00000000" w:rsidRDefault="00000000">
            <w:pPr>
              <w:spacing w:before="40" w:after="40" w:line="210" w:lineRule="atLeast"/>
              <w:jc w:val="right"/>
              <w:rPr>
                <w:sz w:val="17"/>
              </w:rPr>
            </w:pPr>
            <w:r>
              <w:rPr>
                <w:sz w:val="17"/>
              </w:rPr>
              <w:t>3 646</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2 661</w:t>
            </w:r>
          </w:p>
        </w:tc>
        <w:tc>
          <w:tcPr>
            <w:tcW w:w="1248" w:type="dxa"/>
            <w:tcBorders>
              <w:top w:val="nil"/>
              <w:left w:val="nil"/>
              <w:bottom w:val="nil"/>
              <w:right w:val="nil"/>
            </w:tcBorders>
          </w:tcPr>
          <w:p w:rsidR="00000000" w:rsidRDefault="00000000">
            <w:pPr>
              <w:spacing w:before="40" w:after="40" w:line="210" w:lineRule="atLeast"/>
              <w:jc w:val="right"/>
              <w:rPr>
                <w:sz w:val="17"/>
              </w:rPr>
            </w:pPr>
            <w:r>
              <w:rPr>
                <w:sz w:val="17"/>
              </w:rPr>
              <w:t>2 540</w:t>
            </w:r>
          </w:p>
        </w:tc>
      </w:tr>
      <w:tr w:rsidR="00000000">
        <w:tblPrEx>
          <w:tblCellMar>
            <w:top w:w="0" w:type="dxa"/>
            <w:left w:w="0" w:type="dxa"/>
            <w:bottom w:w="0" w:type="dxa"/>
            <w:right w:w="0" w:type="dxa"/>
          </w:tblCellMar>
        </w:tblPrEx>
        <w:tc>
          <w:tcPr>
            <w:tcW w:w="3582" w:type="dxa"/>
            <w:tcBorders>
              <w:top w:val="nil"/>
              <w:left w:val="nil"/>
              <w:bottom w:val="nil"/>
              <w:right w:val="nil"/>
            </w:tcBorders>
            <w:vAlign w:val="bottom"/>
          </w:tcPr>
          <w:p w:rsidR="00000000" w:rsidRDefault="00000000">
            <w:pPr>
              <w:spacing w:before="40" w:after="40" w:line="210" w:lineRule="atLeast"/>
              <w:rPr>
                <w:sz w:val="17"/>
              </w:rPr>
            </w:pPr>
            <w:r>
              <w:rPr>
                <w:sz w:val="17"/>
              </w:rPr>
              <w:t>Сфера услуг и туризм</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1 071</w:t>
            </w:r>
          </w:p>
        </w:tc>
        <w:tc>
          <w:tcPr>
            <w:tcW w:w="63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748</w:t>
            </w:r>
          </w:p>
        </w:tc>
        <w:tc>
          <w:tcPr>
            <w:tcW w:w="634" w:type="dxa"/>
            <w:tcBorders>
              <w:top w:val="nil"/>
              <w:left w:val="nil"/>
              <w:bottom w:val="nil"/>
              <w:right w:val="nil"/>
            </w:tcBorders>
          </w:tcPr>
          <w:p w:rsidR="00000000" w:rsidRDefault="00000000">
            <w:pPr>
              <w:spacing w:before="40" w:after="40" w:line="210" w:lineRule="atLeast"/>
              <w:jc w:val="right"/>
              <w:rPr>
                <w:sz w:val="17"/>
              </w:rPr>
            </w:pPr>
            <w:r>
              <w:rPr>
                <w:sz w:val="17"/>
              </w:rPr>
              <w:t>678</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576</w:t>
            </w:r>
          </w:p>
        </w:tc>
        <w:tc>
          <w:tcPr>
            <w:tcW w:w="1248" w:type="dxa"/>
            <w:tcBorders>
              <w:top w:val="nil"/>
              <w:left w:val="nil"/>
              <w:bottom w:val="nil"/>
              <w:right w:val="nil"/>
            </w:tcBorders>
          </w:tcPr>
          <w:p w:rsidR="00000000" w:rsidRDefault="00000000">
            <w:pPr>
              <w:spacing w:before="40" w:after="40" w:line="210" w:lineRule="atLeast"/>
              <w:jc w:val="right"/>
              <w:rPr>
                <w:sz w:val="17"/>
              </w:rPr>
            </w:pPr>
            <w:r>
              <w:rPr>
                <w:sz w:val="17"/>
              </w:rPr>
              <w:t>690</w:t>
            </w:r>
          </w:p>
        </w:tc>
      </w:tr>
      <w:tr w:rsidR="00000000">
        <w:tblPrEx>
          <w:tblCellMar>
            <w:top w:w="0" w:type="dxa"/>
            <w:left w:w="0" w:type="dxa"/>
            <w:bottom w:w="0" w:type="dxa"/>
            <w:right w:w="0" w:type="dxa"/>
          </w:tblCellMar>
        </w:tblPrEx>
        <w:tc>
          <w:tcPr>
            <w:tcW w:w="3582" w:type="dxa"/>
            <w:tcBorders>
              <w:top w:val="nil"/>
              <w:left w:val="nil"/>
              <w:bottom w:val="nil"/>
              <w:right w:val="nil"/>
            </w:tcBorders>
            <w:vAlign w:val="bottom"/>
          </w:tcPr>
          <w:p w:rsidR="00000000" w:rsidRDefault="00000000">
            <w:pPr>
              <w:spacing w:before="40" w:after="40" w:line="210" w:lineRule="atLeast"/>
              <w:rPr>
                <w:sz w:val="17"/>
              </w:rPr>
            </w:pPr>
            <w:r>
              <w:rPr>
                <w:sz w:val="17"/>
              </w:rPr>
              <w:t>Искусство и ремесла</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1 868</w:t>
            </w:r>
          </w:p>
        </w:tc>
        <w:tc>
          <w:tcPr>
            <w:tcW w:w="63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1 846</w:t>
            </w:r>
          </w:p>
        </w:tc>
        <w:tc>
          <w:tcPr>
            <w:tcW w:w="634" w:type="dxa"/>
            <w:tcBorders>
              <w:top w:val="nil"/>
              <w:left w:val="nil"/>
              <w:bottom w:val="nil"/>
              <w:right w:val="nil"/>
            </w:tcBorders>
          </w:tcPr>
          <w:p w:rsidR="00000000" w:rsidRDefault="00000000">
            <w:pPr>
              <w:spacing w:before="40" w:after="40" w:line="210" w:lineRule="atLeast"/>
              <w:jc w:val="right"/>
              <w:rPr>
                <w:sz w:val="17"/>
              </w:rPr>
            </w:pPr>
            <w:r>
              <w:rPr>
                <w:sz w:val="17"/>
              </w:rPr>
              <w:t>1 426</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0</w:t>
            </w:r>
          </w:p>
        </w:tc>
        <w:tc>
          <w:tcPr>
            <w:tcW w:w="1248" w:type="dxa"/>
            <w:tcBorders>
              <w:top w:val="nil"/>
              <w:left w:val="nil"/>
              <w:bottom w:val="nil"/>
              <w:right w:val="nil"/>
            </w:tcBorders>
          </w:tcPr>
          <w:p w:rsidR="00000000" w:rsidRDefault="00000000">
            <w:pPr>
              <w:spacing w:before="40" w:after="40" w:line="210" w:lineRule="atLeast"/>
              <w:jc w:val="right"/>
              <w:rPr>
                <w:sz w:val="17"/>
              </w:rPr>
            </w:pPr>
            <w:r>
              <w:rPr>
                <w:sz w:val="17"/>
              </w:rPr>
              <w:t>0</w:t>
            </w:r>
          </w:p>
        </w:tc>
      </w:tr>
      <w:tr w:rsidR="00000000">
        <w:tblPrEx>
          <w:tblCellMar>
            <w:top w:w="0" w:type="dxa"/>
            <w:left w:w="0" w:type="dxa"/>
            <w:bottom w:w="0" w:type="dxa"/>
            <w:right w:w="0" w:type="dxa"/>
          </w:tblCellMar>
        </w:tblPrEx>
        <w:tc>
          <w:tcPr>
            <w:tcW w:w="3582" w:type="dxa"/>
            <w:tcBorders>
              <w:top w:val="nil"/>
              <w:left w:val="nil"/>
              <w:bottom w:val="nil"/>
              <w:right w:val="nil"/>
            </w:tcBorders>
            <w:vAlign w:val="bottom"/>
          </w:tcPr>
          <w:p w:rsidR="00000000" w:rsidRDefault="00000000">
            <w:pPr>
              <w:spacing w:before="40" w:after="40" w:line="210" w:lineRule="atLeast"/>
              <w:rPr>
                <w:sz w:val="17"/>
              </w:rPr>
            </w:pPr>
            <w:r>
              <w:rPr>
                <w:sz w:val="17"/>
              </w:rPr>
              <w:t>Государственные коммунальные услуги</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243</w:t>
            </w:r>
          </w:p>
        </w:tc>
        <w:tc>
          <w:tcPr>
            <w:tcW w:w="63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129</w:t>
            </w:r>
          </w:p>
        </w:tc>
        <w:tc>
          <w:tcPr>
            <w:tcW w:w="634" w:type="dxa"/>
            <w:tcBorders>
              <w:top w:val="nil"/>
              <w:left w:val="nil"/>
              <w:bottom w:val="nil"/>
              <w:right w:val="nil"/>
            </w:tcBorders>
          </w:tcPr>
          <w:p w:rsidR="00000000" w:rsidRDefault="00000000">
            <w:pPr>
              <w:spacing w:before="40" w:after="40" w:line="210" w:lineRule="atLeast"/>
              <w:jc w:val="right"/>
              <w:rPr>
                <w:sz w:val="17"/>
              </w:rPr>
            </w:pPr>
            <w:r>
              <w:rPr>
                <w:sz w:val="17"/>
              </w:rPr>
              <w:t>110</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7</w:t>
            </w:r>
          </w:p>
        </w:tc>
        <w:tc>
          <w:tcPr>
            <w:tcW w:w="1248" w:type="dxa"/>
            <w:tcBorders>
              <w:top w:val="nil"/>
              <w:left w:val="nil"/>
              <w:bottom w:val="nil"/>
              <w:right w:val="nil"/>
            </w:tcBorders>
          </w:tcPr>
          <w:p w:rsidR="00000000" w:rsidRDefault="00000000">
            <w:pPr>
              <w:spacing w:before="40" w:after="40" w:line="210" w:lineRule="atLeast"/>
              <w:jc w:val="right"/>
              <w:rPr>
                <w:sz w:val="17"/>
              </w:rPr>
            </w:pPr>
            <w:r>
              <w:rPr>
                <w:sz w:val="17"/>
              </w:rPr>
              <w:t>7</w:t>
            </w:r>
          </w:p>
        </w:tc>
      </w:tr>
      <w:tr w:rsidR="00000000">
        <w:tblPrEx>
          <w:tblCellMar>
            <w:top w:w="0" w:type="dxa"/>
            <w:left w:w="0" w:type="dxa"/>
            <w:bottom w:w="0" w:type="dxa"/>
            <w:right w:w="0" w:type="dxa"/>
          </w:tblCellMar>
        </w:tblPrEx>
        <w:tc>
          <w:tcPr>
            <w:tcW w:w="3582" w:type="dxa"/>
            <w:tcBorders>
              <w:top w:val="nil"/>
              <w:left w:val="nil"/>
              <w:bottom w:val="nil"/>
              <w:right w:val="nil"/>
            </w:tcBorders>
            <w:vAlign w:val="bottom"/>
          </w:tcPr>
          <w:p w:rsidR="00000000" w:rsidRDefault="00000000">
            <w:pPr>
              <w:spacing w:before="40" w:after="40" w:line="210" w:lineRule="atLeast"/>
              <w:rPr>
                <w:sz w:val="17"/>
              </w:rPr>
            </w:pPr>
            <w:r>
              <w:rPr>
                <w:sz w:val="17"/>
              </w:rPr>
              <w:t>Финансовые и другие услуги</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3 596</w:t>
            </w:r>
          </w:p>
        </w:tc>
        <w:tc>
          <w:tcPr>
            <w:tcW w:w="63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2 627</w:t>
            </w:r>
          </w:p>
        </w:tc>
        <w:tc>
          <w:tcPr>
            <w:tcW w:w="634" w:type="dxa"/>
            <w:tcBorders>
              <w:top w:val="nil"/>
              <w:left w:val="nil"/>
              <w:bottom w:val="nil"/>
              <w:right w:val="nil"/>
            </w:tcBorders>
          </w:tcPr>
          <w:p w:rsidR="00000000" w:rsidRDefault="00000000">
            <w:pPr>
              <w:spacing w:before="40" w:after="40" w:line="210" w:lineRule="atLeast"/>
              <w:jc w:val="right"/>
              <w:rPr>
                <w:sz w:val="17"/>
              </w:rPr>
            </w:pPr>
            <w:r>
              <w:rPr>
                <w:sz w:val="17"/>
              </w:rPr>
              <w:t>1 413</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713</w:t>
            </w:r>
          </w:p>
        </w:tc>
        <w:tc>
          <w:tcPr>
            <w:tcW w:w="1248" w:type="dxa"/>
            <w:tcBorders>
              <w:top w:val="nil"/>
              <w:left w:val="nil"/>
              <w:bottom w:val="nil"/>
              <w:right w:val="nil"/>
            </w:tcBorders>
          </w:tcPr>
          <w:p w:rsidR="00000000" w:rsidRDefault="00000000">
            <w:pPr>
              <w:spacing w:before="40" w:after="40" w:line="210" w:lineRule="atLeast"/>
              <w:jc w:val="right"/>
              <w:rPr>
                <w:sz w:val="17"/>
              </w:rPr>
            </w:pPr>
            <w:r>
              <w:rPr>
                <w:sz w:val="17"/>
              </w:rPr>
              <w:t>543</w:t>
            </w:r>
          </w:p>
        </w:tc>
      </w:tr>
      <w:tr w:rsidR="00000000">
        <w:tblPrEx>
          <w:tblCellMar>
            <w:top w:w="0" w:type="dxa"/>
            <w:left w:w="0" w:type="dxa"/>
            <w:bottom w:w="0" w:type="dxa"/>
            <w:right w:w="0" w:type="dxa"/>
          </w:tblCellMar>
        </w:tblPrEx>
        <w:tc>
          <w:tcPr>
            <w:tcW w:w="3582" w:type="dxa"/>
            <w:tcBorders>
              <w:top w:val="nil"/>
              <w:left w:val="nil"/>
              <w:bottom w:val="nil"/>
              <w:right w:val="nil"/>
            </w:tcBorders>
            <w:vAlign w:val="bottom"/>
          </w:tcPr>
          <w:p w:rsidR="00000000" w:rsidRDefault="00000000">
            <w:pPr>
              <w:spacing w:before="40" w:after="40" w:line="210" w:lineRule="atLeast"/>
              <w:rPr>
                <w:sz w:val="17"/>
              </w:rPr>
            </w:pPr>
            <w:r>
              <w:rPr>
                <w:sz w:val="17"/>
              </w:rPr>
              <w:t>Образование и культура</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338</w:t>
            </w:r>
          </w:p>
        </w:tc>
        <w:tc>
          <w:tcPr>
            <w:tcW w:w="63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196</w:t>
            </w:r>
          </w:p>
        </w:tc>
        <w:tc>
          <w:tcPr>
            <w:tcW w:w="634" w:type="dxa"/>
            <w:tcBorders>
              <w:top w:val="nil"/>
              <w:left w:val="nil"/>
              <w:bottom w:val="nil"/>
              <w:right w:val="nil"/>
            </w:tcBorders>
          </w:tcPr>
          <w:p w:rsidR="00000000" w:rsidRDefault="00000000">
            <w:pPr>
              <w:spacing w:before="40" w:after="40" w:line="210" w:lineRule="atLeast"/>
              <w:jc w:val="right"/>
              <w:rPr>
                <w:sz w:val="17"/>
              </w:rPr>
            </w:pPr>
            <w:r>
              <w:rPr>
                <w:sz w:val="17"/>
              </w:rPr>
              <w:t>114</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9</w:t>
            </w:r>
          </w:p>
        </w:tc>
        <w:tc>
          <w:tcPr>
            <w:tcW w:w="1248" w:type="dxa"/>
            <w:tcBorders>
              <w:top w:val="nil"/>
              <w:left w:val="nil"/>
              <w:bottom w:val="nil"/>
              <w:right w:val="nil"/>
            </w:tcBorders>
          </w:tcPr>
          <w:p w:rsidR="00000000" w:rsidRDefault="00000000">
            <w:pPr>
              <w:spacing w:before="40" w:after="40" w:line="210" w:lineRule="atLeast"/>
              <w:jc w:val="right"/>
              <w:rPr>
                <w:sz w:val="17"/>
              </w:rPr>
            </w:pPr>
            <w:r>
              <w:rPr>
                <w:sz w:val="17"/>
              </w:rPr>
              <w:t>22</w:t>
            </w:r>
          </w:p>
        </w:tc>
      </w:tr>
      <w:tr w:rsidR="00000000">
        <w:tblPrEx>
          <w:tblCellMar>
            <w:top w:w="0" w:type="dxa"/>
            <w:left w:w="0" w:type="dxa"/>
            <w:bottom w:w="0" w:type="dxa"/>
            <w:right w:w="0" w:type="dxa"/>
          </w:tblCellMar>
        </w:tblPrEx>
        <w:tc>
          <w:tcPr>
            <w:tcW w:w="3582" w:type="dxa"/>
            <w:tcBorders>
              <w:top w:val="nil"/>
              <w:left w:val="nil"/>
              <w:bottom w:val="nil"/>
              <w:right w:val="nil"/>
            </w:tcBorders>
            <w:vAlign w:val="bottom"/>
          </w:tcPr>
          <w:p w:rsidR="00000000" w:rsidRDefault="00000000">
            <w:pPr>
              <w:spacing w:before="40" w:after="40" w:line="210" w:lineRule="atLeast"/>
              <w:rPr>
                <w:sz w:val="17"/>
              </w:rPr>
            </w:pPr>
            <w:r>
              <w:rPr>
                <w:sz w:val="17"/>
              </w:rPr>
              <w:t>Здравоохранение и социальная защита</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299</w:t>
            </w:r>
          </w:p>
        </w:tc>
        <w:tc>
          <w:tcPr>
            <w:tcW w:w="630"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139</w:t>
            </w:r>
          </w:p>
        </w:tc>
        <w:tc>
          <w:tcPr>
            <w:tcW w:w="634" w:type="dxa"/>
            <w:tcBorders>
              <w:top w:val="nil"/>
              <w:left w:val="nil"/>
              <w:bottom w:val="nil"/>
              <w:right w:val="nil"/>
            </w:tcBorders>
          </w:tcPr>
          <w:p w:rsidR="00000000" w:rsidRDefault="00000000">
            <w:pPr>
              <w:spacing w:before="40" w:after="40" w:line="210" w:lineRule="atLeast"/>
              <w:jc w:val="right"/>
              <w:rPr>
                <w:sz w:val="17"/>
              </w:rPr>
            </w:pPr>
            <w:r>
              <w:rPr>
                <w:sz w:val="17"/>
              </w:rPr>
              <w:t>56</w:t>
            </w:r>
          </w:p>
        </w:tc>
        <w:tc>
          <w:tcPr>
            <w:tcW w:w="634" w:type="dxa"/>
            <w:tcBorders>
              <w:top w:val="nil"/>
              <w:left w:val="nil"/>
              <w:bottom w:val="nil"/>
              <w:right w:val="nil"/>
            </w:tcBorders>
            <w:vAlign w:val="bottom"/>
          </w:tcPr>
          <w:p w:rsidR="00000000" w:rsidRDefault="00000000">
            <w:pPr>
              <w:spacing w:before="40" w:after="40" w:line="210" w:lineRule="atLeast"/>
              <w:jc w:val="right"/>
              <w:rPr>
                <w:sz w:val="17"/>
              </w:rPr>
            </w:pPr>
            <w:r>
              <w:rPr>
                <w:sz w:val="17"/>
              </w:rPr>
              <w:t>9</w:t>
            </w:r>
          </w:p>
        </w:tc>
        <w:tc>
          <w:tcPr>
            <w:tcW w:w="1248" w:type="dxa"/>
            <w:tcBorders>
              <w:top w:val="nil"/>
              <w:left w:val="nil"/>
              <w:bottom w:val="nil"/>
              <w:right w:val="nil"/>
            </w:tcBorders>
          </w:tcPr>
          <w:p w:rsidR="00000000" w:rsidRDefault="00000000">
            <w:pPr>
              <w:spacing w:before="40" w:after="40" w:line="210" w:lineRule="atLeast"/>
              <w:jc w:val="right"/>
              <w:rPr>
                <w:sz w:val="17"/>
              </w:rPr>
            </w:pPr>
            <w:r>
              <w:rPr>
                <w:sz w:val="17"/>
              </w:rPr>
              <w:t>17</w:t>
            </w:r>
          </w:p>
        </w:tc>
      </w:tr>
      <w:tr w:rsidR="00000000">
        <w:tblPrEx>
          <w:tblCellMar>
            <w:top w:w="0" w:type="dxa"/>
            <w:left w:w="0" w:type="dxa"/>
            <w:bottom w:w="0" w:type="dxa"/>
            <w:right w:w="0" w:type="dxa"/>
          </w:tblCellMar>
        </w:tblPrEx>
        <w:tc>
          <w:tcPr>
            <w:tcW w:w="3582" w:type="dxa"/>
            <w:tcBorders>
              <w:top w:val="nil"/>
              <w:left w:val="nil"/>
              <w:bottom w:val="single" w:sz="12" w:space="0" w:color="auto"/>
              <w:right w:val="nil"/>
            </w:tcBorders>
            <w:vAlign w:val="bottom"/>
          </w:tcPr>
          <w:p w:rsidR="00000000" w:rsidRDefault="00000000">
            <w:pPr>
              <w:spacing w:before="40" w:after="40" w:line="210" w:lineRule="atLeast"/>
              <w:rPr>
                <w:sz w:val="17"/>
              </w:rPr>
            </w:pPr>
            <w:r>
              <w:rPr>
                <w:sz w:val="17"/>
              </w:rPr>
              <w:t>Государственная администрация</w:t>
            </w:r>
          </w:p>
        </w:tc>
        <w:tc>
          <w:tcPr>
            <w:tcW w:w="634" w:type="dxa"/>
            <w:tcBorders>
              <w:top w:val="nil"/>
              <w:left w:val="nil"/>
              <w:bottom w:val="single" w:sz="12" w:space="0" w:color="auto"/>
              <w:right w:val="nil"/>
            </w:tcBorders>
            <w:vAlign w:val="bottom"/>
          </w:tcPr>
          <w:p w:rsidR="00000000" w:rsidRDefault="00000000">
            <w:pPr>
              <w:spacing w:before="40" w:after="40" w:line="210" w:lineRule="atLeast"/>
              <w:jc w:val="right"/>
              <w:rPr>
                <w:sz w:val="17"/>
              </w:rPr>
            </w:pPr>
            <w:r>
              <w:rPr>
                <w:sz w:val="17"/>
              </w:rPr>
              <w:t>165</w:t>
            </w:r>
          </w:p>
        </w:tc>
        <w:tc>
          <w:tcPr>
            <w:tcW w:w="630" w:type="dxa"/>
            <w:tcBorders>
              <w:top w:val="nil"/>
              <w:left w:val="nil"/>
              <w:bottom w:val="single" w:sz="12" w:space="0" w:color="auto"/>
              <w:right w:val="nil"/>
            </w:tcBorders>
            <w:vAlign w:val="bottom"/>
          </w:tcPr>
          <w:p w:rsidR="00000000" w:rsidRDefault="00000000">
            <w:pPr>
              <w:spacing w:before="40" w:after="40" w:line="210" w:lineRule="atLeast"/>
              <w:jc w:val="right"/>
              <w:rPr>
                <w:sz w:val="17"/>
              </w:rPr>
            </w:pPr>
            <w:r>
              <w:rPr>
                <w:sz w:val="17"/>
              </w:rPr>
              <w:t>94</w:t>
            </w:r>
          </w:p>
        </w:tc>
        <w:tc>
          <w:tcPr>
            <w:tcW w:w="634" w:type="dxa"/>
            <w:tcBorders>
              <w:top w:val="nil"/>
              <w:left w:val="nil"/>
              <w:bottom w:val="single" w:sz="12" w:space="0" w:color="auto"/>
              <w:right w:val="nil"/>
            </w:tcBorders>
          </w:tcPr>
          <w:p w:rsidR="00000000" w:rsidRDefault="00000000">
            <w:pPr>
              <w:spacing w:before="40" w:after="40" w:line="210" w:lineRule="atLeast"/>
              <w:jc w:val="right"/>
              <w:rPr>
                <w:sz w:val="17"/>
              </w:rPr>
            </w:pPr>
            <w:r>
              <w:rPr>
                <w:sz w:val="17"/>
              </w:rPr>
              <w:t>41</w:t>
            </w:r>
          </w:p>
        </w:tc>
        <w:tc>
          <w:tcPr>
            <w:tcW w:w="634" w:type="dxa"/>
            <w:tcBorders>
              <w:top w:val="nil"/>
              <w:left w:val="nil"/>
              <w:bottom w:val="single" w:sz="12" w:space="0" w:color="auto"/>
              <w:right w:val="nil"/>
            </w:tcBorders>
            <w:vAlign w:val="bottom"/>
          </w:tcPr>
          <w:p w:rsidR="00000000" w:rsidRDefault="00000000">
            <w:pPr>
              <w:spacing w:before="40" w:after="40" w:line="210" w:lineRule="atLeast"/>
              <w:jc w:val="right"/>
              <w:rPr>
                <w:sz w:val="17"/>
              </w:rPr>
            </w:pPr>
            <w:r>
              <w:rPr>
                <w:sz w:val="17"/>
              </w:rPr>
              <w:t>17</w:t>
            </w:r>
          </w:p>
        </w:tc>
        <w:tc>
          <w:tcPr>
            <w:tcW w:w="1248" w:type="dxa"/>
            <w:tcBorders>
              <w:top w:val="nil"/>
              <w:left w:val="nil"/>
              <w:bottom w:val="single" w:sz="12" w:space="0" w:color="auto"/>
              <w:right w:val="nil"/>
            </w:tcBorders>
          </w:tcPr>
          <w:p w:rsidR="00000000" w:rsidRDefault="00000000">
            <w:pPr>
              <w:spacing w:before="40" w:after="40" w:line="210" w:lineRule="atLeast"/>
              <w:jc w:val="right"/>
              <w:rPr>
                <w:sz w:val="17"/>
              </w:rPr>
            </w:pPr>
            <w:r>
              <w:rPr>
                <w:sz w:val="17"/>
              </w:rPr>
              <w:t>26</w:t>
            </w:r>
          </w:p>
        </w:tc>
      </w:tr>
    </w:tbl>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i/>
        </w:rPr>
        <w:t>Источник</w:t>
      </w:r>
      <w:r>
        <w:t>: Федеральный институт статистики, Статистические данные в о</w:t>
      </w:r>
      <w:r>
        <w:t>б</w:t>
      </w:r>
      <w:r>
        <w:t>ласти экономических и других тенденций, несколько изданий.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rPr>
          <w:i/>
        </w:rPr>
        <w:t>Примечание</w:t>
      </w:r>
      <w:r>
        <w:t>: Сопоставимые данные по Республике Сербской отсутствуют.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Частный сектор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193.</w:t>
      </w:r>
      <w:r>
        <w:tab/>
        <w:t>В период экономических преобразований и приватизации одна из во</w:t>
      </w:r>
      <w:r>
        <w:t>з</w:t>
      </w:r>
      <w:r>
        <w:t>можностей для обеспечения занятости заключается в развертывании частного предпринимательства. Однако подробный анализ состояния этого сектора с</w:t>
      </w:r>
      <w:r>
        <w:t>о</w:t>
      </w:r>
      <w:r>
        <w:t>пряжен с трудностями, поскольку отсутствуют достоверные данные о числе</w:t>
      </w:r>
      <w:r>
        <w:t>н</w:t>
      </w:r>
      <w:r>
        <w:t>ности занятости в частном секторе, а также данные физическом объеме и стоимости производства в частном секторе. Средняя численность занятых в частном секторе составляет два трудящихся на одну частную компанию, п</w:t>
      </w:r>
      <w:r>
        <w:t>о</w:t>
      </w:r>
      <w:r>
        <w:t>этому частный сектор можно охарактеризовать как недостаточно развитый и орие</w:t>
      </w:r>
      <w:r>
        <w:t>н</w:t>
      </w:r>
      <w:r>
        <w:t>тированный на семейный бизнес, ремесла или услуги в области торговли.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194.</w:t>
      </w:r>
      <w:r>
        <w:tab/>
        <w:t>Согласно имеющимся данным, касающимся только владельцев частных магазинов и работающих в них лиц, в сентябре 1999 года численность занятых в этом секторе лиц составила 18 095 человек, причем численность женщин с</w:t>
      </w:r>
      <w:r>
        <w:t>о</w:t>
      </w:r>
      <w:r>
        <w:t>ставляла 8148 (45 процентов). В Республике Сербской в 2001 году общая чи</w:t>
      </w:r>
      <w:r>
        <w:t>с</w:t>
      </w:r>
      <w:r>
        <w:t>ленность владельцев частных магазинов составляла 13 924 человека, причем 5296 из них - женщины. Доля женщин среди владельцев частных магазинов с</w:t>
      </w:r>
      <w:r>
        <w:t>о</w:t>
      </w:r>
      <w:r>
        <w:t>ставляет 37 процентов, а мужчин - 63 процента. Анализ численности женщин - владельцев частных магазинов среди всех занятых женщин в частном секторе показывает, что половину занятых в этом секторе составляют женщины. Что касается мужчин, то доля владельцев частных магазинов из числа мужчин с</w:t>
      </w:r>
      <w:r>
        <w:t>о</w:t>
      </w:r>
      <w:r>
        <w:t>ставляет 71 процент. Эти данные показывают, что женщины выступают реал</w:t>
      </w:r>
      <w:r>
        <w:t>ь</w:t>
      </w:r>
      <w:r>
        <w:t>ной рабочей силой в частном секторе и что они являются как наемными рабо</w:t>
      </w:r>
      <w:r>
        <w:t>т</w:t>
      </w:r>
      <w:r>
        <w:t>никами, так и владельцами частных структур. Аналогичная ситуация склад</w:t>
      </w:r>
      <w:r>
        <w:t>ы</w:t>
      </w:r>
      <w:r>
        <w:t>вается применительно к другим формам частного владения. Однако уже тот факт, что половина женщина являются владельцами частных структур свид</w:t>
      </w:r>
      <w:r>
        <w:t>е</w:t>
      </w:r>
      <w:r>
        <w:t>тельствует о значительном прогрессе в социальной сфере. Этот сектор, однако, является наименьшим по масштабам сектором в структуре частного предпр</w:t>
      </w:r>
      <w:r>
        <w:t>и</w:t>
      </w:r>
      <w:r>
        <w:t>нимательства, поэтому представляется целесообразным сопоставлять эти да</w:t>
      </w:r>
      <w:r>
        <w:t>н</w:t>
      </w:r>
      <w:r>
        <w:t>ные с данными других секторов частного предпринимательства.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195.</w:t>
      </w:r>
      <w:r>
        <w:tab/>
        <w:t>Женщины по-прежнему недостаточно представлены в "большом" бизнесе. Тем не менее улучшение положения дел в социальной сфере является знач</w:t>
      </w:r>
      <w:r>
        <w:t>и</w:t>
      </w:r>
      <w:r>
        <w:t>тельным, что объясняется укреплением роли личности и ослаблением инстит</w:t>
      </w:r>
      <w:r>
        <w:t>у</w:t>
      </w:r>
      <w:r>
        <w:t>циональных барьеров на пути к улучшению положения женщин в социальной иерархии.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196.</w:t>
      </w:r>
      <w:r>
        <w:tab/>
        <w:t>Данные о типах магазинов отсутствуют, а имеющиеся данные показывают лишь приблизительное отличие между магазинами, поэтому представляется невозможным определить, в каких сферах функционирует малый частный би</w:t>
      </w:r>
      <w:r>
        <w:t>з</w:t>
      </w:r>
      <w:r>
        <w:t>нес. Отсутствуют данные в категории "магазины" кустарного производства. Кроме того, отсутствуют данные о количестве коммерческих магазинов. Мо</w:t>
      </w:r>
      <w:r>
        <w:t>ж</w:t>
      </w:r>
      <w:r>
        <w:t>но только предположить, что наибольшее количество коммерческих магазинов приходится на категорию "Прочие владельцы".</w:t>
      </w:r>
    </w:p>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Владельцы частных структур в разбивке по роду занятий и полу</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62"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40"/>
        <w:gridCol w:w="2347"/>
        <w:gridCol w:w="2340"/>
      </w:tblGrid>
      <w:tr w:rsidR="00000000">
        <w:tblPrEx>
          <w:tblCellMar>
            <w:top w:w="0" w:type="dxa"/>
            <w:left w:w="0" w:type="dxa"/>
            <w:bottom w:w="0" w:type="dxa"/>
            <w:right w:w="0" w:type="dxa"/>
          </w:tblCellMar>
        </w:tblPrEx>
        <w:trPr>
          <w:tblHeader/>
        </w:trPr>
        <w:tc>
          <w:tcPr>
            <w:tcW w:w="234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rPr>
                <w:i/>
                <w:sz w:val="14"/>
              </w:rPr>
            </w:pPr>
            <w:r>
              <w:rPr>
                <w:i/>
                <w:sz w:val="14"/>
              </w:rPr>
              <w:t>Женщины</w:t>
            </w:r>
          </w:p>
        </w:tc>
        <w:tc>
          <w:tcPr>
            <w:tcW w:w="2347" w:type="dxa"/>
            <w:tcBorders>
              <w:left w:val="nil"/>
              <w:bottom w:val="single" w:sz="12" w:space="0" w:color="auto"/>
              <w:right w:val="nil"/>
            </w:tcBorders>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Род занятий</w:t>
            </w:r>
          </w:p>
        </w:tc>
        <w:tc>
          <w:tcPr>
            <w:tcW w:w="234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Мужчины</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210" w:lineRule="exact"/>
              <w:ind w:right="40"/>
              <w:rPr>
                <w:sz w:val="17"/>
              </w:rPr>
            </w:pPr>
          </w:p>
        </w:tc>
        <w:tc>
          <w:tcPr>
            <w:tcW w:w="2347"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81" w:after="81" w:line="210" w:lineRule="exact"/>
              <w:ind w:right="40"/>
              <w:jc w:val="right"/>
              <w:rPr>
                <w:sz w:val="17"/>
              </w:rPr>
            </w:pPr>
          </w:p>
        </w:tc>
        <w:tc>
          <w:tcPr>
            <w:tcW w:w="234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210" w:lineRule="exact"/>
              <w:ind w:right="40"/>
              <w:jc w:val="right"/>
              <w:rPr>
                <w:sz w:val="17"/>
              </w:rPr>
            </w:pPr>
          </w:p>
        </w:tc>
      </w:tr>
      <w:tr w:rsidR="00000000">
        <w:tblPrEx>
          <w:tblCellMar>
            <w:top w:w="0" w:type="dxa"/>
            <w:left w:w="0" w:type="dxa"/>
            <w:bottom w:w="0" w:type="dxa"/>
            <w:right w:w="0" w:type="dxa"/>
          </w:tblCellMar>
        </w:tblPrEx>
        <w:tc>
          <w:tcPr>
            <w:tcW w:w="2340" w:type="dxa"/>
            <w:tcBorders>
              <w:top w:val="nil"/>
              <w:left w:val="nil"/>
              <w:bottom w:val="nil"/>
              <w:right w:val="nil"/>
            </w:tcBorders>
            <w:vAlign w:val="bottom"/>
          </w:tcPr>
          <w:p w:rsidR="00000000" w:rsidRDefault="00000000">
            <w:pPr>
              <w:keepNext/>
              <w:spacing w:before="40" w:after="40" w:line="210" w:lineRule="exact"/>
              <w:rPr>
                <w:sz w:val="17"/>
              </w:rPr>
            </w:pPr>
            <w:r>
              <w:rPr>
                <w:sz w:val="17"/>
              </w:rPr>
              <w:t>48 процентов</w:t>
            </w:r>
          </w:p>
        </w:tc>
        <w:tc>
          <w:tcPr>
            <w:tcW w:w="2347" w:type="dxa"/>
            <w:tcBorders>
              <w:top w:val="nil"/>
              <w:left w:val="nil"/>
              <w:bottom w:val="nil"/>
              <w:right w:val="nil"/>
            </w:tcBorders>
          </w:tcPr>
          <w:p w:rsidR="00000000" w:rsidRDefault="00000000">
            <w:pPr>
              <w:keepNext/>
              <w:spacing w:before="40" w:after="40" w:line="210" w:lineRule="exact"/>
              <w:jc w:val="right"/>
              <w:rPr>
                <w:sz w:val="17"/>
              </w:rPr>
            </w:pPr>
            <w:r>
              <w:rPr>
                <w:sz w:val="17"/>
              </w:rPr>
              <w:t>Кустарное производство</w:t>
            </w:r>
          </w:p>
        </w:tc>
        <w:tc>
          <w:tcPr>
            <w:tcW w:w="234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34 процента</w:t>
            </w:r>
          </w:p>
        </w:tc>
      </w:tr>
      <w:tr w:rsidR="00000000">
        <w:tblPrEx>
          <w:tblCellMar>
            <w:top w:w="0" w:type="dxa"/>
            <w:left w:w="0" w:type="dxa"/>
            <w:bottom w:w="0" w:type="dxa"/>
            <w:right w:w="0" w:type="dxa"/>
          </w:tblCellMar>
        </w:tblPrEx>
        <w:tc>
          <w:tcPr>
            <w:tcW w:w="2340" w:type="dxa"/>
            <w:tcBorders>
              <w:top w:val="nil"/>
              <w:left w:val="nil"/>
              <w:bottom w:val="nil"/>
              <w:right w:val="nil"/>
            </w:tcBorders>
            <w:vAlign w:val="bottom"/>
          </w:tcPr>
          <w:p w:rsidR="00000000" w:rsidRDefault="00000000">
            <w:pPr>
              <w:spacing w:before="40" w:after="40" w:line="210" w:lineRule="exact"/>
              <w:rPr>
                <w:sz w:val="17"/>
              </w:rPr>
            </w:pPr>
            <w:r>
              <w:rPr>
                <w:sz w:val="17"/>
              </w:rPr>
              <w:t>18,1 процента</w:t>
            </w:r>
          </w:p>
        </w:tc>
        <w:tc>
          <w:tcPr>
            <w:tcW w:w="2347" w:type="dxa"/>
            <w:tcBorders>
              <w:top w:val="nil"/>
              <w:left w:val="nil"/>
              <w:bottom w:val="nil"/>
              <w:right w:val="nil"/>
            </w:tcBorders>
          </w:tcPr>
          <w:p w:rsidR="00000000" w:rsidRDefault="00000000">
            <w:pPr>
              <w:spacing w:before="40" w:after="40" w:line="210" w:lineRule="exact"/>
              <w:jc w:val="right"/>
              <w:rPr>
                <w:sz w:val="17"/>
              </w:rPr>
            </w:pPr>
            <w:r>
              <w:rPr>
                <w:sz w:val="17"/>
              </w:rPr>
              <w:t>Владельцы ресторанов</w:t>
            </w:r>
          </w:p>
        </w:tc>
        <w:tc>
          <w:tcPr>
            <w:tcW w:w="2340" w:type="dxa"/>
            <w:tcBorders>
              <w:top w:val="nil"/>
              <w:left w:val="nil"/>
              <w:bottom w:val="nil"/>
              <w:right w:val="nil"/>
            </w:tcBorders>
            <w:vAlign w:val="bottom"/>
          </w:tcPr>
          <w:p w:rsidR="00000000" w:rsidRDefault="00000000">
            <w:pPr>
              <w:spacing w:before="40" w:after="40" w:line="210" w:lineRule="exact"/>
              <w:jc w:val="right"/>
              <w:rPr>
                <w:sz w:val="17"/>
              </w:rPr>
            </w:pPr>
            <w:r>
              <w:rPr>
                <w:sz w:val="17"/>
              </w:rPr>
              <w:t>21 процент</w:t>
            </w:r>
          </w:p>
        </w:tc>
      </w:tr>
      <w:tr w:rsidR="00000000">
        <w:tblPrEx>
          <w:tblCellMar>
            <w:top w:w="0" w:type="dxa"/>
            <w:left w:w="0" w:type="dxa"/>
            <w:bottom w:w="0" w:type="dxa"/>
            <w:right w:w="0" w:type="dxa"/>
          </w:tblCellMar>
        </w:tblPrEx>
        <w:tc>
          <w:tcPr>
            <w:tcW w:w="2340" w:type="dxa"/>
            <w:tcBorders>
              <w:top w:val="nil"/>
              <w:left w:val="nil"/>
              <w:bottom w:val="nil"/>
              <w:right w:val="nil"/>
            </w:tcBorders>
            <w:vAlign w:val="bottom"/>
          </w:tcPr>
          <w:p w:rsidR="00000000" w:rsidRDefault="00000000">
            <w:pPr>
              <w:spacing w:before="40" w:after="40" w:line="210" w:lineRule="exact"/>
              <w:rPr>
                <w:sz w:val="17"/>
              </w:rPr>
            </w:pPr>
            <w:r>
              <w:rPr>
                <w:sz w:val="17"/>
              </w:rPr>
              <w:t>0,3 процента</w:t>
            </w:r>
          </w:p>
        </w:tc>
        <w:tc>
          <w:tcPr>
            <w:tcW w:w="2347" w:type="dxa"/>
            <w:tcBorders>
              <w:top w:val="nil"/>
              <w:left w:val="nil"/>
              <w:bottom w:val="nil"/>
              <w:right w:val="nil"/>
            </w:tcBorders>
          </w:tcPr>
          <w:p w:rsidR="00000000" w:rsidRDefault="00000000">
            <w:pPr>
              <w:spacing w:before="40" w:after="40" w:line="210" w:lineRule="exact"/>
              <w:jc w:val="right"/>
              <w:rPr>
                <w:sz w:val="17"/>
              </w:rPr>
            </w:pPr>
            <w:r>
              <w:rPr>
                <w:sz w:val="17"/>
              </w:rPr>
              <w:t>Автотранспорт</w:t>
            </w:r>
          </w:p>
        </w:tc>
        <w:tc>
          <w:tcPr>
            <w:tcW w:w="2340" w:type="dxa"/>
            <w:tcBorders>
              <w:top w:val="nil"/>
              <w:left w:val="nil"/>
              <w:bottom w:val="nil"/>
              <w:right w:val="nil"/>
            </w:tcBorders>
            <w:vAlign w:val="bottom"/>
          </w:tcPr>
          <w:p w:rsidR="00000000" w:rsidRDefault="00000000">
            <w:pPr>
              <w:spacing w:before="40" w:after="40" w:line="210" w:lineRule="exact"/>
              <w:jc w:val="right"/>
              <w:rPr>
                <w:sz w:val="17"/>
              </w:rPr>
            </w:pPr>
            <w:r>
              <w:rPr>
                <w:sz w:val="17"/>
              </w:rPr>
              <w:t>22 процента</w:t>
            </w:r>
          </w:p>
        </w:tc>
      </w:tr>
      <w:tr w:rsidR="00000000">
        <w:tblPrEx>
          <w:tblCellMar>
            <w:top w:w="0" w:type="dxa"/>
            <w:left w:w="0" w:type="dxa"/>
            <w:bottom w:w="0" w:type="dxa"/>
            <w:right w:w="0" w:type="dxa"/>
          </w:tblCellMar>
        </w:tblPrEx>
        <w:tc>
          <w:tcPr>
            <w:tcW w:w="2340" w:type="dxa"/>
            <w:tcBorders>
              <w:top w:val="nil"/>
              <w:left w:val="nil"/>
              <w:bottom w:val="single" w:sz="12" w:space="0" w:color="auto"/>
              <w:right w:val="nil"/>
            </w:tcBorders>
            <w:vAlign w:val="bottom"/>
          </w:tcPr>
          <w:p w:rsidR="00000000" w:rsidRDefault="00000000">
            <w:pPr>
              <w:spacing w:before="40" w:after="40" w:line="210" w:lineRule="exact"/>
              <w:rPr>
                <w:sz w:val="17"/>
              </w:rPr>
            </w:pPr>
            <w:r>
              <w:rPr>
                <w:sz w:val="17"/>
              </w:rPr>
              <w:t>33,6 процента</w:t>
            </w:r>
          </w:p>
        </w:tc>
        <w:tc>
          <w:tcPr>
            <w:tcW w:w="2347"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Прочие владельцы</w:t>
            </w:r>
          </w:p>
        </w:tc>
        <w:tc>
          <w:tcPr>
            <w:tcW w:w="234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23 процента</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197.</w:t>
      </w:r>
      <w:r>
        <w:tab/>
        <w:t>Что касается женщин, то можно отметить, что наибольшая доля женщин приходится на сектор "Кустарное производство", а также на сектор "Прочие владельцы". В силу отсутствия достоверных данных можно предположить, что на долю владельцев коммерческих магазинов приходится наибольшее число лиц сектора "Прочие владельцы". Что касается гендерной структуры сопоста</w:t>
      </w:r>
      <w:r>
        <w:t>в</w:t>
      </w:r>
      <w:r>
        <w:t>ляемых занятий, то, по имеющимся данным, численность женщин и мужчин примерно одинакова в секторе кустарного производства и в группе "Прочие владельцы". В секторе автотранспорта доминируют мужчины (большинство водителей такси - мужчины). Данные показывают, что из всех занятых в час</w:t>
      </w:r>
      <w:r>
        <w:t>т</w:t>
      </w:r>
      <w:r>
        <w:t>ном секторе мужчин только 29 процентов имеют статус трудящихся. Что кас</w:t>
      </w:r>
      <w:r>
        <w:t>а</w:t>
      </w:r>
      <w:r>
        <w:t>ется гендерной структуры работников частного сектора, то следует отметить, что женщины составляют бóльшую часть рабочей силы в этом секторе (доля мужчин - 41,5 процента, доля женщин - 58,5 процента). Мужчины преимущ</w:t>
      </w:r>
      <w:r>
        <w:t>е</w:t>
      </w:r>
      <w:r>
        <w:t>ственно работают в традиционных для них секторах, например в секторе авт</w:t>
      </w:r>
      <w:r>
        <w:t>о</w:t>
      </w:r>
      <w:r>
        <w:t>транспорта, численность контингента женской рабочей силы не поддается то</w:t>
      </w:r>
      <w:r>
        <w:t>ч</w:t>
      </w:r>
      <w:r>
        <w:t>ной оценке. Можно лишь предположить, что женщины преимущественно раб</w:t>
      </w:r>
      <w:r>
        <w:t>о</w:t>
      </w:r>
      <w:r>
        <w:t xml:space="preserve">тают в секторе торговли. </w:t>
      </w:r>
    </w:p>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Трудящиеся в разбивке по роду занятий </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62"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40"/>
        <w:gridCol w:w="2347"/>
        <w:gridCol w:w="2340"/>
      </w:tblGrid>
      <w:tr w:rsidR="00000000">
        <w:tblPrEx>
          <w:tblCellMar>
            <w:top w:w="0" w:type="dxa"/>
            <w:left w:w="0" w:type="dxa"/>
            <w:bottom w:w="0" w:type="dxa"/>
            <w:right w:w="0" w:type="dxa"/>
          </w:tblCellMar>
        </w:tblPrEx>
        <w:trPr>
          <w:tblHeader/>
        </w:trPr>
        <w:tc>
          <w:tcPr>
            <w:tcW w:w="234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rPr>
                <w:i/>
                <w:sz w:val="14"/>
              </w:rPr>
            </w:pPr>
            <w:r>
              <w:rPr>
                <w:i/>
                <w:sz w:val="14"/>
              </w:rPr>
              <w:t>Женщины</w:t>
            </w:r>
          </w:p>
        </w:tc>
        <w:tc>
          <w:tcPr>
            <w:tcW w:w="2347" w:type="dxa"/>
            <w:tcBorders>
              <w:left w:val="nil"/>
              <w:bottom w:val="single" w:sz="12" w:space="0" w:color="auto"/>
              <w:right w:val="nil"/>
            </w:tcBorders>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Род занятий</w:t>
            </w:r>
          </w:p>
        </w:tc>
        <w:tc>
          <w:tcPr>
            <w:tcW w:w="234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81" w:after="81" w:line="240" w:lineRule="auto"/>
              <w:ind w:right="43"/>
              <w:jc w:val="right"/>
              <w:rPr>
                <w:i/>
                <w:sz w:val="14"/>
              </w:rPr>
            </w:pPr>
            <w:r>
              <w:rPr>
                <w:i/>
                <w:sz w:val="14"/>
              </w:rPr>
              <w:t>Мужчины</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210" w:lineRule="exact"/>
              <w:ind w:right="40"/>
              <w:rPr>
                <w:sz w:val="17"/>
              </w:rPr>
            </w:pPr>
          </w:p>
        </w:tc>
        <w:tc>
          <w:tcPr>
            <w:tcW w:w="2347"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81" w:after="81" w:line="210" w:lineRule="exact"/>
              <w:ind w:right="40"/>
              <w:jc w:val="right"/>
              <w:rPr>
                <w:sz w:val="17"/>
              </w:rPr>
            </w:pPr>
          </w:p>
        </w:tc>
        <w:tc>
          <w:tcPr>
            <w:tcW w:w="234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81" w:after="81" w:line="210" w:lineRule="exact"/>
              <w:ind w:right="40"/>
              <w:jc w:val="right"/>
              <w:rPr>
                <w:sz w:val="17"/>
              </w:rPr>
            </w:pPr>
          </w:p>
        </w:tc>
      </w:tr>
      <w:tr w:rsidR="00000000">
        <w:tblPrEx>
          <w:tblCellMar>
            <w:top w:w="0" w:type="dxa"/>
            <w:left w:w="0" w:type="dxa"/>
            <w:bottom w:w="0" w:type="dxa"/>
            <w:right w:w="0" w:type="dxa"/>
          </w:tblCellMar>
        </w:tblPrEx>
        <w:tc>
          <w:tcPr>
            <w:tcW w:w="2340" w:type="dxa"/>
            <w:tcBorders>
              <w:top w:val="nil"/>
              <w:left w:val="nil"/>
              <w:bottom w:val="nil"/>
              <w:right w:val="nil"/>
            </w:tcBorders>
            <w:vAlign w:val="bottom"/>
          </w:tcPr>
          <w:p w:rsidR="00000000" w:rsidRDefault="00000000">
            <w:pPr>
              <w:keepNext/>
              <w:spacing w:before="40" w:after="40" w:line="210" w:lineRule="exact"/>
              <w:rPr>
                <w:sz w:val="17"/>
              </w:rPr>
            </w:pPr>
            <w:r>
              <w:rPr>
                <w:sz w:val="17"/>
              </w:rPr>
              <w:t>57 процентов</w:t>
            </w:r>
          </w:p>
        </w:tc>
        <w:tc>
          <w:tcPr>
            <w:tcW w:w="2347" w:type="dxa"/>
            <w:tcBorders>
              <w:top w:val="nil"/>
              <w:left w:val="nil"/>
              <w:bottom w:val="nil"/>
              <w:right w:val="nil"/>
            </w:tcBorders>
          </w:tcPr>
          <w:p w:rsidR="00000000" w:rsidRDefault="00000000">
            <w:pPr>
              <w:keepNext/>
              <w:spacing w:before="40" w:after="40" w:line="210" w:lineRule="exact"/>
              <w:jc w:val="right"/>
              <w:rPr>
                <w:sz w:val="17"/>
              </w:rPr>
            </w:pPr>
            <w:r>
              <w:rPr>
                <w:sz w:val="17"/>
              </w:rPr>
              <w:t>Кустарное производство</w:t>
            </w:r>
          </w:p>
        </w:tc>
        <w:tc>
          <w:tcPr>
            <w:tcW w:w="2340" w:type="dxa"/>
            <w:tcBorders>
              <w:top w:val="nil"/>
              <w:left w:val="nil"/>
              <w:bottom w:val="nil"/>
              <w:right w:val="nil"/>
            </w:tcBorders>
            <w:vAlign w:val="bottom"/>
          </w:tcPr>
          <w:p w:rsidR="00000000" w:rsidRDefault="00000000">
            <w:pPr>
              <w:keepNext/>
              <w:spacing w:before="40" w:after="40" w:line="210" w:lineRule="exact"/>
              <w:jc w:val="right"/>
              <w:rPr>
                <w:sz w:val="17"/>
              </w:rPr>
            </w:pPr>
            <w:r>
              <w:rPr>
                <w:sz w:val="17"/>
              </w:rPr>
              <w:t>43 процента</w:t>
            </w:r>
          </w:p>
        </w:tc>
      </w:tr>
      <w:tr w:rsidR="00000000">
        <w:tblPrEx>
          <w:tblCellMar>
            <w:top w:w="0" w:type="dxa"/>
            <w:left w:w="0" w:type="dxa"/>
            <w:bottom w:w="0" w:type="dxa"/>
            <w:right w:w="0" w:type="dxa"/>
          </w:tblCellMar>
        </w:tblPrEx>
        <w:tc>
          <w:tcPr>
            <w:tcW w:w="2340" w:type="dxa"/>
            <w:tcBorders>
              <w:top w:val="nil"/>
              <w:left w:val="nil"/>
              <w:bottom w:val="nil"/>
              <w:right w:val="nil"/>
            </w:tcBorders>
            <w:vAlign w:val="bottom"/>
          </w:tcPr>
          <w:p w:rsidR="00000000" w:rsidRDefault="00000000">
            <w:pPr>
              <w:spacing w:before="40" w:after="40" w:line="210" w:lineRule="exact"/>
              <w:rPr>
                <w:sz w:val="17"/>
              </w:rPr>
            </w:pPr>
            <w:r>
              <w:rPr>
                <w:sz w:val="17"/>
              </w:rPr>
              <w:t>57 процента</w:t>
            </w:r>
          </w:p>
        </w:tc>
        <w:tc>
          <w:tcPr>
            <w:tcW w:w="2347" w:type="dxa"/>
            <w:tcBorders>
              <w:top w:val="nil"/>
              <w:left w:val="nil"/>
              <w:bottom w:val="nil"/>
              <w:right w:val="nil"/>
            </w:tcBorders>
          </w:tcPr>
          <w:p w:rsidR="00000000" w:rsidRDefault="00000000">
            <w:pPr>
              <w:spacing w:before="40" w:after="40" w:line="210" w:lineRule="exact"/>
              <w:jc w:val="right"/>
              <w:rPr>
                <w:sz w:val="17"/>
              </w:rPr>
            </w:pPr>
            <w:r>
              <w:rPr>
                <w:sz w:val="17"/>
              </w:rPr>
              <w:t>Владельцы ресторанов</w:t>
            </w:r>
          </w:p>
        </w:tc>
        <w:tc>
          <w:tcPr>
            <w:tcW w:w="2340" w:type="dxa"/>
            <w:tcBorders>
              <w:top w:val="nil"/>
              <w:left w:val="nil"/>
              <w:bottom w:val="nil"/>
              <w:right w:val="nil"/>
            </w:tcBorders>
            <w:vAlign w:val="bottom"/>
          </w:tcPr>
          <w:p w:rsidR="00000000" w:rsidRDefault="00000000">
            <w:pPr>
              <w:spacing w:before="40" w:after="40" w:line="210" w:lineRule="exact"/>
              <w:jc w:val="right"/>
              <w:rPr>
                <w:sz w:val="17"/>
              </w:rPr>
            </w:pPr>
            <w:r>
              <w:rPr>
                <w:sz w:val="17"/>
              </w:rPr>
              <w:t>43 процента</w:t>
            </w:r>
          </w:p>
        </w:tc>
      </w:tr>
      <w:tr w:rsidR="00000000">
        <w:tblPrEx>
          <w:tblCellMar>
            <w:top w:w="0" w:type="dxa"/>
            <w:left w:w="0" w:type="dxa"/>
            <w:bottom w:w="0" w:type="dxa"/>
            <w:right w:w="0" w:type="dxa"/>
          </w:tblCellMar>
        </w:tblPrEx>
        <w:tc>
          <w:tcPr>
            <w:tcW w:w="2340" w:type="dxa"/>
            <w:tcBorders>
              <w:top w:val="nil"/>
              <w:left w:val="nil"/>
              <w:bottom w:val="nil"/>
              <w:right w:val="nil"/>
            </w:tcBorders>
            <w:vAlign w:val="bottom"/>
          </w:tcPr>
          <w:p w:rsidR="00000000" w:rsidRDefault="00000000">
            <w:pPr>
              <w:spacing w:before="40" w:after="40" w:line="210" w:lineRule="exact"/>
              <w:rPr>
                <w:sz w:val="17"/>
              </w:rPr>
            </w:pPr>
            <w:r>
              <w:rPr>
                <w:sz w:val="17"/>
              </w:rPr>
              <w:t>11 процента</w:t>
            </w:r>
          </w:p>
        </w:tc>
        <w:tc>
          <w:tcPr>
            <w:tcW w:w="2347" w:type="dxa"/>
            <w:tcBorders>
              <w:top w:val="nil"/>
              <w:left w:val="nil"/>
              <w:bottom w:val="nil"/>
              <w:right w:val="nil"/>
            </w:tcBorders>
          </w:tcPr>
          <w:p w:rsidR="00000000" w:rsidRDefault="00000000">
            <w:pPr>
              <w:spacing w:before="40" w:after="40" w:line="210" w:lineRule="exact"/>
              <w:jc w:val="right"/>
              <w:rPr>
                <w:sz w:val="17"/>
              </w:rPr>
            </w:pPr>
            <w:r>
              <w:rPr>
                <w:sz w:val="17"/>
              </w:rPr>
              <w:t>Автотранспорт</w:t>
            </w:r>
          </w:p>
        </w:tc>
        <w:tc>
          <w:tcPr>
            <w:tcW w:w="2340" w:type="dxa"/>
            <w:tcBorders>
              <w:top w:val="nil"/>
              <w:left w:val="nil"/>
              <w:bottom w:val="nil"/>
              <w:right w:val="nil"/>
            </w:tcBorders>
            <w:vAlign w:val="bottom"/>
          </w:tcPr>
          <w:p w:rsidR="00000000" w:rsidRDefault="00000000">
            <w:pPr>
              <w:spacing w:before="40" w:after="40" w:line="210" w:lineRule="exact"/>
              <w:jc w:val="right"/>
              <w:rPr>
                <w:sz w:val="17"/>
              </w:rPr>
            </w:pPr>
            <w:r>
              <w:rPr>
                <w:sz w:val="17"/>
              </w:rPr>
              <w:t>89 процентов</w:t>
            </w:r>
          </w:p>
        </w:tc>
      </w:tr>
      <w:tr w:rsidR="00000000">
        <w:tblPrEx>
          <w:tblCellMar>
            <w:top w:w="0" w:type="dxa"/>
            <w:left w:w="0" w:type="dxa"/>
            <w:bottom w:w="0" w:type="dxa"/>
            <w:right w:w="0" w:type="dxa"/>
          </w:tblCellMar>
        </w:tblPrEx>
        <w:tc>
          <w:tcPr>
            <w:tcW w:w="2340" w:type="dxa"/>
            <w:tcBorders>
              <w:top w:val="nil"/>
              <w:left w:val="nil"/>
              <w:bottom w:val="single" w:sz="12" w:space="0" w:color="auto"/>
              <w:right w:val="nil"/>
            </w:tcBorders>
            <w:vAlign w:val="bottom"/>
          </w:tcPr>
          <w:p w:rsidR="00000000" w:rsidRDefault="00000000">
            <w:pPr>
              <w:spacing w:before="40" w:after="40" w:line="210" w:lineRule="exact"/>
              <w:rPr>
                <w:sz w:val="17"/>
              </w:rPr>
            </w:pPr>
            <w:r>
              <w:rPr>
                <w:sz w:val="17"/>
              </w:rPr>
              <w:t>64 процента</w:t>
            </w:r>
          </w:p>
        </w:tc>
        <w:tc>
          <w:tcPr>
            <w:tcW w:w="2347"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Прочие владельцы</w:t>
            </w:r>
          </w:p>
        </w:tc>
        <w:tc>
          <w:tcPr>
            <w:tcW w:w="2340"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46 процентов</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198.</w:t>
      </w:r>
      <w:r>
        <w:tab/>
        <w:t>Положение дел в области частного сектора можно рассматривать с двух точек зрения. Так, доля женщин в частном секторе, составляющая 45 процентов (владельцы и работники по найму), и показатель владельцев структур частного бизнеса в 37 процентов свидетельствуют, что женщины а</w:t>
      </w:r>
      <w:r>
        <w:t>к</w:t>
      </w:r>
      <w:r>
        <w:t>тивно включаются в рискованную сферу частного предпринимательства. Это утверждение подтверждается данными и анализом положения дел в социал</w:t>
      </w:r>
      <w:r>
        <w:t>ь</w:t>
      </w:r>
      <w:r>
        <w:t>ном и государственном секторах, в которых женщины редко занимают руков</w:t>
      </w:r>
      <w:r>
        <w:t>о</w:t>
      </w:r>
      <w:r>
        <w:t>дящие посты и в которых они выполняют менее ответственную и востребова</w:t>
      </w:r>
      <w:r>
        <w:t>н</w:t>
      </w:r>
      <w:r>
        <w:t>ную работу. Представляется, что в настоящее время женщины принимают о</w:t>
      </w:r>
      <w:r>
        <w:t>т</w:t>
      </w:r>
      <w:r>
        <w:t>ветственные решения в отношении выбора своего места работы, что зачастую означает взятие ими на себя ответственности за обеспечение всей семьи (п</w:t>
      </w:r>
      <w:r>
        <w:t>о</w:t>
      </w:r>
      <w:r>
        <w:t>полнение семейного бюджета или даже содержание всей семьи). Женщины а</w:t>
      </w:r>
      <w:r>
        <w:t>к</w:t>
      </w:r>
      <w:r>
        <w:t>тивно включаются в совершенно новые формы предпринимательской деятел</w:t>
      </w:r>
      <w:r>
        <w:t>ь</w:t>
      </w:r>
      <w:r>
        <w:t>ности, где есть свои выгоды и недостатки.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Гендерная структура владельцев магазинов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lang w:val="en-US"/>
        </w:rPr>
      </w:pPr>
      <w:r>
        <w:object w:dxaOrig="5325" w:dyaOrig="2970">
          <v:shape id="_x0000_i1028" type="#_x0000_t75" style="width:266.25pt;height:148.5pt" o:ole="" fillcolor="window">
            <v:imagedata r:id="rId20" o:title=""/>
          </v:shape>
          <o:OLEObject Type="Embed" ProgID="Excel.Chart.8" ShapeID="_x0000_i1028" DrawAspect="Content" ObjectID="_1418863776" r:id="rId21">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lang w:val="en-US"/>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199.</w:t>
      </w:r>
      <w:r>
        <w:tab/>
        <w:t>С другой стороны, наличие значительного числа женщин-трудящихся в частном секторе можно объяснить другой причиной. Так, женщины чаще ищут работу, у них нет широких возможностей для выбора места работы, они готовы работать за небольшое денежное вознаграждение, причем зачастую подверг</w:t>
      </w:r>
      <w:r>
        <w:t>а</w:t>
      </w:r>
      <w:r>
        <w:t>ются физическому и сексуальному насилию со стороны своих работодателей. Для подтверждения этих утверждений необходимо четко определить домин</w:t>
      </w:r>
      <w:r>
        <w:t>и</w:t>
      </w:r>
      <w:r>
        <w:t>рующий элемент, что требует проведения анализа и построения ряда других показателей.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200.</w:t>
      </w:r>
      <w:r>
        <w:tab/>
        <w:t>Данные некоторых исследований (данные о предпринимательской де</w:t>
      </w:r>
      <w:r>
        <w:t>я</w:t>
      </w:r>
      <w:r>
        <w:t>тельности, данные Всемирного банка) показывают, что предоставление орг</w:t>
      </w:r>
      <w:r>
        <w:t>а</w:t>
      </w:r>
      <w:r>
        <w:t>низованной помощи не налажено, т.е. что не существует каких-либо конкре</w:t>
      </w:r>
      <w:r>
        <w:t>т</w:t>
      </w:r>
      <w:r>
        <w:t>ных программ для женщин, с помощью которых Босния и Герцеговина могла бы развернуть и развивать частное предпринимательство. Женщины, которые готовы заниматься частной предпринимательской деятельностью, должны прежде всего избрать для себя независимую стратегию поиска стартового к</w:t>
      </w:r>
      <w:r>
        <w:t>а</w:t>
      </w:r>
      <w:r>
        <w:t>питала. Чаще всего это личные сбережения, денежные средства, занятые у др</w:t>
      </w:r>
      <w:r>
        <w:t>у</w:t>
      </w:r>
      <w:r>
        <w:t>зей, родственников или ростовщиков, а также помощь зарубежных или наци</w:t>
      </w:r>
      <w:r>
        <w:t>о</w:t>
      </w:r>
      <w:r>
        <w:t>нальных неправительственных организаций. Осуществляются также програ</w:t>
      </w:r>
      <w:r>
        <w:t>м</w:t>
      </w:r>
      <w:r>
        <w:t>мы микрокредитования по приемлемой кредитной ставке. Чаще всего такие кредиты предоставляются для уже развернутой предпринимательской деятел</w:t>
      </w:r>
      <w:r>
        <w:t>ь</w:t>
      </w:r>
      <w:r>
        <w:t xml:space="preserve">ности под твердые гарантии их возмещения.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201.</w:t>
      </w:r>
      <w:r>
        <w:tab/>
        <w:t>Ряд неправительственных организаций, которые функционируют искл</w:t>
      </w:r>
      <w:r>
        <w:t>ю</w:t>
      </w:r>
      <w:r>
        <w:t>чительно в интересах женщин, предоставляют денежную помощь и дают ко</w:t>
      </w:r>
      <w:r>
        <w:t>н</w:t>
      </w:r>
      <w:r>
        <w:t>сультации. Следует отметить, что некоторые такие организации осуществляют мероприятия по созданию так называемых объединенных групп женщин, кот</w:t>
      </w:r>
      <w:r>
        <w:t>о</w:t>
      </w:r>
      <w:r>
        <w:t>рые ручаются друг за друга, объединяются друг с другом, организуют совмес</w:t>
      </w:r>
      <w:r>
        <w:t>т</w:t>
      </w:r>
      <w:r>
        <w:t>ную предпринимательскую деятельность или просто оказывают поддержку друг другу. Речь идет о мелкомасштабной предпринимательской деятельности или деятельности, которая не имеет регистрации. Так, неправительственная организация под названием "Женщины для женщин" осуществляет свою де</w:t>
      </w:r>
      <w:r>
        <w:t>я</w:t>
      </w:r>
      <w:r>
        <w:t>тельность в интересах женщин в сельской местности провинции Сараево и оказывает им помощь в развертывании предпринимательской деятельности вне рамок сельскохозяйственного труда или в развертывании кустарного произво</w:t>
      </w:r>
      <w:r>
        <w:t>д</w:t>
      </w:r>
      <w:r>
        <w:t>ства. Эта организация функционирует в Федерации Боснии и Герцеговины. Неправительственная организация под названием "Оттер", Баня Лука, предо</w:t>
      </w:r>
      <w:r>
        <w:t>с</w:t>
      </w:r>
      <w:r>
        <w:t>тавляет микрокредиты женщинам, которые уже развернули свою предприним</w:t>
      </w:r>
      <w:r>
        <w:t>а</w:t>
      </w:r>
      <w:r>
        <w:t>тельскую деятельность, на которая может быть как зарегистрированной, так и незарегистрированной.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202.</w:t>
      </w:r>
      <w:r>
        <w:tab/>
        <w:t>По данным неправительственной организации "Оттер", кредиты были предоставлены 560 женщинам, причем в 95 процентах случаев на предприн</w:t>
      </w:r>
      <w:r>
        <w:t>и</w:t>
      </w:r>
      <w:r>
        <w:t>мательскую деятельность в области торговли. Женщины, получающие такой кредит, большей частью имеют низкий уровень образования. К сожалению, о</w:t>
      </w:r>
      <w:r>
        <w:t>т</w:t>
      </w:r>
      <w:r>
        <w:t>сутствуют более подробные данные, какие женщины используют такой кредит для развертывания частной предпринимательской деятельности. Данные о том, что пользователи кредитов, как правило, имеют низкий уровень образования, не является ключевым фактором для развертывания частного предприним</w:t>
      </w:r>
      <w:r>
        <w:t>а</w:t>
      </w:r>
      <w:r>
        <w:t>тельства, однако показывают, что для развертывания такой деятельности до</w:t>
      </w:r>
      <w:r>
        <w:t>л</w:t>
      </w:r>
      <w:r>
        <w:t>жен быть найден источник финансирования. Кроме того, эти данные разруш</w:t>
      </w:r>
      <w:r>
        <w:t>а</w:t>
      </w:r>
      <w:r>
        <w:t>ют стереотипы о том, что не имеющие образование женщины не могут прин</w:t>
      </w:r>
      <w:r>
        <w:t>и</w:t>
      </w:r>
      <w:r>
        <w:t>мать самостоятельные решения по сравнению с более образованными женщ</w:t>
      </w:r>
      <w:r>
        <w:t>и</w:t>
      </w:r>
      <w:r>
        <w:t>нами, а также свидетельствуют, что мотивация является ключевым фактором для развертывания частной предпринимательской деятельности. По данным программы финансирования предпринимательской деятельности ЮСАИД, в 1998 году кредит был предоставлен 4918 лицам, из которых 71 процент - му</w:t>
      </w:r>
      <w:r>
        <w:t>ж</w:t>
      </w:r>
      <w:r>
        <w:t>чины, а 29 процентов - женщины. Практически в половине случаев содействие для предоставления такого кредита женщинам оказывала организация по ми</w:t>
      </w:r>
      <w:r>
        <w:t>к</w:t>
      </w:r>
      <w:r>
        <w:t xml:space="preserve">рокредитованию "Микрофин", Баня Лука. Накоплен чрезвычайно полезный опыт. Женщины проявляют бóльшую ответственность и сознательность и, как правило, во всех случаях вовремя возвращают кредит.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Право на получение пенсии и страхование на случай инвалидности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203.</w:t>
      </w:r>
      <w:r>
        <w:tab/>
        <w:t>Право на получение пенсии и страхование на случай инвалидности явл</w:t>
      </w:r>
      <w:r>
        <w:t>я</w:t>
      </w:r>
      <w:r>
        <w:t>ется одним из основных прав в ряду социальных прав и прав на социальную защиту граждан. Эти права в области труда предусматривают предоставление в обязательном порядке пенсионного обеспечения и страхование на случай инв</w:t>
      </w:r>
      <w:r>
        <w:t>а</w:t>
      </w:r>
      <w:r>
        <w:t>лидности, а также добровольное страхование граждан в соответствии с зак</w:t>
      </w:r>
      <w:r>
        <w:t>о</w:t>
      </w:r>
      <w:r>
        <w:t>ном. Такое право предусматривает получение пенсии по возрасту, получение пенсии в связи с инвалидностью, в связи с уменьшением или потерей труд</w:t>
      </w:r>
      <w:r>
        <w:t>о</w:t>
      </w:r>
      <w:r>
        <w:t>способности, а также в случае смерти застрахованного лица для получения с</w:t>
      </w:r>
      <w:r>
        <w:t>о</w:t>
      </w:r>
      <w:r>
        <w:t>циальных выплат застрахованными сторонами и членами семьи. Объем этого права зависит, как правило, от стажа работы и размера заработной платы, кот</w:t>
      </w:r>
      <w:r>
        <w:t>о</w:t>
      </w:r>
      <w:r>
        <w:t>рую застрахованная сторона получила за период своей трудовой деятельности, т.е., в принципе, от размера вклада в фонд пенсионного страхования и страх</w:t>
      </w:r>
      <w:r>
        <w:t>о</w:t>
      </w:r>
      <w:r>
        <w:t>вания на случай инвали</w:t>
      </w:r>
      <w:r>
        <w:t>д</w:t>
      </w:r>
      <w:r>
        <w:t>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204.</w:t>
      </w:r>
      <w:r>
        <w:tab/>
        <w:t>Установленный законом возраст выхода на пенсию для мужчин и женщин одинаков и составляет 65 лет или 40 лет стажа, тогда как возраст добровольн</w:t>
      </w:r>
      <w:r>
        <w:t>о</w:t>
      </w:r>
      <w:r>
        <w:t>го выхода на пенсию для мужчин устанавливается в 65 лет со стажем работы в 20 лет, а для женщин - 60 лет со стажем работы не менее 20 лет. Если мужчины и женщины не имеют стажа 20 лет для выхода на пенсию, они могут получить такое право выхода на пенсию, имея стаж работы по крайней мере в 25 лет. Эти нормы имеют свою силу для территории Федерации Боснии и Герцегов</w:t>
      </w:r>
      <w:r>
        <w:t>и</w:t>
      </w:r>
      <w:r>
        <w:t>ны. В Республике Сербской возраст выхода на пенсию устанавливается в 55 лет для мужчин и в 50 лет - для женщин. Что касается пенсии состоящих в браке супругов, то и мужчины и женщины имеют право на получение пенсии супруга после его смерти, если их статус отвечает условиям, определенным з</w:t>
      </w:r>
      <w:r>
        <w:t>а</w:t>
      </w:r>
      <w:r>
        <w:t>конод</w:t>
      </w:r>
      <w:r>
        <w:t>а</w:t>
      </w:r>
      <w:r>
        <w:t>тельством.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205.</w:t>
      </w:r>
      <w:r>
        <w:tab/>
        <w:t>В соответствии с нормами законодательства, средства пенсионного обе</w:t>
      </w:r>
      <w:r>
        <w:t>с</w:t>
      </w:r>
      <w:r>
        <w:t>печения и выплаты по инвалидности обеспечиваются застрахованными стор</w:t>
      </w:r>
      <w:r>
        <w:t>о</w:t>
      </w:r>
      <w:r>
        <w:t>нами, работодателями и государством. Право на пенсионное обеспечение и право на выплаты по инвалидности являются неотъемлемыми материальными правами и не могут быть переданы другим сторонам, равно как и не могут быть переданы по наследству. По наследству может быть передана часть неи</w:t>
      </w:r>
      <w:r>
        <w:t>с</w:t>
      </w:r>
      <w:r>
        <w:t>пользованных средств пенсионного обеспечения в случае смерти застрахова</w:t>
      </w:r>
      <w:r>
        <w:t>н</w:t>
      </w:r>
      <w:r>
        <w:t>ного лица. Для реализации права на пенсионное обеспечение и страхование на случай инвалидности, а также для удовлетворения определенных нужд и п</w:t>
      </w:r>
      <w:r>
        <w:t>о</w:t>
      </w:r>
      <w:r>
        <w:t>требностей в области этого страхования, были учреждены два фонда - пенс</w:t>
      </w:r>
      <w:r>
        <w:t>и</w:t>
      </w:r>
      <w:r>
        <w:t>онный фонд и фонд инвалидности.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206.</w:t>
      </w:r>
      <w:r>
        <w:tab/>
        <w:t>Право на пенсионное обеспечение по инвалидности предоставляется з</w:t>
      </w:r>
      <w:r>
        <w:t>а</w:t>
      </w:r>
      <w:r>
        <w:t xml:space="preserve">страхованным в обязательном или добровольном порядке лицам в следующих случаях: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а)</w:t>
      </w:r>
      <w:r>
        <w:tab/>
        <w:t>в случае потери трудоспособности, в случае утраты трудоспособн</w:t>
      </w:r>
      <w:r>
        <w:t>о</w:t>
      </w:r>
      <w:r>
        <w:t xml:space="preserve">сти при выполнении определенных видов работ или утраты трудоспособности для занятия доходной деятельностью;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в случае лиц, которые прошли предварительное квалификационное медицинское освидетельствование или дальнейшее квалификационное освид</w:t>
      </w:r>
      <w:r>
        <w:t>е</w:t>
      </w:r>
      <w:r>
        <w:t>тельствование с целью повышения в должности, но которые не получили соо</w:t>
      </w:r>
      <w:r>
        <w:t>т</w:t>
      </w:r>
      <w:r>
        <w:t>ветствующего права после предварительного квалификационного освидетел</w:t>
      </w:r>
      <w:r>
        <w:t>ь</w:t>
      </w:r>
      <w:r>
        <w:t>ствования в силу достижения определенного возраста на момент установления и</w:t>
      </w:r>
      <w:r>
        <w:t>н</w:t>
      </w:r>
      <w:r>
        <w:t>валидности.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207.</w:t>
      </w:r>
      <w:r>
        <w:tab/>
        <w:t>Лицо, получившее инвалидность на рабочем месте, которое имеет право на предварительное или последующее квалификационное освидетельствование для повышения в должности, не может, на основании инвалидности, устано</w:t>
      </w:r>
      <w:r>
        <w:t>в</w:t>
      </w:r>
      <w:r>
        <w:t>ленной в таком порядке, приобрести право на получение пенсии по инвалидн</w:t>
      </w:r>
      <w:r>
        <w:t>о</w:t>
      </w:r>
      <w:r>
        <w:t>сти по достижении возраста, на уровне которого такое предварительное квал</w:t>
      </w:r>
      <w:r>
        <w:t>и</w:t>
      </w:r>
      <w:r>
        <w:t>фикационное освидетельствование или последующее квалификационное осв</w:t>
      </w:r>
      <w:r>
        <w:t>и</w:t>
      </w:r>
      <w:r>
        <w:t>детельствование на предмет повышения в должности не предусмотрены. Лицо, которое получило инвалидность на рабочем месте и которое получило профе</w:t>
      </w:r>
      <w:r>
        <w:t>с</w:t>
      </w:r>
      <w:r>
        <w:t>сиональную подготовку для работы на другом месте в процессе предварител</w:t>
      </w:r>
      <w:r>
        <w:t>ь</w:t>
      </w:r>
      <w:r>
        <w:t>ного или последующего квалификационного освидетельствования на предмет повышения в должности и которое, после достижения возраста 50 лет (мужч</w:t>
      </w:r>
      <w:r>
        <w:t>и</w:t>
      </w:r>
      <w:r>
        <w:t>ны) и 45 лет (женщины) в силу изменения его или ее группы инвалидности у</w:t>
      </w:r>
      <w:r>
        <w:t>т</w:t>
      </w:r>
      <w:r>
        <w:t>ратило трудоспособность для работы на уровне своей квалификации, получает право на пенсионное обеспечение, если они не могут работать на другом раб</w:t>
      </w:r>
      <w:r>
        <w:t>о</w:t>
      </w:r>
      <w:r>
        <w:t>чем месте без прохождения другого предварительного или последующего кв</w:t>
      </w:r>
      <w:r>
        <w:t>а</w:t>
      </w:r>
      <w:r>
        <w:t>лификационного освидетельствования на предмет повышения в дол</w:t>
      </w:r>
      <w:r>
        <w:t>ж</w:t>
      </w:r>
      <w:r>
        <w:t>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208.</w:t>
      </w:r>
      <w:r>
        <w:tab/>
        <w:t>Лица, которые застрахованы в рамках добровольной схемы страхования и работают в сельскохозяйственном секторе, имеют право на пенсии по инвали</w:t>
      </w:r>
      <w:r>
        <w:t>д</w:t>
      </w:r>
      <w:r>
        <w:t>ности, если они получили инвалидность на рабочем месте вследствие прои</w:t>
      </w:r>
      <w:r>
        <w:t>з</w:t>
      </w:r>
      <w:r>
        <w:t>водственной травмы или страдают профессиональном заболеванием, незав</w:t>
      </w:r>
      <w:r>
        <w:t>и</w:t>
      </w:r>
      <w:r>
        <w:t>симо от стажа их работы. Все лица, имеющие пенсионное страхование или страхование по инвалидности, имеют право на пенсии по инвалидности, если инвалидность вызвана травмой не на рабочем месте или заболеванием при том условии, что их предпенсионный стаж работы составляет по крайней мере о</w:t>
      </w:r>
      <w:r>
        <w:t>д</w:t>
      </w:r>
      <w:r>
        <w:t>ну треть продолжительности всего периода работы. Лица, получившие инв</w:t>
      </w:r>
      <w:r>
        <w:t>а</w:t>
      </w:r>
      <w:r>
        <w:t>лидность до 30 лет вследствие болезни или не на рабочем месте, имеют право на пенсию по инвалидности при том условии, что они вносили пенсионные выплаты в течение по крайней мере одой трети срока своей трудовой деятел</w:t>
      </w:r>
      <w:r>
        <w:t>ь</w:t>
      </w:r>
      <w:r>
        <w:t>ности. В случае инвалидности по болезни или получения травмы не на раб</w:t>
      </w:r>
      <w:r>
        <w:t>о</w:t>
      </w:r>
      <w:r>
        <w:t>чем месте пенсия по инвалидности определяется в адекватном пенсионному принципу размере в зависимости от продолжительности пенсионных взносов, пола и календарного года, в котором предоставляется право на получение пе</w:t>
      </w:r>
      <w:r>
        <w:t>н</w:t>
      </w:r>
      <w:r>
        <w:t>сии. В случае инвалидности вследствие травмы на рабочем месте или вследс</w:t>
      </w:r>
      <w:r>
        <w:t>т</w:t>
      </w:r>
      <w:r>
        <w:t>вие профессионального заболевания размер пенсии по инвалидности устана</w:t>
      </w:r>
      <w:r>
        <w:t>в</w:t>
      </w:r>
      <w:r>
        <w:t>ливается как доля установленной законом пенсии независимо от продолж</w:t>
      </w:r>
      <w:r>
        <w:t>и</w:t>
      </w:r>
      <w:r>
        <w:t>тельности выплаты пенсионных отчислений, и такая пенсия больше по разм</w:t>
      </w:r>
      <w:r>
        <w:t>е</w:t>
      </w:r>
      <w:r>
        <w:t>рам, нежели пенсия по инвалидности, предоставляемая в случае инвалидности в связи с профессиональным заболеванием или травмой, полученных не на р</w:t>
      </w:r>
      <w:r>
        <w:t>а</w:t>
      </w:r>
      <w:r>
        <w:t>бочем месте. В обоих случаях размер пенсии по инвалидности больше для женщин, которые, при равных условиях с мужчинами, получают право на т</w:t>
      </w:r>
      <w:r>
        <w:t>а</w:t>
      </w:r>
      <w:r>
        <w:t>кую пе</w:t>
      </w:r>
      <w:r>
        <w:t>н</w:t>
      </w:r>
      <w:r>
        <w:t xml:space="preserve">сию.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Охрана материнства и детства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80" w:line="240" w:lineRule="auto"/>
      </w:pPr>
      <w:r>
        <w:t>209.</w:t>
      </w:r>
      <w:r>
        <w:tab/>
        <w:t>На период беременности, родов и ухода за младенцем женщине предо</w:t>
      </w:r>
      <w:r>
        <w:t>с</w:t>
      </w:r>
      <w:r>
        <w:t>тавляется право на отпуск по беременности и родам сроком в один календа</w:t>
      </w:r>
      <w:r>
        <w:t>р</w:t>
      </w:r>
      <w:r>
        <w:t>ный год. В период отпуска по беременности и родам работодатели выплачив</w:t>
      </w:r>
      <w:r>
        <w:t>а</w:t>
      </w:r>
      <w:r>
        <w:t>ют женщинам заработок в полном размере. В Республике Сербской размер т</w:t>
      </w:r>
      <w:r>
        <w:t>а</w:t>
      </w:r>
      <w:r>
        <w:t>кой заработной платы определяется средним показателем заработной платы за последние три месяца, а в Федерации Боснии и Герцеговине размер этой зар</w:t>
      </w:r>
      <w:r>
        <w:t>а</w:t>
      </w:r>
      <w:r>
        <w:t>ботной платы определяется законодательством кантона, и поэтому в этих двух случаях размеры заработной платы различны. Только в четырех кантонах де</w:t>
      </w:r>
      <w:r>
        <w:t>й</w:t>
      </w:r>
      <w:r>
        <w:t>ствуют законоположения для женщин, кормящих детей грудью, и поэтому не все женщины имеют льготы, связанные с кормлением детей грудью.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80" w:line="240" w:lineRule="auto"/>
      </w:pPr>
      <w:r>
        <w:t>210.</w:t>
      </w:r>
      <w:r>
        <w:tab/>
        <w:t>Согласно Закону о труде, в случае смерти матери право на отпуск по ух</w:t>
      </w:r>
      <w:r>
        <w:t>о</w:t>
      </w:r>
      <w:r>
        <w:t>ду за младенцем имеет его отец. Кроме того, отец имеет такое право в случае, если мать отказывается от ребенка или если она не может реализовать это пр</w:t>
      </w:r>
      <w:r>
        <w:t>а</w:t>
      </w:r>
      <w:r>
        <w:t>во вследствие обоснованных причин. Закон не предусматривает возможности разделения этого отпуска между двумя родителями.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80" w:line="240" w:lineRule="auto"/>
      </w:pPr>
      <w:r>
        <w:t>211.</w:t>
      </w:r>
      <w:r>
        <w:tab/>
        <w:t>Отпуск по беременности и родам не затрагивает процесс трудоустройства, поскольку тест на беременность во время найма на работу запрещен законом, т.е. закон запрещает увольнять женщин вследствие беременности, поскольку такое увольнение квалифицируется серьезным правонарушением.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80" w:line="240" w:lineRule="auto"/>
      </w:pPr>
      <w:r>
        <w:t>212.</w:t>
      </w:r>
      <w:r>
        <w:tab/>
        <w:t>Продолжительность отпуска по беременности и родам в Федерации Бо</w:t>
      </w:r>
      <w:r>
        <w:t>с</w:t>
      </w:r>
      <w:r>
        <w:t>нии и Герцеговины и Республике Сербской составляет 12 месяцев и 18 месяцев в случае рождения близнецов, тройни и т.д. В Республике Сербской функци</w:t>
      </w:r>
      <w:r>
        <w:t>о</w:t>
      </w:r>
      <w:r>
        <w:t>нирует система оплачиваемых отпусков по беременности и родам за счет средств Фонда защиты ребенка. Предоставление неоплачиваемого отпуска по беременности и родам квалифицируется серьезным правонарушением и нак</w:t>
      </w:r>
      <w:r>
        <w:t>а</w:t>
      </w:r>
      <w:r>
        <w:t>зывается в виде денежного штрафа. Согласно предлагаемым поправкам к Зак</w:t>
      </w:r>
      <w:r>
        <w:t>о</w:t>
      </w:r>
      <w:r>
        <w:t>ну о труде, который в настоящее время находится в стадии разработки, с согл</w:t>
      </w:r>
      <w:r>
        <w:t>а</w:t>
      </w:r>
      <w:r>
        <w:t>сия матери отпуск по уходу за младенцем может быть предоставлен отцу ср</w:t>
      </w:r>
      <w:r>
        <w:t>о</w:t>
      </w:r>
      <w:r>
        <w:t>ком в 60 дней. Согласно Закону о труде, гибкий график работы для мужчин и женщин в период ухода за ребенком может быть установлен только по предп</w:t>
      </w:r>
      <w:r>
        <w:t>и</w:t>
      </w:r>
      <w:r>
        <w:t>санию врача.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213.</w:t>
      </w:r>
      <w:r>
        <w:tab/>
        <w:t>По истечении отпуска по беременности женщина или отец ребенка имеет право работать неполный день до достижения ребенком одного года, в случае рождения близнецов, тройни и более детей женщина имеет право работать н</w:t>
      </w:r>
      <w:r>
        <w:t>е</w:t>
      </w:r>
      <w:r>
        <w:t>полный рабочий день до достижения детьми возраста двух лет, и продолж</w:t>
      </w:r>
      <w:r>
        <w:t>и</w:t>
      </w:r>
      <w:r>
        <w:t>тельность этого отпуска может быть увеличена по постановлению кантона. Кроме того, по достижению ребенком одного года один из родителей имеет право работать неполный рабочий день до достижения ребенком возраста три года, если ребенок, согласно результатам освидетельствования в медицинском учреждении, нуждается в более интенсивном уходе. По окончании отпуска по беременности и родам женщина имеет право отсутствовать на рабочем месте в течение одного часа для кормления младенца грудью на основе предписания врача. Это право предоставляется матери до достижения ребенком одного года. Перерывы в работе для кормления ребенка грудью засчитываются в рабочее время. Однако поправки к Закону о труде не предусматривают зачета таких п</w:t>
      </w:r>
      <w:r>
        <w:t>е</w:t>
      </w:r>
      <w:r>
        <w:t>рерывов в рабочее время и оплату таких перерывов, и поэтому такие перерывы можно считать н</w:t>
      </w:r>
      <w:r>
        <w:t>е</w:t>
      </w:r>
      <w:r>
        <w:t xml:space="preserve">оплачиваемым отпуском.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Вредные виды работ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214.</w:t>
      </w:r>
      <w:r>
        <w:tab/>
        <w:t xml:space="preserve">Женщинам запрещается работать в шахтах, если только они не занимают руководящие должности, которые не требуют выполнения физического труда. На шахтах женщины могут выполнять функции медицинских или социальных работников, т.е. ту работу, которая не связана с физическим трудом под землей.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Социальное обеспечение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215.</w:t>
      </w:r>
      <w:r>
        <w:tab/>
        <w:t>Социальное обеспечение в административно-территориальных единицах осуществляется в организованном порядке и имеет своей целью удовлетвор</w:t>
      </w:r>
      <w:r>
        <w:t>е</w:t>
      </w:r>
      <w:r>
        <w:t>ние социальных потребностей во всех сферах социальной жизни и трудовой деятельности, в частности оказание помощи гражданам и членам их семей, к</w:t>
      </w:r>
      <w:r>
        <w:t>о</w:t>
      </w:r>
      <w:r>
        <w:t>гда они нуждаются в такой помощи. Социальная помощь предоставляется гр</w:t>
      </w:r>
      <w:r>
        <w:t>а</w:t>
      </w:r>
      <w:r>
        <w:t>жданам или семьям, которые нуждаются в такой помощи для преодоления с</w:t>
      </w:r>
      <w:r>
        <w:t>о</w:t>
      </w:r>
      <w:r>
        <w:t>циальных трудностей и удовлетворения жизненных потребностей. Граждане имеют право на следующую помощь по линии социального обеспечения: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a</w:t>
      </w:r>
      <w:r>
        <w:t>)</w:t>
      </w:r>
      <w:r>
        <w:tab/>
        <w:t>материальная поддержка;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помощь для осуществления ухода за другим лицом;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помощь на цели профессиональной подготовки молодежи;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d</w:t>
      </w:r>
      <w:r>
        <w:t>)</w:t>
      </w:r>
      <w:r>
        <w:tab/>
        <w:t>помощь в случае помещения в учреждение социального попечения или вхождения в другую семью;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e</w:t>
      </w:r>
      <w:r>
        <w:t>)</w:t>
      </w:r>
      <w:r>
        <w:tab/>
        <w:t>помощь по линии услуг социального вспомоществования.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216.</w:t>
      </w:r>
      <w:r>
        <w:tab/>
        <w:t>Права на материальную поддержку, помощь в случае ухода за другим л</w:t>
      </w:r>
      <w:r>
        <w:t>и</w:t>
      </w:r>
      <w:r>
        <w:t>цом, помещения в учреждения социального попечения или вхождения в др</w:t>
      </w:r>
      <w:r>
        <w:t>у</w:t>
      </w:r>
      <w:r>
        <w:t>гую семью, а также право на социальную помощь относятся к категории прав, предоставляемых всем гражданам, и ответственность за реализацию таких прав несут местные общины (м</w:t>
      </w:r>
      <w:r>
        <w:t>у</w:t>
      </w:r>
      <w:r>
        <w:t>ниципалитеты и города). Административно-территориальные единицы и кантоны выделяют средства на профессионал</w:t>
      </w:r>
      <w:r>
        <w:t>ь</w:t>
      </w:r>
      <w:r>
        <w:t>ную подготовку лиц из числа молодежи, которые имеют физические или пс</w:t>
      </w:r>
      <w:r>
        <w:t>и</w:t>
      </w:r>
      <w:r>
        <w:t>хические недостатки, а также средства на строительство, восстановление и о</w:t>
      </w:r>
      <w:r>
        <w:t>с</w:t>
      </w:r>
      <w:r>
        <w:t>нащение учреждений социального вспом</w:t>
      </w:r>
      <w:r>
        <w:t>о</w:t>
      </w:r>
      <w:r>
        <w:t>ществования.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217.</w:t>
      </w:r>
      <w:r>
        <w:tab/>
        <w:t>Закон предусматривает защиту детей и гарантирует предоставление сл</w:t>
      </w:r>
      <w:r>
        <w:t>е</w:t>
      </w:r>
      <w:r>
        <w:t xml:space="preserve">дующих основных прав: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a</w:t>
      </w:r>
      <w:r>
        <w:t>)</w:t>
      </w:r>
      <w:r>
        <w:tab/>
        <w:t>получение заработной платы в период отпуска по беременности и родам, а также предоставление отпуска по уходу за детьми усыновителям д</w:t>
      </w:r>
      <w:r>
        <w:t>е</w:t>
      </w:r>
      <w:r>
        <w:t>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помощь матери;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помощь в приобретении принадлежностей для новорожденного;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d</w:t>
      </w:r>
      <w:r>
        <w:t>)</w:t>
      </w:r>
      <w:r>
        <w:tab/>
        <w:t>помощь детям;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e</w:t>
      </w:r>
      <w:r>
        <w:t>)</w:t>
      </w:r>
      <w:r>
        <w:tab/>
        <w:t>возмещение расходов по содержанию детей в учреждениях по уходу за детьми для третьего и четвертого ребенка;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f</w:t>
      </w:r>
      <w:r>
        <w:t>)</w:t>
      </w:r>
      <w:r>
        <w:tab/>
        <w:t>уход за детьми в дошкольный период и обучение детей, не имеющих родителей, уход за детьми, имеющими физические недостатки, и уход за дет</w:t>
      </w:r>
      <w:r>
        <w:t>ь</w:t>
      </w:r>
      <w:r>
        <w:t>ми, находящимися на длительном медицинском лечении;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g</w:t>
      </w:r>
      <w:r>
        <w:t>)</w:t>
      </w:r>
      <w:r>
        <w:tab/>
        <w:t>осуществление программы дошкольной подготовки перед зачисл</w:t>
      </w:r>
      <w:r>
        <w:t>е</w:t>
      </w:r>
      <w:r>
        <w:t>нием в начальную школу в течение трех часов в день в соответствии с полож</w:t>
      </w:r>
      <w:r>
        <w:t>е</w:t>
      </w:r>
      <w:r>
        <w:t>ниями этой программы;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h</w:t>
      </w:r>
      <w:r>
        <w:t>)</w:t>
      </w:r>
      <w:r>
        <w:tab/>
        <w:t>дошкольная подготовка; профилактика болезней у детей в дошкол</w:t>
      </w:r>
      <w:r>
        <w:t>ь</w:t>
      </w:r>
      <w:r>
        <w:t>ный период, пребывание в школах-интернатах до достижения 10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i</w:t>
      </w:r>
      <w:r>
        <w:t>)</w:t>
      </w:r>
      <w:r>
        <w:tab/>
        <w:t>предоставление отдыха детям в детских домах отдыха до достиж</w:t>
      </w:r>
      <w:r>
        <w:t>е</w:t>
      </w:r>
      <w:r>
        <w:t>ния ими 15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j</w:t>
      </w:r>
      <w:r>
        <w:t>)</w:t>
      </w:r>
      <w:r>
        <w:tab/>
        <w:t>льготная оплата пребывания детей в дошкольных учреждениях, пр</w:t>
      </w:r>
      <w:r>
        <w:t>е</w:t>
      </w:r>
      <w:r>
        <w:t>доставление льготных путевок для отдыха в детских домах отдыха.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218.</w:t>
      </w:r>
      <w:r>
        <w:tab/>
        <w:t>Права, перечисленные в пунктах </w:t>
      </w:r>
      <w:r>
        <w:rPr>
          <w:lang w:val="en-US"/>
        </w:rPr>
        <w:t>a</w:t>
      </w:r>
      <w:r>
        <w:t>)-</w:t>
      </w:r>
      <w:r>
        <w:rPr>
          <w:lang w:val="en-US"/>
        </w:rPr>
        <w:t>g</w:t>
      </w:r>
      <w:r>
        <w:t>), имеют универсальное применение. Муниципалитеты отвечают за реализацию прав, перечисленных в пунктах </w:t>
      </w:r>
      <w:r>
        <w:rPr>
          <w:lang w:val="en-US"/>
        </w:rPr>
        <w:t>h</w:t>
      </w:r>
      <w:r>
        <w:t>)-</w:t>
      </w:r>
      <w:r>
        <w:rPr>
          <w:lang w:val="en-US"/>
        </w:rPr>
        <w:t>j</w:t>
      </w:r>
      <w:r>
        <w:t>), исходя из своих материальных возможностей. Социальная защита является с</w:t>
      </w:r>
      <w:r>
        <w:t>о</w:t>
      </w:r>
      <w:r>
        <w:t>ставляющей частью общей политики Боснии и Герцеговины, и обеспечение с</w:t>
      </w:r>
      <w:r>
        <w:t>о</w:t>
      </w:r>
      <w:r>
        <w:t>циальной защиты представляет собой трудную задачу. Данные об экономич</w:t>
      </w:r>
      <w:r>
        <w:t>е</w:t>
      </w:r>
      <w:r>
        <w:t>ском развитии свидетельствуют, что Босния и Герцеговина испытывает экон</w:t>
      </w:r>
      <w:r>
        <w:t>о</w:t>
      </w:r>
      <w:r>
        <w:t>мические трудности, что проявляется в стагнации и сокращении объемов пр</w:t>
      </w:r>
      <w:r>
        <w:t>о</w:t>
      </w:r>
      <w:r>
        <w:t>изводства и национального дохода и что объясняется переходным процессом и преобразованиями института собственности - процессы, которые только нач</w:t>
      </w:r>
      <w:r>
        <w:t>а</w:t>
      </w:r>
      <w:r>
        <w:t xml:space="preserve">ли приносить свои результаты.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219.</w:t>
      </w:r>
      <w:r>
        <w:tab/>
        <w:t>Размеры среднего заработка не покрывают расходы на жизнеобеспечение, в стране много безработных, постоянно растет численность нуждающихся в социальной помощи, растет численность престарелых, которые не имеют во</w:t>
      </w:r>
      <w:r>
        <w:t>з</w:t>
      </w:r>
      <w:r>
        <w:t>можности получать помощь от членов семьи, растет численность пенсионеров, беженцев и граждан, которые на свой заработок не могут удовлетворить все свои жизненные потребности. Таковы факты, характеризующие общее экон</w:t>
      </w:r>
      <w:r>
        <w:t>о</w:t>
      </w:r>
      <w:r>
        <w:t>мическое и социальное положение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Статья 12.</w:t>
      </w:r>
      <w:r>
        <w:tab/>
        <w:t>Равенство в области здравоохранения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hanging="7"/>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220.</w:t>
      </w:r>
      <w:r>
        <w:tab/>
        <w:t>В послевоенный период Босния и Герцеговина сталкивается с многочи</w:t>
      </w:r>
      <w:r>
        <w:t>с</w:t>
      </w:r>
      <w:r>
        <w:t xml:space="preserve">ленными серьезными трудностями в области здравоохранения. Прежде всего следует назвать такие трудности, как: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a</w:t>
      </w:r>
      <w:r>
        <w:t>)</w:t>
      </w:r>
      <w:r>
        <w:tab/>
        <w:t>отсутствие устойчивой системы финансирования системы здрав</w:t>
      </w:r>
      <w:r>
        <w:t>о</w:t>
      </w:r>
      <w:r>
        <w:t xml:space="preserve">охранения, изменение политики в области здравоохранения;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изменение правовых и иных норм;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 xml:space="preserve">реорганизация системы здравоохранения.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Причины преобразований также многочисленны. Процесс реформиров</w:t>
      </w:r>
      <w:r>
        <w:t>а</w:t>
      </w:r>
      <w:r>
        <w:t>ния и постоянные поиски наиболее рациональной модели организации фун</w:t>
      </w:r>
      <w:r>
        <w:t>к</w:t>
      </w:r>
      <w:r>
        <w:t>ционирования системы здравоохранения являются отличительными особенн</w:t>
      </w:r>
      <w:r>
        <w:t>о</w:t>
      </w:r>
      <w:r>
        <w:t>стями большинства развитых государств. Доказано, что показатели качества здравоохранения не всегда обусловлено увеличением объема инвестиций в систему здравоохранения. Финансирование самых рациональных организац</w:t>
      </w:r>
      <w:r>
        <w:t>и</w:t>
      </w:r>
      <w:r>
        <w:t>онных моделей и методов функционирования системы здравоохранения и ок</w:t>
      </w:r>
      <w:r>
        <w:t>а</w:t>
      </w:r>
      <w:r>
        <w:t>зания услуг в области здравоохранения, а также определение приоритетов представляют собой наиболее сложные задачи для стран, испытывающих н</w:t>
      </w:r>
      <w:r>
        <w:t>е</w:t>
      </w:r>
      <w:r>
        <w:t xml:space="preserve">хватку ресурсов, в частности для таких стран, как Босния и Герцеговина.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221.</w:t>
      </w:r>
      <w:r>
        <w:tab/>
        <w:t>Создание государства Босния и Герцеговина после подписания Дейто</w:t>
      </w:r>
      <w:r>
        <w:t>н</w:t>
      </w:r>
      <w:r>
        <w:t>ских соглашений обусловило также необходимость административной реорг</w:t>
      </w:r>
      <w:r>
        <w:t>а</w:t>
      </w:r>
      <w:r>
        <w:t>низации, в частности децентрализацию системы здравоохранения, прежде вс</w:t>
      </w:r>
      <w:r>
        <w:t>е</w:t>
      </w:r>
      <w:r>
        <w:t>го в Федерации Босния и Герцеговина, а также выдвинуло задачу поиска форм сотрудничества в этой области между административно - территориальными единицами. Здоровье населения и сама система здравоохранения сильно п</w:t>
      </w:r>
      <w:r>
        <w:t>о</w:t>
      </w:r>
      <w:r>
        <w:t>страдали от войны. Свыше 30 процентов медицинских учреждений были ра</w:t>
      </w:r>
      <w:r>
        <w:t>з</w:t>
      </w:r>
      <w:r>
        <w:t>рушены или повреждены, и страну покинули многие высококвалифицирова</w:t>
      </w:r>
      <w:r>
        <w:t>н</w:t>
      </w:r>
      <w:r>
        <w:t>ные работники. Это всего лишь несколько причин, которые обусловили разр</w:t>
      </w:r>
      <w:r>
        <w:t>а</w:t>
      </w:r>
      <w:r>
        <w:t>ботку плана и развертывание стратегической реформы и перестройки системы здравоохранения в Бо</w:t>
      </w:r>
      <w:r>
        <w:t>с</w:t>
      </w:r>
      <w:r>
        <w:t>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Законоположения в области здравоохранения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222.</w:t>
      </w:r>
      <w:r>
        <w:tab/>
        <w:t>Согласно Дейтонским мирным соглашениям и в соответствии с созданной конституционной и правовой системой Боснии и Герцеговины сфера здрав</w:t>
      </w:r>
      <w:r>
        <w:t>о</w:t>
      </w:r>
      <w:r>
        <w:t>охранения находится под юрисдикцией административно-территориальных единиц Федерации Боснии и Герцеговины и Республики Сербской, за исключ</w:t>
      </w:r>
      <w:r>
        <w:t>е</w:t>
      </w:r>
      <w:r>
        <w:t>нием Федерации Боснии и Герцеговины, где эта юрисдикция поделена между Федерацией и кантонами. Право на здравоохранение в соответствии с самыми высокими международными стандартами в области прав человека и свобод г</w:t>
      </w:r>
      <w:r>
        <w:t>а</w:t>
      </w:r>
      <w:r>
        <w:t>рантируется Конституцией Федерации Боснии и Герцеговины и Конституцией Республики Сербской, и все граждане имеют равные права, равны перед зак</w:t>
      </w:r>
      <w:r>
        <w:t>о</w:t>
      </w:r>
      <w:r>
        <w:t xml:space="preserve">ном и несут равные обязанности, а также пользуются равной правовой защитой независимо от пола.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223.</w:t>
      </w:r>
      <w:r>
        <w:tab/>
        <w:t>Законоположения в области защиты системы здравоохранения и закон</w:t>
      </w:r>
      <w:r>
        <w:t>о</w:t>
      </w:r>
      <w:r>
        <w:t>положения, устанавливающие равенство между мужчинами и женщинами, з</w:t>
      </w:r>
      <w:r>
        <w:t>а</w:t>
      </w:r>
      <w:r>
        <w:t>прещают дискриминацию в области здравоохранения по признаку пола, п</w:t>
      </w:r>
      <w:r>
        <w:t>о</w:t>
      </w:r>
      <w:r>
        <w:t>скольку все граждане имеют одинаковые права на охрану своего здоровья и свободу выбора врачей и лечебниц для своего лечения. Охрана здоровья нас</w:t>
      </w:r>
      <w:r>
        <w:t>е</w:t>
      </w:r>
      <w:r>
        <w:t xml:space="preserve">ления в Федерации Боснии и Герцеговины регламентируются такими законами, как: </w:t>
      </w:r>
    </w:p>
    <w:p w:rsidR="00000000" w:rsidRDefault="00000000">
      <w:pPr>
        <w:pStyle w:val="SingleTxt"/>
        <w:numPr>
          <w:ilvl w:val="0"/>
          <w:numId w:val="311"/>
        </w:numPr>
        <w:tabs>
          <w:tab w:val="clear" w:pos="1267"/>
          <w:tab w:val="clear" w:pos="1440"/>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num"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43"/>
      </w:pPr>
      <w:r>
        <w:t>Закон о защите системы здравоохранения ("Официальные ведомости Ф</w:t>
      </w:r>
      <w:r>
        <w:t>е</w:t>
      </w:r>
      <w:r>
        <w:t>дерации Боснии и Герцеговины, № 29/97");</w:t>
      </w:r>
    </w:p>
    <w:p w:rsidR="00000000" w:rsidRDefault="00000000">
      <w:pPr>
        <w:pStyle w:val="SingleTxt"/>
        <w:numPr>
          <w:ilvl w:val="0"/>
          <w:numId w:val="310"/>
        </w:numPr>
        <w:tabs>
          <w:tab w:val="clear" w:pos="1267"/>
          <w:tab w:val="clear" w:pos="1440"/>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num"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43"/>
      </w:pPr>
      <w:r>
        <w:t>Закон о медицинском страховании ("Официальные ведомости Федерации Боснии и Герцеговины № 30/97 и № 7/02");</w:t>
      </w:r>
    </w:p>
    <w:p w:rsidR="00000000" w:rsidRDefault="00000000">
      <w:pPr>
        <w:pStyle w:val="SingleTxt"/>
        <w:numPr>
          <w:ilvl w:val="0"/>
          <w:numId w:val="310"/>
        </w:numPr>
        <w:tabs>
          <w:tab w:val="clear" w:pos="1267"/>
          <w:tab w:val="clear" w:pos="1440"/>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num"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43"/>
      </w:pPr>
      <w:r>
        <w:t>Закон об условиях прерывания беременности ("Официальные ведомости Ре</w:t>
      </w:r>
      <w:r>
        <w:t>с</w:t>
      </w:r>
      <w:r>
        <w:t>публики Сербской и Боснии и Герцеговины, № 29/77");</w:t>
      </w:r>
    </w:p>
    <w:p w:rsidR="00000000" w:rsidRDefault="00000000">
      <w:pPr>
        <w:pStyle w:val="SingleTxt"/>
        <w:numPr>
          <w:ilvl w:val="0"/>
          <w:numId w:val="310"/>
        </w:numPr>
        <w:tabs>
          <w:tab w:val="clear" w:pos="1267"/>
          <w:tab w:val="clear" w:pos="1440"/>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num"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43"/>
      </w:pPr>
      <w:r>
        <w:t>Закон о защите от радиации и о безопасности, связанной с радиацией ("Оф</w:t>
      </w:r>
      <w:r>
        <w:t>и</w:t>
      </w:r>
      <w:r>
        <w:t>циальные ведомости Федерации Боснии и Герцеговины, № 15/99");</w:t>
      </w:r>
    </w:p>
    <w:p w:rsidR="00000000" w:rsidRDefault="00000000">
      <w:pPr>
        <w:pStyle w:val="SingleTxt"/>
        <w:numPr>
          <w:ilvl w:val="0"/>
          <w:numId w:val="310"/>
        </w:numPr>
        <w:tabs>
          <w:tab w:val="clear" w:pos="1267"/>
          <w:tab w:val="clear" w:pos="1440"/>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num"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43"/>
      </w:pPr>
      <w:r>
        <w:t>Закон о защите здоровья лиц с психическими отклонениями (принят в 2002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224.</w:t>
      </w:r>
      <w:r>
        <w:tab/>
        <w:t>Защита системы здравоохранения и медицинское страхование в Респу</w:t>
      </w:r>
      <w:r>
        <w:t>б</w:t>
      </w:r>
      <w:r>
        <w:t>лике Сербской регламентируются двумя основными законами: Законом о защ</w:t>
      </w:r>
      <w:r>
        <w:t>и</w:t>
      </w:r>
      <w:r>
        <w:t>те системы здравоохранения ("Официальные ведомости РС № 18/99 и 58/01") и Законом о медицинском страховании ("Официальные ведомости РС № 18/99 и № 51/01 и № 70/01 "). Кроме того, защита системы здравоохранения регламе</w:t>
      </w:r>
      <w:r>
        <w:t>н</w:t>
      </w:r>
      <w:r>
        <w:t xml:space="preserve">тируется также такими законами, как: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a</w:t>
      </w:r>
      <w:r>
        <w:t>)</w:t>
      </w:r>
      <w:r>
        <w:tab/>
        <w:t>Закон о медицинских услугах;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 xml:space="preserve">Закон о медицинской палате,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Закон о защите от радиации и о безопасности, связанной с радиац</w:t>
      </w:r>
      <w:r>
        <w:t>и</w:t>
      </w:r>
      <w:r>
        <w:t xml:space="preserve">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а также различными решениями, постановлениями и сводами правил и норм.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225.</w:t>
      </w:r>
      <w:r>
        <w:tab/>
        <w:t>Закон о здравоохранении Федерации Боснии и Герцеговины и Республики Сербской определяет принципы, способы организации здравоохранения и ок</w:t>
      </w:r>
      <w:r>
        <w:t>а</w:t>
      </w:r>
      <w:r>
        <w:t>зание медицинских услуг. Все граждане Боснии и Герцеговины имеют право на надлежащую охрану здоровья, которая осуществляется в соответствии с зак</w:t>
      </w:r>
      <w:r>
        <w:t>о</w:t>
      </w:r>
      <w:r>
        <w:t>ном, основанным на принципах широкого охвата, последовательности, гара</w:t>
      </w:r>
      <w:r>
        <w:t>н</w:t>
      </w:r>
      <w:r>
        <w:t>тиях и полноты оказываемых услуг, что позволяет обеспечивать равные усл</w:t>
      </w:r>
      <w:r>
        <w:t>о</w:t>
      </w:r>
      <w:r>
        <w:t xml:space="preserve">вия охраны здоровья всего населения, прежде всего первичное медико-санитарное обслуживание для всех граждан.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Охрана здоровья предполагает охрану здоровья отдельных граждан, чл</w:t>
      </w:r>
      <w:r>
        <w:t>е</w:t>
      </w:r>
      <w:r>
        <w:t>нов их семей и членов общества в целом, что предполагает принятие мер по поддержанию здоровья населения, профилактике и лечению заболеваний и травм, раннюю диагностику заболеваний, своевременное лечение и реабилит</w:t>
      </w:r>
      <w:r>
        <w:t>а</w:t>
      </w:r>
      <w:r>
        <w:t xml:space="preserve">цию.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226.</w:t>
      </w:r>
      <w:r>
        <w:tab/>
        <w:t>В деятельности системы здравоохранения принимают участие граждане и члены их семей, организации в области образования, труда, гуманитарные и другие организации, органы медицинского страхования, административные о</w:t>
      </w:r>
      <w:r>
        <w:t>р</w:t>
      </w:r>
      <w:r>
        <w:t>ганы и другие заинтересованные органы и организации. Услуги в области здр</w:t>
      </w:r>
      <w:r>
        <w:t>а</w:t>
      </w:r>
      <w:r>
        <w:t>воохранения занимают особое место и играют особую роль в системе здрав</w:t>
      </w:r>
      <w:r>
        <w:t>о</w:t>
      </w:r>
      <w:r>
        <w:t>охранения и характеризуются стандартным качеством и равной доступностью для всех граждан. Охрана здоровья населения осуществляется в рамках единой системы здравоохранения путем осуществления мер на уровне первичного м</w:t>
      </w:r>
      <w:r>
        <w:t>е</w:t>
      </w:r>
      <w:r>
        <w:t>дико-санитарного обслуживания, обслуживания на уровне специалистов, а также на уровне клиник. В системе охраны здоровья функционируют следу</w:t>
      </w:r>
      <w:r>
        <w:t>ю</w:t>
      </w:r>
      <w:r>
        <w:t>щие учреждения: медицинские центры, пункты оказания первой медицинской помощи (семейные лечебницы), аптеки, поликлиники, госпитали, государс</w:t>
      </w:r>
      <w:r>
        <w:t>т</w:t>
      </w:r>
      <w:r>
        <w:t>венные медицинские учреждения (учреждения по охране здоровья), специал</w:t>
      </w:r>
      <w:r>
        <w:t>и</w:t>
      </w:r>
      <w:r>
        <w:t>зированные учреждения, клиники, стационары и лечебные центры.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227.</w:t>
      </w:r>
      <w:r>
        <w:tab/>
        <w:t>Медицинские центры оказывают общую медицинскую помощь, медици</w:t>
      </w:r>
      <w:r>
        <w:t>н</w:t>
      </w:r>
      <w:r>
        <w:t>скую помощь детям, осуществляют профилактические мероприятия, оказыв</w:t>
      </w:r>
      <w:r>
        <w:t>а</w:t>
      </w:r>
      <w:r>
        <w:t>ют стоматологические услуги, услуги в области гигиены и услуги по предо</w:t>
      </w:r>
      <w:r>
        <w:t>т</w:t>
      </w:r>
      <w:r>
        <w:t>вращению эпидемий, неотложную медицинскую помощь и т.д. Клиники явл</w:t>
      </w:r>
      <w:r>
        <w:t>я</w:t>
      </w:r>
      <w:r>
        <w:t>ются первичной инстанцией медицинского обслуживания, и, согласно Закону об охране здоровья, клиники могут быть общего типа или специализирова</w:t>
      </w:r>
      <w:r>
        <w:t>н</w:t>
      </w:r>
      <w:r>
        <w:t>ными.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228.</w:t>
      </w:r>
      <w:r>
        <w:tab/>
        <w:t>Клиники общего типа оказывают медицинские услуги лицам всех возра</w:t>
      </w:r>
      <w:r>
        <w:t>с</w:t>
      </w:r>
      <w:r>
        <w:t>тов, а также медицинские услуги лицам с инфекционными заболеваниями. Специализированные клиники оказывают медицинские услуги лицам опред</w:t>
      </w:r>
      <w:r>
        <w:t>е</w:t>
      </w:r>
      <w:r>
        <w:t>ленных возрастных групп, т.е. лицам с хроническими заболеваниями.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229.</w:t>
      </w:r>
      <w:r>
        <w:tab/>
        <w:t>Государственные лечебные учреждения (учреждения по охране здоровья населения) представляют собой специализированные лечебные учреждения, которые осуществляют контроль над состоянием здоровья населения, над эп</w:t>
      </w:r>
      <w:r>
        <w:t>и</w:t>
      </w:r>
      <w:r>
        <w:t>демиологической ситуацией и связанными с эпидемиями явлениями, вносят рекомендации, принимают меры по профилактике распространения заразных заболеваний и устранению вредных факторов для жизни населения и улучш</w:t>
      </w:r>
      <w:r>
        <w:t>е</w:t>
      </w:r>
      <w:r>
        <w:t xml:space="preserve">ния состояния здоровья населения. Кроме того, в этих учреждениях проводятся обучение и научные исследования.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Эти учреждения регулярно осуществляют санитарный контроль за с</w:t>
      </w:r>
      <w:r>
        <w:t>о</w:t>
      </w:r>
      <w:r>
        <w:t>стоянием питьевой воды и поверхностных вод, качеством продовольствия и к</w:t>
      </w:r>
      <w:r>
        <w:t>а</w:t>
      </w:r>
      <w:r>
        <w:t>чеством воздуха. Большое социальное и медицинское значение имеют специ</w:t>
      </w:r>
      <w:r>
        <w:t>а</w:t>
      </w:r>
      <w:r>
        <w:t xml:space="preserve">лизированные учреждения: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а)</w:t>
      </w:r>
      <w:r>
        <w:tab/>
        <w:t>станции переливания крови;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учреждения по профилактике профессиональных заболеваний и сп</w:t>
      </w:r>
      <w:r>
        <w:t>е</w:t>
      </w:r>
      <w:r>
        <w:t>циализированные спортивные медицинские учреждения;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учреждения физической медицины, учреждения по реабилитации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Специализированные медицинские учреждения осуществляют клинич</w:t>
      </w:r>
      <w:r>
        <w:t>е</w:t>
      </w:r>
      <w:r>
        <w:t>ское или стационарное лечение и оказывают специализированные медицинские услуги. Клиники являются второй инстанцией системы здравоохранения.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230.</w:t>
      </w:r>
      <w:r>
        <w:tab/>
        <w:t>Основой и фундаментом системы здравоохранения служат учреждения по оказанию первичной медико-санитарной помощи. Эти учреждения системы здравоохранения посещают лица, которые не нуждаются в специализирова</w:t>
      </w:r>
      <w:r>
        <w:t>н</w:t>
      </w:r>
      <w:r>
        <w:t>ном лечении или в специализированном обследовании. На этом уровне оказ</w:t>
      </w:r>
      <w:r>
        <w:t>ы</w:t>
      </w:r>
      <w:r>
        <w:t>ваются такие медицинские услуги, как охрана здоровья матерей во время бер</w:t>
      </w:r>
      <w:r>
        <w:t>е</w:t>
      </w:r>
      <w:r>
        <w:t>менности, родов и в послеродовой период, а также оказываются услуги по о</w:t>
      </w:r>
      <w:r>
        <w:t>х</w:t>
      </w:r>
      <w:r>
        <w:t>ране здоровья женщин, в том числе услуги, связанные с планированием семьи. Женщины могут пользоваться такими услугами без каких-либо правовых или культурных ограничений и без согласия какого-либо лица.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231.</w:t>
      </w:r>
      <w:r>
        <w:tab/>
        <w:t>Разработан план реформирования первичного медико-санитарного обсл</w:t>
      </w:r>
      <w:r>
        <w:t>у</w:t>
      </w:r>
      <w:r>
        <w:t>живания с целью обеспечения всеобщего, качественного, эффективного и ст</w:t>
      </w:r>
      <w:r>
        <w:t>а</w:t>
      </w:r>
      <w:r>
        <w:t>бильного первичного медико-санитарного обслуживания семей и осуществл</w:t>
      </w:r>
      <w:r>
        <w:t>е</w:t>
      </w:r>
      <w:r>
        <w:t>ния преимущественно мероприятий по профилактике заболеваний и развитию здравоохранения. В частности, планируется создать систему семейных врачей. Медицинская группа для обслуживания семей состоит из врача и двух мед</w:t>
      </w:r>
      <w:r>
        <w:t>и</w:t>
      </w:r>
      <w:r>
        <w:t>цинских сестер. Каждая такая группа будет оказывать медицинскую помощь приблизительно 500 семьям. Это - одно из новшеств стратегического развития и реформирования системы здравоохранения, которое имеет свои преимущес</w:t>
      </w:r>
      <w:r>
        <w:t>т</w:t>
      </w:r>
      <w:r>
        <w:t>ва с гендерной точки зрения. Группы семейных врачей будут оказывать мед</w:t>
      </w:r>
      <w:r>
        <w:t>и</w:t>
      </w:r>
      <w:r>
        <w:t>цинские услуги всем членам семьи, они будут работать в пунктах оказания первой медицинской помощи, которые являются первичной ячейкой системы здравоохранения. Такие пункты первичной медицинской помощи будут оказ</w:t>
      </w:r>
      <w:r>
        <w:t>ы</w:t>
      </w:r>
      <w:r>
        <w:t>вать медицинскую помощь всем членам семьи, принимать меры по пропаганде здорового образа жизни и профилактике заболеваний, а также меры по ранней диагностике и эффективному лечению заболеваний. Кроме того, они будут ок</w:t>
      </w:r>
      <w:r>
        <w:t>а</w:t>
      </w:r>
      <w:r>
        <w:t xml:space="preserve">зывать услуги в таких областях, как: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a</w:t>
      </w:r>
      <w:r>
        <w:t>)</w:t>
      </w:r>
      <w:r>
        <w:tab/>
        <w:t xml:space="preserve">организация медицинского обслуживания;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мониторинг состояния здоровья населения и принятие мер по пр</w:t>
      </w:r>
      <w:r>
        <w:t>о</w:t>
      </w:r>
      <w:r>
        <w:t xml:space="preserve">филактике инфекционных заболеваний;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выявление и предотвращение рисков инфекционных заболеваний;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d</w:t>
      </w:r>
      <w:r>
        <w:t>)</w:t>
      </w:r>
      <w:r>
        <w:tab/>
        <w:t>диагностика и лечение заболеваний, не требующих сложных обсл</w:t>
      </w:r>
      <w:r>
        <w:t>е</w:t>
      </w:r>
      <w:r>
        <w:t xml:space="preserve">дований;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e</w:t>
      </w:r>
      <w:r>
        <w:t>)</w:t>
      </w:r>
      <w:r>
        <w:tab/>
        <w:t xml:space="preserve">лечение на дому пациентов, которые не нуждаются в стационарном лечении;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f</w:t>
      </w:r>
      <w:r>
        <w:t>)</w:t>
      </w:r>
      <w:r>
        <w:tab/>
        <w:t>медицинский контроль состояния здоровья и реабилитация пацие</w:t>
      </w:r>
      <w:r>
        <w:t>н</w:t>
      </w:r>
      <w:r>
        <w:t>тов, которые были выписаны из стационаров.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232.</w:t>
      </w:r>
      <w:r>
        <w:tab/>
        <w:t>Медицинские услуги, оказываемые в настоящее время учреждениями первичной медико-санитарной помощи, не способны в полной мере удовлетв</w:t>
      </w:r>
      <w:r>
        <w:t>о</w:t>
      </w:r>
      <w:r>
        <w:t>рить нужды граждан, что частично объясняется последствиями войны в Бо</w:t>
      </w:r>
      <w:r>
        <w:t>с</w:t>
      </w:r>
      <w:r>
        <w:t>нии и Герцеговине, а также унаследованными неадекватными организацио</w:t>
      </w:r>
      <w:r>
        <w:t>н</w:t>
      </w:r>
      <w:r>
        <w:t>ными м</w:t>
      </w:r>
      <w:r>
        <w:t>о</w:t>
      </w:r>
      <w:r>
        <w:t>делями и функциями.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233.</w:t>
      </w:r>
      <w:r>
        <w:tab/>
        <w:t>Право на здравоохранение является неотъемлемой частью права на обяз</w:t>
      </w:r>
      <w:r>
        <w:t>а</w:t>
      </w:r>
      <w:r>
        <w:t>тельное медицинское страхование, которое включает: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а)</w:t>
      </w:r>
      <w:r>
        <w:tab/>
        <w:t>охрану здоровья;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выплату заработной платы по больничным листам в случае време</w:t>
      </w:r>
      <w:r>
        <w:t>н</w:t>
      </w:r>
      <w:r>
        <w:t>ной нетрудоспособности.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Согласно Закону об охране здоровья Республики Сербской, дети, бер</w:t>
      </w:r>
      <w:r>
        <w:t>е</w:t>
      </w:r>
      <w:r>
        <w:t>менные женщины и престарелые имеют право на охрану здоровья за счет гос</w:t>
      </w:r>
      <w:r>
        <w:t>у</w:t>
      </w:r>
      <w:r>
        <w:t>дарственных ресурсов и за счет ресурсов других сторон на условиях, которые определены этим Законом.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Медицинское страхование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234.</w:t>
      </w:r>
      <w:r>
        <w:tab/>
        <w:t>Закон о медицинском страховании регламентирует функционирование системы обязательного медицинского страхования, права, связанные с таким страхованием, способы осуществления связанных с ним прав, а также принц</w:t>
      </w:r>
      <w:r>
        <w:t>и</w:t>
      </w:r>
      <w:r>
        <w:t>пы обеспечения частного медицинского страхования. Этот Закон предусматр</w:t>
      </w:r>
      <w:r>
        <w:t>и</w:t>
      </w:r>
      <w:r>
        <w:t>вает охват всех граждан обязательным медицинским страхованием. Закон ре</w:t>
      </w:r>
      <w:r>
        <w:t>г</w:t>
      </w:r>
      <w:r>
        <w:t xml:space="preserve">ламентирует следующие права в области медицинского страхования: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a</w:t>
      </w:r>
      <w:r>
        <w:t>)</w:t>
      </w:r>
      <w:r>
        <w:tab/>
        <w:t>охрана здоровья;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оплата временной нетрудоспособности по больничному листу;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 xml:space="preserve">прочие права.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Кроме того, Закон предусматривает, что все застрахованные лица имеют равные права на охрану здоровья. Право на обязательное медицинское страх</w:t>
      </w:r>
      <w:r>
        <w:t>о</w:t>
      </w:r>
      <w:r>
        <w:t xml:space="preserve">вание имеют следующие лица: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a</w:t>
      </w:r>
      <w:r>
        <w:t>)</w:t>
      </w:r>
      <w:r>
        <w:tab/>
        <w:t>застрахованные лица;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члены семьи застрахованных лиц;</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лица, осуществляющие право на медицинское страхование в случае получения травмы на рабочем месте или профессионального заболевания;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d</w:t>
      </w:r>
      <w:r>
        <w:t>)</w:t>
      </w:r>
      <w:r>
        <w:tab/>
        <w:t>лица, имеющие право на охрану здоровья в соответствии с подп</w:t>
      </w:r>
      <w:r>
        <w:t>и</w:t>
      </w:r>
      <w:r>
        <w:t>санными международными соглашениями согласно положениям упомянутого З</w:t>
      </w:r>
      <w:r>
        <w:t>а</w:t>
      </w:r>
      <w:r>
        <w:t>кона.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235.</w:t>
      </w:r>
      <w:r>
        <w:tab/>
        <w:t>Система обязательного медицинского страхования предусматривает р</w:t>
      </w:r>
      <w:r>
        <w:t>а</w:t>
      </w:r>
      <w:r>
        <w:t>венство прав в области охраны здоровья всех застрахованных лиц, что означает равенство мужчин и женщин в том, что касается пользования услугами здрав</w:t>
      </w:r>
      <w:r>
        <w:t>о</w:t>
      </w:r>
      <w:r>
        <w:t>охранения. Осуществление Закона с точки зрения гендерного равенства не в</w:t>
      </w:r>
      <w:r>
        <w:t>ы</w:t>
      </w:r>
      <w:r>
        <w:t>зывает никаких проблем, т.е. отсутствует какая-либо дискриминации в оказ</w:t>
      </w:r>
      <w:r>
        <w:t>а</w:t>
      </w:r>
      <w:r>
        <w:t>нии конкретных услуг в области здравоохранения. Кроме того, упомянутый З</w:t>
      </w:r>
      <w:r>
        <w:t>а</w:t>
      </w:r>
      <w:r>
        <w:t>кон предусматривает право женщин на 100-процентную оплату временной н</w:t>
      </w:r>
      <w:r>
        <w:t>е</w:t>
      </w:r>
      <w:r>
        <w:t>трудоспособности по больничному листу, а также оплату временной нетруд</w:t>
      </w:r>
      <w:r>
        <w:t>о</w:t>
      </w:r>
      <w:r>
        <w:t>способности в связи с беременностью и родами. В этой связи необходимо та</w:t>
      </w:r>
      <w:r>
        <w:t>к</w:t>
      </w:r>
      <w:r>
        <w:t>же подчеркнуть, что оплачиваемый отпуск по беременности и родам пред</w:t>
      </w:r>
      <w:r>
        <w:t>у</w:t>
      </w:r>
      <w:r>
        <w:t>сматривается не системой здравоохранения, а системой социального обеспеч</w:t>
      </w:r>
      <w:r>
        <w:t>е</w:t>
      </w:r>
      <w:r>
        <w:t>ния. Оплачиваемая по больничному листу временная нетрудоспособность предполагает, что застрахованные лица имеют, согласно Закону, право на опл</w:t>
      </w:r>
      <w:r>
        <w:t>а</w:t>
      </w:r>
      <w:r>
        <w:t>ту временной нетрудоспособности. В Законе содержится перечень лиц, кот</w:t>
      </w:r>
      <w:r>
        <w:t>о</w:t>
      </w:r>
      <w:r>
        <w:t>рые имеют право на такую оплату. К ним, в частности, относятся: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a</w:t>
      </w:r>
      <w:r>
        <w:t>)</w:t>
      </w:r>
      <w:r>
        <w:tab/>
        <w:t>лица с временной нетрудоспособностью вследствие травмы на раб</w:t>
      </w:r>
      <w:r>
        <w:t>о</w:t>
      </w:r>
      <w:r>
        <w:t xml:space="preserve">чем месте или производственного заболевания;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лица, не допускаемые к работе в результате медицинского освид</w:t>
      </w:r>
      <w:r>
        <w:t>е</w:t>
      </w:r>
      <w:r>
        <w:t xml:space="preserve">тельствования;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 xml:space="preserve">лица, изолированные как носители вирусов или изолированные в связи с массовым заболеванием в районе их проживания;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d</w:t>
      </w:r>
      <w:r>
        <w:t>)</w:t>
      </w:r>
      <w:r>
        <w:tab/>
        <w:t xml:space="preserve">лица, осуществляющие уход за больными членами семьи, согласно соответствующим положениям Закона;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e</w:t>
      </w:r>
      <w:r>
        <w:t>)</w:t>
      </w:r>
      <w:r>
        <w:tab/>
        <w:t>лица, освобожденные от работы вследствие добровольной донорской п</w:t>
      </w:r>
      <w:r>
        <w:t>е</w:t>
      </w:r>
      <w:r>
        <w:t>редачи своих тканей или органов.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236.</w:t>
      </w:r>
      <w:r>
        <w:tab/>
        <w:t xml:space="preserve">Записи, связанные с осуществлением всех прав в области медицинского страхования, ведутся Фондом медицинского страхования. Закон о медицинском страховании регулирует финансовое участие населения в расходах на охрану здоровья застрахованных лиц. В соответствии с этим Законом следующие лица освобождаются от уплаты взносов в Фонд медицинского страхования: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a</w:t>
      </w:r>
      <w:r>
        <w:t>)</w:t>
      </w:r>
      <w:r>
        <w:tab/>
        <w:t xml:space="preserve">женщины в период беременности и в период достижения младенцем одного года;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 xml:space="preserve">дети в возрасте до 15 лет;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 xml:space="preserve">лица с некоторыми инфекционными заболеваниями;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d</w:t>
      </w:r>
      <w:r>
        <w:t>)</w:t>
      </w:r>
      <w:r>
        <w:tab/>
        <w:t>престарелые, в с</w:t>
      </w:r>
      <w:r>
        <w:t>о</w:t>
      </w:r>
      <w:r>
        <w:t>ответствии с положениями Закона.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237.</w:t>
      </w:r>
      <w:r>
        <w:tab/>
        <w:t>Застрахованные лица освобождаются от выплаты взносов в Фонд мед</w:t>
      </w:r>
      <w:r>
        <w:t>и</w:t>
      </w:r>
      <w:r>
        <w:t>цинского страхования в следующих случаях: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a</w:t>
      </w:r>
      <w:r>
        <w:t>)</w:t>
      </w:r>
      <w:r>
        <w:tab/>
        <w:t>ухода за отдельными лицами или группами лиц;</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осуществления профилактических мероприятий по предотвращению болезней и травм в рамках специальной программы;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выявления и предотвращения факторов риска, связанных с некот</w:t>
      </w:r>
      <w:r>
        <w:t>о</w:t>
      </w:r>
      <w:r>
        <w:t>рыми заболеваниями, в рамках специальных программ.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соответствии с упомянутым Законом в Республике Сербской осущест</w:t>
      </w:r>
      <w:r>
        <w:t>в</w:t>
      </w:r>
      <w:r>
        <w:t>ляется инициатива, предусматривающая возможность частного медицинского страхования. Согласно положениям этого же Закона граждане Республики Сербской и другие лица могут быть застрахованы частным агентством мед</w:t>
      </w:r>
      <w:r>
        <w:t>и</w:t>
      </w:r>
      <w:r>
        <w:t>цинского страхования с целью приобретения прав в области медицинского страхования, которые не регулируются обязательным медицинским страхов</w:t>
      </w:r>
      <w:r>
        <w:t>а</w:t>
      </w:r>
      <w:r>
        <w:t xml:space="preserve">нием.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Вывод: в соответствии с правовыми нормами женщины в период бер</w:t>
      </w:r>
      <w:r>
        <w:t>е</w:t>
      </w:r>
      <w:r>
        <w:t>менности и дети в возрасте до одного года имеют право на бесплатное мед</w:t>
      </w:r>
      <w:r>
        <w:t>и</w:t>
      </w:r>
      <w:r>
        <w:t>цинское страхование. Таким образом, осуществляется поддержка женщин по линии охраны материнства и детства.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60" w:lineRule="auto"/>
        <w:rPr>
          <w:b/>
          <w:sz w:val="28"/>
        </w:rPr>
      </w:pPr>
      <w:r>
        <w:rPr>
          <w:b/>
        </w:rPr>
        <w:t>Основные статистические данные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238.</w:t>
      </w:r>
      <w:r>
        <w:tab/>
        <w:t>Согласно переписи 1991 года, на территории Боснии и Герцеговины пр</w:t>
      </w:r>
      <w:r>
        <w:t>о</w:t>
      </w:r>
      <w:r>
        <w:t>живало 4 377 033 человека. По оценке Статистического института Боснии и Герцеговины, в конце 2000 года в Боснии и Герцеговине проживало 3 683 665 человек. Начиная с 1991 года возрастная структура населения Боснии и Герцеговины была "на границе между" стационарной и регрессивной со слегка зауженной демографической пирамидой. Согласно этим же источникам, нынешняя возрастная структура населения Боснии и Герцеговины напоминает структуру, существовавшую с 1991 года. Таким образом, в 2000 году население Боснии и Герцеговины подпадало под регрессивный биологический тип. Около 13,6 процента всего населения в Федерации Боснии и Герцеговины составляли перемещенные лица. По оценкам, 80 процентов населения проживает в гор</w:t>
      </w:r>
      <w:r>
        <w:t>о</w:t>
      </w:r>
      <w:r>
        <w:t>дах, что является следствием массовой миграции в города в последние годы. Произошло заметное увеличение численности населения в возрасте 65 лет и старше (с 6,4 процента до 11 процентов от общей численности населения), и отмечается значительное сокращение численности активного трудоспособного населения в возрастной группе от 20 до 40 лет. На медицинское обслуживание в государственных расходах выделяется 7,6 процента ВВП. Однако если учесть, что в частном медико-санитарном секторе и в так называемом нефо</w:t>
      </w:r>
      <w:r>
        <w:t>р</w:t>
      </w:r>
      <w:r>
        <w:t>мальном секторе (все выплаты, которые поступают непосредственно из карм</w:t>
      </w:r>
      <w:r>
        <w:t>а</w:t>
      </w:r>
      <w:r>
        <w:t>нов граждан Боснии и Герцеговины в виде так называемых "платежей под ст</w:t>
      </w:r>
      <w:r>
        <w:t>о</w:t>
      </w:r>
      <w:r>
        <w:t>лом" и которые имеют отношение к государственному медико-санитарному сектору) расходуется еще 4,7 процента ВВП, то общий объем расходов на м</w:t>
      </w:r>
      <w:r>
        <w:t>е</w:t>
      </w:r>
      <w:r>
        <w:t>дико-санитарное обслуживание в Боснии и Герцеговине составит 12,3 процента ВВП, что весьма высокий показатель для такой бедной страны, как Босния и Герцеговина. Расходы на медико-санитарное обслуживание в ра</w:t>
      </w:r>
      <w:r>
        <w:t>с</w:t>
      </w:r>
      <w:r>
        <w:t>чете на душу населения составляли в 1999 году от примерно 100 конв. марок в Республике Сербской до 218 конв. марок в Федерации Боснии и Герцеговины. Более одной трети от общего объема ресурсов, а именно 37 процентов, выдел</w:t>
      </w:r>
      <w:r>
        <w:t>я</w:t>
      </w:r>
      <w:r>
        <w:t>ется на медицинскую помощь первичного, 35 процентов - вторичного и 18 процентов - тр</w:t>
      </w:r>
      <w:r>
        <w:t>е</w:t>
      </w:r>
      <w:r>
        <w:t>тичного уровня.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12.1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Численность населения с разбивкой по полу и возрасту - оценка нынешней численности населения в Боснии и Герцеговине по состоянию на 30 июня 2002 года </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40"/>
        <w:gridCol w:w="1440"/>
        <w:gridCol w:w="1440"/>
        <w:gridCol w:w="1440"/>
        <w:gridCol w:w="1440"/>
      </w:tblGrid>
      <w:tr w:rsidR="00000000">
        <w:tblPrEx>
          <w:tblCellMar>
            <w:top w:w="0" w:type="dxa"/>
            <w:left w:w="0" w:type="dxa"/>
            <w:bottom w:w="0" w:type="dxa"/>
            <w:right w:w="0" w:type="dxa"/>
          </w:tblCellMar>
        </w:tblPrEx>
        <w:trPr>
          <w:tblHeader/>
        </w:trPr>
        <w:tc>
          <w:tcPr>
            <w:tcW w:w="144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4"/>
              </w:rPr>
            </w:pPr>
            <w:r>
              <w:rPr>
                <w:i/>
                <w:sz w:val="14"/>
              </w:rPr>
              <w:t>Возраст</w:t>
            </w:r>
          </w:p>
        </w:tc>
        <w:tc>
          <w:tcPr>
            <w:tcW w:w="144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Общая числе</w:t>
            </w:r>
            <w:r>
              <w:rPr>
                <w:i/>
                <w:sz w:val="14"/>
              </w:rPr>
              <w:t>н</w:t>
            </w:r>
            <w:r>
              <w:rPr>
                <w:i/>
                <w:sz w:val="14"/>
              </w:rPr>
              <w:t>ность</w:t>
            </w:r>
          </w:p>
        </w:tc>
        <w:tc>
          <w:tcPr>
            <w:tcW w:w="144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Мужчины</w:t>
            </w:r>
          </w:p>
        </w:tc>
        <w:tc>
          <w:tcPr>
            <w:tcW w:w="144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Женщины</w:t>
            </w:r>
          </w:p>
        </w:tc>
        <w:tc>
          <w:tcPr>
            <w:tcW w:w="1440" w:type="dxa"/>
            <w:tcBorders>
              <w:left w:val="nil"/>
              <w:bottom w:val="single" w:sz="12" w:space="0" w:color="auto"/>
              <w:right w:val="nil"/>
            </w:tcBorders>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Возраст</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keepNext/>
              <w:rPr>
                <w:sz w:val="17"/>
              </w:rPr>
            </w:pPr>
            <w:r>
              <w:rPr>
                <w:sz w:val="17"/>
              </w:rPr>
              <w:t>0-4</w:t>
            </w:r>
          </w:p>
        </w:tc>
        <w:tc>
          <w:tcPr>
            <w:tcW w:w="1440" w:type="dxa"/>
            <w:tcBorders>
              <w:top w:val="nil"/>
              <w:left w:val="nil"/>
              <w:bottom w:val="nil"/>
              <w:right w:val="nil"/>
            </w:tcBorders>
            <w:vAlign w:val="bottom"/>
          </w:tcPr>
          <w:p w:rsidR="00000000" w:rsidRDefault="00000000">
            <w:pPr>
              <w:keepNext/>
              <w:jc w:val="right"/>
              <w:rPr>
                <w:sz w:val="17"/>
              </w:rPr>
            </w:pPr>
            <w:r>
              <w:rPr>
                <w:sz w:val="17"/>
              </w:rPr>
              <w:t>221 194</w:t>
            </w:r>
          </w:p>
        </w:tc>
        <w:tc>
          <w:tcPr>
            <w:tcW w:w="1440" w:type="dxa"/>
            <w:tcBorders>
              <w:top w:val="nil"/>
              <w:left w:val="nil"/>
              <w:bottom w:val="nil"/>
              <w:right w:val="nil"/>
            </w:tcBorders>
            <w:vAlign w:val="bottom"/>
          </w:tcPr>
          <w:p w:rsidR="00000000" w:rsidRDefault="00000000">
            <w:pPr>
              <w:keepNext/>
              <w:jc w:val="right"/>
              <w:rPr>
                <w:sz w:val="17"/>
              </w:rPr>
            </w:pPr>
            <w:r>
              <w:rPr>
                <w:sz w:val="17"/>
              </w:rPr>
              <w:t>114 570</w:t>
            </w:r>
          </w:p>
        </w:tc>
        <w:tc>
          <w:tcPr>
            <w:tcW w:w="1440" w:type="dxa"/>
            <w:tcBorders>
              <w:top w:val="nil"/>
              <w:left w:val="nil"/>
              <w:bottom w:val="nil"/>
              <w:right w:val="nil"/>
            </w:tcBorders>
            <w:vAlign w:val="bottom"/>
          </w:tcPr>
          <w:p w:rsidR="00000000" w:rsidRDefault="00000000">
            <w:pPr>
              <w:keepNext/>
              <w:jc w:val="right"/>
              <w:rPr>
                <w:sz w:val="17"/>
              </w:rPr>
            </w:pPr>
            <w:r>
              <w:rPr>
                <w:sz w:val="17"/>
              </w:rPr>
              <w:t>106 624</w:t>
            </w:r>
          </w:p>
        </w:tc>
        <w:tc>
          <w:tcPr>
            <w:tcW w:w="1440" w:type="dxa"/>
            <w:tcBorders>
              <w:top w:val="nil"/>
              <w:left w:val="nil"/>
              <w:bottom w:val="nil"/>
              <w:right w:val="nil"/>
            </w:tcBorders>
          </w:tcPr>
          <w:p w:rsidR="00000000" w:rsidRDefault="00000000">
            <w:pPr>
              <w:keepNext/>
              <w:jc w:val="right"/>
              <w:rPr>
                <w:sz w:val="17"/>
              </w:rPr>
            </w:pPr>
            <w:r>
              <w:rPr>
                <w:sz w:val="17"/>
              </w:rPr>
              <w:t>0-4</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5-9</w:t>
            </w:r>
          </w:p>
        </w:tc>
        <w:tc>
          <w:tcPr>
            <w:tcW w:w="1440" w:type="dxa"/>
            <w:tcBorders>
              <w:top w:val="nil"/>
              <w:left w:val="nil"/>
              <w:bottom w:val="nil"/>
              <w:right w:val="nil"/>
            </w:tcBorders>
            <w:vAlign w:val="bottom"/>
          </w:tcPr>
          <w:p w:rsidR="00000000" w:rsidRDefault="00000000">
            <w:pPr>
              <w:jc w:val="right"/>
              <w:rPr>
                <w:sz w:val="17"/>
              </w:rPr>
            </w:pPr>
            <w:r>
              <w:rPr>
                <w:sz w:val="17"/>
              </w:rPr>
              <w:t>217 374</w:t>
            </w:r>
          </w:p>
        </w:tc>
        <w:tc>
          <w:tcPr>
            <w:tcW w:w="1440" w:type="dxa"/>
            <w:tcBorders>
              <w:top w:val="nil"/>
              <w:left w:val="nil"/>
              <w:bottom w:val="nil"/>
              <w:right w:val="nil"/>
            </w:tcBorders>
            <w:vAlign w:val="bottom"/>
          </w:tcPr>
          <w:p w:rsidR="00000000" w:rsidRDefault="00000000">
            <w:pPr>
              <w:jc w:val="right"/>
              <w:rPr>
                <w:sz w:val="17"/>
              </w:rPr>
            </w:pPr>
            <w:r>
              <w:rPr>
                <w:sz w:val="17"/>
              </w:rPr>
              <w:t>111 524</w:t>
            </w:r>
          </w:p>
        </w:tc>
        <w:tc>
          <w:tcPr>
            <w:tcW w:w="1440" w:type="dxa"/>
            <w:tcBorders>
              <w:top w:val="nil"/>
              <w:left w:val="nil"/>
              <w:bottom w:val="nil"/>
              <w:right w:val="nil"/>
            </w:tcBorders>
            <w:vAlign w:val="bottom"/>
          </w:tcPr>
          <w:p w:rsidR="00000000" w:rsidRDefault="00000000">
            <w:pPr>
              <w:jc w:val="right"/>
              <w:rPr>
                <w:sz w:val="17"/>
              </w:rPr>
            </w:pPr>
            <w:r>
              <w:rPr>
                <w:sz w:val="17"/>
              </w:rPr>
              <w:t>105 849</w:t>
            </w:r>
          </w:p>
        </w:tc>
        <w:tc>
          <w:tcPr>
            <w:tcW w:w="1440" w:type="dxa"/>
            <w:tcBorders>
              <w:top w:val="nil"/>
              <w:left w:val="nil"/>
              <w:bottom w:val="nil"/>
              <w:right w:val="nil"/>
            </w:tcBorders>
          </w:tcPr>
          <w:p w:rsidR="00000000" w:rsidRDefault="00000000">
            <w:pPr>
              <w:jc w:val="right"/>
              <w:rPr>
                <w:sz w:val="17"/>
              </w:rPr>
            </w:pPr>
            <w:r>
              <w:rPr>
                <w:sz w:val="17"/>
              </w:rPr>
              <w:t>5-9</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10-14</w:t>
            </w:r>
          </w:p>
        </w:tc>
        <w:tc>
          <w:tcPr>
            <w:tcW w:w="1440" w:type="dxa"/>
            <w:tcBorders>
              <w:top w:val="nil"/>
              <w:left w:val="nil"/>
              <w:bottom w:val="nil"/>
              <w:right w:val="nil"/>
            </w:tcBorders>
            <w:vAlign w:val="bottom"/>
          </w:tcPr>
          <w:p w:rsidR="00000000" w:rsidRDefault="00000000">
            <w:pPr>
              <w:jc w:val="right"/>
              <w:rPr>
                <w:sz w:val="17"/>
              </w:rPr>
            </w:pPr>
            <w:r>
              <w:rPr>
                <w:sz w:val="17"/>
              </w:rPr>
              <w:t>263 157</w:t>
            </w:r>
          </w:p>
        </w:tc>
        <w:tc>
          <w:tcPr>
            <w:tcW w:w="1440" w:type="dxa"/>
            <w:tcBorders>
              <w:top w:val="nil"/>
              <w:left w:val="nil"/>
              <w:bottom w:val="nil"/>
              <w:right w:val="nil"/>
            </w:tcBorders>
            <w:vAlign w:val="bottom"/>
          </w:tcPr>
          <w:p w:rsidR="00000000" w:rsidRDefault="00000000">
            <w:pPr>
              <w:jc w:val="right"/>
              <w:rPr>
                <w:sz w:val="17"/>
              </w:rPr>
            </w:pPr>
            <w:r>
              <w:rPr>
                <w:sz w:val="17"/>
              </w:rPr>
              <w:t>134 575</w:t>
            </w:r>
          </w:p>
        </w:tc>
        <w:tc>
          <w:tcPr>
            <w:tcW w:w="1440" w:type="dxa"/>
            <w:tcBorders>
              <w:top w:val="nil"/>
              <w:left w:val="nil"/>
              <w:bottom w:val="nil"/>
              <w:right w:val="nil"/>
            </w:tcBorders>
            <w:vAlign w:val="bottom"/>
          </w:tcPr>
          <w:p w:rsidR="00000000" w:rsidRDefault="00000000">
            <w:pPr>
              <w:jc w:val="right"/>
              <w:rPr>
                <w:sz w:val="17"/>
              </w:rPr>
            </w:pPr>
            <w:r>
              <w:rPr>
                <w:sz w:val="17"/>
              </w:rPr>
              <w:t>128 583</w:t>
            </w:r>
          </w:p>
        </w:tc>
        <w:tc>
          <w:tcPr>
            <w:tcW w:w="1440" w:type="dxa"/>
            <w:tcBorders>
              <w:top w:val="nil"/>
              <w:left w:val="nil"/>
              <w:bottom w:val="nil"/>
              <w:right w:val="nil"/>
            </w:tcBorders>
          </w:tcPr>
          <w:p w:rsidR="00000000" w:rsidRDefault="00000000">
            <w:pPr>
              <w:jc w:val="right"/>
              <w:rPr>
                <w:sz w:val="17"/>
              </w:rPr>
            </w:pPr>
            <w:r>
              <w:rPr>
                <w:sz w:val="17"/>
              </w:rPr>
              <w:t>10-14</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15-19</w:t>
            </w:r>
          </w:p>
        </w:tc>
        <w:tc>
          <w:tcPr>
            <w:tcW w:w="1440" w:type="dxa"/>
            <w:tcBorders>
              <w:top w:val="nil"/>
              <w:left w:val="nil"/>
              <w:bottom w:val="nil"/>
              <w:right w:val="nil"/>
            </w:tcBorders>
            <w:vAlign w:val="bottom"/>
          </w:tcPr>
          <w:p w:rsidR="00000000" w:rsidRDefault="00000000">
            <w:pPr>
              <w:jc w:val="right"/>
              <w:rPr>
                <w:sz w:val="17"/>
              </w:rPr>
            </w:pPr>
            <w:r>
              <w:rPr>
                <w:sz w:val="17"/>
              </w:rPr>
              <w:t>256 799</w:t>
            </w:r>
          </w:p>
        </w:tc>
        <w:tc>
          <w:tcPr>
            <w:tcW w:w="1440" w:type="dxa"/>
            <w:tcBorders>
              <w:top w:val="nil"/>
              <w:left w:val="nil"/>
              <w:bottom w:val="nil"/>
              <w:right w:val="nil"/>
            </w:tcBorders>
            <w:vAlign w:val="bottom"/>
          </w:tcPr>
          <w:p w:rsidR="00000000" w:rsidRDefault="00000000">
            <w:pPr>
              <w:jc w:val="right"/>
              <w:rPr>
                <w:sz w:val="17"/>
              </w:rPr>
            </w:pPr>
            <w:r>
              <w:rPr>
                <w:sz w:val="17"/>
              </w:rPr>
              <w:t>130 609</w:t>
            </w:r>
          </w:p>
        </w:tc>
        <w:tc>
          <w:tcPr>
            <w:tcW w:w="1440" w:type="dxa"/>
            <w:tcBorders>
              <w:top w:val="nil"/>
              <w:left w:val="nil"/>
              <w:bottom w:val="nil"/>
              <w:right w:val="nil"/>
            </w:tcBorders>
            <w:vAlign w:val="bottom"/>
          </w:tcPr>
          <w:p w:rsidR="00000000" w:rsidRDefault="00000000">
            <w:pPr>
              <w:jc w:val="right"/>
              <w:rPr>
                <w:sz w:val="17"/>
              </w:rPr>
            </w:pPr>
            <w:r>
              <w:rPr>
                <w:sz w:val="17"/>
              </w:rPr>
              <w:t>126 190</w:t>
            </w:r>
          </w:p>
        </w:tc>
        <w:tc>
          <w:tcPr>
            <w:tcW w:w="1440" w:type="dxa"/>
            <w:tcBorders>
              <w:top w:val="nil"/>
              <w:left w:val="nil"/>
              <w:bottom w:val="nil"/>
              <w:right w:val="nil"/>
            </w:tcBorders>
          </w:tcPr>
          <w:p w:rsidR="00000000" w:rsidRDefault="00000000">
            <w:pPr>
              <w:jc w:val="right"/>
              <w:rPr>
                <w:sz w:val="17"/>
              </w:rPr>
            </w:pPr>
            <w:r>
              <w:rPr>
                <w:sz w:val="17"/>
              </w:rPr>
              <w:t>15-19</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20-24</w:t>
            </w:r>
          </w:p>
        </w:tc>
        <w:tc>
          <w:tcPr>
            <w:tcW w:w="1440" w:type="dxa"/>
            <w:tcBorders>
              <w:top w:val="nil"/>
              <w:left w:val="nil"/>
              <w:bottom w:val="nil"/>
              <w:right w:val="nil"/>
            </w:tcBorders>
            <w:vAlign w:val="bottom"/>
          </w:tcPr>
          <w:p w:rsidR="00000000" w:rsidRDefault="00000000">
            <w:pPr>
              <w:jc w:val="right"/>
              <w:rPr>
                <w:sz w:val="17"/>
              </w:rPr>
            </w:pPr>
            <w:r>
              <w:rPr>
                <w:sz w:val="17"/>
              </w:rPr>
              <w:t>274 698</w:t>
            </w:r>
          </w:p>
        </w:tc>
        <w:tc>
          <w:tcPr>
            <w:tcW w:w="1440" w:type="dxa"/>
            <w:tcBorders>
              <w:top w:val="nil"/>
              <w:left w:val="nil"/>
              <w:bottom w:val="nil"/>
              <w:right w:val="nil"/>
            </w:tcBorders>
            <w:vAlign w:val="bottom"/>
          </w:tcPr>
          <w:p w:rsidR="00000000" w:rsidRDefault="00000000">
            <w:pPr>
              <w:jc w:val="right"/>
              <w:rPr>
                <w:sz w:val="17"/>
              </w:rPr>
            </w:pPr>
            <w:r>
              <w:rPr>
                <w:sz w:val="17"/>
              </w:rPr>
              <w:t>138 923</w:t>
            </w:r>
          </w:p>
        </w:tc>
        <w:tc>
          <w:tcPr>
            <w:tcW w:w="1440" w:type="dxa"/>
            <w:tcBorders>
              <w:top w:val="nil"/>
              <w:left w:val="nil"/>
              <w:bottom w:val="nil"/>
              <w:right w:val="nil"/>
            </w:tcBorders>
            <w:vAlign w:val="bottom"/>
          </w:tcPr>
          <w:p w:rsidR="00000000" w:rsidRDefault="00000000">
            <w:pPr>
              <w:jc w:val="right"/>
              <w:rPr>
                <w:sz w:val="17"/>
              </w:rPr>
            </w:pPr>
            <w:r>
              <w:rPr>
                <w:sz w:val="17"/>
              </w:rPr>
              <w:t>135 774</w:t>
            </w:r>
          </w:p>
        </w:tc>
        <w:tc>
          <w:tcPr>
            <w:tcW w:w="1440" w:type="dxa"/>
            <w:tcBorders>
              <w:top w:val="nil"/>
              <w:left w:val="nil"/>
              <w:bottom w:val="nil"/>
              <w:right w:val="nil"/>
            </w:tcBorders>
          </w:tcPr>
          <w:p w:rsidR="00000000" w:rsidRDefault="00000000">
            <w:pPr>
              <w:jc w:val="right"/>
              <w:rPr>
                <w:sz w:val="17"/>
              </w:rPr>
            </w:pPr>
            <w:r>
              <w:rPr>
                <w:sz w:val="17"/>
              </w:rPr>
              <w:t>20-24</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25-29</w:t>
            </w:r>
          </w:p>
        </w:tc>
        <w:tc>
          <w:tcPr>
            <w:tcW w:w="1440" w:type="dxa"/>
            <w:tcBorders>
              <w:top w:val="nil"/>
              <w:left w:val="nil"/>
              <w:bottom w:val="nil"/>
              <w:right w:val="nil"/>
            </w:tcBorders>
            <w:vAlign w:val="bottom"/>
          </w:tcPr>
          <w:p w:rsidR="00000000" w:rsidRDefault="00000000">
            <w:pPr>
              <w:jc w:val="right"/>
              <w:rPr>
                <w:sz w:val="17"/>
              </w:rPr>
            </w:pPr>
            <w:r>
              <w:rPr>
                <w:sz w:val="17"/>
              </w:rPr>
              <w:t>304 111</w:t>
            </w:r>
          </w:p>
        </w:tc>
        <w:tc>
          <w:tcPr>
            <w:tcW w:w="1440" w:type="dxa"/>
            <w:tcBorders>
              <w:top w:val="nil"/>
              <w:left w:val="nil"/>
              <w:bottom w:val="nil"/>
              <w:right w:val="nil"/>
            </w:tcBorders>
            <w:vAlign w:val="bottom"/>
          </w:tcPr>
          <w:p w:rsidR="00000000" w:rsidRDefault="00000000">
            <w:pPr>
              <w:jc w:val="right"/>
              <w:rPr>
                <w:sz w:val="17"/>
              </w:rPr>
            </w:pPr>
            <w:r>
              <w:rPr>
                <w:sz w:val="17"/>
              </w:rPr>
              <w:t>154 670</w:t>
            </w:r>
          </w:p>
        </w:tc>
        <w:tc>
          <w:tcPr>
            <w:tcW w:w="1440" w:type="dxa"/>
            <w:tcBorders>
              <w:top w:val="nil"/>
              <w:left w:val="nil"/>
              <w:bottom w:val="nil"/>
              <w:right w:val="nil"/>
            </w:tcBorders>
            <w:vAlign w:val="bottom"/>
          </w:tcPr>
          <w:p w:rsidR="00000000" w:rsidRDefault="00000000">
            <w:pPr>
              <w:jc w:val="right"/>
              <w:rPr>
                <w:sz w:val="17"/>
              </w:rPr>
            </w:pPr>
            <w:r>
              <w:rPr>
                <w:sz w:val="17"/>
              </w:rPr>
              <w:t>149 441</w:t>
            </w:r>
          </w:p>
        </w:tc>
        <w:tc>
          <w:tcPr>
            <w:tcW w:w="1440" w:type="dxa"/>
            <w:tcBorders>
              <w:top w:val="nil"/>
              <w:left w:val="nil"/>
              <w:bottom w:val="nil"/>
              <w:right w:val="nil"/>
            </w:tcBorders>
          </w:tcPr>
          <w:p w:rsidR="00000000" w:rsidRDefault="00000000">
            <w:pPr>
              <w:jc w:val="right"/>
              <w:rPr>
                <w:sz w:val="17"/>
              </w:rPr>
            </w:pPr>
            <w:r>
              <w:rPr>
                <w:sz w:val="17"/>
              </w:rPr>
              <w:t>25-29</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30-34</w:t>
            </w:r>
          </w:p>
        </w:tc>
        <w:tc>
          <w:tcPr>
            <w:tcW w:w="1440" w:type="dxa"/>
            <w:tcBorders>
              <w:top w:val="nil"/>
              <w:left w:val="nil"/>
              <w:bottom w:val="nil"/>
              <w:right w:val="nil"/>
            </w:tcBorders>
            <w:vAlign w:val="bottom"/>
          </w:tcPr>
          <w:p w:rsidR="00000000" w:rsidRDefault="00000000">
            <w:pPr>
              <w:jc w:val="right"/>
              <w:rPr>
                <w:sz w:val="17"/>
              </w:rPr>
            </w:pPr>
            <w:r>
              <w:rPr>
                <w:sz w:val="17"/>
              </w:rPr>
              <w:t>285 621</w:t>
            </w:r>
          </w:p>
        </w:tc>
        <w:tc>
          <w:tcPr>
            <w:tcW w:w="1440" w:type="dxa"/>
            <w:tcBorders>
              <w:top w:val="nil"/>
              <w:left w:val="nil"/>
              <w:bottom w:val="nil"/>
              <w:right w:val="nil"/>
            </w:tcBorders>
            <w:vAlign w:val="bottom"/>
          </w:tcPr>
          <w:p w:rsidR="00000000" w:rsidRDefault="00000000">
            <w:pPr>
              <w:jc w:val="right"/>
              <w:rPr>
                <w:sz w:val="17"/>
              </w:rPr>
            </w:pPr>
            <w:r>
              <w:rPr>
                <w:sz w:val="17"/>
              </w:rPr>
              <w:t>143 521</w:t>
            </w:r>
          </w:p>
        </w:tc>
        <w:tc>
          <w:tcPr>
            <w:tcW w:w="1440" w:type="dxa"/>
            <w:tcBorders>
              <w:top w:val="nil"/>
              <w:left w:val="nil"/>
              <w:bottom w:val="nil"/>
              <w:right w:val="nil"/>
            </w:tcBorders>
            <w:vAlign w:val="bottom"/>
          </w:tcPr>
          <w:p w:rsidR="00000000" w:rsidRDefault="00000000">
            <w:pPr>
              <w:jc w:val="right"/>
              <w:rPr>
                <w:sz w:val="17"/>
              </w:rPr>
            </w:pPr>
            <w:r>
              <w:rPr>
                <w:sz w:val="17"/>
              </w:rPr>
              <w:t>142 100</w:t>
            </w:r>
          </w:p>
        </w:tc>
        <w:tc>
          <w:tcPr>
            <w:tcW w:w="1440" w:type="dxa"/>
            <w:tcBorders>
              <w:top w:val="nil"/>
              <w:left w:val="nil"/>
              <w:bottom w:val="nil"/>
              <w:right w:val="nil"/>
            </w:tcBorders>
          </w:tcPr>
          <w:p w:rsidR="00000000" w:rsidRDefault="00000000">
            <w:pPr>
              <w:jc w:val="right"/>
              <w:rPr>
                <w:sz w:val="17"/>
              </w:rPr>
            </w:pPr>
            <w:r>
              <w:rPr>
                <w:sz w:val="17"/>
              </w:rPr>
              <w:t>30-34</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35-39</w:t>
            </w:r>
          </w:p>
        </w:tc>
        <w:tc>
          <w:tcPr>
            <w:tcW w:w="1440" w:type="dxa"/>
            <w:tcBorders>
              <w:top w:val="nil"/>
              <w:left w:val="nil"/>
              <w:bottom w:val="nil"/>
              <w:right w:val="nil"/>
            </w:tcBorders>
            <w:vAlign w:val="bottom"/>
          </w:tcPr>
          <w:p w:rsidR="00000000" w:rsidRDefault="00000000">
            <w:pPr>
              <w:jc w:val="right"/>
              <w:rPr>
                <w:sz w:val="17"/>
              </w:rPr>
            </w:pPr>
            <w:r>
              <w:rPr>
                <w:sz w:val="17"/>
              </w:rPr>
              <w:t>301 389</w:t>
            </w:r>
          </w:p>
        </w:tc>
        <w:tc>
          <w:tcPr>
            <w:tcW w:w="1440" w:type="dxa"/>
            <w:tcBorders>
              <w:top w:val="nil"/>
              <w:left w:val="nil"/>
              <w:bottom w:val="nil"/>
              <w:right w:val="nil"/>
            </w:tcBorders>
            <w:vAlign w:val="bottom"/>
          </w:tcPr>
          <w:p w:rsidR="00000000" w:rsidRDefault="00000000">
            <w:pPr>
              <w:jc w:val="right"/>
              <w:rPr>
                <w:sz w:val="17"/>
              </w:rPr>
            </w:pPr>
            <w:r>
              <w:rPr>
                <w:sz w:val="17"/>
              </w:rPr>
              <w:t>149 556</w:t>
            </w:r>
          </w:p>
        </w:tc>
        <w:tc>
          <w:tcPr>
            <w:tcW w:w="1440" w:type="dxa"/>
            <w:tcBorders>
              <w:top w:val="nil"/>
              <w:left w:val="nil"/>
              <w:bottom w:val="nil"/>
              <w:right w:val="nil"/>
            </w:tcBorders>
            <w:vAlign w:val="bottom"/>
          </w:tcPr>
          <w:p w:rsidR="00000000" w:rsidRDefault="00000000">
            <w:pPr>
              <w:jc w:val="right"/>
              <w:rPr>
                <w:sz w:val="17"/>
              </w:rPr>
            </w:pPr>
            <w:r>
              <w:rPr>
                <w:sz w:val="17"/>
              </w:rPr>
              <w:t>151 832</w:t>
            </w:r>
          </w:p>
        </w:tc>
        <w:tc>
          <w:tcPr>
            <w:tcW w:w="1440" w:type="dxa"/>
            <w:tcBorders>
              <w:top w:val="nil"/>
              <w:left w:val="nil"/>
              <w:bottom w:val="nil"/>
              <w:right w:val="nil"/>
            </w:tcBorders>
          </w:tcPr>
          <w:p w:rsidR="00000000" w:rsidRDefault="00000000">
            <w:pPr>
              <w:jc w:val="right"/>
              <w:rPr>
                <w:sz w:val="17"/>
              </w:rPr>
            </w:pPr>
            <w:r>
              <w:rPr>
                <w:sz w:val="17"/>
              </w:rPr>
              <w:t>35-39</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40-44</w:t>
            </w:r>
          </w:p>
        </w:tc>
        <w:tc>
          <w:tcPr>
            <w:tcW w:w="1440" w:type="dxa"/>
            <w:tcBorders>
              <w:top w:val="nil"/>
              <w:left w:val="nil"/>
              <w:bottom w:val="nil"/>
              <w:right w:val="nil"/>
            </w:tcBorders>
            <w:vAlign w:val="bottom"/>
          </w:tcPr>
          <w:p w:rsidR="00000000" w:rsidRDefault="00000000">
            <w:pPr>
              <w:jc w:val="right"/>
              <w:rPr>
                <w:sz w:val="17"/>
              </w:rPr>
            </w:pPr>
            <w:r>
              <w:rPr>
                <w:sz w:val="17"/>
              </w:rPr>
              <w:t>295 142</w:t>
            </w:r>
          </w:p>
        </w:tc>
        <w:tc>
          <w:tcPr>
            <w:tcW w:w="1440" w:type="dxa"/>
            <w:tcBorders>
              <w:top w:val="nil"/>
              <w:left w:val="nil"/>
              <w:bottom w:val="nil"/>
              <w:right w:val="nil"/>
            </w:tcBorders>
            <w:vAlign w:val="bottom"/>
          </w:tcPr>
          <w:p w:rsidR="00000000" w:rsidRDefault="00000000">
            <w:pPr>
              <w:jc w:val="right"/>
              <w:rPr>
                <w:sz w:val="17"/>
              </w:rPr>
            </w:pPr>
            <w:r>
              <w:rPr>
                <w:sz w:val="17"/>
              </w:rPr>
              <w:t>146 081</w:t>
            </w:r>
          </w:p>
        </w:tc>
        <w:tc>
          <w:tcPr>
            <w:tcW w:w="1440" w:type="dxa"/>
            <w:tcBorders>
              <w:top w:val="nil"/>
              <w:left w:val="nil"/>
              <w:bottom w:val="nil"/>
              <w:right w:val="nil"/>
            </w:tcBorders>
            <w:vAlign w:val="bottom"/>
          </w:tcPr>
          <w:p w:rsidR="00000000" w:rsidRDefault="00000000">
            <w:pPr>
              <w:jc w:val="right"/>
              <w:rPr>
                <w:sz w:val="17"/>
              </w:rPr>
            </w:pPr>
            <w:r>
              <w:rPr>
                <w:sz w:val="17"/>
              </w:rPr>
              <w:t>149 061</w:t>
            </w:r>
          </w:p>
        </w:tc>
        <w:tc>
          <w:tcPr>
            <w:tcW w:w="1440" w:type="dxa"/>
            <w:tcBorders>
              <w:top w:val="nil"/>
              <w:left w:val="nil"/>
              <w:bottom w:val="nil"/>
              <w:right w:val="nil"/>
            </w:tcBorders>
          </w:tcPr>
          <w:p w:rsidR="00000000" w:rsidRDefault="00000000">
            <w:pPr>
              <w:jc w:val="right"/>
              <w:rPr>
                <w:sz w:val="17"/>
              </w:rPr>
            </w:pPr>
            <w:r>
              <w:rPr>
                <w:sz w:val="17"/>
              </w:rPr>
              <w:t>40-44</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45-49</w:t>
            </w:r>
          </w:p>
        </w:tc>
        <w:tc>
          <w:tcPr>
            <w:tcW w:w="1440" w:type="dxa"/>
            <w:tcBorders>
              <w:top w:val="nil"/>
              <w:left w:val="nil"/>
              <w:bottom w:val="nil"/>
              <w:right w:val="nil"/>
            </w:tcBorders>
            <w:vAlign w:val="bottom"/>
          </w:tcPr>
          <w:p w:rsidR="00000000" w:rsidRDefault="00000000">
            <w:pPr>
              <w:jc w:val="right"/>
              <w:rPr>
                <w:sz w:val="17"/>
              </w:rPr>
            </w:pPr>
            <w:r>
              <w:rPr>
                <w:sz w:val="17"/>
              </w:rPr>
              <w:t>271 886</w:t>
            </w:r>
          </w:p>
        </w:tc>
        <w:tc>
          <w:tcPr>
            <w:tcW w:w="1440" w:type="dxa"/>
            <w:tcBorders>
              <w:top w:val="nil"/>
              <w:left w:val="nil"/>
              <w:bottom w:val="nil"/>
              <w:right w:val="nil"/>
            </w:tcBorders>
            <w:vAlign w:val="bottom"/>
          </w:tcPr>
          <w:p w:rsidR="00000000" w:rsidRDefault="00000000">
            <w:pPr>
              <w:jc w:val="right"/>
              <w:rPr>
                <w:sz w:val="17"/>
              </w:rPr>
            </w:pPr>
            <w:r>
              <w:rPr>
                <w:sz w:val="17"/>
              </w:rPr>
              <w:t>133 873</w:t>
            </w:r>
          </w:p>
        </w:tc>
        <w:tc>
          <w:tcPr>
            <w:tcW w:w="1440" w:type="dxa"/>
            <w:tcBorders>
              <w:top w:val="nil"/>
              <w:left w:val="nil"/>
              <w:bottom w:val="nil"/>
              <w:right w:val="nil"/>
            </w:tcBorders>
            <w:vAlign w:val="bottom"/>
          </w:tcPr>
          <w:p w:rsidR="00000000" w:rsidRDefault="00000000">
            <w:pPr>
              <w:jc w:val="right"/>
              <w:rPr>
                <w:sz w:val="17"/>
              </w:rPr>
            </w:pPr>
            <w:r>
              <w:rPr>
                <w:sz w:val="17"/>
              </w:rPr>
              <w:t>138 013</w:t>
            </w:r>
          </w:p>
        </w:tc>
        <w:tc>
          <w:tcPr>
            <w:tcW w:w="1440" w:type="dxa"/>
            <w:tcBorders>
              <w:top w:val="nil"/>
              <w:left w:val="nil"/>
              <w:bottom w:val="nil"/>
              <w:right w:val="nil"/>
            </w:tcBorders>
          </w:tcPr>
          <w:p w:rsidR="00000000" w:rsidRDefault="00000000">
            <w:pPr>
              <w:jc w:val="right"/>
              <w:rPr>
                <w:sz w:val="17"/>
              </w:rPr>
            </w:pPr>
            <w:r>
              <w:rPr>
                <w:sz w:val="17"/>
              </w:rPr>
              <w:t>45-49</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50-54</w:t>
            </w:r>
          </w:p>
        </w:tc>
        <w:tc>
          <w:tcPr>
            <w:tcW w:w="1440" w:type="dxa"/>
            <w:tcBorders>
              <w:top w:val="nil"/>
              <w:left w:val="nil"/>
              <w:bottom w:val="nil"/>
              <w:right w:val="nil"/>
            </w:tcBorders>
            <w:vAlign w:val="bottom"/>
          </w:tcPr>
          <w:p w:rsidR="00000000" w:rsidRDefault="00000000">
            <w:pPr>
              <w:jc w:val="right"/>
              <w:rPr>
                <w:sz w:val="17"/>
              </w:rPr>
            </w:pPr>
            <w:r>
              <w:rPr>
                <w:sz w:val="17"/>
              </w:rPr>
              <w:t>238 103</w:t>
            </w:r>
          </w:p>
        </w:tc>
        <w:tc>
          <w:tcPr>
            <w:tcW w:w="1440" w:type="dxa"/>
            <w:tcBorders>
              <w:top w:val="nil"/>
              <w:left w:val="nil"/>
              <w:bottom w:val="nil"/>
              <w:right w:val="nil"/>
            </w:tcBorders>
            <w:vAlign w:val="bottom"/>
          </w:tcPr>
          <w:p w:rsidR="00000000" w:rsidRDefault="00000000">
            <w:pPr>
              <w:jc w:val="right"/>
              <w:rPr>
                <w:sz w:val="17"/>
              </w:rPr>
            </w:pPr>
            <w:r>
              <w:rPr>
                <w:sz w:val="17"/>
              </w:rPr>
              <w:t>114 692</w:t>
            </w:r>
          </w:p>
        </w:tc>
        <w:tc>
          <w:tcPr>
            <w:tcW w:w="1440" w:type="dxa"/>
            <w:tcBorders>
              <w:top w:val="nil"/>
              <w:left w:val="nil"/>
              <w:bottom w:val="nil"/>
              <w:right w:val="nil"/>
            </w:tcBorders>
            <w:vAlign w:val="bottom"/>
          </w:tcPr>
          <w:p w:rsidR="00000000" w:rsidRDefault="00000000">
            <w:pPr>
              <w:jc w:val="right"/>
              <w:rPr>
                <w:sz w:val="17"/>
              </w:rPr>
            </w:pPr>
            <w:r>
              <w:rPr>
                <w:sz w:val="17"/>
              </w:rPr>
              <w:t>123 411</w:t>
            </w:r>
          </w:p>
        </w:tc>
        <w:tc>
          <w:tcPr>
            <w:tcW w:w="1440" w:type="dxa"/>
            <w:tcBorders>
              <w:top w:val="nil"/>
              <w:left w:val="nil"/>
              <w:bottom w:val="nil"/>
              <w:right w:val="nil"/>
            </w:tcBorders>
          </w:tcPr>
          <w:p w:rsidR="00000000" w:rsidRDefault="00000000">
            <w:pPr>
              <w:jc w:val="right"/>
              <w:rPr>
                <w:sz w:val="17"/>
              </w:rPr>
            </w:pPr>
            <w:r>
              <w:rPr>
                <w:sz w:val="17"/>
              </w:rPr>
              <w:t>50-54</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55-59</w:t>
            </w:r>
          </w:p>
        </w:tc>
        <w:tc>
          <w:tcPr>
            <w:tcW w:w="1440" w:type="dxa"/>
            <w:tcBorders>
              <w:top w:val="nil"/>
              <w:left w:val="nil"/>
              <w:bottom w:val="nil"/>
              <w:right w:val="nil"/>
            </w:tcBorders>
            <w:vAlign w:val="bottom"/>
          </w:tcPr>
          <w:p w:rsidR="00000000" w:rsidRDefault="00000000">
            <w:pPr>
              <w:jc w:val="right"/>
              <w:rPr>
                <w:sz w:val="17"/>
              </w:rPr>
            </w:pPr>
            <w:r>
              <w:rPr>
                <w:sz w:val="17"/>
              </w:rPr>
              <w:t>195 512</w:t>
            </w:r>
          </w:p>
        </w:tc>
        <w:tc>
          <w:tcPr>
            <w:tcW w:w="1440" w:type="dxa"/>
            <w:tcBorders>
              <w:top w:val="nil"/>
              <w:left w:val="nil"/>
              <w:bottom w:val="nil"/>
              <w:right w:val="nil"/>
            </w:tcBorders>
            <w:vAlign w:val="bottom"/>
          </w:tcPr>
          <w:p w:rsidR="00000000" w:rsidRDefault="00000000">
            <w:pPr>
              <w:jc w:val="right"/>
              <w:rPr>
                <w:sz w:val="17"/>
              </w:rPr>
            </w:pPr>
            <w:r>
              <w:rPr>
                <w:sz w:val="17"/>
              </w:rPr>
              <w:t>91 516</w:t>
            </w:r>
          </w:p>
        </w:tc>
        <w:tc>
          <w:tcPr>
            <w:tcW w:w="1440" w:type="dxa"/>
            <w:tcBorders>
              <w:top w:val="nil"/>
              <w:left w:val="nil"/>
              <w:bottom w:val="nil"/>
              <w:right w:val="nil"/>
            </w:tcBorders>
            <w:vAlign w:val="bottom"/>
          </w:tcPr>
          <w:p w:rsidR="00000000" w:rsidRDefault="00000000">
            <w:pPr>
              <w:jc w:val="right"/>
              <w:rPr>
                <w:sz w:val="17"/>
              </w:rPr>
            </w:pPr>
            <w:r>
              <w:rPr>
                <w:sz w:val="17"/>
              </w:rPr>
              <w:t>103 997</w:t>
            </w:r>
          </w:p>
        </w:tc>
        <w:tc>
          <w:tcPr>
            <w:tcW w:w="1440" w:type="dxa"/>
            <w:tcBorders>
              <w:top w:val="nil"/>
              <w:left w:val="nil"/>
              <w:bottom w:val="nil"/>
              <w:right w:val="nil"/>
            </w:tcBorders>
          </w:tcPr>
          <w:p w:rsidR="00000000" w:rsidRDefault="00000000">
            <w:pPr>
              <w:jc w:val="right"/>
              <w:rPr>
                <w:sz w:val="17"/>
              </w:rPr>
            </w:pPr>
            <w:r>
              <w:rPr>
                <w:sz w:val="17"/>
              </w:rPr>
              <w:t>55-59</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60-64</w:t>
            </w:r>
          </w:p>
        </w:tc>
        <w:tc>
          <w:tcPr>
            <w:tcW w:w="1440" w:type="dxa"/>
            <w:tcBorders>
              <w:top w:val="nil"/>
              <w:left w:val="nil"/>
              <w:bottom w:val="nil"/>
              <w:right w:val="nil"/>
            </w:tcBorders>
            <w:vAlign w:val="bottom"/>
          </w:tcPr>
          <w:p w:rsidR="00000000" w:rsidRDefault="00000000">
            <w:pPr>
              <w:jc w:val="right"/>
              <w:rPr>
                <w:sz w:val="17"/>
              </w:rPr>
            </w:pPr>
            <w:r>
              <w:rPr>
                <w:sz w:val="17"/>
              </w:rPr>
              <w:t>237 561</w:t>
            </w:r>
          </w:p>
        </w:tc>
        <w:tc>
          <w:tcPr>
            <w:tcW w:w="1440" w:type="dxa"/>
            <w:tcBorders>
              <w:top w:val="nil"/>
              <w:left w:val="nil"/>
              <w:bottom w:val="nil"/>
              <w:right w:val="nil"/>
            </w:tcBorders>
            <w:vAlign w:val="bottom"/>
          </w:tcPr>
          <w:p w:rsidR="00000000" w:rsidRDefault="00000000">
            <w:pPr>
              <w:jc w:val="right"/>
              <w:rPr>
                <w:sz w:val="17"/>
              </w:rPr>
            </w:pPr>
            <w:r>
              <w:rPr>
                <w:sz w:val="17"/>
              </w:rPr>
              <w:t>109 840</w:t>
            </w:r>
          </w:p>
        </w:tc>
        <w:tc>
          <w:tcPr>
            <w:tcW w:w="1440" w:type="dxa"/>
            <w:tcBorders>
              <w:top w:val="nil"/>
              <w:left w:val="nil"/>
              <w:bottom w:val="nil"/>
              <w:right w:val="nil"/>
            </w:tcBorders>
            <w:vAlign w:val="bottom"/>
          </w:tcPr>
          <w:p w:rsidR="00000000" w:rsidRDefault="00000000">
            <w:pPr>
              <w:jc w:val="right"/>
              <w:rPr>
                <w:sz w:val="17"/>
              </w:rPr>
            </w:pPr>
            <w:r>
              <w:rPr>
                <w:sz w:val="17"/>
              </w:rPr>
              <w:t>127 721</w:t>
            </w:r>
          </w:p>
        </w:tc>
        <w:tc>
          <w:tcPr>
            <w:tcW w:w="1440" w:type="dxa"/>
            <w:tcBorders>
              <w:top w:val="nil"/>
              <w:left w:val="nil"/>
              <w:bottom w:val="nil"/>
              <w:right w:val="nil"/>
            </w:tcBorders>
          </w:tcPr>
          <w:p w:rsidR="00000000" w:rsidRDefault="00000000">
            <w:pPr>
              <w:jc w:val="right"/>
              <w:rPr>
                <w:sz w:val="17"/>
              </w:rPr>
            </w:pPr>
            <w:r>
              <w:rPr>
                <w:sz w:val="17"/>
              </w:rPr>
              <w:t>60-64</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65-69</w:t>
            </w:r>
          </w:p>
        </w:tc>
        <w:tc>
          <w:tcPr>
            <w:tcW w:w="1440" w:type="dxa"/>
            <w:tcBorders>
              <w:top w:val="nil"/>
              <w:left w:val="nil"/>
              <w:bottom w:val="nil"/>
              <w:right w:val="nil"/>
            </w:tcBorders>
            <w:vAlign w:val="bottom"/>
          </w:tcPr>
          <w:p w:rsidR="00000000" w:rsidRDefault="00000000">
            <w:pPr>
              <w:jc w:val="right"/>
              <w:rPr>
                <w:sz w:val="17"/>
              </w:rPr>
            </w:pPr>
            <w:r>
              <w:rPr>
                <w:sz w:val="17"/>
              </w:rPr>
              <w:t>201 155</w:t>
            </w:r>
          </w:p>
        </w:tc>
        <w:tc>
          <w:tcPr>
            <w:tcW w:w="1440" w:type="dxa"/>
            <w:tcBorders>
              <w:top w:val="nil"/>
              <w:left w:val="nil"/>
              <w:bottom w:val="nil"/>
              <w:right w:val="nil"/>
            </w:tcBorders>
            <w:vAlign w:val="bottom"/>
          </w:tcPr>
          <w:p w:rsidR="00000000" w:rsidRDefault="00000000">
            <w:pPr>
              <w:jc w:val="right"/>
              <w:rPr>
                <w:sz w:val="17"/>
              </w:rPr>
            </w:pPr>
            <w:r>
              <w:rPr>
                <w:sz w:val="17"/>
              </w:rPr>
              <w:t>90 325</w:t>
            </w:r>
          </w:p>
        </w:tc>
        <w:tc>
          <w:tcPr>
            <w:tcW w:w="1440" w:type="dxa"/>
            <w:tcBorders>
              <w:top w:val="nil"/>
              <w:left w:val="nil"/>
              <w:bottom w:val="nil"/>
              <w:right w:val="nil"/>
            </w:tcBorders>
            <w:vAlign w:val="bottom"/>
          </w:tcPr>
          <w:p w:rsidR="00000000" w:rsidRDefault="00000000">
            <w:pPr>
              <w:jc w:val="right"/>
              <w:rPr>
                <w:sz w:val="17"/>
              </w:rPr>
            </w:pPr>
            <w:r>
              <w:rPr>
                <w:sz w:val="17"/>
              </w:rPr>
              <w:t>110 830</w:t>
            </w:r>
          </w:p>
        </w:tc>
        <w:tc>
          <w:tcPr>
            <w:tcW w:w="1440" w:type="dxa"/>
            <w:tcBorders>
              <w:top w:val="nil"/>
              <w:left w:val="nil"/>
              <w:bottom w:val="nil"/>
              <w:right w:val="nil"/>
            </w:tcBorders>
          </w:tcPr>
          <w:p w:rsidR="00000000" w:rsidRDefault="00000000">
            <w:pPr>
              <w:jc w:val="right"/>
              <w:rPr>
                <w:sz w:val="17"/>
              </w:rPr>
            </w:pPr>
            <w:r>
              <w:rPr>
                <w:sz w:val="17"/>
              </w:rPr>
              <w:t>65-69</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70-74</w:t>
            </w:r>
          </w:p>
        </w:tc>
        <w:tc>
          <w:tcPr>
            <w:tcW w:w="1440" w:type="dxa"/>
            <w:tcBorders>
              <w:top w:val="nil"/>
              <w:left w:val="nil"/>
              <w:bottom w:val="nil"/>
              <w:right w:val="nil"/>
            </w:tcBorders>
            <w:vAlign w:val="bottom"/>
          </w:tcPr>
          <w:p w:rsidR="00000000" w:rsidRDefault="00000000">
            <w:pPr>
              <w:jc w:val="right"/>
              <w:rPr>
                <w:sz w:val="17"/>
              </w:rPr>
            </w:pPr>
            <w:r>
              <w:rPr>
                <w:sz w:val="17"/>
              </w:rPr>
              <w:t>144 991</w:t>
            </w:r>
          </w:p>
        </w:tc>
        <w:tc>
          <w:tcPr>
            <w:tcW w:w="1440" w:type="dxa"/>
            <w:tcBorders>
              <w:top w:val="nil"/>
              <w:left w:val="nil"/>
              <w:bottom w:val="nil"/>
              <w:right w:val="nil"/>
            </w:tcBorders>
            <w:vAlign w:val="bottom"/>
          </w:tcPr>
          <w:p w:rsidR="00000000" w:rsidRDefault="00000000">
            <w:pPr>
              <w:jc w:val="right"/>
              <w:rPr>
                <w:sz w:val="17"/>
              </w:rPr>
            </w:pPr>
            <w:r>
              <w:rPr>
                <w:sz w:val="17"/>
              </w:rPr>
              <w:t>62 139</w:t>
            </w:r>
          </w:p>
        </w:tc>
        <w:tc>
          <w:tcPr>
            <w:tcW w:w="1440" w:type="dxa"/>
            <w:tcBorders>
              <w:top w:val="nil"/>
              <w:left w:val="nil"/>
              <w:bottom w:val="nil"/>
              <w:right w:val="nil"/>
            </w:tcBorders>
            <w:vAlign w:val="bottom"/>
          </w:tcPr>
          <w:p w:rsidR="00000000" w:rsidRDefault="00000000">
            <w:pPr>
              <w:jc w:val="right"/>
              <w:rPr>
                <w:sz w:val="17"/>
              </w:rPr>
            </w:pPr>
            <w:r>
              <w:rPr>
                <w:sz w:val="17"/>
              </w:rPr>
              <w:t>82 852</w:t>
            </w:r>
          </w:p>
        </w:tc>
        <w:tc>
          <w:tcPr>
            <w:tcW w:w="1440" w:type="dxa"/>
            <w:tcBorders>
              <w:top w:val="nil"/>
              <w:left w:val="nil"/>
              <w:bottom w:val="nil"/>
              <w:right w:val="nil"/>
            </w:tcBorders>
          </w:tcPr>
          <w:p w:rsidR="00000000" w:rsidRDefault="00000000">
            <w:pPr>
              <w:jc w:val="right"/>
              <w:rPr>
                <w:sz w:val="17"/>
              </w:rPr>
            </w:pPr>
            <w:r>
              <w:rPr>
                <w:sz w:val="17"/>
              </w:rPr>
              <w:t>70-74</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75-79</w:t>
            </w:r>
          </w:p>
        </w:tc>
        <w:tc>
          <w:tcPr>
            <w:tcW w:w="1440" w:type="dxa"/>
            <w:tcBorders>
              <w:top w:val="nil"/>
              <w:left w:val="nil"/>
              <w:bottom w:val="nil"/>
              <w:right w:val="nil"/>
            </w:tcBorders>
            <w:vAlign w:val="bottom"/>
          </w:tcPr>
          <w:p w:rsidR="00000000" w:rsidRDefault="00000000">
            <w:pPr>
              <w:jc w:val="right"/>
              <w:rPr>
                <w:sz w:val="17"/>
              </w:rPr>
            </w:pPr>
            <w:r>
              <w:rPr>
                <w:sz w:val="17"/>
              </w:rPr>
              <w:t>81 095</w:t>
            </w:r>
          </w:p>
        </w:tc>
        <w:tc>
          <w:tcPr>
            <w:tcW w:w="1440" w:type="dxa"/>
            <w:tcBorders>
              <w:top w:val="nil"/>
              <w:left w:val="nil"/>
              <w:bottom w:val="nil"/>
              <w:right w:val="nil"/>
            </w:tcBorders>
            <w:vAlign w:val="bottom"/>
          </w:tcPr>
          <w:p w:rsidR="00000000" w:rsidRDefault="00000000">
            <w:pPr>
              <w:jc w:val="right"/>
              <w:rPr>
                <w:sz w:val="17"/>
              </w:rPr>
            </w:pPr>
            <w:r>
              <w:rPr>
                <w:sz w:val="17"/>
              </w:rPr>
              <w:t>28 647</w:t>
            </w:r>
          </w:p>
        </w:tc>
        <w:tc>
          <w:tcPr>
            <w:tcW w:w="1440" w:type="dxa"/>
            <w:tcBorders>
              <w:top w:val="nil"/>
              <w:left w:val="nil"/>
              <w:bottom w:val="nil"/>
              <w:right w:val="nil"/>
            </w:tcBorders>
            <w:vAlign w:val="bottom"/>
          </w:tcPr>
          <w:p w:rsidR="00000000" w:rsidRDefault="00000000">
            <w:pPr>
              <w:jc w:val="right"/>
              <w:rPr>
                <w:sz w:val="17"/>
              </w:rPr>
            </w:pPr>
            <w:r>
              <w:rPr>
                <w:sz w:val="17"/>
              </w:rPr>
              <w:t>52 448</w:t>
            </w:r>
          </w:p>
        </w:tc>
        <w:tc>
          <w:tcPr>
            <w:tcW w:w="1440" w:type="dxa"/>
            <w:tcBorders>
              <w:top w:val="nil"/>
              <w:left w:val="nil"/>
              <w:bottom w:val="nil"/>
              <w:right w:val="nil"/>
            </w:tcBorders>
          </w:tcPr>
          <w:p w:rsidR="00000000" w:rsidRDefault="00000000">
            <w:pPr>
              <w:jc w:val="right"/>
              <w:rPr>
                <w:sz w:val="17"/>
              </w:rPr>
            </w:pPr>
            <w:r>
              <w:rPr>
                <w:sz w:val="17"/>
              </w:rPr>
              <w:t>75-79</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80-84</w:t>
            </w:r>
          </w:p>
        </w:tc>
        <w:tc>
          <w:tcPr>
            <w:tcW w:w="1440" w:type="dxa"/>
            <w:tcBorders>
              <w:top w:val="nil"/>
              <w:left w:val="nil"/>
              <w:bottom w:val="nil"/>
              <w:right w:val="nil"/>
            </w:tcBorders>
            <w:vAlign w:val="bottom"/>
          </w:tcPr>
          <w:p w:rsidR="00000000" w:rsidRDefault="00000000">
            <w:pPr>
              <w:jc w:val="right"/>
              <w:rPr>
                <w:sz w:val="17"/>
              </w:rPr>
            </w:pPr>
            <w:r>
              <w:rPr>
                <w:sz w:val="17"/>
              </w:rPr>
              <w:t>19 360</w:t>
            </w:r>
          </w:p>
        </w:tc>
        <w:tc>
          <w:tcPr>
            <w:tcW w:w="1440" w:type="dxa"/>
            <w:tcBorders>
              <w:top w:val="nil"/>
              <w:left w:val="nil"/>
              <w:bottom w:val="nil"/>
              <w:right w:val="nil"/>
            </w:tcBorders>
            <w:vAlign w:val="bottom"/>
          </w:tcPr>
          <w:p w:rsidR="00000000" w:rsidRDefault="00000000">
            <w:pPr>
              <w:jc w:val="right"/>
              <w:rPr>
                <w:sz w:val="17"/>
              </w:rPr>
            </w:pPr>
            <w:r>
              <w:rPr>
                <w:sz w:val="17"/>
              </w:rPr>
              <w:t>6 707</w:t>
            </w:r>
          </w:p>
        </w:tc>
        <w:tc>
          <w:tcPr>
            <w:tcW w:w="1440" w:type="dxa"/>
            <w:tcBorders>
              <w:top w:val="nil"/>
              <w:left w:val="nil"/>
              <w:bottom w:val="nil"/>
              <w:right w:val="nil"/>
            </w:tcBorders>
            <w:vAlign w:val="bottom"/>
          </w:tcPr>
          <w:p w:rsidR="00000000" w:rsidRDefault="00000000">
            <w:pPr>
              <w:jc w:val="right"/>
              <w:rPr>
                <w:sz w:val="17"/>
              </w:rPr>
            </w:pPr>
            <w:r>
              <w:rPr>
                <w:sz w:val="17"/>
              </w:rPr>
              <w:t>12 653</w:t>
            </w:r>
          </w:p>
        </w:tc>
        <w:tc>
          <w:tcPr>
            <w:tcW w:w="1440" w:type="dxa"/>
            <w:tcBorders>
              <w:top w:val="nil"/>
              <w:left w:val="nil"/>
              <w:bottom w:val="nil"/>
              <w:right w:val="nil"/>
            </w:tcBorders>
          </w:tcPr>
          <w:p w:rsidR="00000000" w:rsidRDefault="00000000">
            <w:pPr>
              <w:jc w:val="right"/>
              <w:rPr>
                <w:sz w:val="17"/>
              </w:rPr>
            </w:pPr>
            <w:r>
              <w:rPr>
                <w:sz w:val="17"/>
              </w:rPr>
              <w:t>80-84</w:t>
            </w:r>
          </w:p>
        </w:tc>
      </w:tr>
      <w:tr w:rsidR="00000000">
        <w:tblPrEx>
          <w:tblCellMar>
            <w:top w:w="0" w:type="dxa"/>
            <w:left w:w="0" w:type="dxa"/>
            <w:bottom w:w="0" w:type="dxa"/>
            <w:right w:w="0" w:type="dxa"/>
          </w:tblCellMar>
        </w:tblPrEx>
        <w:tc>
          <w:tcPr>
            <w:tcW w:w="1440" w:type="dxa"/>
            <w:tcBorders>
              <w:top w:val="nil"/>
              <w:left w:val="nil"/>
              <w:bottom w:val="nil"/>
              <w:right w:val="nil"/>
            </w:tcBorders>
            <w:vAlign w:val="bottom"/>
          </w:tcPr>
          <w:p w:rsidR="00000000" w:rsidRDefault="00000000">
            <w:pPr>
              <w:rPr>
                <w:sz w:val="17"/>
              </w:rPr>
            </w:pPr>
            <w:r>
              <w:rPr>
                <w:sz w:val="17"/>
              </w:rPr>
              <w:t>85 и старше</w:t>
            </w:r>
          </w:p>
        </w:tc>
        <w:tc>
          <w:tcPr>
            <w:tcW w:w="1440" w:type="dxa"/>
            <w:tcBorders>
              <w:top w:val="nil"/>
              <w:left w:val="nil"/>
              <w:bottom w:val="nil"/>
              <w:right w:val="nil"/>
            </w:tcBorders>
            <w:vAlign w:val="bottom"/>
          </w:tcPr>
          <w:p w:rsidR="00000000" w:rsidRDefault="00000000">
            <w:pPr>
              <w:jc w:val="right"/>
              <w:rPr>
                <w:sz w:val="17"/>
              </w:rPr>
            </w:pPr>
            <w:r>
              <w:rPr>
                <w:sz w:val="17"/>
              </w:rPr>
              <w:t>19 248</w:t>
            </w:r>
          </w:p>
        </w:tc>
        <w:tc>
          <w:tcPr>
            <w:tcW w:w="1440" w:type="dxa"/>
            <w:tcBorders>
              <w:top w:val="nil"/>
              <w:left w:val="nil"/>
              <w:bottom w:val="nil"/>
              <w:right w:val="nil"/>
            </w:tcBorders>
            <w:vAlign w:val="bottom"/>
          </w:tcPr>
          <w:p w:rsidR="00000000" w:rsidRDefault="00000000">
            <w:pPr>
              <w:jc w:val="right"/>
              <w:rPr>
                <w:sz w:val="17"/>
              </w:rPr>
            </w:pPr>
            <w:r>
              <w:rPr>
                <w:sz w:val="17"/>
              </w:rPr>
              <w:t>6 501</w:t>
            </w:r>
          </w:p>
        </w:tc>
        <w:tc>
          <w:tcPr>
            <w:tcW w:w="1440" w:type="dxa"/>
            <w:tcBorders>
              <w:top w:val="nil"/>
              <w:left w:val="nil"/>
              <w:bottom w:val="nil"/>
              <w:right w:val="nil"/>
            </w:tcBorders>
            <w:vAlign w:val="bottom"/>
          </w:tcPr>
          <w:p w:rsidR="00000000" w:rsidRDefault="00000000">
            <w:pPr>
              <w:jc w:val="right"/>
              <w:rPr>
                <w:sz w:val="17"/>
              </w:rPr>
            </w:pPr>
            <w:r>
              <w:rPr>
                <w:sz w:val="17"/>
              </w:rPr>
              <w:t>12 747</w:t>
            </w:r>
          </w:p>
        </w:tc>
        <w:tc>
          <w:tcPr>
            <w:tcW w:w="1440" w:type="dxa"/>
            <w:tcBorders>
              <w:top w:val="nil"/>
              <w:left w:val="nil"/>
              <w:bottom w:val="nil"/>
              <w:right w:val="nil"/>
            </w:tcBorders>
          </w:tcPr>
          <w:p w:rsidR="00000000" w:rsidRDefault="00000000">
            <w:pPr>
              <w:jc w:val="right"/>
              <w:rPr>
                <w:sz w:val="17"/>
              </w:rPr>
            </w:pPr>
            <w:r>
              <w:rPr>
                <w:sz w:val="17"/>
              </w:rPr>
              <w:t>85 и старше</w:t>
            </w:r>
          </w:p>
        </w:tc>
      </w:tr>
      <w:tr w:rsidR="00000000">
        <w:tblPrEx>
          <w:tblCellMar>
            <w:top w:w="0" w:type="dxa"/>
            <w:left w:w="0" w:type="dxa"/>
            <w:bottom w:w="0" w:type="dxa"/>
            <w:right w:w="0" w:type="dxa"/>
          </w:tblCellMar>
        </w:tblPrEx>
        <w:tc>
          <w:tcPr>
            <w:tcW w:w="1440" w:type="dxa"/>
            <w:tcBorders>
              <w:top w:val="nil"/>
              <w:left w:val="nil"/>
              <w:bottom w:val="single" w:sz="12" w:space="0" w:color="auto"/>
              <w:right w:val="nil"/>
            </w:tcBorders>
            <w:vAlign w:val="bottom"/>
          </w:tcPr>
          <w:p w:rsidR="00000000" w:rsidRDefault="00000000">
            <w:pPr>
              <w:rPr>
                <w:sz w:val="17"/>
              </w:rPr>
            </w:pPr>
            <w:r>
              <w:rPr>
                <w:sz w:val="17"/>
              </w:rPr>
              <w:t>Всего</w:t>
            </w:r>
          </w:p>
        </w:tc>
        <w:tc>
          <w:tcPr>
            <w:tcW w:w="1440" w:type="dxa"/>
            <w:tcBorders>
              <w:top w:val="nil"/>
              <w:left w:val="nil"/>
              <w:bottom w:val="single" w:sz="12" w:space="0" w:color="auto"/>
              <w:right w:val="nil"/>
            </w:tcBorders>
            <w:vAlign w:val="bottom"/>
          </w:tcPr>
          <w:p w:rsidR="00000000" w:rsidRDefault="00000000">
            <w:pPr>
              <w:jc w:val="right"/>
              <w:rPr>
                <w:sz w:val="17"/>
              </w:rPr>
            </w:pPr>
            <w:r>
              <w:rPr>
                <w:sz w:val="17"/>
              </w:rPr>
              <w:t>3 828 397</w:t>
            </w:r>
          </w:p>
        </w:tc>
        <w:tc>
          <w:tcPr>
            <w:tcW w:w="1440" w:type="dxa"/>
            <w:tcBorders>
              <w:top w:val="nil"/>
              <w:left w:val="nil"/>
              <w:bottom w:val="single" w:sz="12" w:space="0" w:color="auto"/>
              <w:right w:val="nil"/>
            </w:tcBorders>
            <w:vAlign w:val="bottom"/>
          </w:tcPr>
          <w:p w:rsidR="00000000" w:rsidRDefault="00000000">
            <w:pPr>
              <w:jc w:val="right"/>
              <w:rPr>
                <w:sz w:val="17"/>
              </w:rPr>
            </w:pPr>
            <w:r>
              <w:rPr>
                <w:sz w:val="17"/>
              </w:rPr>
              <w:t>1 868 270</w:t>
            </w:r>
          </w:p>
        </w:tc>
        <w:tc>
          <w:tcPr>
            <w:tcW w:w="1440" w:type="dxa"/>
            <w:tcBorders>
              <w:top w:val="nil"/>
              <w:left w:val="nil"/>
              <w:bottom w:val="single" w:sz="12" w:space="0" w:color="auto"/>
              <w:right w:val="nil"/>
            </w:tcBorders>
            <w:vAlign w:val="bottom"/>
          </w:tcPr>
          <w:p w:rsidR="00000000" w:rsidRDefault="00000000">
            <w:pPr>
              <w:jc w:val="right"/>
              <w:rPr>
                <w:sz w:val="17"/>
              </w:rPr>
            </w:pPr>
            <w:r>
              <w:rPr>
                <w:sz w:val="17"/>
              </w:rPr>
              <w:t>1 960 127</w:t>
            </w:r>
          </w:p>
        </w:tc>
        <w:tc>
          <w:tcPr>
            <w:tcW w:w="1440" w:type="dxa"/>
            <w:tcBorders>
              <w:top w:val="nil"/>
              <w:left w:val="nil"/>
              <w:bottom w:val="single" w:sz="12" w:space="0" w:color="auto"/>
              <w:right w:val="nil"/>
            </w:tcBorders>
          </w:tcPr>
          <w:p w:rsidR="00000000" w:rsidRDefault="00000000">
            <w:pPr>
              <w:jc w:val="right"/>
              <w:rPr>
                <w:sz w:val="17"/>
              </w:rPr>
            </w:pPr>
            <w:r>
              <w:rPr>
                <w:sz w:val="17"/>
              </w:rPr>
              <w:t>Всего</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Трудоспособное население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мужчины в возрасте от 15 до 64 лет</w:t>
      </w:r>
      <w:r>
        <w:tab/>
      </w:r>
      <w:r>
        <w:tab/>
        <w:t>1 313 281 человек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женщины в возрасте от 15 до 59 лет</w:t>
      </w:r>
      <w:r>
        <w:tab/>
      </w:r>
      <w:r>
        <w:tab/>
        <w:t>1 219 821 человек.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Нынешняя численность населения в Республике Сербской по состоянию на 30 июня 2002 года - 1 513 127 человек.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Нынешняя численность населения в Федерации Боснии и Герцеговины по с</w:t>
      </w:r>
      <w:r>
        <w:t>о</w:t>
      </w:r>
      <w:r>
        <w:t>стоянию на 30 июня 2002 года - 2 315 270 человек.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Примечание: оценка произведена в Статистическом управлении Боснии и Ге</w:t>
      </w:r>
      <w:r>
        <w:t>р</w:t>
      </w:r>
      <w:r>
        <w:t>цеговины и опубликована в статистическом бю</w:t>
      </w:r>
      <w:r>
        <w:t>л</w:t>
      </w:r>
      <w:r>
        <w:t>летене 5.2003.</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Состояние здоровья населения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239.</w:t>
      </w:r>
      <w:r>
        <w:tab/>
        <w:t>В послевоенный период состояние здоровья население в Боснии и Герц</w:t>
      </w:r>
      <w:r>
        <w:t>е</w:t>
      </w:r>
      <w:r>
        <w:t>говине постоянно ухудшается. Как уже отмечалось, основные причины этого заключаются в следующем: социально-экономическое положение, безработица, миграция, большое число перемещенных лиц, недостаточный охват медици</w:t>
      </w:r>
      <w:r>
        <w:t>н</w:t>
      </w:r>
      <w:r>
        <w:t>ским страхованием, нездоровый образ жизни и т.д. Из-за проблем со здоровьем 22 процента населения в Боснии и Герцеговине в возрасте старше 17 лет стр</w:t>
      </w:r>
      <w:r>
        <w:t>а</w:t>
      </w:r>
      <w:r>
        <w:t>дает спорадическим снижением активности в своей повседневной жизни, 24 процента имеют хронические, а 4 процента - серьезные расстройства. Нар</w:t>
      </w:r>
      <w:r>
        <w:t>я</w:t>
      </w:r>
      <w:r>
        <w:t xml:space="preserve">ду с этим существенное ухудшение состояния здоровья населения произошло в результате воздействия длительных стрессов, а именно посттравматических стрессов.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Несмотря на тот факт, что война непосредственно сказалась на состоянии здоровья населения, ожидаемая продолжительность жизни в 2000 году соста</w:t>
      </w:r>
      <w:r>
        <w:t>в</w:t>
      </w:r>
      <w:r>
        <w:t>ляла от 71 до 75 лет, что аналогично положению в 1990 году. В 2000 году ст</w:t>
      </w:r>
      <w:r>
        <w:t>е</w:t>
      </w:r>
      <w:r>
        <w:t>пень охвата иммунизацией с целью защиты от туберкулеза, дифтерии, столбн</w:t>
      </w:r>
      <w:r>
        <w:t>я</w:t>
      </w:r>
      <w:r>
        <w:t>ка, перусеса, полиомиелита и кори была весьма высока и составляла 95 процентов, что немного ниже уровня 1991 года, когда этот показатель сост</w:t>
      </w:r>
      <w:r>
        <w:t>а</w:t>
      </w:r>
      <w:r>
        <w:t>вил 98 процентов. В 1991 году при уровне младенческой смертности в размере 14,5 на тысячу родившихся Босния и Герцеговина входила в категорию стран, в которых этот показатель относительно низок (в Центральной и Восточной Е</w:t>
      </w:r>
      <w:r>
        <w:t>в</w:t>
      </w:r>
      <w:r>
        <w:t>ропе уровень детской смертности составлял 17,5 на тысячу, а в Европе в сре</w:t>
      </w:r>
      <w:r>
        <w:t>д</w:t>
      </w:r>
      <w:r>
        <w:t>нем 7,5 на тысячу рождений). После войны из-за различий в методах учета о</w:t>
      </w:r>
      <w:r>
        <w:t>т</w:t>
      </w:r>
      <w:r>
        <w:t>мечались значительные расхождения в уровнях детской смертности между кантонами/регионами, так что к показателю за 1998 год, составляющему 11,7 на тысячу рождений, следует подходить осторожно. Что касается детской смертности, то по сравнению с Западной Европой у нас этот показатель вдвое хуже. Уровень смертности среди только что родивших женщин также является одним из надежных показателей, свидетельствующих об эффективности си</w:t>
      </w:r>
      <w:r>
        <w:t>с</w:t>
      </w:r>
      <w:r>
        <w:t>темы здравоохранения. В довоенной Боснии и Герцеговине этот уровень с</w:t>
      </w:r>
      <w:r>
        <w:t>о</w:t>
      </w:r>
      <w:r>
        <w:t>ставлял 10,7 на тысячу рождений. Хотя в послевоенный период эти данные не публиковались, подсчитано, что смертность среди только что родивших же</w:t>
      </w:r>
      <w:r>
        <w:t>н</w:t>
      </w:r>
      <w:r>
        <w:t>щин возрастает. Почти половина мужского населения в возрасте старше 17 лет курит. Аналогичная тенденция наблюдается и среди взрослых женщин (22 процента). В "глобальном реестре состояния здоровья", который отражает общие достижения страны в области здравоохранения, Босния и Герцеговина занимает 79</w:t>
      </w:r>
      <w:r>
        <w:noBreakHyphen/>
        <w:t>е место.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Основные заболевания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240.</w:t>
      </w:r>
      <w:r>
        <w:tab/>
        <w:t>По сравнению с перечнем основных причин смертности в Боснии и Ге</w:t>
      </w:r>
      <w:r>
        <w:t>р</w:t>
      </w:r>
      <w:r>
        <w:t>цеговине до войны и даже в сравнении с большинством европейских стран н</w:t>
      </w:r>
      <w:r>
        <w:t>ы</w:t>
      </w:r>
      <w:r>
        <w:t>нешний перечень основных причин смертности в Боснии и Герцеговине пра</w:t>
      </w:r>
      <w:r>
        <w:t>к</w:t>
      </w:r>
      <w:r>
        <w:t>тически не изменился. В 1991 году первые места среди основных причин смертности и сокращения жизни вследствие инвалидности занимали заболев</w:t>
      </w:r>
      <w:r>
        <w:t>а</w:t>
      </w:r>
      <w:r>
        <w:t>ния сердечно-сосудистой системы (50 процентов), как, например, гипертония и коронарные ишемические заболевания. На втором месте (18 процентов) были злокачественные новообразования, и в последние несколько десятилетий их число возросло. На третьем месте находятся симптомы и другие неопределе</w:t>
      </w:r>
      <w:r>
        <w:t>н</w:t>
      </w:r>
      <w:r>
        <w:t>ные состояния. Доля травм и отравлений также постепенно возрастает, и они находятся на четвертом месте среди конкретных причин смерти. Тремя осно</w:t>
      </w:r>
      <w:r>
        <w:t>в</w:t>
      </w:r>
      <w:r>
        <w:t>ными инфекционными заболеваниями в Боснии и Герцеговине являются ре</w:t>
      </w:r>
      <w:r>
        <w:t>с</w:t>
      </w:r>
      <w:r>
        <w:t>пираторные заболевания (например, ветряная оспа), желудочно-кишечные з</w:t>
      </w:r>
      <w:r>
        <w:t>а</w:t>
      </w:r>
      <w:r>
        <w:t>болевания (грипп), детские инфекционные заболевания (например, ветряная оспа), желудочно-кишечные заболевания (например, энтероколит). Вместе с 46</w:t>
      </w:r>
      <w:r>
        <w:rPr>
          <w:lang w:val="en-US"/>
        </w:rPr>
        <w:t> </w:t>
      </w:r>
      <w:r>
        <w:t>европейскими странами Боснии и Герцеговины начала осуществлять пр</w:t>
      </w:r>
      <w:r>
        <w:t>о</w:t>
      </w:r>
      <w:r>
        <w:t>грамму контроля за туберкулезом в Европе - Евро ТБ. Согласно данным 2000</w:t>
      </w:r>
      <w:r>
        <w:rPr>
          <w:lang w:val="en-US"/>
        </w:rPr>
        <w:t> </w:t>
      </w:r>
      <w:r>
        <w:t>года, частотность заболевания туберкулезом в Боснии и Герцеговине с</w:t>
      </w:r>
      <w:r>
        <w:t>о</w:t>
      </w:r>
      <w:r>
        <w:t>ставляла 65,6 на 100 000 человек, а средний уровень заболеваемости для 46 е</w:t>
      </w:r>
      <w:r>
        <w:t>в</w:t>
      </w:r>
      <w:r>
        <w:t>ропейских стран составлял 76 на 100 000 человек. После войны уровень заб</w:t>
      </w:r>
      <w:r>
        <w:t>о</w:t>
      </w:r>
      <w:r>
        <w:t>леваемости туберкулезом возрос по сравнению с уровнем, существовавшим до войны, и напрямую связан с обнищанием населения. В предшествующий пер</w:t>
      </w:r>
      <w:r>
        <w:t>и</w:t>
      </w:r>
      <w:r>
        <w:t>од уровень смертности от сердечно-сосудистых заболеваний возрос. Так, в 2000 году было зарегистрировано 12 500 случаев по сравнению с 11 069 сл</w:t>
      </w:r>
      <w:r>
        <w:t>у</w:t>
      </w:r>
      <w:r>
        <w:t>чаями в 1991 году. С особенно серьезными проблемами в области здравоохр</w:t>
      </w:r>
      <w:r>
        <w:t>а</w:t>
      </w:r>
      <w:r>
        <w:t>нения сталкиваются пожилые люди, которые, помимо тяжелого финансового положения, имеют к тому же ограниченный доступ к медико-санитарному о</w:t>
      </w:r>
      <w:r>
        <w:t>б</w:t>
      </w:r>
      <w:r>
        <w:t>служиванию из-за слабого развития общественного транспорта. Возрастает также количество злокачественных заболеваний, и уровень смертности от них в 2000 году составлял 275 на 100 000 человек по сравнению с 175 на 100 000 человек в 1991 году. Серьезной проблемой для государственной сист</w:t>
      </w:r>
      <w:r>
        <w:t>е</w:t>
      </w:r>
      <w:r>
        <w:t>мы здравоохранения являются также автомобильные аварии, физическая инв</w:t>
      </w:r>
      <w:r>
        <w:t>а</w:t>
      </w:r>
      <w:r>
        <w:t>лидность и психические заболевания. Имеющиеся данные показывают, что в результате войны инвалидами стали свыше 47 000 человек. Число лиц, постр</w:t>
      </w:r>
      <w:r>
        <w:t>а</w:t>
      </w:r>
      <w:r>
        <w:t>давших в автомобильных авариях в 1991 году, составило 243 на каждые 100 000 человек. По оценкам, здесь наблюдается заметная тенде</w:t>
      </w:r>
      <w:r>
        <w:t>н</w:t>
      </w:r>
      <w:r>
        <w:t>ция к росту.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241.</w:t>
      </w:r>
      <w:r>
        <w:tab/>
        <w:t>Население в Боснии и Герцеговине сталкивается с серьезными проблем</w:t>
      </w:r>
      <w:r>
        <w:t>а</w:t>
      </w:r>
      <w:r>
        <w:t>ми в области здравоохранения и тенденциями, которые служат причиной во</w:t>
      </w:r>
      <w:r>
        <w:t>з</w:t>
      </w:r>
      <w:r>
        <w:t>никновения проблем со здоровьем (употребление табака, алкоголя, наркот</w:t>
      </w:r>
      <w:r>
        <w:t>и</w:t>
      </w:r>
      <w:r>
        <w:t>ков), антиобщественного поведения и насилия, депрессии, самоубийств и ц</w:t>
      </w:r>
      <w:r>
        <w:t>е</w:t>
      </w:r>
      <w:r>
        <w:t>лого ряда других различных физических и психических расстройств. Подве</w:t>
      </w:r>
      <w:r>
        <w:t>р</w:t>
      </w:r>
      <w:r>
        <w:t>женность населения Боснии и Герцеговины таким факторам риска, как кур</w:t>
      </w:r>
      <w:r>
        <w:t>е</w:t>
      </w:r>
      <w:r>
        <w:t>ние, повышенное артериальное давление, повышенный уровень сахара в крови, повышенное содержание холестерола и других жиров в крови, низкая физич</w:t>
      </w:r>
      <w:r>
        <w:t>е</w:t>
      </w:r>
      <w:r>
        <w:t>ская активность, опасность заражения болезнями, передающимися половым путем (СПИД), и т.д., которые могут существенно повлиять на потенциальное состояние здоровья отдельных лиц и общества в целом, серьезно возрастает. Нездоровое питание и низкое качество воды ухудшают состояние здоровья, и, поскольку эти условия в последние несколько лет особенно не изменились, кризис лишь становится еще более серьезным, а негативные медико-санитарные факторы начинают превалировать над позитивн</w:t>
      </w:r>
      <w:r>
        <w:t>ы</w:t>
      </w:r>
      <w:r>
        <w:t>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242.</w:t>
      </w:r>
      <w:r>
        <w:tab/>
        <w:t>Сохранение и улучшение состояния здоровья населения является одной из наиболее важных задач, которые стоят перед каждой социальной общиной. Особое внимание уделяется социальному и медико-санитарному обслужив</w:t>
      </w:r>
      <w:r>
        <w:t>а</w:t>
      </w:r>
      <w:r>
        <w:t>нию особо восприимчивых групп населения, прежде всего женщин и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Нынешнее состояние системы медико-санитарной информации и метод</w:t>
      </w:r>
      <w:r>
        <w:t>о</w:t>
      </w:r>
      <w:r>
        <w:t>логия сбора данных таковы, что они не могут служить базой данных, на основе которой можно было бы производить качественную оценку состояния здоровья населения, и не позволяют осуществлять качественное планирование, управл</w:t>
      </w:r>
      <w:r>
        <w:t>е</w:t>
      </w:r>
      <w:r>
        <w:t>ние, принятие решений, обеспечивать качество и повышать эффективность м</w:t>
      </w:r>
      <w:r>
        <w:t>е</w:t>
      </w:r>
      <w:r>
        <w:t>дико-санитарной защиты. По этой причине после войны был проведен ряд и</w:t>
      </w:r>
      <w:r>
        <w:t>с</w:t>
      </w:r>
      <w:r>
        <w:t>следований, направленных на сбор данных, которые дали бы более реалисти</w:t>
      </w:r>
      <w:r>
        <w:t>ч</w:t>
      </w:r>
      <w:r>
        <w:t>ную картину состояния здоровья населения и организации системы охраны здор</w:t>
      </w:r>
      <w:r>
        <w:t>о</w:t>
      </w:r>
      <w:r>
        <w:t xml:space="preserve">вья.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Хронические массовые неинфекционные заболевания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243.</w:t>
      </w:r>
      <w:r>
        <w:tab/>
        <w:t>Огромное значение имеет контроль за хроническими массовыми неи</w:t>
      </w:r>
      <w:r>
        <w:t>н</w:t>
      </w:r>
      <w:r>
        <w:t>фекционными заболеваниями, поскольку они чаще всего встречаются среди общих пр</w:t>
      </w:r>
      <w:r>
        <w:t>и</w:t>
      </w:r>
      <w:r>
        <w:t>чин смертности и занимают среди них ведущее место.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2001 году в Боснии и Герцеговине на первом месте среди этих забол</w:t>
      </w:r>
      <w:r>
        <w:t>е</w:t>
      </w:r>
      <w:r>
        <w:t>ваний были заболевания сердечно-сосудистой системы, уровень которых с</w:t>
      </w:r>
      <w:r>
        <w:t>о</w:t>
      </w:r>
      <w:r>
        <w:t>ставил 8300 на 100 000 человек, а также высокий уровень заболеваемости был характерен для болезней скелетно-мышечной системы (4594 на 100 000 человек), болезней пищеварительной системы (2852 на 100 000 человек) и психических дефектов и расстройств поведения (2100 на 100 000 человек). Медицинское обследование СИНДИ, проведенное в 2001 году Федеральным институтом общественного здравоохранения, подтве</w:t>
      </w:r>
      <w:r>
        <w:t>р</w:t>
      </w:r>
      <w:r>
        <w:t>дило наличие связи между нездоровым образом жизни населения и хронич</w:t>
      </w:r>
      <w:r>
        <w:t>е</w:t>
      </w:r>
      <w:r>
        <w:t>скими неинфе</w:t>
      </w:r>
      <w:r>
        <w:t>к</w:t>
      </w:r>
      <w:r>
        <w:t xml:space="preserve">ционными заболеваниями.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Инфекционные заболевания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244.</w:t>
      </w:r>
      <w:r>
        <w:tab/>
        <w:t>В 2001 году смертность от инфекционных и паразитарных заболеваний в Федерации Боснии и Герцеговины составила 2415 на каждые 100 000 человек. В общей структуре инфекционных и паразитарных заболеваний в 2001 году наиболее значительной являлась группа респираторных инфекционных забол</w:t>
      </w:r>
      <w:r>
        <w:t>е</w:t>
      </w:r>
      <w:r>
        <w:t>ваний, на которую приходилось 84,8 процента случаев заболеваний, за ней шла группа желудочно-кишечных заболеваний, на которые приходилось 10,4 процента, и паразитарные заболевания, составлявшие 3,4 процента, а о</w:t>
      </w:r>
      <w:r>
        <w:t>с</w:t>
      </w:r>
      <w:r>
        <w:t>тавшиеся 1,5 процента приход</w:t>
      </w:r>
      <w:r>
        <w:t>и</w:t>
      </w:r>
      <w:r>
        <w:t>лись на другие инфекционные заболевания.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2001 году от инфекционных заболеваний умерло 54 человека, и уровень смертности составил 2,34 на 100 000 человек.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Среди болезней, передающихся половым путем, низкий уровень смертн</w:t>
      </w:r>
      <w:r>
        <w:t>о</w:t>
      </w:r>
      <w:r>
        <w:t>сти отмечается среди заболевших сифилисом, который составил 19 зарегис</w:t>
      </w:r>
      <w:r>
        <w:t>т</w:t>
      </w:r>
      <w:r>
        <w:t>рированных случаев заболевания людей (уровень смертности составил 0,82 на 100 000 человек). В 2001 году было зарегистрировано 14 случаев гонореи, а уровень смертности составил 0,60 на 100 000 человек.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Стратегия борьбы с ВИЧ</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245.</w:t>
      </w:r>
      <w:r>
        <w:tab/>
        <w:t>В 2001 году в Федерации Боснии и Герцеговины был один зарегистрир</w:t>
      </w:r>
      <w:r>
        <w:t>о</w:t>
      </w:r>
      <w:r>
        <w:t>ванный случай СПИДа, и уровень смертности составил 0,04 на 100 000 человек, в то время как в 2000 году было зарегистрировано 2 случая, и уровень смертности составил 0,08 на 100 000 человек, а в 1999 году было зар</w:t>
      </w:r>
      <w:r>
        <w:t>е</w:t>
      </w:r>
      <w:r>
        <w:t>гистрировано 4 случая этого заболевания, и уровень смертности составил 0,17 на 100 000 человек. В свете высокого уровня смертности и средств передачи это заболевание требует постоянного эпидемиологического наблюдения и ко</w:t>
      </w:r>
      <w:r>
        <w:t>н</w:t>
      </w:r>
      <w:r>
        <w:t>троля. Планировалось принятие национальной стратегической программы профилактики этого заболевания в Боснии и Герцеговины и учреждение гос</w:t>
      </w:r>
      <w:r>
        <w:t>у</w:t>
      </w:r>
      <w:r>
        <w:t>дарственной комиссии по СПИДу. Медицинские работники женского пола та</w:t>
      </w:r>
      <w:r>
        <w:t>к</w:t>
      </w:r>
      <w:r>
        <w:t>же активно участвуют в разработке стратегической программы профилактики ВИЧ.</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По оценкам, в Федерации Боснии и Герцеговины в общей сложности н</w:t>
      </w:r>
      <w:r>
        <w:t>а</w:t>
      </w:r>
      <w:r>
        <w:t>считывается около 60 ВИЧ-инфицированных лиц.</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12.2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Тенденции и события, связанные с людьми, инфицированными СПИДом, на территории Федерации Боснии и Герцеговины в период 1997-2002 годов</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82"/>
        <w:gridCol w:w="810"/>
        <w:gridCol w:w="810"/>
        <w:gridCol w:w="990"/>
        <w:gridCol w:w="900"/>
        <w:gridCol w:w="2880"/>
      </w:tblGrid>
      <w:tr w:rsidR="00000000">
        <w:tblPrEx>
          <w:tblCellMar>
            <w:top w:w="0" w:type="dxa"/>
            <w:left w:w="0" w:type="dxa"/>
            <w:bottom w:w="0" w:type="dxa"/>
            <w:right w:w="0" w:type="dxa"/>
          </w:tblCellMar>
        </w:tblPrEx>
        <w:trPr>
          <w:tblHeader/>
        </w:trPr>
        <w:tc>
          <w:tcPr>
            <w:tcW w:w="882"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4"/>
              </w:rPr>
            </w:pPr>
            <w:r>
              <w:rPr>
                <w:i/>
                <w:sz w:val="14"/>
              </w:rPr>
              <w:t>Год</w:t>
            </w:r>
          </w:p>
        </w:tc>
        <w:tc>
          <w:tcPr>
            <w:tcW w:w="81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Возраст</w:t>
            </w:r>
          </w:p>
        </w:tc>
        <w:tc>
          <w:tcPr>
            <w:tcW w:w="81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Пол</w:t>
            </w:r>
          </w:p>
        </w:tc>
        <w:tc>
          <w:tcPr>
            <w:tcW w:w="99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Состояние</w:t>
            </w:r>
          </w:p>
        </w:tc>
        <w:tc>
          <w:tcPr>
            <w:tcW w:w="900" w:type="dxa"/>
            <w:tcBorders>
              <w:left w:val="nil"/>
              <w:bottom w:val="single" w:sz="12" w:space="0" w:color="auto"/>
              <w:right w:val="nil"/>
            </w:tcBorders>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Кантон</w:t>
            </w:r>
          </w:p>
        </w:tc>
        <w:tc>
          <w:tcPr>
            <w:tcW w:w="2880" w:type="dxa"/>
            <w:tcBorders>
              <w:left w:val="nil"/>
              <w:bottom w:val="single" w:sz="12" w:space="0" w:color="auto"/>
              <w:right w:val="nil"/>
            </w:tcBorders>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Путь передачи</w:t>
            </w:r>
          </w:p>
        </w:tc>
      </w:tr>
      <w:tr w:rsidR="00000000">
        <w:tblPrEx>
          <w:tblCellMar>
            <w:top w:w="0" w:type="dxa"/>
            <w:left w:w="0" w:type="dxa"/>
            <w:bottom w:w="0" w:type="dxa"/>
            <w:right w:w="0" w:type="dxa"/>
          </w:tblCellMar>
        </w:tblPrEx>
        <w:trPr>
          <w:trHeight w:hRule="exact" w:val="115"/>
          <w:tblHeader/>
        </w:trPr>
        <w:tc>
          <w:tcPr>
            <w:tcW w:w="88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288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82" w:type="dxa"/>
            <w:tcBorders>
              <w:top w:val="nil"/>
              <w:left w:val="nil"/>
              <w:bottom w:val="nil"/>
              <w:right w:val="nil"/>
            </w:tcBorders>
            <w:vAlign w:val="bottom"/>
          </w:tcPr>
          <w:p w:rsidR="00000000" w:rsidRDefault="00000000">
            <w:pPr>
              <w:keepNext/>
              <w:spacing w:line="240" w:lineRule="auto"/>
              <w:rPr>
                <w:sz w:val="17"/>
              </w:rPr>
            </w:pPr>
            <w:r>
              <w:rPr>
                <w:sz w:val="17"/>
              </w:rPr>
              <w:t>1997</w:t>
            </w:r>
          </w:p>
        </w:tc>
        <w:tc>
          <w:tcPr>
            <w:tcW w:w="810" w:type="dxa"/>
            <w:tcBorders>
              <w:top w:val="nil"/>
              <w:left w:val="nil"/>
              <w:bottom w:val="nil"/>
              <w:right w:val="nil"/>
            </w:tcBorders>
            <w:vAlign w:val="bottom"/>
          </w:tcPr>
          <w:p w:rsidR="00000000" w:rsidRDefault="00000000">
            <w:pPr>
              <w:keepNext/>
              <w:spacing w:line="240" w:lineRule="auto"/>
              <w:jc w:val="right"/>
              <w:rPr>
                <w:sz w:val="17"/>
              </w:rPr>
            </w:pPr>
            <w:r>
              <w:rPr>
                <w:sz w:val="17"/>
              </w:rPr>
              <w:t>31</w:t>
            </w:r>
          </w:p>
        </w:tc>
        <w:tc>
          <w:tcPr>
            <w:tcW w:w="810" w:type="dxa"/>
            <w:tcBorders>
              <w:top w:val="nil"/>
              <w:left w:val="nil"/>
              <w:bottom w:val="nil"/>
              <w:right w:val="nil"/>
            </w:tcBorders>
            <w:vAlign w:val="bottom"/>
          </w:tcPr>
          <w:p w:rsidR="00000000" w:rsidRDefault="00000000">
            <w:pPr>
              <w:keepNext/>
              <w:spacing w:line="240" w:lineRule="auto"/>
              <w:jc w:val="right"/>
              <w:rPr>
                <w:sz w:val="17"/>
              </w:rPr>
            </w:pPr>
            <w:r>
              <w:rPr>
                <w:sz w:val="17"/>
              </w:rPr>
              <w:t>м</w:t>
            </w:r>
          </w:p>
        </w:tc>
        <w:tc>
          <w:tcPr>
            <w:tcW w:w="990" w:type="dxa"/>
            <w:tcBorders>
              <w:top w:val="nil"/>
              <w:left w:val="nil"/>
              <w:bottom w:val="nil"/>
              <w:right w:val="nil"/>
            </w:tcBorders>
            <w:vAlign w:val="bottom"/>
          </w:tcPr>
          <w:p w:rsidR="00000000" w:rsidRDefault="00000000">
            <w:pPr>
              <w:keepNext/>
              <w:spacing w:line="240" w:lineRule="auto"/>
              <w:jc w:val="right"/>
              <w:rPr>
                <w:sz w:val="17"/>
              </w:rPr>
            </w:pPr>
            <w:r>
              <w:rPr>
                <w:sz w:val="17"/>
              </w:rPr>
              <w:t>скончался</w:t>
            </w:r>
          </w:p>
        </w:tc>
        <w:tc>
          <w:tcPr>
            <w:tcW w:w="900" w:type="dxa"/>
            <w:tcBorders>
              <w:top w:val="nil"/>
              <w:left w:val="nil"/>
              <w:bottom w:val="nil"/>
              <w:right w:val="nil"/>
            </w:tcBorders>
          </w:tcPr>
          <w:p w:rsidR="00000000" w:rsidRDefault="00000000">
            <w:pPr>
              <w:keepNext/>
              <w:spacing w:line="240" w:lineRule="auto"/>
              <w:jc w:val="right"/>
              <w:rPr>
                <w:sz w:val="17"/>
              </w:rPr>
            </w:pPr>
            <w:r>
              <w:rPr>
                <w:sz w:val="17"/>
              </w:rPr>
              <w:t>СА</w:t>
            </w:r>
          </w:p>
        </w:tc>
        <w:tc>
          <w:tcPr>
            <w:tcW w:w="2880" w:type="dxa"/>
            <w:tcBorders>
              <w:top w:val="nil"/>
              <w:left w:val="nil"/>
              <w:bottom w:val="nil"/>
              <w:right w:val="nil"/>
            </w:tcBorders>
          </w:tcPr>
          <w:p w:rsidR="00000000" w:rsidRDefault="00000000">
            <w:pPr>
              <w:keepNext/>
              <w:spacing w:line="240" w:lineRule="auto"/>
              <w:jc w:val="right"/>
              <w:rPr>
                <w:sz w:val="17"/>
              </w:rPr>
            </w:pPr>
            <w:r>
              <w:rPr>
                <w:sz w:val="17"/>
              </w:rPr>
              <w:t>внутривенная инъекция</w:t>
            </w:r>
          </w:p>
        </w:tc>
      </w:tr>
      <w:tr w:rsidR="00000000">
        <w:tblPrEx>
          <w:tblCellMar>
            <w:top w:w="0" w:type="dxa"/>
            <w:left w:w="0" w:type="dxa"/>
            <w:bottom w:w="0" w:type="dxa"/>
            <w:right w:w="0" w:type="dxa"/>
          </w:tblCellMar>
        </w:tblPrEx>
        <w:tc>
          <w:tcPr>
            <w:tcW w:w="882" w:type="dxa"/>
            <w:tcBorders>
              <w:top w:val="nil"/>
              <w:left w:val="nil"/>
              <w:bottom w:val="nil"/>
              <w:right w:val="nil"/>
            </w:tcBorders>
            <w:vAlign w:val="bottom"/>
          </w:tcPr>
          <w:p w:rsidR="00000000" w:rsidRDefault="00000000">
            <w:pPr>
              <w:spacing w:line="240" w:lineRule="auto"/>
              <w:rPr>
                <w:sz w:val="17"/>
              </w:rPr>
            </w:pPr>
            <w:r>
              <w:rPr>
                <w:sz w:val="17"/>
              </w:rPr>
              <w:t>1997</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22</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м</w:t>
            </w:r>
          </w:p>
        </w:tc>
        <w:tc>
          <w:tcPr>
            <w:tcW w:w="990" w:type="dxa"/>
            <w:tcBorders>
              <w:top w:val="nil"/>
              <w:left w:val="nil"/>
              <w:bottom w:val="nil"/>
              <w:right w:val="nil"/>
            </w:tcBorders>
            <w:vAlign w:val="bottom"/>
          </w:tcPr>
          <w:p w:rsidR="00000000" w:rsidRDefault="00000000">
            <w:pPr>
              <w:spacing w:line="240" w:lineRule="auto"/>
              <w:jc w:val="right"/>
              <w:rPr>
                <w:sz w:val="17"/>
              </w:rPr>
            </w:pPr>
            <w:r>
              <w:rPr>
                <w:sz w:val="17"/>
              </w:rPr>
              <w:t>скончался</w:t>
            </w:r>
          </w:p>
        </w:tc>
        <w:tc>
          <w:tcPr>
            <w:tcW w:w="900" w:type="dxa"/>
            <w:tcBorders>
              <w:top w:val="nil"/>
              <w:left w:val="nil"/>
              <w:bottom w:val="nil"/>
              <w:right w:val="nil"/>
            </w:tcBorders>
          </w:tcPr>
          <w:p w:rsidR="00000000" w:rsidRDefault="00000000">
            <w:pPr>
              <w:spacing w:line="240" w:lineRule="auto"/>
              <w:jc w:val="right"/>
              <w:rPr>
                <w:sz w:val="17"/>
              </w:rPr>
            </w:pPr>
            <w:r>
              <w:rPr>
                <w:sz w:val="17"/>
              </w:rPr>
              <w:t>ТП</w:t>
            </w:r>
          </w:p>
        </w:tc>
        <w:tc>
          <w:tcPr>
            <w:tcW w:w="2880" w:type="dxa"/>
            <w:tcBorders>
              <w:top w:val="nil"/>
              <w:left w:val="nil"/>
              <w:bottom w:val="nil"/>
              <w:right w:val="nil"/>
            </w:tcBorders>
          </w:tcPr>
          <w:p w:rsidR="00000000" w:rsidRDefault="00000000">
            <w:pPr>
              <w:spacing w:line="240" w:lineRule="auto"/>
              <w:jc w:val="right"/>
              <w:rPr>
                <w:sz w:val="17"/>
              </w:rPr>
            </w:pPr>
            <w:r>
              <w:rPr>
                <w:sz w:val="17"/>
              </w:rPr>
              <w:t>половой</w:t>
            </w:r>
          </w:p>
        </w:tc>
      </w:tr>
      <w:tr w:rsidR="00000000">
        <w:tblPrEx>
          <w:tblCellMar>
            <w:top w:w="0" w:type="dxa"/>
            <w:left w:w="0" w:type="dxa"/>
            <w:bottom w:w="0" w:type="dxa"/>
            <w:right w:w="0" w:type="dxa"/>
          </w:tblCellMar>
        </w:tblPrEx>
        <w:tc>
          <w:tcPr>
            <w:tcW w:w="882" w:type="dxa"/>
            <w:tcBorders>
              <w:top w:val="nil"/>
              <w:left w:val="nil"/>
              <w:bottom w:val="nil"/>
              <w:right w:val="nil"/>
            </w:tcBorders>
            <w:vAlign w:val="bottom"/>
          </w:tcPr>
          <w:p w:rsidR="00000000" w:rsidRDefault="00000000">
            <w:pPr>
              <w:spacing w:line="240" w:lineRule="auto"/>
              <w:rPr>
                <w:sz w:val="17"/>
              </w:rPr>
            </w:pPr>
            <w:r>
              <w:rPr>
                <w:sz w:val="17"/>
              </w:rPr>
              <w:t>1998</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41</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м</w:t>
            </w:r>
          </w:p>
        </w:tc>
        <w:tc>
          <w:tcPr>
            <w:tcW w:w="990" w:type="dxa"/>
            <w:tcBorders>
              <w:top w:val="nil"/>
              <w:left w:val="nil"/>
              <w:bottom w:val="nil"/>
              <w:right w:val="nil"/>
            </w:tcBorders>
            <w:vAlign w:val="bottom"/>
          </w:tcPr>
          <w:p w:rsidR="00000000" w:rsidRDefault="00000000">
            <w:pPr>
              <w:spacing w:line="240" w:lineRule="auto"/>
              <w:jc w:val="right"/>
              <w:rPr>
                <w:sz w:val="17"/>
              </w:rPr>
            </w:pPr>
            <w:r>
              <w:rPr>
                <w:sz w:val="17"/>
              </w:rPr>
              <w:t>скончался</w:t>
            </w:r>
          </w:p>
        </w:tc>
        <w:tc>
          <w:tcPr>
            <w:tcW w:w="900" w:type="dxa"/>
            <w:tcBorders>
              <w:top w:val="nil"/>
              <w:left w:val="nil"/>
              <w:bottom w:val="nil"/>
              <w:right w:val="nil"/>
            </w:tcBorders>
          </w:tcPr>
          <w:p w:rsidR="00000000" w:rsidRDefault="00000000">
            <w:pPr>
              <w:spacing w:line="240" w:lineRule="auto"/>
              <w:jc w:val="right"/>
              <w:rPr>
                <w:sz w:val="17"/>
              </w:rPr>
            </w:pPr>
            <w:r>
              <w:rPr>
                <w:sz w:val="17"/>
              </w:rPr>
              <w:t>СА</w:t>
            </w:r>
          </w:p>
        </w:tc>
        <w:tc>
          <w:tcPr>
            <w:tcW w:w="2880" w:type="dxa"/>
            <w:tcBorders>
              <w:top w:val="nil"/>
              <w:left w:val="nil"/>
              <w:bottom w:val="nil"/>
              <w:right w:val="nil"/>
            </w:tcBorders>
          </w:tcPr>
          <w:p w:rsidR="00000000" w:rsidRDefault="00000000">
            <w:pPr>
              <w:spacing w:line="240" w:lineRule="auto"/>
              <w:jc w:val="right"/>
              <w:rPr>
                <w:sz w:val="17"/>
              </w:rPr>
            </w:pPr>
            <w:r>
              <w:rPr>
                <w:sz w:val="17"/>
              </w:rPr>
              <w:t>половой</w:t>
            </w:r>
          </w:p>
        </w:tc>
      </w:tr>
      <w:tr w:rsidR="00000000">
        <w:tblPrEx>
          <w:tblCellMar>
            <w:top w:w="0" w:type="dxa"/>
            <w:left w:w="0" w:type="dxa"/>
            <w:bottom w:w="0" w:type="dxa"/>
            <w:right w:w="0" w:type="dxa"/>
          </w:tblCellMar>
        </w:tblPrEx>
        <w:tc>
          <w:tcPr>
            <w:tcW w:w="882" w:type="dxa"/>
            <w:tcBorders>
              <w:top w:val="nil"/>
              <w:left w:val="nil"/>
              <w:bottom w:val="nil"/>
              <w:right w:val="nil"/>
            </w:tcBorders>
            <w:vAlign w:val="bottom"/>
          </w:tcPr>
          <w:p w:rsidR="00000000" w:rsidRDefault="00000000">
            <w:pPr>
              <w:spacing w:line="240" w:lineRule="auto"/>
              <w:rPr>
                <w:sz w:val="17"/>
              </w:rPr>
            </w:pPr>
            <w:r>
              <w:rPr>
                <w:sz w:val="17"/>
              </w:rPr>
              <w:t>1999</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24</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ж</w:t>
            </w:r>
          </w:p>
        </w:tc>
        <w:tc>
          <w:tcPr>
            <w:tcW w:w="990" w:type="dxa"/>
            <w:tcBorders>
              <w:top w:val="nil"/>
              <w:left w:val="nil"/>
              <w:bottom w:val="nil"/>
              <w:right w:val="nil"/>
            </w:tcBorders>
            <w:vAlign w:val="bottom"/>
          </w:tcPr>
          <w:p w:rsidR="00000000" w:rsidRDefault="00000000">
            <w:pPr>
              <w:spacing w:line="240" w:lineRule="auto"/>
              <w:jc w:val="right"/>
              <w:rPr>
                <w:sz w:val="17"/>
              </w:rPr>
            </w:pPr>
            <w:r>
              <w:rPr>
                <w:sz w:val="17"/>
              </w:rPr>
              <w:t>скончалась</w:t>
            </w:r>
          </w:p>
        </w:tc>
        <w:tc>
          <w:tcPr>
            <w:tcW w:w="900" w:type="dxa"/>
            <w:tcBorders>
              <w:top w:val="nil"/>
              <w:left w:val="nil"/>
              <w:bottom w:val="nil"/>
              <w:right w:val="nil"/>
            </w:tcBorders>
          </w:tcPr>
          <w:p w:rsidR="00000000" w:rsidRDefault="00000000">
            <w:pPr>
              <w:spacing w:line="240" w:lineRule="auto"/>
              <w:jc w:val="right"/>
              <w:rPr>
                <w:sz w:val="17"/>
              </w:rPr>
            </w:pPr>
            <w:r>
              <w:rPr>
                <w:sz w:val="17"/>
              </w:rPr>
              <w:t>ЗД</w:t>
            </w:r>
          </w:p>
        </w:tc>
        <w:tc>
          <w:tcPr>
            <w:tcW w:w="2880" w:type="dxa"/>
            <w:tcBorders>
              <w:top w:val="nil"/>
              <w:left w:val="nil"/>
              <w:bottom w:val="nil"/>
              <w:right w:val="nil"/>
            </w:tcBorders>
          </w:tcPr>
          <w:p w:rsidR="00000000" w:rsidRDefault="00000000">
            <w:pPr>
              <w:spacing w:line="240" w:lineRule="auto"/>
              <w:jc w:val="right"/>
              <w:rPr>
                <w:sz w:val="17"/>
              </w:rPr>
            </w:pPr>
            <w:r>
              <w:rPr>
                <w:sz w:val="17"/>
              </w:rPr>
              <w:t>внутривенная инъекция</w:t>
            </w:r>
          </w:p>
        </w:tc>
      </w:tr>
      <w:tr w:rsidR="00000000">
        <w:tblPrEx>
          <w:tblCellMar>
            <w:top w:w="0" w:type="dxa"/>
            <w:left w:w="0" w:type="dxa"/>
            <w:bottom w:w="0" w:type="dxa"/>
            <w:right w:w="0" w:type="dxa"/>
          </w:tblCellMar>
        </w:tblPrEx>
        <w:tc>
          <w:tcPr>
            <w:tcW w:w="882" w:type="dxa"/>
            <w:tcBorders>
              <w:top w:val="nil"/>
              <w:left w:val="nil"/>
              <w:bottom w:val="nil"/>
              <w:right w:val="nil"/>
            </w:tcBorders>
            <w:vAlign w:val="bottom"/>
          </w:tcPr>
          <w:p w:rsidR="00000000" w:rsidRDefault="00000000">
            <w:pPr>
              <w:spacing w:line="240" w:lineRule="auto"/>
              <w:rPr>
                <w:sz w:val="17"/>
              </w:rPr>
            </w:pPr>
            <w:r>
              <w:rPr>
                <w:sz w:val="17"/>
              </w:rPr>
              <w:t>1999</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58</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м</w:t>
            </w:r>
          </w:p>
        </w:tc>
        <w:tc>
          <w:tcPr>
            <w:tcW w:w="990" w:type="dxa"/>
            <w:tcBorders>
              <w:top w:val="nil"/>
              <w:left w:val="nil"/>
              <w:bottom w:val="nil"/>
              <w:right w:val="nil"/>
            </w:tcBorders>
            <w:vAlign w:val="bottom"/>
          </w:tcPr>
          <w:p w:rsidR="00000000" w:rsidRDefault="00000000">
            <w:pPr>
              <w:spacing w:line="240" w:lineRule="auto"/>
              <w:jc w:val="right"/>
              <w:rPr>
                <w:sz w:val="17"/>
              </w:rPr>
            </w:pPr>
            <w:r>
              <w:rPr>
                <w:sz w:val="17"/>
              </w:rPr>
              <w:t>жив</w:t>
            </w:r>
          </w:p>
        </w:tc>
        <w:tc>
          <w:tcPr>
            <w:tcW w:w="900" w:type="dxa"/>
            <w:tcBorders>
              <w:top w:val="nil"/>
              <w:left w:val="nil"/>
              <w:bottom w:val="nil"/>
              <w:right w:val="nil"/>
            </w:tcBorders>
          </w:tcPr>
          <w:p w:rsidR="00000000" w:rsidRDefault="00000000">
            <w:pPr>
              <w:spacing w:line="240" w:lineRule="auto"/>
              <w:jc w:val="right"/>
              <w:rPr>
                <w:sz w:val="17"/>
              </w:rPr>
            </w:pPr>
            <w:r>
              <w:rPr>
                <w:sz w:val="17"/>
              </w:rPr>
              <w:t>ХН</w:t>
            </w:r>
          </w:p>
        </w:tc>
        <w:tc>
          <w:tcPr>
            <w:tcW w:w="2880" w:type="dxa"/>
            <w:tcBorders>
              <w:top w:val="nil"/>
              <w:left w:val="nil"/>
              <w:bottom w:val="nil"/>
              <w:right w:val="nil"/>
            </w:tcBorders>
          </w:tcPr>
          <w:p w:rsidR="00000000" w:rsidRDefault="00000000">
            <w:pPr>
              <w:spacing w:line="240" w:lineRule="auto"/>
              <w:jc w:val="right"/>
              <w:rPr>
                <w:sz w:val="17"/>
              </w:rPr>
            </w:pPr>
            <w:r>
              <w:rPr>
                <w:sz w:val="17"/>
              </w:rPr>
              <w:t>половой</w:t>
            </w:r>
          </w:p>
        </w:tc>
      </w:tr>
      <w:tr w:rsidR="00000000">
        <w:tblPrEx>
          <w:tblCellMar>
            <w:top w:w="0" w:type="dxa"/>
            <w:left w:w="0" w:type="dxa"/>
            <w:bottom w:w="0" w:type="dxa"/>
            <w:right w:w="0" w:type="dxa"/>
          </w:tblCellMar>
        </w:tblPrEx>
        <w:tc>
          <w:tcPr>
            <w:tcW w:w="882" w:type="dxa"/>
            <w:tcBorders>
              <w:top w:val="nil"/>
              <w:left w:val="nil"/>
              <w:bottom w:val="nil"/>
              <w:right w:val="nil"/>
            </w:tcBorders>
            <w:vAlign w:val="bottom"/>
          </w:tcPr>
          <w:p w:rsidR="00000000" w:rsidRDefault="00000000">
            <w:pPr>
              <w:spacing w:line="240" w:lineRule="auto"/>
              <w:rPr>
                <w:sz w:val="17"/>
              </w:rPr>
            </w:pPr>
            <w:r>
              <w:rPr>
                <w:sz w:val="17"/>
              </w:rPr>
              <w:t>1999</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40</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м</w:t>
            </w:r>
          </w:p>
        </w:tc>
        <w:tc>
          <w:tcPr>
            <w:tcW w:w="990" w:type="dxa"/>
            <w:tcBorders>
              <w:top w:val="nil"/>
              <w:left w:val="nil"/>
              <w:bottom w:val="nil"/>
              <w:right w:val="nil"/>
            </w:tcBorders>
            <w:vAlign w:val="bottom"/>
          </w:tcPr>
          <w:p w:rsidR="00000000" w:rsidRDefault="00000000">
            <w:pPr>
              <w:spacing w:line="240" w:lineRule="auto"/>
              <w:jc w:val="right"/>
              <w:rPr>
                <w:sz w:val="17"/>
              </w:rPr>
            </w:pPr>
            <w:r>
              <w:rPr>
                <w:sz w:val="17"/>
              </w:rPr>
              <w:t>скончался</w:t>
            </w:r>
          </w:p>
        </w:tc>
        <w:tc>
          <w:tcPr>
            <w:tcW w:w="900" w:type="dxa"/>
            <w:tcBorders>
              <w:top w:val="nil"/>
              <w:left w:val="nil"/>
              <w:bottom w:val="nil"/>
              <w:right w:val="nil"/>
            </w:tcBorders>
          </w:tcPr>
          <w:p w:rsidR="00000000" w:rsidRDefault="00000000">
            <w:pPr>
              <w:spacing w:line="240" w:lineRule="auto"/>
              <w:jc w:val="right"/>
              <w:rPr>
                <w:sz w:val="17"/>
              </w:rPr>
            </w:pPr>
            <w:r>
              <w:rPr>
                <w:sz w:val="17"/>
              </w:rPr>
              <w:t>СБ</w:t>
            </w:r>
          </w:p>
        </w:tc>
        <w:tc>
          <w:tcPr>
            <w:tcW w:w="2880" w:type="dxa"/>
            <w:tcBorders>
              <w:top w:val="nil"/>
              <w:left w:val="nil"/>
              <w:bottom w:val="nil"/>
              <w:right w:val="nil"/>
            </w:tcBorders>
          </w:tcPr>
          <w:p w:rsidR="00000000" w:rsidRDefault="00000000">
            <w:pPr>
              <w:spacing w:line="240" w:lineRule="auto"/>
              <w:jc w:val="right"/>
              <w:rPr>
                <w:sz w:val="17"/>
              </w:rPr>
            </w:pPr>
            <w:r>
              <w:rPr>
                <w:sz w:val="17"/>
              </w:rPr>
              <w:t>половой</w:t>
            </w:r>
          </w:p>
        </w:tc>
      </w:tr>
      <w:tr w:rsidR="00000000">
        <w:tblPrEx>
          <w:tblCellMar>
            <w:top w:w="0" w:type="dxa"/>
            <w:left w:w="0" w:type="dxa"/>
            <w:bottom w:w="0" w:type="dxa"/>
            <w:right w:w="0" w:type="dxa"/>
          </w:tblCellMar>
        </w:tblPrEx>
        <w:tc>
          <w:tcPr>
            <w:tcW w:w="882" w:type="dxa"/>
            <w:tcBorders>
              <w:top w:val="nil"/>
              <w:left w:val="nil"/>
              <w:bottom w:val="nil"/>
              <w:right w:val="nil"/>
            </w:tcBorders>
            <w:vAlign w:val="bottom"/>
          </w:tcPr>
          <w:p w:rsidR="00000000" w:rsidRDefault="00000000">
            <w:pPr>
              <w:spacing w:line="240" w:lineRule="auto"/>
              <w:rPr>
                <w:sz w:val="17"/>
              </w:rPr>
            </w:pPr>
            <w:r>
              <w:rPr>
                <w:sz w:val="17"/>
              </w:rPr>
              <w:t>1999</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45</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м</w:t>
            </w:r>
          </w:p>
        </w:tc>
        <w:tc>
          <w:tcPr>
            <w:tcW w:w="990" w:type="dxa"/>
            <w:tcBorders>
              <w:top w:val="nil"/>
              <w:left w:val="nil"/>
              <w:bottom w:val="nil"/>
              <w:right w:val="nil"/>
            </w:tcBorders>
            <w:vAlign w:val="bottom"/>
          </w:tcPr>
          <w:p w:rsidR="00000000" w:rsidRDefault="00000000">
            <w:pPr>
              <w:spacing w:line="240" w:lineRule="auto"/>
              <w:jc w:val="right"/>
              <w:rPr>
                <w:sz w:val="17"/>
              </w:rPr>
            </w:pPr>
            <w:r>
              <w:rPr>
                <w:sz w:val="17"/>
              </w:rPr>
              <w:t>скончался</w:t>
            </w:r>
          </w:p>
        </w:tc>
        <w:tc>
          <w:tcPr>
            <w:tcW w:w="900" w:type="dxa"/>
            <w:tcBorders>
              <w:top w:val="nil"/>
              <w:left w:val="nil"/>
              <w:bottom w:val="nil"/>
              <w:right w:val="nil"/>
            </w:tcBorders>
          </w:tcPr>
          <w:p w:rsidR="00000000" w:rsidRDefault="00000000">
            <w:pPr>
              <w:spacing w:line="240" w:lineRule="auto"/>
              <w:jc w:val="right"/>
              <w:rPr>
                <w:sz w:val="17"/>
              </w:rPr>
            </w:pPr>
            <w:r>
              <w:rPr>
                <w:sz w:val="17"/>
              </w:rPr>
              <w:t>СБ</w:t>
            </w:r>
          </w:p>
        </w:tc>
        <w:tc>
          <w:tcPr>
            <w:tcW w:w="2880" w:type="dxa"/>
            <w:tcBorders>
              <w:top w:val="nil"/>
              <w:left w:val="nil"/>
              <w:bottom w:val="nil"/>
              <w:right w:val="nil"/>
            </w:tcBorders>
          </w:tcPr>
          <w:p w:rsidR="00000000" w:rsidRDefault="00000000">
            <w:pPr>
              <w:spacing w:line="240" w:lineRule="auto"/>
              <w:jc w:val="right"/>
              <w:rPr>
                <w:sz w:val="17"/>
              </w:rPr>
            </w:pPr>
            <w:r>
              <w:rPr>
                <w:sz w:val="17"/>
              </w:rPr>
              <w:t>половой</w:t>
            </w:r>
          </w:p>
        </w:tc>
      </w:tr>
      <w:tr w:rsidR="00000000">
        <w:tblPrEx>
          <w:tblCellMar>
            <w:top w:w="0" w:type="dxa"/>
            <w:left w:w="0" w:type="dxa"/>
            <w:bottom w:w="0" w:type="dxa"/>
            <w:right w:w="0" w:type="dxa"/>
          </w:tblCellMar>
        </w:tblPrEx>
        <w:tc>
          <w:tcPr>
            <w:tcW w:w="882" w:type="dxa"/>
            <w:tcBorders>
              <w:top w:val="nil"/>
              <w:left w:val="nil"/>
              <w:bottom w:val="nil"/>
              <w:right w:val="nil"/>
            </w:tcBorders>
            <w:vAlign w:val="bottom"/>
          </w:tcPr>
          <w:p w:rsidR="00000000" w:rsidRDefault="00000000">
            <w:pPr>
              <w:spacing w:line="240" w:lineRule="auto"/>
              <w:rPr>
                <w:sz w:val="17"/>
              </w:rPr>
            </w:pPr>
            <w:r>
              <w:rPr>
                <w:sz w:val="17"/>
              </w:rPr>
              <w:t>2000</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27</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м</w:t>
            </w:r>
          </w:p>
        </w:tc>
        <w:tc>
          <w:tcPr>
            <w:tcW w:w="990" w:type="dxa"/>
            <w:tcBorders>
              <w:top w:val="nil"/>
              <w:left w:val="nil"/>
              <w:bottom w:val="nil"/>
              <w:right w:val="nil"/>
            </w:tcBorders>
            <w:vAlign w:val="bottom"/>
          </w:tcPr>
          <w:p w:rsidR="00000000" w:rsidRDefault="00000000">
            <w:pPr>
              <w:spacing w:line="240" w:lineRule="auto"/>
              <w:jc w:val="right"/>
              <w:rPr>
                <w:sz w:val="17"/>
              </w:rPr>
            </w:pPr>
            <w:r>
              <w:rPr>
                <w:sz w:val="17"/>
              </w:rPr>
              <w:t>скончался</w:t>
            </w:r>
          </w:p>
        </w:tc>
        <w:tc>
          <w:tcPr>
            <w:tcW w:w="900" w:type="dxa"/>
            <w:tcBorders>
              <w:top w:val="nil"/>
              <w:left w:val="nil"/>
              <w:bottom w:val="nil"/>
              <w:right w:val="nil"/>
            </w:tcBorders>
          </w:tcPr>
          <w:p w:rsidR="00000000" w:rsidRDefault="00000000">
            <w:pPr>
              <w:spacing w:line="240" w:lineRule="auto"/>
              <w:jc w:val="right"/>
              <w:rPr>
                <w:sz w:val="17"/>
              </w:rPr>
            </w:pPr>
            <w:r>
              <w:rPr>
                <w:sz w:val="17"/>
              </w:rPr>
              <w:t>ЗД</w:t>
            </w:r>
          </w:p>
        </w:tc>
        <w:tc>
          <w:tcPr>
            <w:tcW w:w="2880" w:type="dxa"/>
            <w:tcBorders>
              <w:top w:val="nil"/>
              <w:left w:val="nil"/>
              <w:bottom w:val="nil"/>
              <w:right w:val="nil"/>
            </w:tcBorders>
          </w:tcPr>
          <w:p w:rsidR="00000000" w:rsidRDefault="00000000">
            <w:pPr>
              <w:spacing w:line="240" w:lineRule="auto"/>
              <w:jc w:val="right"/>
              <w:rPr>
                <w:sz w:val="17"/>
              </w:rPr>
            </w:pPr>
            <w:r>
              <w:rPr>
                <w:sz w:val="17"/>
              </w:rPr>
              <w:t>внутривенная инъекция</w:t>
            </w:r>
          </w:p>
        </w:tc>
      </w:tr>
      <w:tr w:rsidR="00000000">
        <w:tblPrEx>
          <w:tblCellMar>
            <w:top w:w="0" w:type="dxa"/>
            <w:left w:w="0" w:type="dxa"/>
            <w:bottom w:w="0" w:type="dxa"/>
            <w:right w:w="0" w:type="dxa"/>
          </w:tblCellMar>
        </w:tblPrEx>
        <w:tc>
          <w:tcPr>
            <w:tcW w:w="882" w:type="dxa"/>
            <w:tcBorders>
              <w:top w:val="nil"/>
              <w:left w:val="nil"/>
              <w:bottom w:val="nil"/>
              <w:right w:val="nil"/>
            </w:tcBorders>
            <w:vAlign w:val="bottom"/>
          </w:tcPr>
          <w:p w:rsidR="00000000" w:rsidRDefault="00000000">
            <w:pPr>
              <w:spacing w:line="240" w:lineRule="auto"/>
              <w:rPr>
                <w:sz w:val="17"/>
              </w:rPr>
            </w:pPr>
            <w:r>
              <w:rPr>
                <w:sz w:val="17"/>
              </w:rPr>
              <w:t>2000</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41</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м</w:t>
            </w:r>
          </w:p>
        </w:tc>
        <w:tc>
          <w:tcPr>
            <w:tcW w:w="990" w:type="dxa"/>
            <w:tcBorders>
              <w:top w:val="nil"/>
              <w:left w:val="nil"/>
              <w:bottom w:val="nil"/>
              <w:right w:val="nil"/>
            </w:tcBorders>
            <w:vAlign w:val="bottom"/>
          </w:tcPr>
          <w:p w:rsidR="00000000" w:rsidRDefault="00000000">
            <w:pPr>
              <w:spacing w:line="240" w:lineRule="auto"/>
              <w:jc w:val="right"/>
              <w:rPr>
                <w:sz w:val="17"/>
              </w:rPr>
            </w:pPr>
            <w:r>
              <w:rPr>
                <w:sz w:val="17"/>
              </w:rPr>
              <w:t>скончался</w:t>
            </w:r>
          </w:p>
        </w:tc>
        <w:tc>
          <w:tcPr>
            <w:tcW w:w="900" w:type="dxa"/>
            <w:tcBorders>
              <w:top w:val="nil"/>
              <w:left w:val="nil"/>
              <w:bottom w:val="nil"/>
              <w:right w:val="nil"/>
            </w:tcBorders>
          </w:tcPr>
          <w:p w:rsidR="00000000" w:rsidRDefault="00000000">
            <w:pPr>
              <w:spacing w:line="240" w:lineRule="auto"/>
              <w:jc w:val="right"/>
              <w:rPr>
                <w:sz w:val="17"/>
              </w:rPr>
            </w:pPr>
            <w:r>
              <w:rPr>
                <w:sz w:val="17"/>
              </w:rPr>
              <w:t>УС</w:t>
            </w:r>
          </w:p>
        </w:tc>
        <w:tc>
          <w:tcPr>
            <w:tcW w:w="2880" w:type="dxa"/>
            <w:tcBorders>
              <w:top w:val="nil"/>
              <w:left w:val="nil"/>
              <w:bottom w:val="nil"/>
              <w:right w:val="nil"/>
            </w:tcBorders>
          </w:tcPr>
          <w:p w:rsidR="00000000" w:rsidRDefault="00000000">
            <w:pPr>
              <w:spacing w:line="240" w:lineRule="auto"/>
              <w:jc w:val="right"/>
              <w:rPr>
                <w:sz w:val="17"/>
              </w:rPr>
            </w:pPr>
            <w:r>
              <w:rPr>
                <w:sz w:val="17"/>
              </w:rPr>
              <w:t>половой</w:t>
            </w:r>
          </w:p>
        </w:tc>
      </w:tr>
      <w:tr w:rsidR="00000000">
        <w:tblPrEx>
          <w:tblCellMar>
            <w:top w:w="0" w:type="dxa"/>
            <w:left w:w="0" w:type="dxa"/>
            <w:bottom w:w="0" w:type="dxa"/>
            <w:right w:w="0" w:type="dxa"/>
          </w:tblCellMar>
        </w:tblPrEx>
        <w:tc>
          <w:tcPr>
            <w:tcW w:w="882" w:type="dxa"/>
            <w:tcBorders>
              <w:top w:val="nil"/>
              <w:left w:val="nil"/>
              <w:bottom w:val="nil"/>
              <w:right w:val="nil"/>
            </w:tcBorders>
            <w:vAlign w:val="bottom"/>
          </w:tcPr>
          <w:p w:rsidR="00000000" w:rsidRDefault="00000000">
            <w:pPr>
              <w:spacing w:line="240" w:lineRule="auto"/>
              <w:rPr>
                <w:sz w:val="17"/>
              </w:rPr>
            </w:pPr>
            <w:r>
              <w:rPr>
                <w:sz w:val="17"/>
              </w:rPr>
              <w:t>2001</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37</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м</w:t>
            </w:r>
          </w:p>
        </w:tc>
        <w:tc>
          <w:tcPr>
            <w:tcW w:w="990" w:type="dxa"/>
            <w:tcBorders>
              <w:top w:val="nil"/>
              <w:left w:val="nil"/>
              <w:bottom w:val="nil"/>
              <w:right w:val="nil"/>
            </w:tcBorders>
            <w:vAlign w:val="bottom"/>
          </w:tcPr>
          <w:p w:rsidR="00000000" w:rsidRDefault="00000000">
            <w:pPr>
              <w:spacing w:line="240" w:lineRule="auto"/>
              <w:jc w:val="right"/>
              <w:rPr>
                <w:sz w:val="17"/>
              </w:rPr>
            </w:pPr>
            <w:r>
              <w:rPr>
                <w:sz w:val="17"/>
              </w:rPr>
              <w:t>жив</w:t>
            </w:r>
          </w:p>
        </w:tc>
        <w:tc>
          <w:tcPr>
            <w:tcW w:w="900" w:type="dxa"/>
            <w:tcBorders>
              <w:top w:val="nil"/>
              <w:left w:val="nil"/>
              <w:bottom w:val="nil"/>
              <w:right w:val="nil"/>
            </w:tcBorders>
          </w:tcPr>
          <w:p w:rsidR="00000000" w:rsidRDefault="00000000">
            <w:pPr>
              <w:spacing w:line="240" w:lineRule="auto"/>
              <w:jc w:val="right"/>
              <w:rPr>
                <w:sz w:val="17"/>
              </w:rPr>
            </w:pPr>
            <w:r>
              <w:rPr>
                <w:sz w:val="17"/>
              </w:rPr>
              <w:t>СА</w:t>
            </w:r>
          </w:p>
        </w:tc>
        <w:tc>
          <w:tcPr>
            <w:tcW w:w="2880" w:type="dxa"/>
            <w:tcBorders>
              <w:top w:val="nil"/>
              <w:left w:val="nil"/>
              <w:bottom w:val="nil"/>
              <w:right w:val="nil"/>
            </w:tcBorders>
          </w:tcPr>
          <w:p w:rsidR="00000000" w:rsidRDefault="00000000">
            <w:pPr>
              <w:spacing w:line="240" w:lineRule="auto"/>
              <w:jc w:val="right"/>
              <w:rPr>
                <w:sz w:val="17"/>
              </w:rPr>
            </w:pPr>
            <w:r>
              <w:rPr>
                <w:sz w:val="17"/>
              </w:rPr>
              <w:t>внутривенная инъекция</w:t>
            </w:r>
          </w:p>
        </w:tc>
      </w:tr>
      <w:tr w:rsidR="00000000">
        <w:tblPrEx>
          <w:tblCellMar>
            <w:top w:w="0" w:type="dxa"/>
            <w:left w:w="0" w:type="dxa"/>
            <w:bottom w:w="0" w:type="dxa"/>
            <w:right w:w="0" w:type="dxa"/>
          </w:tblCellMar>
        </w:tblPrEx>
        <w:tc>
          <w:tcPr>
            <w:tcW w:w="882" w:type="dxa"/>
            <w:tcBorders>
              <w:top w:val="nil"/>
              <w:left w:val="nil"/>
              <w:bottom w:val="nil"/>
              <w:right w:val="nil"/>
            </w:tcBorders>
            <w:vAlign w:val="bottom"/>
          </w:tcPr>
          <w:p w:rsidR="00000000" w:rsidRDefault="00000000">
            <w:pPr>
              <w:spacing w:line="240" w:lineRule="auto"/>
              <w:rPr>
                <w:sz w:val="17"/>
              </w:rPr>
            </w:pPr>
            <w:r>
              <w:rPr>
                <w:sz w:val="17"/>
              </w:rPr>
              <w:t>2002</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26</w:t>
            </w:r>
          </w:p>
        </w:tc>
        <w:tc>
          <w:tcPr>
            <w:tcW w:w="810" w:type="dxa"/>
            <w:tcBorders>
              <w:top w:val="nil"/>
              <w:left w:val="nil"/>
              <w:bottom w:val="nil"/>
              <w:right w:val="nil"/>
            </w:tcBorders>
            <w:vAlign w:val="bottom"/>
          </w:tcPr>
          <w:p w:rsidR="00000000" w:rsidRDefault="00000000">
            <w:pPr>
              <w:spacing w:line="240" w:lineRule="auto"/>
              <w:jc w:val="right"/>
              <w:rPr>
                <w:sz w:val="17"/>
              </w:rPr>
            </w:pPr>
            <w:r>
              <w:rPr>
                <w:sz w:val="17"/>
              </w:rPr>
              <w:t>м</w:t>
            </w:r>
          </w:p>
        </w:tc>
        <w:tc>
          <w:tcPr>
            <w:tcW w:w="990" w:type="dxa"/>
            <w:tcBorders>
              <w:top w:val="nil"/>
              <w:left w:val="nil"/>
              <w:bottom w:val="nil"/>
              <w:right w:val="nil"/>
            </w:tcBorders>
            <w:vAlign w:val="bottom"/>
          </w:tcPr>
          <w:p w:rsidR="00000000" w:rsidRDefault="00000000">
            <w:pPr>
              <w:spacing w:line="240" w:lineRule="auto"/>
              <w:jc w:val="right"/>
              <w:rPr>
                <w:sz w:val="17"/>
              </w:rPr>
            </w:pPr>
            <w:r>
              <w:rPr>
                <w:sz w:val="17"/>
              </w:rPr>
              <w:t>жив</w:t>
            </w:r>
          </w:p>
        </w:tc>
        <w:tc>
          <w:tcPr>
            <w:tcW w:w="900" w:type="dxa"/>
            <w:tcBorders>
              <w:top w:val="nil"/>
              <w:left w:val="nil"/>
              <w:bottom w:val="nil"/>
              <w:right w:val="nil"/>
            </w:tcBorders>
          </w:tcPr>
          <w:p w:rsidR="00000000" w:rsidRDefault="00000000">
            <w:pPr>
              <w:spacing w:line="240" w:lineRule="auto"/>
              <w:jc w:val="right"/>
              <w:rPr>
                <w:sz w:val="17"/>
              </w:rPr>
            </w:pPr>
            <w:r>
              <w:rPr>
                <w:sz w:val="17"/>
              </w:rPr>
              <w:t>СА</w:t>
            </w:r>
          </w:p>
        </w:tc>
        <w:tc>
          <w:tcPr>
            <w:tcW w:w="2880" w:type="dxa"/>
            <w:tcBorders>
              <w:top w:val="nil"/>
              <w:left w:val="nil"/>
              <w:bottom w:val="nil"/>
              <w:right w:val="nil"/>
            </w:tcBorders>
          </w:tcPr>
          <w:p w:rsidR="00000000" w:rsidRDefault="00000000">
            <w:pPr>
              <w:spacing w:line="240" w:lineRule="auto"/>
              <w:jc w:val="right"/>
              <w:rPr>
                <w:sz w:val="17"/>
              </w:rPr>
            </w:pPr>
            <w:r>
              <w:rPr>
                <w:sz w:val="17"/>
              </w:rPr>
              <w:t>?</w:t>
            </w:r>
          </w:p>
        </w:tc>
      </w:tr>
      <w:tr w:rsidR="00000000">
        <w:tblPrEx>
          <w:tblCellMar>
            <w:top w:w="0" w:type="dxa"/>
            <w:left w:w="0" w:type="dxa"/>
            <w:bottom w:w="0" w:type="dxa"/>
            <w:right w:w="0" w:type="dxa"/>
          </w:tblCellMar>
        </w:tblPrEx>
        <w:tc>
          <w:tcPr>
            <w:tcW w:w="882" w:type="dxa"/>
            <w:tcBorders>
              <w:top w:val="nil"/>
              <w:left w:val="nil"/>
              <w:bottom w:val="single" w:sz="12" w:space="0" w:color="auto"/>
              <w:right w:val="nil"/>
            </w:tcBorders>
            <w:vAlign w:val="bottom"/>
          </w:tcPr>
          <w:p w:rsidR="00000000" w:rsidRDefault="00000000">
            <w:pPr>
              <w:spacing w:line="240" w:lineRule="auto"/>
              <w:rPr>
                <w:sz w:val="17"/>
              </w:rPr>
            </w:pPr>
            <w:r>
              <w:rPr>
                <w:sz w:val="17"/>
              </w:rPr>
              <w:t>Всего</w:t>
            </w:r>
          </w:p>
        </w:tc>
        <w:tc>
          <w:tcPr>
            <w:tcW w:w="810" w:type="dxa"/>
            <w:tcBorders>
              <w:top w:val="nil"/>
              <w:left w:val="nil"/>
              <w:bottom w:val="single" w:sz="12" w:space="0" w:color="auto"/>
              <w:right w:val="nil"/>
            </w:tcBorders>
            <w:vAlign w:val="bottom"/>
          </w:tcPr>
          <w:p w:rsidR="00000000" w:rsidRDefault="00000000">
            <w:pPr>
              <w:spacing w:line="240" w:lineRule="auto"/>
              <w:jc w:val="right"/>
              <w:rPr>
                <w:sz w:val="17"/>
              </w:rPr>
            </w:pPr>
            <w:r>
              <w:rPr>
                <w:sz w:val="17"/>
              </w:rPr>
              <w:t>11</w:t>
            </w:r>
          </w:p>
        </w:tc>
        <w:tc>
          <w:tcPr>
            <w:tcW w:w="810" w:type="dxa"/>
            <w:tcBorders>
              <w:top w:val="nil"/>
              <w:left w:val="nil"/>
              <w:bottom w:val="single" w:sz="12" w:space="0" w:color="auto"/>
              <w:right w:val="nil"/>
            </w:tcBorders>
            <w:vAlign w:val="bottom"/>
          </w:tcPr>
          <w:p w:rsidR="00000000" w:rsidRDefault="00000000">
            <w:pPr>
              <w:spacing w:line="240" w:lineRule="auto"/>
              <w:jc w:val="right"/>
              <w:rPr>
                <w:sz w:val="17"/>
              </w:rPr>
            </w:pPr>
            <w:r>
              <w:rPr>
                <w:sz w:val="17"/>
              </w:rPr>
              <w:t>10м/1ж</w:t>
            </w:r>
          </w:p>
        </w:tc>
        <w:tc>
          <w:tcPr>
            <w:tcW w:w="990" w:type="dxa"/>
            <w:tcBorders>
              <w:top w:val="nil"/>
              <w:left w:val="nil"/>
              <w:bottom w:val="single" w:sz="12" w:space="0" w:color="auto"/>
              <w:right w:val="nil"/>
            </w:tcBorders>
            <w:vAlign w:val="bottom"/>
          </w:tcPr>
          <w:p w:rsidR="00000000" w:rsidRDefault="00000000">
            <w:pPr>
              <w:spacing w:line="240" w:lineRule="auto"/>
              <w:jc w:val="right"/>
              <w:rPr>
                <w:sz w:val="17"/>
              </w:rPr>
            </w:pPr>
            <w:r>
              <w:rPr>
                <w:sz w:val="17"/>
              </w:rPr>
              <w:t>8с/3ж</w:t>
            </w:r>
          </w:p>
        </w:tc>
        <w:tc>
          <w:tcPr>
            <w:tcW w:w="900" w:type="dxa"/>
            <w:tcBorders>
              <w:top w:val="nil"/>
              <w:left w:val="nil"/>
              <w:bottom w:val="single" w:sz="12" w:space="0" w:color="auto"/>
              <w:right w:val="nil"/>
            </w:tcBorders>
          </w:tcPr>
          <w:p w:rsidR="00000000" w:rsidRDefault="00000000">
            <w:pPr>
              <w:spacing w:line="240" w:lineRule="auto"/>
              <w:jc w:val="right"/>
              <w:rPr>
                <w:sz w:val="17"/>
              </w:rPr>
            </w:pPr>
            <w:r>
              <w:rPr>
                <w:sz w:val="17"/>
              </w:rPr>
              <w:t>-</w:t>
            </w:r>
          </w:p>
        </w:tc>
        <w:tc>
          <w:tcPr>
            <w:tcW w:w="2880" w:type="dxa"/>
            <w:tcBorders>
              <w:top w:val="nil"/>
              <w:left w:val="nil"/>
              <w:bottom w:val="single" w:sz="12" w:space="0" w:color="auto"/>
              <w:right w:val="nil"/>
            </w:tcBorders>
          </w:tcPr>
          <w:p w:rsidR="00000000" w:rsidRDefault="00000000">
            <w:pPr>
              <w:spacing w:line="240" w:lineRule="auto"/>
              <w:jc w:val="right"/>
              <w:rPr>
                <w:sz w:val="17"/>
              </w:rPr>
            </w:pPr>
            <w:r>
              <w:rPr>
                <w:sz w:val="17"/>
              </w:rPr>
              <w:t>-</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Состояние здоровья уязвимых групп населения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Состояние здоровья детей и молодежи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246.</w:t>
      </w:r>
      <w:r>
        <w:tab/>
        <w:t>Как и в случае большинства европейских стран, для уровня детской смертности в Боснии и Герцеговине характерна постоянная тенденция к сн</w:t>
      </w:r>
      <w:r>
        <w:t>и</w:t>
      </w:r>
      <w:r>
        <w:t>жению. Это наилучший из имеющихся показателей состояния здоровья детей и женщин, а также состояния здоровья населения в целом. Это также показатель того, как организован сектор системы здравоохранения, обслуживающий же</w:t>
      </w:r>
      <w:r>
        <w:t>н</w:t>
      </w:r>
      <w:r>
        <w:t>щин и детей. В 2001 году этот показатель составлял 9,1 на каждую тысячу н</w:t>
      </w:r>
      <w:r>
        <w:t>о</w:t>
      </w:r>
      <w:r>
        <w:t>ворожденных, а в 1999 и в 2000 году оставался неизменным и составлял 11,2 на каждую тысячу новорожденных. Из общего числа младенцев, скончавшихся в 2001 году, 55,1 процента были мужского пола, а 44,9 процента - женского. Уровень детской смертности составил 9,7 на тысячу новорожденных мальчиков и 8,3 на каждую тысячу новорожденных дев</w:t>
      </w:r>
      <w:r>
        <w:t>о</w:t>
      </w:r>
      <w:r>
        <w:t>чек.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Согласно предварительным данным Федерального статистического и</w:t>
      </w:r>
      <w:r>
        <w:t>н</w:t>
      </w:r>
      <w:r>
        <w:t>ститута, в 2001  году в Федерации Боснии и Герцеговины основной причиной смертности среди младенцев - с небольшими различиями между новорожде</w:t>
      </w:r>
      <w:r>
        <w:t>н</w:t>
      </w:r>
      <w:r>
        <w:t>ными женского и мужского пола - были определенные состояния, возникшие в дородовой период (асфиксия новорожденных, респираторный дистресс-синдром, расстройства, связанные с сокращенным сроком беременности и п</w:t>
      </w:r>
      <w:r>
        <w:t>о</w:t>
      </w:r>
      <w:r>
        <w:t>ниженным весом, внутричерепные раны и кровотечения вследствие травм, причиненных при родах, бактерии, вызывающие сепсис у новорожденных, и внутричерепное травматическое кровотечение), причем структурный индекс составил здесь 58,9 процента. Далее следовали врожденные пороки, деформ</w:t>
      </w:r>
      <w:r>
        <w:t>и</w:t>
      </w:r>
      <w:r>
        <w:t>рования и хромосомные аберрации (индекс 9,8 процента) и на третьем месте - заболевания сердечно-сосудистой системы и симптомы, признаки и атипичные результаты клинических исследований с одним и тем же структурным инде</w:t>
      </w:r>
      <w:r>
        <w:t>к</w:t>
      </w:r>
      <w:r>
        <w:t>сом, равным 6,1 процента. За ними шли некоторые инфекционные заболев</w:t>
      </w:r>
      <w:r>
        <w:t>а</w:t>
      </w:r>
      <w:r>
        <w:t>ния - здесь уровень смертности составил 4,7 процента. Диапазон основных причин смерти несколько изменился по сравнению с предыдущими годами, что скорее всего является следствием ни</w:t>
      </w:r>
      <w:r>
        <w:t>з</w:t>
      </w:r>
      <w:r>
        <w:t>кого качества данных о смертности.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Уровень перинатальной смертности (общее число мертворожденных д</w:t>
      </w:r>
      <w:r>
        <w:t>е</w:t>
      </w:r>
      <w:r>
        <w:t>тей и детей, которые умирают в первый день после своего рождения) составил в 2001 году 10,2 процента и был несколько ниже по сравнению с 2000 годом, когда он составлял 11 процентов. Процентная доля новорожденных, которые умирают в течение первых шести дней после своего рождения, достаточно в</w:t>
      </w:r>
      <w:r>
        <w:t>ы</w:t>
      </w:r>
      <w:r>
        <w:t>сока, несмотря на низкий уровень детской смертности, и составляет 60,7 пр</w:t>
      </w:r>
      <w:r>
        <w:t>о</w:t>
      </w:r>
      <w:r>
        <w:t>цента, так что уровень ранней детской смертности составляет 5,5 процента, что свидетельствует о снижении этого показателя по сравнению с 2000 годом. Перинатальная смертность (мертворождаемость) составила в 2001 году 4,7</w:t>
      </w:r>
      <w:r>
        <w:rPr>
          <w:lang w:val="en-US"/>
        </w:rPr>
        <w:t> </w:t>
      </w:r>
      <w:r>
        <w:t>процента, что совместно с ранней детской смертностью (5,5 процента) дает уровень антенатальной смертности в размере 10,2 процента. В 2001 году ур</w:t>
      </w:r>
      <w:r>
        <w:t>о</w:t>
      </w:r>
      <w:r>
        <w:t>вень смертности среди детей в возрасте до пяти лет составлял 10,3 процента и уменьшился по сравнению с 2000 годом (13 процентов). Все вышеприведенные данные свидетельствуют о необходимости постоянной работы над дальнейшим совершенствованием охраны здоровья женщин во время беременности (пов</w:t>
      </w:r>
      <w:r>
        <w:t>ы</w:t>
      </w:r>
      <w:r>
        <w:t>шение доступности, просвещение и контроль за кач</w:t>
      </w:r>
      <w:r>
        <w:t>е</w:t>
      </w:r>
      <w:r>
        <w:t>ством обслуживания).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Состояние здоровья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247.</w:t>
      </w:r>
      <w:r>
        <w:tab/>
        <w:t>В политике Всемирной организации здравоохранения в области здрав</w:t>
      </w:r>
      <w:r>
        <w:t>о</w:t>
      </w:r>
      <w:r>
        <w:t>охранения, которая нашла отражение в стратегии "Задачи в области охраны здоровья для всех", женщины представлены как группа населения, находяща</w:t>
      </w:r>
      <w:r>
        <w:t>я</w:t>
      </w:r>
      <w:r>
        <w:t>ся в неблагоприятном положении в том, что касается их социального статуса и состояния здоровья. В структуре населения на долю женщин зачастую прих</w:t>
      </w:r>
      <w:r>
        <w:t>о</w:t>
      </w:r>
      <w:r>
        <w:t>дится до 50 процентов от общей численности, а процентная доля женщин фе</w:t>
      </w:r>
      <w:r>
        <w:t>р</w:t>
      </w:r>
      <w:r>
        <w:t>тильного возраста в общей численности населения колеблется от 25 до 26 процентов. Их потребности в области здравоохранения весьма высоки и обусловлены рядом взаимозависимых показателей, как, например, социальный и экономический статус, включая насилие, изнасилования и другие виды се</w:t>
      </w:r>
      <w:r>
        <w:t>к</w:t>
      </w:r>
      <w:r>
        <w:t>суальных домогательств и злоупотреблений; репродуктивные функции; сло</w:t>
      </w:r>
      <w:r>
        <w:t>ж</w:t>
      </w:r>
      <w:r>
        <w:t>ная роль в обществе, как, например, роль матери или неофициальные функции, связанные с уходом за домом и семьей или опекунством. К сожалению, ни в одном обществе нет равного отношения к женщинам и мужчинам. В среднем у женщин ниже уровень образования, заработной платы и социальный статус, и любая опасность, нарушающая эти непременные базовые условия, ставит под угрозу их здоровье и, следовательно, репродуктивное здоровье и репродукти</w:t>
      </w:r>
      <w:r>
        <w:t>в</w:t>
      </w:r>
      <w:r>
        <w:t>ную способность общества. Состояние здоровья женщин является важным п</w:t>
      </w:r>
      <w:r>
        <w:t>о</w:t>
      </w:r>
      <w:r>
        <w:t>казателем состояния здоровья населения и эффективности системы медико-санитарной помощи. Состояние здоровья матери оказывает также прямое во</w:t>
      </w:r>
      <w:r>
        <w:t>з</w:t>
      </w:r>
      <w:r>
        <w:t>действие на состояние здоровья детей, семьи и общины. Женщины фертильн</w:t>
      </w:r>
      <w:r>
        <w:t>о</w:t>
      </w:r>
      <w:r>
        <w:t>го возраста заслуживают особого внимания в свете той роли, которую женщ</w:t>
      </w:r>
      <w:r>
        <w:t>и</w:t>
      </w:r>
      <w:r>
        <w:t>ны играют в семье и обществе с учетом их положения в период становления общества и социальных отношений, а также в свете их биологических функций и уникального характ</w:t>
      </w:r>
      <w:r>
        <w:t>е</w:t>
      </w:r>
      <w:r>
        <w:t>ра этих функций.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248.</w:t>
      </w:r>
      <w:r>
        <w:tab/>
        <w:t>Охрана здоровья женщин фертильного возраста и женщин в целом треб</w:t>
      </w:r>
      <w:r>
        <w:t>у</w:t>
      </w:r>
      <w:r>
        <w:t>ет осуществления целого ряда мероприятий, начиная с таких общих мер, как просвещение, эмансипация женщин, обеспечение соблюдения основных прав человека, и кончая такими конкретными мерами, как медико-санитарное о</w:t>
      </w:r>
      <w:r>
        <w:t>б</w:t>
      </w:r>
      <w:r>
        <w:t>служивание и профилактические медицинские меры, направленные на пов</w:t>
      </w:r>
      <w:r>
        <w:t>ы</w:t>
      </w:r>
      <w:r>
        <w:t>шение медико-санитарной культуры женщин, гуманизация отношений между полами, планирование семьи (контрацепция, а также аборты как наиболее н</w:t>
      </w:r>
      <w:r>
        <w:t>е</w:t>
      </w:r>
      <w:r>
        <w:t>благоприятный и самый пагубный метод планирования семьи с точки зрения здоровья женщин), наблюдение и контроль за ходом беременности и в посл</w:t>
      </w:r>
      <w:r>
        <w:t>е</w:t>
      </w:r>
      <w:r>
        <w:t>родовой период в соответствии с минимальной и оптимальной программой и помощь сп</w:t>
      </w:r>
      <w:r>
        <w:t>е</w:t>
      </w:r>
      <w:r>
        <w:t>циалистов при родах.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Многие программы медико-санитарного обслуживания, которые осущес</w:t>
      </w:r>
      <w:r>
        <w:t>т</w:t>
      </w:r>
      <w:r>
        <w:t>вляются в мире, посвящены удовлетворению потребностей женщин, однако лишь очень небольшая их часть основывается на действительно исследова</w:t>
      </w:r>
      <w:r>
        <w:t>н</w:t>
      </w:r>
      <w:r>
        <w:t>ных характерных различиях и потребностях в рамках различных групп, а также на различиях между мужчинами и женщинами. Во многих странах отмечались различия в зависимости от региона, места жительства, городских/сельских районов, социально-экономического статуса, возраста и демографической с</w:t>
      </w:r>
      <w:r>
        <w:t>и</w:t>
      </w:r>
      <w:r>
        <w:t>туации. Всемирная организация здравоохранения разрабатывает политику, предусматривающую учет различий в состоянии здоровья и принятие мер по их устранению. В соответствии с такой политикой особое внимание уделяется женщинам, которые принадлежат к меньшинствам: мигрантам, беженцам и так н</w:t>
      </w:r>
      <w:r>
        <w:t>а</w:t>
      </w:r>
      <w:r>
        <w:t xml:space="preserve">зываемым этническим меньшинствам.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249.</w:t>
      </w:r>
      <w:r>
        <w:tab/>
        <w:t>В 2001 году в Республике Сербской, по оценке Республиканского стат</w:t>
      </w:r>
      <w:r>
        <w:t>и</w:t>
      </w:r>
      <w:r>
        <w:t>стического института, общее чи</w:t>
      </w:r>
      <w:r>
        <w:t>с</w:t>
      </w:r>
      <w:r>
        <w:t>ло женщин составило 753 846 человек.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По данным Федерального статистического института, число женщин в Федерации Боснии и Герцеговины в 2001 году составило в общей сложности 1 201 003 человека, среди которых число женщин фертильного возраста (в во</w:t>
      </w:r>
      <w:r>
        <w:t>з</w:t>
      </w:r>
      <w:r>
        <w:t>расте от 15 до 49 лет) составило 571 906 человек. Уровень рождаемости в 2001 году составил 40,1 процента и по-прежнему характеризуется постоянной тенденцией к снижению. В 2000 году он составил 42,8 процента, а в 1999 году - 48,7 процента. Последняя оценка средней продолжительности жи</w:t>
      </w:r>
      <w:r>
        <w:t>з</w:t>
      </w:r>
      <w:r>
        <w:t>ни в Боснии и Герцеговины была произведена за 1990 год и составила 74,6 года для женщин и 69,2 года для мужчин. В Федерации Боснии и Герцеговины средний возраст скончавшихся составил в 2001 году 67,1 года, в том числе 69,9 года для женщин и 64,6 года для мужчин. Одним из показателей, свид</w:t>
      </w:r>
      <w:r>
        <w:t>е</w:t>
      </w:r>
      <w:r>
        <w:t>тельствующих о том, насколько безопасным и здоровым является материнство, служит уровень смертности только что родивших женщин. В довоенной Бо</w:t>
      </w:r>
      <w:r>
        <w:t>с</w:t>
      </w:r>
      <w:r>
        <w:t>нии и Герцеговине этот уровень составлял 10,7 процента. В послевоенный п</w:t>
      </w:r>
      <w:r>
        <w:t>е</w:t>
      </w:r>
      <w:r>
        <w:t>риод данные о смертности только что родивших женщин не публиковались, однако подсчитано, что этот уровень возрос. В 2001 году в Федерации Боснии и Герцеговины зафиксирован только один случай материнской смертности, что свидетельствует о низком качестве статистических данных по смертности и, естественно, не отражает фактического полож</w:t>
      </w:r>
      <w:r>
        <w:t>е</w:t>
      </w:r>
      <w:r>
        <w:t>ния дел.</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2001 году основными причинами смерти женщин были заболевания сердечно-сосудистой системы, злокачественные новообразования, симптомы, признаки и анормальные клинические признаки и результаты лабораторных исследований и т.д. В 2001 году причины смерти вследствие злокачественных новообразований не свидетельствовали о сколько-нибудь серьезных изменен</w:t>
      </w:r>
      <w:r>
        <w:t>и</w:t>
      </w:r>
      <w:r>
        <w:t>ях по сравнению с 1999 и 2000 годами. Так, на первом месте стоит рак моло</w:t>
      </w:r>
      <w:r>
        <w:t>ч</w:t>
      </w:r>
      <w:r>
        <w:t>ной железы, уровень заболеваемости которым составляет 22 на 100 000 (стру</w:t>
      </w:r>
      <w:r>
        <w:t>к</w:t>
      </w:r>
      <w:r>
        <w:t>турный индекс 13,6 процента), а рак шейки матки с уровнем 5,5 на 100 000 н</w:t>
      </w:r>
      <w:r>
        <w:t>а</w:t>
      </w:r>
      <w:r>
        <w:t>ходится на седьмом месте среди основных причин смерти в результате злок</w:t>
      </w:r>
      <w:r>
        <w:t>а</w:t>
      </w:r>
      <w:r>
        <w:t>чественных нов</w:t>
      </w:r>
      <w:r>
        <w:t>о</w:t>
      </w:r>
      <w:r>
        <w:t>образований.</w:t>
      </w:r>
    </w:p>
    <w:p w:rsidR="00000000" w:rsidRDefault="00000000">
      <w:pPr>
        <w:pStyle w:val="SingleTxt"/>
        <w:keepNext/>
        <w:spacing w:after="0" w:line="240" w:lineRule="auto"/>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12.3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Женщины - жертвы самоубийств и убийств</w:t>
      </w:r>
    </w:p>
    <w:p w:rsidR="00000000" w:rsidRDefault="00000000">
      <w:pPr>
        <w:pStyle w:val="SingleTxt"/>
        <w:keepNext/>
        <w:spacing w:after="0" w:line="120" w:lineRule="exact"/>
        <w:ind w:left="1264" w:right="1264"/>
        <w:jc w:val="left"/>
        <w:rPr>
          <w:sz w:val="10"/>
        </w:rPr>
      </w:pPr>
    </w:p>
    <w:p w:rsidR="00000000" w:rsidRDefault="00000000">
      <w:pPr>
        <w:pStyle w:val="SingleTxt"/>
        <w:keepNext/>
        <w:spacing w:after="0" w:line="120" w:lineRule="exact"/>
        <w:ind w:left="1264" w:right="1264"/>
        <w:jc w:val="left"/>
        <w:rPr>
          <w:sz w:val="10"/>
        </w:rPr>
      </w:pPr>
    </w:p>
    <w:tbl>
      <w:tblPr>
        <w:tblW w:w="0" w:type="auto"/>
        <w:tblInd w:w="1982" w:type="dxa"/>
        <w:tblLayout w:type="fixed"/>
        <w:tblCellMar>
          <w:left w:w="0" w:type="dxa"/>
          <w:right w:w="0" w:type="dxa"/>
        </w:tblCellMar>
        <w:tblLook w:val="0000" w:firstRow="0" w:lastRow="0" w:firstColumn="0" w:lastColumn="0" w:noHBand="0" w:noVBand="0"/>
      </w:tblPr>
      <w:tblGrid>
        <w:gridCol w:w="1170"/>
        <w:gridCol w:w="1170"/>
        <w:gridCol w:w="1170"/>
        <w:gridCol w:w="1170"/>
        <w:gridCol w:w="1170"/>
      </w:tblGrid>
      <w:tr w:rsidR="00000000">
        <w:tblPrEx>
          <w:tblCellMar>
            <w:top w:w="0" w:type="dxa"/>
            <w:left w:w="0" w:type="dxa"/>
            <w:bottom w:w="0" w:type="dxa"/>
            <w:right w:w="0" w:type="dxa"/>
          </w:tblCellMar>
        </w:tblPrEx>
        <w:trPr>
          <w:cantSplit/>
          <w:tblHeader/>
        </w:trPr>
        <w:tc>
          <w:tcPr>
            <w:tcW w:w="1170" w:type="dxa"/>
            <w:vMerge w:val="restart"/>
            <w:tcBorders>
              <w:top w:val="single" w:sz="4" w:space="0" w:color="auto"/>
            </w:tcBorders>
            <w:vAlign w:val="center"/>
          </w:tcPr>
          <w:p w:rsidR="00000000" w:rsidRDefault="00000000">
            <w:pPr>
              <w:keepNext/>
              <w:tabs>
                <w:tab w:val="left" w:pos="288"/>
                <w:tab w:val="left" w:pos="576"/>
                <w:tab w:val="left" w:pos="864"/>
                <w:tab w:val="left" w:pos="1152"/>
              </w:tabs>
              <w:spacing w:before="81" w:after="81" w:line="160" w:lineRule="exact"/>
              <w:ind w:right="40"/>
              <w:rPr>
                <w:i/>
                <w:sz w:val="14"/>
              </w:rPr>
            </w:pPr>
            <w:r>
              <w:rPr>
                <w:i/>
                <w:sz w:val="14"/>
              </w:rPr>
              <w:t>Год</w:t>
            </w:r>
          </w:p>
        </w:tc>
        <w:tc>
          <w:tcPr>
            <w:tcW w:w="2340" w:type="dxa"/>
            <w:gridSpan w:val="2"/>
            <w:tcBorders>
              <w:top w:val="single" w:sz="4" w:space="0" w:color="auto"/>
              <w:bottom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center"/>
              <w:rPr>
                <w:i/>
                <w:sz w:val="14"/>
              </w:rPr>
            </w:pPr>
            <w:r>
              <w:rPr>
                <w:i/>
                <w:sz w:val="14"/>
              </w:rPr>
              <w:t>Самоубийства</w:t>
            </w:r>
          </w:p>
        </w:tc>
        <w:tc>
          <w:tcPr>
            <w:tcW w:w="2340" w:type="dxa"/>
            <w:gridSpan w:val="2"/>
            <w:tcBorders>
              <w:top w:val="single" w:sz="4" w:space="0" w:color="auto"/>
              <w:bottom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center"/>
              <w:rPr>
                <w:i/>
                <w:sz w:val="14"/>
              </w:rPr>
            </w:pPr>
            <w:r>
              <w:rPr>
                <w:i/>
                <w:sz w:val="14"/>
              </w:rPr>
              <w:t>Убийства</w:t>
            </w:r>
          </w:p>
        </w:tc>
      </w:tr>
      <w:tr w:rsidR="00000000">
        <w:tblPrEx>
          <w:tblCellMar>
            <w:top w:w="0" w:type="dxa"/>
            <w:left w:w="0" w:type="dxa"/>
            <w:bottom w:w="0" w:type="dxa"/>
            <w:right w:w="0" w:type="dxa"/>
          </w:tblCellMar>
        </w:tblPrEx>
        <w:trPr>
          <w:cantSplit/>
          <w:tblHeader/>
        </w:trPr>
        <w:tc>
          <w:tcPr>
            <w:tcW w:w="1170" w:type="dxa"/>
            <w:vMerge/>
            <w:vAlign w:val="bottom"/>
          </w:tcPr>
          <w:p w:rsidR="00000000" w:rsidRDefault="00000000">
            <w:pPr>
              <w:keepNext/>
              <w:tabs>
                <w:tab w:val="left" w:pos="288"/>
                <w:tab w:val="left" w:pos="576"/>
                <w:tab w:val="left" w:pos="864"/>
                <w:tab w:val="left" w:pos="1152"/>
              </w:tabs>
              <w:spacing w:before="81" w:after="81" w:line="160" w:lineRule="exact"/>
              <w:ind w:right="40"/>
              <w:rPr>
                <w:i/>
                <w:sz w:val="14"/>
              </w:rPr>
            </w:pPr>
          </w:p>
        </w:tc>
        <w:tc>
          <w:tcPr>
            <w:tcW w:w="1170" w:type="dxa"/>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Мужчины</w:t>
            </w:r>
          </w:p>
        </w:tc>
        <w:tc>
          <w:tcPr>
            <w:tcW w:w="1170" w:type="dxa"/>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Женщины</w:t>
            </w:r>
          </w:p>
        </w:tc>
        <w:tc>
          <w:tcPr>
            <w:tcW w:w="1170" w:type="dxa"/>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Мужчины</w:t>
            </w:r>
          </w:p>
        </w:tc>
        <w:tc>
          <w:tcPr>
            <w:tcW w:w="1170" w:type="dxa"/>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Женщины</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Всего</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bl>
    <w:p w:rsidR="00000000" w:rsidRDefault="00000000">
      <w:pPr>
        <w:pStyle w:val="SingleTxt"/>
        <w:keepNext/>
        <w:spacing w:after="0" w:line="120" w:lineRule="exact"/>
        <w:ind w:left="1264" w:right="1264"/>
        <w:jc w:val="lef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250.</w:t>
      </w:r>
      <w:r>
        <w:tab/>
        <w:t>В Боснии и Герцеговине аборты узаконены, и в соответствии с законом об условиях прерывания беременности такая операция производится по просьбе беременной женщины. В случае несовершеннолетних беременных девочек и беременных женщин, лишенных право- и дееспособности, с такой просьбой обращается опекун. В чрезвычайных обстоятельствах, если несовершенноле</w:t>
      </w:r>
      <w:r>
        <w:t>т</w:t>
      </w:r>
      <w:r>
        <w:t>няя беременная женщина старше 16 лет и зарабатывает на жизнь своим трудом, она может сама обратиться с просьбой о прерывании беременности. Прерыв</w:t>
      </w:r>
      <w:r>
        <w:t>а</w:t>
      </w:r>
      <w:r>
        <w:t>ние беременности в случае беременных женщин в возрасте старше 14 лет не может производиться без согласия самой женщины. В соответствии с законом об условиях и порядке прерывания беременности, просьба о прерывании бер</w:t>
      </w:r>
      <w:r>
        <w:t>е</w:t>
      </w:r>
      <w:r>
        <w:t>менности удовлетворяется, если срок беременности не превысил 10 недель. После 10 недели аборты могут производиться лишь в том случае, если сущес</w:t>
      </w:r>
      <w:r>
        <w:t>т</w:t>
      </w:r>
      <w:r>
        <w:t>вует реальная угроза жизни или здоровью матери или плода, и в этом случае разрешение должен дать комитет экспертов. Комитет экспертов формируется директором клиники, и в его состав входят гинеколог, врач, который является специалистом по болезни, от которой страдает беременная женщина, и соц</w:t>
      </w:r>
      <w:r>
        <w:t>и</w:t>
      </w:r>
      <w:r>
        <w:t>альный работник. Число подпольных абортов неизвестно. Уголовное законод</w:t>
      </w:r>
      <w:r>
        <w:t>а</w:t>
      </w:r>
      <w:r>
        <w:t>тельство образования квалифицирует незаконное прерывание беременности как уголовное преступление (нарушение закона об абортах), которое наказыв</w:t>
      </w:r>
      <w:r>
        <w:t>а</w:t>
      </w:r>
      <w:r>
        <w:t>ется лишением свободы на срок от трех месяцев до одного года. В случае пр</w:t>
      </w:r>
      <w:r>
        <w:t>и</w:t>
      </w:r>
      <w:r>
        <w:t xml:space="preserve">чинения тяжких телесных повреждений, создания серьезной угрозы здоровью или смерти беременной женщины такое преступление наказывается лишением свободы на срок от шести месяцев до пяти лет.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251.</w:t>
      </w:r>
      <w:r>
        <w:tab/>
        <w:t>До войны в 1990 году число абортов как метода планирования семьи в Боснии и Герцеговины составило 66 625 и почти сравнялось с числом новор</w:t>
      </w:r>
      <w:r>
        <w:t>о</w:t>
      </w:r>
      <w:r>
        <w:t>жденных - 67 278. Во время войны это соотношение возросло до 2,5 к 1 в пол</w:t>
      </w:r>
      <w:r>
        <w:t>ь</w:t>
      </w:r>
      <w:r>
        <w:t>зу абортов. В регулярной статистической отчетности по вопросам здравоохр</w:t>
      </w:r>
      <w:r>
        <w:t>а</w:t>
      </w:r>
      <w:r>
        <w:t>нения данных о числе абортов нет. Согласно оценкам, основывающимся на проведенных исследованиях, сейчас это соотношение вновь вернулось к св</w:t>
      </w:r>
      <w:r>
        <w:t>о</w:t>
      </w:r>
      <w:r>
        <w:t>ему довоенному и крайне неблагоприятному уровню. Серьезность этой и</w:t>
      </w:r>
      <w:r>
        <w:t>н</w:t>
      </w:r>
      <w:r>
        <w:t>формации только возрастает, если учесть тот факт, что доля этой причины м</w:t>
      </w:r>
      <w:r>
        <w:t>а</w:t>
      </w:r>
      <w:r>
        <w:t xml:space="preserve">теринской смертности составляет около 30 процентов.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Согласно данным Федерального статистического института, в 2001 году в Федерации Боснии и Герцеговины количество родов, принятых под наблюд</w:t>
      </w:r>
      <w:r>
        <w:t>е</w:t>
      </w:r>
      <w:r>
        <w:t>нием специалиста, составило 25 330, или 99,4 процента от всего количества родов.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Согласно отчетам станций/поликлиник скорой помощи, в 2001 году о</w:t>
      </w:r>
      <w:r>
        <w:t>с</w:t>
      </w:r>
      <w:r>
        <w:t>новными заболеваниями женского населения в возрасте 15 лет и старше в Ф</w:t>
      </w:r>
      <w:r>
        <w:t>е</w:t>
      </w:r>
      <w:r>
        <w:t>дерации Боснии и Герцеговины были менструальные расстройства, уровень которых составил 2049 на 100 000, а структурный индекс - 8,4 процента, тр</w:t>
      </w:r>
      <w:r>
        <w:t>и</w:t>
      </w:r>
      <w:r>
        <w:t>хомоноз с уровнем 1643 на 100 000 и структурным индексом 6,7 процента, кандидоз с уровнем 1490 на 100 000 и структурным индексом 6,1 процента, менопаузные и другие предменопаузные расстройства с уровнем 1265 на 100 000 и структурным индексом 5,2 процент, воспаление мочевого пузыря с уровнем 1079 на 100 000 и стру</w:t>
      </w:r>
      <w:r>
        <w:t>к</w:t>
      </w:r>
      <w:r>
        <w:t>турным индексом 4,4 процента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252.</w:t>
      </w:r>
      <w:r>
        <w:tab/>
        <w:t>В целях оценки состояния здоровья женщин и детей в Боснии и Герцег</w:t>
      </w:r>
      <w:r>
        <w:t>о</w:t>
      </w:r>
      <w:r>
        <w:t>вине Федеральный институт общественного здравоохранения в сотрудничестве с ЮНИСЕФ осуществил проект "Исследование, посвященное проблемам же</w:t>
      </w:r>
      <w:r>
        <w:t>н</w:t>
      </w:r>
      <w:r>
        <w:t>щин и детей в Федерации Боснии и Герцеговины" (</w:t>
      </w:r>
      <w:r>
        <w:rPr>
          <w:lang w:val="en-US"/>
        </w:rPr>
        <w:t>BIH</w:t>
      </w:r>
      <w:r>
        <w:t xml:space="preserve"> </w:t>
      </w:r>
      <w:r>
        <w:rPr>
          <w:lang w:val="en-US"/>
        </w:rPr>
        <w:t>MICS</w:t>
      </w:r>
      <w:r>
        <w:t xml:space="preserve"> 2000), который охватывал 5578 женщин фертильного возраста (в возрасте от 15 до 49 лет). Р</w:t>
      </w:r>
      <w:r>
        <w:t>е</w:t>
      </w:r>
      <w:r>
        <w:t>зультаты этого исследования показали, что 70 процентов обследованных же</w:t>
      </w:r>
      <w:r>
        <w:t>н</w:t>
      </w:r>
      <w:r>
        <w:t>щин рожали. Свыше 99 процентов женщин фертильного возраста, которые р</w:t>
      </w:r>
      <w:r>
        <w:t>о</w:t>
      </w:r>
      <w:r>
        <w:t>жали в течение года, предшествовавшего проведению исследования, пользов</w:t>
      </w:r>
      <w:r>
        <w:t>а</w:t>
      </w:r>
      <w:r>
        <w:t>лись во время родов медицинской помощью, оказывавшейся специалистом. Постоянное применение средств контрацепции было зарегистрировано у 49 процентов обследованных женщин. Только 16 процентов из них используют один из современных методов контрацепции (3 процента - презервативы, 7 процентов - ВМС, 5 процентов - пилюли...), в то время как 33 процента же</w:t>
      </w:r>
      <w:r>
        <w:t>н</w:t>
      </w:r>
      <w:r>
        <w:t>щин прибегают к тому или иному традиционному методу (прерывание полов</w:t>
      </w:r>
      <w:r>
        <w:t>о</w:t>
      </w:r>
      <w:r>
        <w:t>го акта). Среди наиболее часто встречающихся в Боснии и Герцеговине мед</w:t>
      </w:r>
      <w:r>
        <w:t>и</w:t>
      </w:r>
      <w:r>
        <w:t>ко-санитарных проблем, связанных с питанием беременных женщин во время беременности, - низкая доля женщин, прибегающих к грудному вскармлив</w:t>
      </w:r>
      <w:r>
        <w:t>а</w:t>
      </w:r>
      <w:r>
        <w:t>нию, большое потребление жиров, недостаточное потребление фруктов и ов</w:t>
      </w:r>
      <w:r>
        <w:t>о</w:t>
      </w:r>
      <w:r>
        <w:t>щей и нехватка железа. Никакого постоянного и систематического контроля за потреблением продуктов и привычками, связанными с питанием населения, не осуществляется, и в послевоенный период не проводилось никаких исследов</w:t>
      </w:r>
      <w:r>
        <w:t>а</w:t>
      </w:r>
      <w:r>
        <w:t>ний в этой области, которые могли бы дать общее представление о фактич</w:t>
      </w:r>
      <w:r>
        <w:t>е</w:t>
      </w:r>
      <w:r>
        <w:t>ском положении дел.</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253.</w:t>
      </w:r>
      <w:r>
        <w:tab/>
        <w:t>Беременность несовершеннолетних - это повсеместное явление, которое является следствием плохой информированности молодежи в вопросах репр</w:t>
      </w:r>
      <w:r>
        <w:t>о</w:t>
      </w:r>
      <w:r>
        <w:t>дуктивного здоровья. Согласно семейному законодательству, человек может вступить в брак в возрасте 18 лет. Однако часто случается так, что несове</w:t>
      </w:r>
      <w:r>
        <w:t>р</w:t>
      </w:r>
      <w:r>
        <w:t>шеннолетние старшего возраста вступают в брак до достижения юридически установленного возраста, т.е. в период между 16 годами и наступлением с</w:t>
      </w:r>
      <w:r>
        <w:t>о</w:t>
      </w:r>
      <w:r>
        <w:t>вершеннолетия, и такая возможность предусмотрена семейным правом (С</w:t>
      </w:r>
      <w:r>
        <w:t>е</w:t>
      </w:r>
      <w:r>
        <w:t>мейное право, статья 32, пункт 2). Наиболее часто встречающаяся причина вступления в брак до достижения установленного законом возраста - это н</w:t>
      </w:r>
      <w:r>
        <w:t>е</w:t>
      </w:r>
      <w:r>
        <w:t>предвиденная б</w:t>
      </w:r>
      <w:r>
        <w:t>е</w:t>
      </w:r>
      <w:r>
        <w:t>ременность несовершеннолетних, что приводит к браку. По-прежнему существуют стереотипы, связанные с рождением ребенка вне брака. Преждевременные браки и ранняя беременность представляют собой препя</w:t>
      </w:r>
      <w:r>
        <w:t>т</w:t>
      </w:r>
      <w:r>
        <w:t>ствие на пути прогресса в экономической области и в сфере образования и н</w:t>
      </w:r>
      <w:r>
        <w:t>е</w:t>
      </w:r>
      <w:r>
        <w:t>гативно сказыв</w:t>
      </w:r>
      <w:r>
        <w:t>а</w:t>
      </w:r>
      <w:r>
        <w:t>ются на жизни не только женщин, но и их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254.</w:t>
      </w:r>
      <w:r>
        <w:tab/>
        <w:t>Здесь важно отметить, что объем знаний женщин о болезнях и симптомах, передающихся половым путем, весьма ограничен, равно как и о последствиях, возникающих в результате заражения такими болезнями, и это зримое проя</w:t>
      </w:r>
      <w:r>
        <w:t>в</w:t>
      </w:r>
      <w:r>
        <w:t>ление упомянутых выше показателей, касающихся применения средств ко</w:t>
      </w:r>
      <w:r>
        <w:t>н</w:t>
      </w:r>
      <w:r>
        <w:t>трацепции. Все это требует срочного принятия и осуществления национальной стратегии борьбы со СПИДом. Некоторые меры, предусмотренные в предл</w:t>
      </w:r>
      <w:r>
        <w:t>а</w:t>
      </w:r>
      <w:r>
        <w:t>гаемой программе и направленные на повышение информированности о ри</w:t>
      </w:r>
      <w:r>
        <w:t>с</w:t>
      </w:r>
      <w:r>
        <w:t>ках и последствиях заражения болезнями, передающимися половым путем, особенно ВИЧ и СПИД, ориентированы в практической плоскости на женщин и девочек. Особое внимание было уделено группам риска среди женщин и д</w:t>
      </w:r>
      <w:r>
        <w:t>е</w:t>
      </w:r>
      <w:r>
        <w:t>вочек, и это следствие их весьма неосмотрительного поведения и дурных пр</w:t>
      </w:r>
      <w:r>
        <w:t>и</w:t>
      </w:r>
      <w:r>
        <w:t>вычек.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255.</w:t>
      </w:r>
      <w:r>
        <w:tab/>
        <w:t>Что касается состояния здоровья женщин как предварительного условия для принятия надлежащей программы, которая будет направлена на удовлетв</w:t>
      </w:r>
      <w:r>
        <w:t>о</w:t>
      </w:r>
      <w:r>
        <w:t>рение их потребностей в медико-санитарном обслуживании, то здесь необх</w:t>
      </w:r>
      <w:r>
        <w:t>о</w:t>
      </w:r>
      <w:r>
        <w:t>димо улучшить контроль за состоянием здоровья и предоставлять всеобъе</w:t>
      </w:r>
      <w:r>
        <w:t>м</w:t>
      </w:r>
      <w:r>
        <w:t>лющую информацию о здоровье женщин. Важной необходимой мерой является совершенствование планирования семьи путем расширения знаний, доступн</w:t>
      </w:r>
      <w:r>
        <w:t>о</w:t>
      </w:r>
      <w:r>
        <w:t>сти и повышения качества обслуживания связанного с применением методов контрацепции. Необходимо также включать в систему медико-санитарного о</w:t>
      </w:r>
      <w:r>
        <w:t>б</w:t>
      </w:r>
      <w:r>
        <w:t>служивания имеющиеся профилактические и информацио</w:t>
      </w:r>
      <w:r>
        <w:t>н</w:t>
      </w:r>
      <w:r>
        <w:t>но-пропагандистские программы, которые будут осуществляться в качестве кра</w:t>
      </w:r>
      <w:r>
        <w:t>т</w:t>
      </w:r>
      <w:r>
        <w:t>косрочных мероприятий в рамках проектов (рак молочной железы и рак шейки матки).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256.</w:t>
      </w:r>
      <w:r>
        <w:tab/>
        <w:t>Результаты обследования здоровья женщин и детей, проведенного в Ф</w:t>
      </w:r>
      <w:r>
        <w:t>е</w:t>
      </w:r>
      <w:r>
        <w:t>дерации Боснии и Герцеговины в 2000 году (</w:t>
      </w:r>
      <w:r>
        <w:rPr>
          <w:lang w:val="en-US"/>
        </w:rPr>
        <w:t>MICS</w:t>
      </w:r>
      <w:r>
        <w:t xml:space="preserve"> 2000), показали, что 69,6 процента женщин подросткового возраста, которые проживают с мужч</w:t>
      </w:r>
      <w:r>
        <w:t>и</w:t>
      </w:r>
      <w:r>
        <w:t>ной на территории Федерации Боснии и Герцеговины, не прибегают к методам контр</w:t>
      </w:r>
      <w:r>
        <w:t>а</w:t>
      </w:r>
      <w:r>
        <w:t>цепции.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структуре населения на долю женщин зачастую приходится до 50 процентов от общей численности, а процентная доля женщин фертильного возраста колеблется от 25 до 26 процентов. Их потребности в области здрав</w:t>
      </w:r>
      <w:r>
        <w:t>о</w:t>
      </w:r>
      <w:r>
        <w:t>охранения весьма высоки и обусловлены рядом взаимозависимых показателей, как, например, социальный и экономический статус, включая насилие, изнас</w:t>
      </w:r>
      <w:r>
        <w:t>и</w:t>
      </w:r>
      <w:r>
        <w:t>лования и другие виды сексуальных домогательств и злоупотреблений; репр</w:t>
      </w:r>
      <w:r>
        <w:t>о</w:t>
      </w:r>
      <w:r>
        <w:t>дуктивные функции; сложная роль в обществе, как, например, роль матери или неофициальные функции, связанные с уходом за домом и семьей или опеку</w:t>
      </w:r>
      <w:r>
        <w:t>н</w:t>
      </w:r>
      <w:r>
        <w:t>ством. К сожалению, ни в одном обществе нет равного отношения к женщинам и мужчинам. В 2001 году причины смерти вследствие злокачественных нов</w:t>
      </w:r>
      <w:r>
        <w:t>о</w:t>
      </w:r>
      <w:r>
        <w:t>образований не свидетельствовали о сколько-нибудь серьезных изменениях по сравнению с 1999 и 2000 годами. Так, на первом месте стоит рак молочной ж</w:t>
      </w:r>
      <w:r>
        <w:t>е</w:t>
      </w:r>
      <w:r>
        <w:t>лезы, уровень заболеваемости которым составляет 22 на 100 000 (структурный индекс 13,6 процента), а рак шейки матки с уровнем 5,5 на 100 000 находится на седьмом месте среди основных причин смерти в результате злокачестве</w:t>
      </w:r>
      <w:r>
        <w:t>н</w:t>
      </w:r>
      <w:r>
        <w:t>ных новообр</w:t>
      </w:r>
      <w:r>
        <w:t>а</w:t>
      </w:r>
      <w:r>
        <w:t>зований.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Заключение: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a</w:t>
      </w:r>
      <w:r>
        <w:t>)</w:t>
      </w:r>
      <w:r>
        <w:tab/>
        <w:t>В Боснии и Герцеговине аборты узаконены, и в соответствии с зак</w:t>
      </w:r>
      <w:r>
        <w:t>о</w:t>
      </w:r>
      <w:r>
        <w:t>ном об условиях прерывания беременности такая операция производится по просьбе беременной женщины. В случае несовершеннолетних беременных д</w:t>
      </w:r>
      <w:r>
        <w:t>е</w:t>
      </w:r>
      <w:r>
        <w:t>вочек и беременных женщин, лишенных право- и дееспособности, с такой просьбой обращается опекун. В чрезвычайных обстоятельствах, если несове</w:t>
      </w:r>
      <w:r>
        <w:t>р</w:t>
      </w:r>
      <w:r>
        <w:t>шеннолетняя беременная женщина старше 16 лет и зарабатывает на жизнь св</w:t>
      </w:r>
      <w:r>
        <w:t>о</w:t>
      </w:r>
      <w:r>
        <w:t>им трудом, она может сама обратиться с просьбой о прерывании беременности. Прерывание беременности в случае беременных женщин старше 14 лет не м</w:t>
      </w:r>
      <w:r>
        <w:t>о</w:t>
      </w:r>
      <w:r>
        <w:t>жет произв</w:t>
      </w:r>
      <w:r>
        <w:t>о</w:t>
      </w:r>
      <w:r>
        <w:t xml:space="preserve">диться без согласия самой женщины.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Постоянное применение средств контрацепции было зарегистрир</w:t>
      </w:r>
      <w:r>
        <w:t>о</w:t>
      </w:r>
      <w:r>
        <w:t>вано у 49 процентов обследованных женщин. Только 16 процентов из них и</w:t>
      </w:r>
      <w:r>
        <w:t>с</w:t>
      </w:r>
      <w:r>
        <w:t>пользуют один из современных методов контрацепции (3 процента презерват</w:t>
      </w:r>
      <w:r>
        <w:t>и</w:t>
      </w:r>
      <w:r>
        <w:t>вы, 7 процентов - ВМС, 5 процентов - пилюли...), в то время как 33 процента женщин прибегают к тому или иному традиционному методу (прерывание п</w:t>
      </w:r>
      <w:r>
        <w:t>о</w:t>
      </w:r>
      <w:r>
        <w:t>лового а</w:t>
      </w:r>
      <w:r>
        <w:t>к</w:t>
      </w:r>
      <w:r>
        <w:t>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Беременность несовершеннолетних - это повсеместное явление, к</w:t>
      </w:r>
      <w:r>
        <w:t>о</w:t>
      </w:r>
      <w:r>
        <w:t>торое является следствием плохой информированности молодежи в вопросах р</w:t>
      </w:r>
      <w:r>
        <w:t>е</w:t>
      </w:r>
      <w:r>
        <w:t>продуктивного здоровья.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Здесь важно отметить, что объем знаний женщин о болезнях и симптомах, передающихся половым путем, весьма ограничен, равно как и о последствиях, возникающих в результате заражения такими болезнями, и это зримое проя</w:t>
      </w:r>
      <w:r>
        <w:t>в</w:t>
      </w:r>
      <w:r>
        <w:t>ление упомянутых выше показателей, касающихся применения средств ко</w:t>
      </w:r>
      <w:r>
        <w:t>н</w:t>
      </w:r>
      <w:r>
        <w:t>траце</w:t>
      </w:r>
      <w:r>
        <w:t>п</w:t>
      </w:r>
      <w:r>
        <w:t>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Система медико-санитарной помощи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257.</w:t>
      </w:r>
      <w:r>
        <w:tab/>
        <w:t>Произвести оценку фактического положения дел с организацией системы медико-санитарной помощи невозможно ввиду отсутствия точных данных о размерах частного сектора, участие которого в системе такой помощи стан</w:t>
      </w:r>
      <w:r>
        <w:t>о</w:t>
      </w:r>
      <w:r>
        <w:t>вится все более весомым, но который в большинстве случаев не предоставляет данных о своей работе в соответствии с правовыми актами и другими полож</w:t>
      </w:r>
      <w:r>
        <w:t>е</w:t>
      </w:r>
      <w:r>
        <w:t>ниями. Это особенно актуально для той его части, к</w:t>
      </w:r>
      <w:r>
        <w:t>о</w:t>
      </w:r>
      <w:r>
        <w:t>торая оказывает медико-санитарную помощь женщинам и занимается гигиеной ротовой полости. Нео</w:t>
      </w:r>
      <w:r>
        <w:t>б</w:t>
      </w:r>
      <w:r>
        <w:t>ходимо учитывать все эти факторы, прежде чем анализировать представленные данные, которые основываются на информации учреждений, уполномоченных проводить ст</w:t>
      </w:r>
      <w:r>
        <w:t>а</w:t>
      </w:r>
      <w:r>
        <w:t xml:space="preserve">тистические исследования.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258.</w:t>
      </w:r>
      <w:r>
        <w:tab/>
        <w:t>Медико-санитарная система в Боснии и Герцеговине организована и пр</w:t>
      </w:r>
      <w:r>
        <w:t>е</w:t>
      </w:r>
      <w:r>
        <w:t>доставляет услуги на трех уровнях: первичная медико-санитарная помощь, консультативная помощь и помощь специалистов и медико-санитарная п</w:t>
      </w:r>
      <w:r>
        <w:t>о</w:t>
      </w:r>
      <w:r>
        <w:t>мощь, оказываемая в больницах. В 2001 году уровень занятости в системе м</w:t>
      </w:r>
      <w:r>
        <w:t>е</w:t>
      </w:r>
      <w:r>
        <w:t>дико-санитарной помощи в Боснии и Герцеговине слегка понизился по сравн</w:t>
      </w:r>
      <w:r>
        <w:t>е</w:t>
      </w:r>
      <w:r>
        <w:t>нию с предыдущим годом и составил 1017 на 100 000 человек. Доля медико-санитарных работников составила 679 на 100 000 человек. Имеющиеся данные не позволяют привести половую структуру занятых лиц, хотя подсчитано, что женщины составляют половину, а может быть и больше от общего числа вр</w:t>
      </w:r>
      <w:r>
        <w:t>а</w:t>
      </w:r>
      <w:r>
        <w:t>чей. Женщины-медики преобладают главным образом в таких областях, как гинекология, педиатрия и терапия, в то время как специалистами в области х</w:t>
      </w:r>
      <w:r>
        <w:t>и</w:t>
      </w:r>
      <w:r>
        <w:t>рургии являются главным образом му</w:t>
      </w:r>
      <w:r>
        <w:t>ж</w:t>
      </w:r>
      <w:r>
        <w:t>чины.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По сравнению с рядом стран с переходной экономикой, которые наиболее схожи с нами с точки зрения факторов, имеющих отношение к мед</w:t>
      </w:r>
      <w:r>
        <w:t>и</w:t>
      </w:r>
      <w:r>
        <w:t>ко-санитарному обслуживанию, уровень обеспеченности населения медико-санитарными работниками в Федерации Боснии и Герцеговины н</w:t>
      </w:r>
      <w:r>
        <w:t>и</w:t>
      </w:r>
      <w:r>
        <w:t>зок.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259.</w:t>
      </w:r>
      <w:r>
        <w:tab/>
        <w:t>В 2001 году на территории Федерации Боснии и Герцеговины услуги в области первичной медико-санитарной помощи (общая медицина, педиатрия, школьная медицина, пневмо-физиологическая помощь, гигиена труда, гинек</w:t>
      </w:r>
      <w:r>
        <w:t>о</w:t>
      </w:r>
      <w:r>
        <w:t xml:space="preserve">логия, неотложная помощь) оказывали 1337 бригад в 879 пунктах. На каждые 100 000 человек приходилось 58 врачей и 134 медицинских работника среднего звена.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соответствии с общим курсом на проведение реформ постепенно вн</w:t>
      </w:r>
      <w:r>
        <w:t>е</w:t>
      </w:r>
      <w:r>
        <w:t>дряется система бригад, работающих по линии семейной медицины, которые будут оказывать бóльшую часть помощи женщинам на работе. К настоящему времени на подготовительном этапе внедрения семейной медицины в Федер</w:t>
      </w:r>
      <w:r>
        <w:t>а</w:t>
      </w:r>
      <w:r>
        <w:t>ции Боснии и Герцеговины оснащено оборудованием около 70 станций скорой помощи, в которых работают 48 специалистов в области семейной медицины, и это показывает, сколько имеется в настоящее время, а также сколько будет р</w:t>
      </w:r>
      <w:r>
        <w:t>а</w:t>
      </w:r>
      <w:r>
        <w:t>ботать других врачей после дополнительной годичной подготовки. На уровне ПЗЗ функционируют 35 общинных реабилитационных це</w:t>
      </w:r>
      <w:r>
        <w:t>н</w:t>
      </w:r>
      <w:r>
        <w:t>тров (ОРЦ).</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260.</w:t>
      </w:r>
      <w:r>
        <w:tab/>
        <w:t>В 2001 году консультативная и специализированная помощь оказывалась в 344 пунктах медицинских центров. Оказанием подобной медико-санитарной помощи занималось 17 врачей и 24 медицинских работника среднего звена в расчете на каждые 100 000 человек. Хотя все стратегические документы, к</w:t>
      </w:r>
      <w:r>
        <w:t>а</w:t>
      </w:r>
      <w:r>
        <w:t>сающиеся реформы системы здравоохранения, предусматривают укрепление ПЗЗ и рационализацию консультативной и специализированной помощи и м</w:t>
      </w:r>
      <w:r>
        <w:t>е</w:t>
      </w:r>
      <w:r>
        <w:t>дико-санитарной помощи, оказываемой в больницах, данные показывают, что данный вид медико-санитарной помощи в рассматриваемый период развивался более быстрыми темпами по сравнению с первичной медико-санитарной п</w:t>
      </w:r>
      <w:r>
        <w:t>о</w:t>
      </w:r>
      <w:r>
        <w:t>мощью. В рамках деятельности по оказанию первой помощи на станциях и в поликлиниках такую помощь женщинам оказывали 108 врачей (105 специалистов) и 214 медицинских работников среднего звена. В рамках своей работы они совершили 244 266 выездов, из которых только 25 637 (10,5 процента) были произведены с целью оказания консультативной помощи.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261.</w:t>
      </w:r>
      <w:r>
        <w:tab/>
        <w:t>В 2001 году в Федерации Боснии и Герцеговины помощь в больницах ок</w:t>
      </w:r>
      <w:r>
        <w:t>а</w:t>
      </w:r>
      <w:r>
        <w:t>зывали 71 врач и 214 медицинских работников среднего звена в расчете на к</w:t>
      </w:r>
      <w:r>
        <w:t>а</w:t>
      </w:r>
      <w:r>
        <w:t>ждые 100 000 человек, что представляет собой увеличение по сравнению с предыдущими годами. В соответствии со стратегической линией возможности больниц для приема пациентов в последнее время снижались. Число койко-мест сократилось с 380 на 100 000 человек в 1999 году до 360 на 100 000 человек в 2001 году. В 2001 году 8,7 процента населения воспользов</w:t>
      </w:r>
      <w:r>
        <w:t>а</w:t>
      </w:r>
      <w:r>
        <w:t>лись помощью больниц, что представляет собой снижение по сравнению с предыдущим годом, когда больничную помощь получили 9,2 процента насел</w:t>
      </w:r>
      <w:r>
        <w:t>е</w:t>
      </w:r>
      <w:r>
        <w:t>ния. В 2001 году в больницах в расчете на одного врача приходилось 5,1 койко-места, а в расчете на одного медицинского работника среднего звена - 1,7 койко-места, что представляет собой снижение по сравнению с предыд</w:t>
      </w:r>
      <w:r>
        <w:t>у</w:t>
      </w:r>
      <w:r>
        <w:t>щими годами, но тем не менее этот показатель по-прежнему высок. В 2001 году в Федерации Боснии и Герцеговины в больницах и стационарах г</w:t>
      </w:r>
      <w:r>
        <w:t>и</w:t>
      </w:r>
      <w:r>
        <w:t>некологическую и акушерскую помощь оказывали 146 врачей, или 6,3 на ка</w:t>
      </w:r>
      <w:r>
        <w:t>ж</w:t>
      </w:r>
      <w:r>
        <w:t>дые 100 000 человек. Число койко-мест в этих отделениях составило 992, или 43 койко-места на к</w:t>
      </w:r>
      <w:r>
        <w:t>а</w:t>
      </w:r>
      <w:r>
        <w:t xml:space="preserve">ждые 100 000 человек.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На основании решения об установлении временных стандартов и норм медицинской помощи в рамках обязательного медицинского страхования м</w:t>
      </w:r>
      <w:r>
        <w:t>е</w:t>
      </w:r>
      <w:r>
        <w:t>дицинская помощь женщинам определялась путем установления следующего стандарта: одна группа в составе одного врача-гинеколога или специал</w:t>
      </w:r>
      <w:r>
        <w:t>и</w:t>
      </w:r>
      <w:r>
        <w:t xml:space="preserve">ста-акушера, 0,5 старшего медицинского работника среднего звена и 1,5 медицинского работника среднего звена на 11 000 застрахованных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2218"/>
          <w:tab w:val="left" w:pos="2693"/>
        </w:tabs>
        <w:ind w:left="2700" w:right="1120" w:hanging="1440"/>
      </w:pPr>
      <w:r>
        <w:t>Статья 13.</w:t>
      </w:r>
      <w:r>
        <w:tab/>
        <w:t xml:space="preserve">Другие сферы экономической и общественной жизни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Семейные доходы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262.</w:t>
      </w:r>
      <w:r>
        <w:tab/>
        <w:t>Охрана материнства в системе Федерации Боснии и Герцеговины регул</w:t>
      </w:r>
      <w:r>
        <w:t>и</w:t>
      </w:r>
      <w:r>
        <w:t>руется как охрана семьи, имеющей детей, т.е. как неотъемлемая часть социал</w:t>
      </w:r>
      <w:r>
        <w:t>ь</w:t>
      </w:r>
      <w:r>
        <w:t>ной политики и деятельности, представляющей особый общественный инт</w:t>
      </w:r>
      <w:r>
        <w:t>е</w:t>
      </w:r>
      <w:r>
        <w:t>рес. Вопрос предоставления семье гарантий путем выделения средств на цели оказания помощи в воспитании, уходе и поддержке детей и их подготовке к с</w:t>
      </w:r>
      <w:r>
        <w:t>а</w:t>
      </w:r>
      <w:r>
        <w:t>мостоятельной жизни и работе в наилучших интересах ребенка (статья 87) р</w:t>
      </w:r>
      <w:r>
        <w:t>е</w:t>
      </w:r>
      <w:r>
        <w:t>гулируется действующим законом об основах социальной защиты семей с детьми и защиты гражданских жертв войны. Цель защиты семей, имеющих д</w:t>
      </w:r>
      <w:r>
        <w:t>е</w:t>
      </w:r>
      <w:r>
        <w:t>тей, заключается в том, чтобы предоставить всем детям примерно равные у</w:t>
      </w:r>
      <w:r>
        <w:t>с</w:t>
      </w:r>
      <w:r>
        <w:t>ловия для здорового и полноценного физического и интеллектуального разв</w:t>
      </w:r>
      <w:r>
        <w:t>и</w:t>
      </w:r>
      <w:r>
        <w:t>тия, а также для эмоционального развития в семье, оказывать помощь и соде</w:t>
      </w:r>
      <w:r>
        <w:t>й</w:t>
      </w:r>
      <w:r>
        <w:t>ствие в выполнении семьей своих репродуктивных функций (статья 88). С</w:t>
      </w:r>
      <w:r>
        <w:t>о</w:t>
      </w:r>
      <w:r>
        <w:t>гласно упомянутому федеральному закону, наиболее важными правами, кот</w:t>
      </w:r>
      <w:r>
        <w:t>о</w:t>
      </w:r>
      <w:r>
        <w:t>рыми семья, имеющая детей, может пользоваться в интересах защиты мат</w:t>
      </w:r>
      <w:r>
        <w:t>е</w:t>
      </w:r>
      <w:r>
        <w:t>ринства, являются: помощь детям, выплата компенсации, а не заработной пл</w:t>
      </w:r>
      <w:r>
        <w:t>а</w:t>
      </w:r>
      <w:r>
        <w:t>ты работающим женщинам-матерям во время их отсутствия на работе по пр</w:t>
      </w:r>
      <w:r>
        <w:t>и</w:t>
      </w:r>
      <w:r>
        <w:t>чине беременности, рождения ребенка и ухода за ним, денежная помощь во время беременности и рождения ребенка, оказываемая неработающей женщ</w:t>
      </w:r>
      <w:r>
        <w:t>и</w:t>
      </w:r>
      <w:r>
        <w:t>не/матери, единовременная помощь в виде предоставления необходимых пр</w:t>
      </w:r>
      <w:r>
        <w:t>и</w:t>
      </w:r>
      <w:r>
        <w:t>надлежностей для новорожденных, помощь в питании ребенка до шести мес</w:t>
      </w:r>
      <w:r>
        <w:t>я</w:t>
      </w:r>
      <w:r>
        <w:t>цев и дополнительное питание для кормящих матерей, специальная психо-социальная помощь семейным парам, которые хотят иметь детей, и береме</w:t>
      </w:r>
      <w:r>
        <w:t>н</w:t>
      </w:r>
      <w:r>
        <w:t>ным женщинам, помещение детей в дошкольные воспитательные учреждения, организующие их питание.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263.</w:t>
      </w:r>
      <w:r>
        <w:tab/>
        <w:t>В рамках децентрализованной модели Федерации выделение ресурсов на защиту семей, имеющих детей, в качестве одного из инструментов охраны м</w:t>
      </w:r>
      <w:r>
        <w:t>а</w:t>
      </w:r>
      <w:r>
        <w:t>теринства в соответствии с законом о принадлежности государственного дох</w:t>
      </w:r>
      <w:r>
        <w:t>о</w:t>
      </w:r>
      <w:r>
        <w:t>да в Федерации Боснии и Герцеговины передано кантонам. В соответствии с положениями конституции и приводившегося федерального закона кантоны обязаны принять свои кантональные административно-правовые акты по защ</w:t>
      </w:r>
      <w:r>
        <w:t>и</w:t>
      </w:r>
      <w:r>
        <w:t>те семей, имеющих детей, и выделить ресурсы на их осуществление. Реальное положение дел в Федерации Боснии и Герцеговины таково, что из-за трудного материального положения в Федерации к настоящему времени только пять следующих кантонов приняли свои кантональные административно-правовые акты, которые юридически регулируют деятельность в этой области: Сараево, Унско-Санский, Тузла, Босанско-Подриньский и кантон Западная Герцеговина. В системе социальной защиты, охраны ребенка и семьи в Федерации Боснии и Герцеговины семья практически не получает никакой помощи, и мы можем г</w:t>
      </w:r>
      <w:r>
        <w:t>о</w:t>
      </w:r>
      <w:r>
        <w:t>ворить о грубых нарушениях прав женщин на охрану материнства, поскольку финансовые возможности местных общин и кантонов таковы, что у них нет г</w:t>
      </w:r>
      <w:r>
        <w:t>а</w:t>
      </w:r>
      <w:r>
        <w:t>рантированных финансовых средств для выполнения правовых обязательств, определяемых национальными и международными нормативно-правовыми п</w:t>
      </w:r>
      <w:r>
        <w:t>о</w:t>
      </w:r>
      <w:r>
        <w:t>ложениями. Результатом такой политики является долгосрочное снижение уровня рождаемости в Боснии и Герцеговине вследствие роста нищеты, и мы вполне можем говорить о "феминизации нищеты" - это термин стал общепр</w:t>
      </w:r>
      <w:r>
        <w:t>и</w:t>
      </w:r>
      <w:r>
        <w:t xml:space="preserve">нятым и у нас.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264.</w:t>
      </w:r>
      <w:r>
        <w:tab/>
        <w:t>Исходя из вышесказанного, наиболее важными основными правами на охрану материнства, которые действительно осуществляются, являются: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a</w:t>
      </w:r>
      <w:r>
        <w:t>)</w:t>
      </w:r>
      <w:r>
        <w:tab/>
        <w:t>помощь детям - это право осуществляется и оплачивается в следу</w:t>
      </w:r>
      <w:r>
        <w:t>ю</w:t>
      </w:r>
      <w:r>
        <w:t>щих трех кантонах: Сараево, Босанско-Подриньский и Тузла; средняя сумма для каждого из 40 024 детей составляет 20 конв. марок;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право на единовременную помощь в виде предоставления необход</w:t>
      </w:r>
      <w:r>
        <w:t>и</w:t>
      </w:r>
      <w:r>
        <w:t>мых принадлежн</w:t>
      </w:r>
      <w:r>
        <w:t>о</w:t>
      </w:r>
      <w:r>
        <w:t>стей для новорожденного ребенка в Сараево и Босанско-Подриньском кантоне наряду с правом на помощь детям 138 детей пользуются также правом на единовременную помощь в виде предоставления необход</w:t>
      </w:r>
      <w:r>
        <w:t>и</w:t>
      </w:r>
      <w:r>
        <w:t xml:space="preserve">мых принадлежностей для новорожденного ребенка на сумму 111-192 конв. марок;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c</w:t>
      </w:r>
      <w:r>
        <w:t>)</w:t>
      </w:r>
      <w:r>
        <w:tab/>
        <w:t>право на помощь матерям, кормящим ребенка до шести месяцев - это право осуществляется только в кантоне Сараево, и им пользуются 800 человек, которые получают по 44 конв. марки. В других кантонах не выплачивается н</w:t>
      </w:r>
      <w:r>
        <w:t>и</w:t>
      </w:r>
      <w:r>
        <w:t>каких сумм для оказания помощи детям, предоставления единовременной п</w:t>
      </w:r>
      <w:r>
        <w:t>о</w:t>
      </w:r>
      <w:r>
        <w:t>мощи в виде необходимых принадлежностей для новорожденного ребенка и для оказания помощи м</w:t>
      </w:r>
      <w:r>
        <w:t>а</w:t>
      </w:r>
      <w:r>
        <w:t>терям, кормящим ребенка до шести месяцев;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d</w:t>
      </w:r>
      <w:r>
        <w:t>)</w:t>
      </w:r>
      <w:r>
        <w:tab/>
        <w:t>компенсация, а не заработная плата работающим женщинам-матерям - выплачивается в течение времени, пока женщина отсутствует на р</w:t>
      </w:r>
      <w:r>
        <w:t>а</w:t>
      </w:r>
      <w:r>
        <w:t>боте в связи с уходом за ребенком, в трех кантонах (Сараево, Зениский и Д</w:t>
      </w:r>
      <w:r>
        <w:t>о</w:t>
      </w:r>
      <w:r>
        <w:t>бойский) 1748 женщин получают выплаты порядка осуществления этого права в размере от 50 до 80 процентов от оклада, который мать получала в течение шести мес</w:t>
      </w:r>
      <w:r>
        <w:t>я</w:t>
      </w:r>
      <w:r>
        <w:t xml:space="preserve">цев до родов;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e</w:t>
      </w:r>
      <w:r>
        <w:t>)</w:t>
      </w:r>
      <w:r>
        <w:tab/>
        <w:t>денежная помощь неработающим женщинам-матерям - такая п</w:t>
      </w:r>
      <w:r>
        <w:t>о</w:t>
      </w:r>
      <w:r>
        <w:t>мощь выплачивается только в трех кантонах (Сараево, Босанско-Подриньский и Унско-Санский), где в порядке осуществления этого права 1940 женщин п</w:t>
      </w:r>
      <w:r>
        <w:t>о</w:t>
      </w:r>
      <w:r>
        <w:t>лучают от 64 до 112 конв. марок;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f</w:t>
      </w:r>
      <w:r>
        <w:t>)</w:t>
      </w:r>
      <w:r>
        <w:tab/>
        <w:t>право на помещение детей в дошкольные воспитательные учрежд</w:t>
      </w:r>
      <w:r>
        <w:t>е</w:t>
      </w:r>
      <w:r>
        <w:t>ния (субсидии для оплаты детских садов) - это право осуществляется только в кантоне Сараево, где на каждого из 937 детей выплачивается по 130 конв. м</w:t>
      </w:r>
      <w:r>
        <w:t>а</w:t>
      </w:r>
      <w:r>
        <w:t>рок (субсидия в размере от 30 до 100 процентов). В других кантонах это право как помощь бедствующим семьям не осуществл</w:t>
      </w:r>
      <w:r>
        <w:t>я</w:t>
      </w:r>
      <w:r>
        <w:t>ется.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265.</w:t>
      </w:r>
      <w:r>
        <w:tab/>
        <w:t>Наказанием за лишение или ограничение некоторых из вышеупомянутых прав, которыми может пользоваться как потребитель женщина, является д</w:t>
      </w:r>
      <w:r>
        <w:t>е</w:t>
      </w:r>
      <w:r>
        <w:t>нежный штраф, налагаемый на учреждения социальной защиты, ответстве</w:t>
      </w:r>
      <w:r>
        <w:t>н</w:t>
      </w:r>
      <w:r>
        <w:t>ную сторону, нанимателя, юридическую сторону и государственное предпр</w:t>
      </w:r>
      <w:r>
        <w:t>и</w:t>
      </w:r>
      <w:r>
        <w:t>ятие в размере от 100 от 5000 конв. марок (статья 98 федерального закона).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br w:type="page"/>
        <w:t>Банковские ссуды, ипотека и другие финансовые кредиты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266.</w:t>
      </w:r>
      <w:r>
        <w:tab/>
        <w:t>В Боснии и Герцеговине женщины и мужчины имеют равный доступ ко всем видам ссуд и кредитов. Однако неравенство, как правило, проявляется в случае определенных видов кредитов, которые требуют залога недвижимости, поскольку в нашем обществе в большинстве случаев основным владельцем ч</w:t>
      </w:r>
      <w:r>
        <w:t>а</w:t>
      </w:r>
      <w:r>
        <w:t>стной собстве</w:t>
      </w:r>
      <w:r>
        <w:t>н</w:t>
      </w:r>
      <w:r>
        <w:t xml:space="preserve">ности по-прежнему является мужчина.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Отдых, спорт и другие аспекты культурной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267.</w:t>
      </w:r>
      <w:r>
        <w:tab/>
        <w:t>После войны спорт и отдых приобретают все большее значение среди женского населения, поскольку существует большое число видов деятельн</w:t>
      </w:r>
      <w:r>
        <w:t>о</w:t>
      </w:r>
      <w:r>
        <w:t>сти, которыми им рекомендуется заниматься независимо от их возраста. Однако женщины по-прежнему весьма слабо представлены в различных видах спорта. Причина этого заключается в том, что активность женщин по-прежнему огр</w:t>
      </w:r>
      <w:r>
        <w:t>а</w:t>
      </w:r>
      <w:r>
        <w:t>ничивается частной и семейной жизнью, а также участием в культурной и о</w:t>
      </w:r>
      <w:r>
        <w:t>б</w:t>
      </w:r>
      <w:r>
        <w:t>разовательной деятельности. Явная потребность женщин в занятиях спортом минимальна и проявляется лишь время от времени.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Женщины - члены меньшинств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268.</w:t>
      </w:r>
      <w:r>
        <w:tab/>
        <w:t>После войны переписей населения в Боснии и Герцеговине не провод</w:t>
      </w:r>
      <w:r>
        <w:t>и</w:t>
      </w:r>
      <w:r>
        <w:t>лось, и никаких достоверных данных о численности национальных мен</w:t>
      </w:r>
      <w:r>
        <w:t>ь</w:t>
      </w:r>
      <w:r>
        <w:t>шинств нет, однако, согласно переписи 1991 года, в соответствии с законом упоминаются следующие группы: албанцы, черногорцы, чехи, итальянцы, е</w:t>
      </w:r>
      <w:r>
        <w:t>в</w:t>
      </w:r>
      <w:r>
        <w:t>реи, македонцы, немцы, поляки, русские, рома, румыны, резинцы, словаки, словенцы, турки, украинцы. Женщины и дети, а также мужчины из этих общин в своей повседневной жизни оказываются в весьма неблагоприятном полож</w:t>
      </w:r>
      <w:r>
        <w:t>е</w:t>
      </w:r>
      <w:r>
        <w:t>нии. Меньшинства находятся в полной изоляции в политической, экономич</w:t>
      </w:r>
      <w:r>
        <w:t>е</w:t>
      </w:r>
      <w:r>
        <w:t>ской и общественной жизни страны. На положении рома особенно серьезно сказывается закон, устанавливающий степень охвата детей образованием, а также очень низкую долю среди занятых. Кроме того, в общении с другими крупными этническими группами рома оказываются в особенно дискримин</w:t>
      </w:r>
      <w:r>
        <w:t>а</w:t>
      </w:r>
      <w:r>
        <w:t>ционном положении. Наиболее многочисленные группы меньшинств организ</w:t>
      </w:r>
      <w:r>
        <w:t>о</w:t>
      </w:r>
      <w:r>
        <w:t>ваны с помощью своих неправительственных организаций, цель которых з</w:t>
      </w:r>
      <w:r>
        <w:t>а</w:t>
      </w:r>
      <w:r>
        <w:t>ключается в оказании гуманитарной помощи и сохранении своего культурного наследия, особенно языка. Эти неправительственные организации также тесно сотрудничают с отделением Хельсинского комитета по правам человека в Бо</w:t>
      </w:r>
      <w:r>
        <w:t>с</w:t>
      </w:r>
      <w:r>
        <w:t>нии и Герцеговине. Власти Боснии и Герцеговины предприняли первые шаги по защите меньшинств. Принят закон о защите национальных меньшинств, к</w:t>
      </w:r>
      <w:r>
        <w:t>о</w:t>
      </w:r>
      <w:r>
        <w:t>торый устанавливает необходимую правовую основу для более эффективного осуществления их прав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Беженцы и перемещенные лица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269.</w:t>
      </w:r>
      <w:r>
        <w:tab/>
        <w:t>Приложение</w:t>
      </w:r>
      <w:r>
        <w:rPr>
          <w:lang w:val="en-US"/>
        </w:rPr>
        <w:t> VII</w:t>
      </w:r>
      <w:r>
        <w:t xml:space="preserve"> к Дейтонскому мирному соглашению гарантирует в Бо</w:t>
      </w:r>
      <w:r>
        <w:t>с</w:t>
      </w:r>
      <w:r>
        <w:t>нии и Герцеговине право всех лиц, перемещенных во время войны, на возвр</w:t>
      </w:r>
      <w:r>
        <w:t>а</w:t>
      </w:r>
      <w:r>
        <w:t>щение в свои довоенные дома. В конце прошлого года в Боснии и Герцеговине было 617 350 беженцев и около 520 000 перемещенных лиц. На предмет во</w:t>
      </w:r>
      <w:r>
        <w:t>з</w:t>
      </w:r>
      <w:r>
        <w:t>вращения в свои довоенные дома было зарегистрировано около 730 000 человек, в том числе 79,5 процента в Федерации Боснии и Герцегов</w:t>
      </w:r>
      <w:r>
        <w:t>и</w:t>
      </w:r>
      <w:r>
        <w:t>ны и 20,5 процента в Республике Сербской. К сожалению, не ведется никакого учета численности женщин и детей, являющихся беженцами или перемеще</w:t>
      </w:r>
      <w:r>
        <w:t>н</w:t>
      </w:r>
      <w:r>
        <w:t>ными лицами, однако большое число международных и национальных непр</w:t>
      </w:r>
      <w:r>
        <w:t>а</w:t>
      </w:r>
      <w:r>
        <w:t>вительственных организаций, в частности женских, оказывают в рамках своих программ поддержку и помощь беженцам и перемещенным лицам. Наиболее часто осуществляемые программы носят гуманитарный и социальный хара</w:t>
      </w:r>
      <w:r>
        <w:t>к</w:t>
      </w:r>
      <w:r>
        <w:t>тер, связан с просвещением в области прав человека, распространением ко</w:t>
      </w:r>
      <w:r>
        <w:t>м</w:t>
      </w:r>
      <w:r>
        <w:t>пьютерной грамотности и восстановлением жилого фонда. Государственное министерство по правам человека и беженцев и министерство труда, социал</w:t>
      </w:r>
      <w:r>
        <w:t>ь</w:t>
      </w:r>
      <w:r>
        <w:t>ной политики, беженцев и перемещенных лиц Федерации Боснии и Герцегов</w:t>
      </w:r>
      <w:r>
        <w:t>и</w:t>
      </w:r>
      <w:r>
        <w:t>ны, а также министерство по делам беженцев и перемещенных лиц Республики Сербской уделяют в своей работе особое внимание вопросам возвращения. Помощь этим министерствам оказывает и международное сообщество, а име</w:t>
      </w:r>
      <w:r>
        <w:t>н</w:t>
      </w:r>
      <w:r>
        <w:t>но: Управление Высокого представителя, Управление Верховного комиссара по делам беженцев, Организация по безопасности и сотрудничеству в Европе, ЮМНБИБГ, СРПС.</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Проблемы, которые возникают в процессе возвращения, заключаются прежде всего в создании препятствий местными властями - длительные сроки принятия и осуществления решений, отсутствие программ самостоятельного развития в плане экономической, социальной, правовой и даже физической безопасности. В 2000 и в первой половине 2001 года к Верховному комиссару Боснии и Герцеговины обратилось около 20 000 человек, из которых более 80 процентов составили женщины. Естественно, эти трудности отнимают мн</w:t>
      </w:r>
      <w:r>
        <w:t>о</w:t>
      </w:r>
      <w:r>
        <w:t>го сил и отбивают всякое желание у беженцев и перемещенных лиц, которые становятся объектами манипуляций со стороны национальных политических партий, добивающихся, кроме всего прочего, расселения в местах, в которых они проживали во время войны. Поэтому возвращение людей и имущества, а также отношение к возвращающимся лицам становятся ключевыми проблем</w:t>
      </w:r>
      <w:r>
        <w:t>а</w:t>
      </w:r>
      <w:r>
        <w:t>ми в ситуации с правами человека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2218"/>
          <w:tab w:val="left" w:pos="2693"/>
        </w:tabs>
        <w:ind w:left="2700" w:right="1120" w:hanging="1440"/>
      </w:pPr>
      <w:r>
        <w:t>Статья 14.</w:t>
      </w:r>
      <w:r>
        <w:tab/>
        <w:t xml:space="preserve">Женщины в сельской местности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021"/>
          <w:tab w:val="left" w:pos="1264"/>
          <w:tab w:val="left" w:pos="3546"/>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270.</w:t>
      </w:r>
      <w:r>
        <w:tab/>
        <w:t>На сельских жителей приходится 60 процентов численности населения в Боснии и Герцеговине. В прежнее время, в частности до 1945 года, эта часть населения была крайне бедна. Именно здесь было наибольшее число безгр</w:t>
      </w:r>
      <w:r>
        <w:t>а</w:t>
      </w:r>
      <w:r>
        <w:t>мотных и необразованных мужчин и женщин. После 1945 года положение улучшилось, особенно в том, что касается грамотности. В настоящее время люди все еще помнят - и помнят очень хорошо - последствия разрушений, пр</w:t>
      </w:r>
      <w:r>
        <w:t>и</w:t>
      </w:r>
      <w:r>
        <w:t>чиненных войной, особенно в сельской местности. Поголовье скота было уничтожено, плодородные поля и фруктовые сады превратились в минные п</w:t>
      </w:r>
      <w:r>
        <w:t>о</w:t>
      </w:r>
      <w:r>
        <w:t>ля, жилые и коммерческие объекты в большинстве случаев были уничтожены. Поэтому можно сделать вывод, что в Боснии и Герцеговине в наихудшем п</w:t>
      </w:r>
      <w:r>
        <w:t>о</w:t>
      </w:r>
      <w:r>
        <w:t>лож</w:t>
      </w:r>
      <w:r>
        <w:t>е</w:t>
      </w:r>
      <w:r>
        <w:t>нии оказались именно сельские жители.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271.</w:t>
      </w:r>
      <w:r>
        <w:tab/>
        <w:t>Лиц, которые занимаются сельским хозяйством и животноводством в рамках производительной и репродуктивной ("непроизводительной") работы, относят к активному сельскому населению. Пожилые люди в большинстве сл</w:t>
      </w:r>
      <w:r>
        <w:t>у</w:t>
      </w:r>
      <w:r>
        <w:t>чаев остаются в сельской местности, в то время как молодежь уезжает в города или мигрирует в "третьи" страны. Огромное число хозяйств осталось без му</w:t>
      </w:r>
      <w:r>
        <w:t>ж</w:t>
      </w:r>
      <w:r>
        <w:t>чин, так что большую часть населения составляют женщины. В результате м</w:t>
      </w:r>
      <w:r>
        <w:t>и</w:t>
      </w:r>
      <w:r>
        <w:t>грации и военных действий некоторые деревни вообще исчезнут с географич</w:t>
      </w:r>
      <w:r>
        <w:t>е</w:t>
      </w:r>
      <w:r>
        <w:t xml:space="preserve">ской карты.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Женщины в сельской местности играют весьма важную роль в обеспеч</w:t>
      </w:r>
      <w:r>
        <w:t>е</w:t>
      </w:r>
      <w:r>
        <w:t>нии выживания и развития своих семей, как в экономическом плане, так и в тех видах деятельности, которые не приносят никакого дохода. Они также несут ответственность за воспитание детей и в дополнение к этому занимаются ф</w:t>
      </w:r>
      <w:r>
        <w:t>и</w:t>
      </w:r>
      <w:r>
        <w:t xml:space="preserve">зической работой.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272.</w:t>
      </w:r>
      <w:r>
        <w:tab/>
        <w:t>В системе социальной защиты не проводится никакого различия между городскими районами и сельской местностью в плане осуществления прав. Это особо касается женщин, ставших гражданскими жертвами войны и подпада</w:t>
      </w:r>
      <w:r>
        <w:t>ю</w:t>
      </w:r>
      <w:r>
        <w:t>щих под такую защиту. Однако необходимо констатировать, что зачастую на всей территории Боснии и Герцеговины одинаковых условий не существует.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Сельскохозяйственные работники и их семьи подпадают под действие з</w:t>
      </w:r>
      <w:r>
        <w:t>а</w:t>
      </w:r>
      <w:r>
        <w:t>кона о пенсиях и страховании на случай потери трудоспособности. Этот закон устанавливает, что "сельскохозяйственные работники и члены их семей, зан</w:t>
      </w:r>
      <w:r>
        <w:t>и</w:t>
      </w:r>
      <w:r>
        <w:t>мающиеся сельским хозяйством как единственным или основным видом де</w:t>
      </w:r>
      <w:r>
        <w:t>я</w:t>
      </w:r>
      <w:r>
        <w:t xml:space="preserve">тельности и достигшие возраста 15 лет, страхуются в обязательном порядке".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С точки зрения этого закона считается, что сельскохозяйственная де</w:t>
      </w:r>
      <w:r>
        <w:t>я</w:t>
      </w:r>
      <w:r>
        <w:t>тельность является единственным или основным занятием, если благодаря т</w:t>
      </w:r>
      <w:r>
        <w:t>а</w:t>
      </w:r>
      <w:r>
        <w:t>кой деятельности сельскохозяйственный работник ежемесячно в среднем пол</w:t>
      </w:r>
      <w:r>
        <w:t>у</w:t>
      </w:r>
      <w:r>
        <w:t>чает доход, равный как минимум ежемесячной средней заработной плате в Ф</w:t>
      </w:r>
      <w:r>
        <w:t>е</w:t>
      </w:r>
      <w:r>
        <w:t>дерации Боснии и Герцеговины в пре</w:t>
      </w:r>
      <w:r>
        <w:t>д</w:t>
      </w:r>
      <w:r>
        <w:t>шествующем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273.</w:t>
      </w:r>
      <w:r>
        <w:tab/>
        <w:t>Что касается этого закона, то домашние хозяйства считаются "общностью, в которой протекает жизнь, зарабатывается и расходуется доход, полученный благодаря труду всех ее членов".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Исследования неправительственных организаций, которые зачастую пр</w:t>
      </w:r>
      <w:r>
        <w:t>о</w:t>
      </w:r>
      <w:r>
        <w:t>водятся весьма спонтанно, показали, что серьезной проблемой сельского нас</w:t>
      </w:r>
      <w:r>
        <w:t>е</w:t>
      </w:r>
      <w:r>
        <w:t>ления является вопрос медицинского страхования и вопрос медико-санитарной помощи. Такой формой страхования охвачено весьма небольшое число дома</w:t>
      </w:r>
      <w:r>
        <w:t>ш</w:t>
      </w:r>
      <w:r>
        <w:t>них хозяйств, так что чаще всего за медицинское обслуживание приходится платить.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274.</w:t>
      </w:r>
      <w:r>
        <w:tab/>
        <w:t>Женщины в сельской местности также плохо информированы, так что н</w:t>
      </w:r>
      <w:r>
        <w:t>е</w:t>
      </w:r>
      <w:r>
        <w:t>редко они ничего не знают о своих правах, число которых сейчас весьма нев</w:t>
      </w:r>
      <w:r>
        <w:t>е</w:t>
      </w:r>
      <w:r>
        <w:t>лико. Они также являются "рабами традиций" и особенно той их части, кот</w:t>
      </w:r>
      <w:r>
        <w:t>о</w:t>
      </w:r>
      <w:r>
        <w:t>рую можно считать негативной. В экономической жизни, а также в других а</w:t>
      </w:r>
      <w:r>
        <w:t>с</w:t>
      </w:r>
      <w:r>
        <w:t>пектах они ориентируются на мужчин. Здесь особенно важно подчеркнуть тр</w:t>
      </w:r>
      <w:r>
        <w:t>а</w:t>
      </w:r>
      <w:r>
        <w:t>дицию, касающуюся образования девочек, а также права на собственность (с</w:t>
      </w:r>
      <w:r>
        <w:t>о</w:t>
      </w:r>
      <w:r>
        <w:t>вместную) и права на наследство. В обоих этих случаях с юридической точки зрения женщины обладают равными правами, однако традиционно дело обст</w:t>
      </w:r>
      <w:r>
        <w:t>о</w:t>
      </w:r>
      <w:r>
        <w:t>ит иначе.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275.</w:t>
      </w:r>
      <w:r>
        <w:tab/>
        <w:t>Неправительственные организации пытались - опять же, следует по</w:t>
      </w:r>
      <w:r>
        <w:t>д</w:t>
      </w:r>
      <w:r>
        <w:t>черкнуть, время от времени - улучшить общее положение женщин в сельской местности с помощью различных программ. Эти программы охватывают гла</w:t>
      </w:r>
      <w:r>
        <w:t>в</w:t>
      </w:r>
      <w:r>
        <w:t>ным образом матерей-одиночек с семьями. В ряде случаев положение таких семей пытались улучшить и некоторые международные организации и агентс</w:t>
      </w:r>
      <w:r>
        <w:t>т</w:t>
      </w:r>
      <w:r>
        <w:t>ва. Такие усилия предпринимались почти во всех кантонах. Зачастую это ос</w:t>
      </w:r>
      <w:r>
        <w:t>у</w:t>
      </w:r>
      <w:r>
        <w:t>ществлялось в форме бесплатного предоставления коров, кур, сельскохозяйс</w:t>
      </w:r>
      <w:r>
        <w:t>т</w:t>
      </w:r>
      <w:r>
        <w:t>венной техники и инструментов, швейных и вязальных машин, а также орган</w:t>
      </w:r>
      <w:r>
        <w:t>и</w:t>
      </w:r>
      <w:r>
        <w:t>з</w:t>
      </w:r>
      <w:r>
        <w:t>а</w:t>
      </w:r>
      <w:r>
        <w:t>ции курсов в различных областях.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Все вышесказанное свидетельствует о том, что женщинам в сельской м</w:t>
      </w:r>
      <w:r>
        <w:t>е</w:t>
      </w:r>
      <w:r>
        <w:t>стности и их проблемам следует уделять больше внимания и что это непреры</w:t>
      </w:r>
      <w:r>
        <w:t>в</w:t>
      </w:r>
      <w:r>
        <w:t>ный процесс, в ходе которого необходимо также бороться с традиционными неписаными нормами и их негативным воздействием на эту часть насел</w:t>
      </w:r>
      <w:r>
        <w:t>е</w:t>
      </w:r>
      <w:r>
        <w:t>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276.</w:t>
      </w:r>
      <w:r>
        <w:tab/>
        <w:t>Женщины в сельской местности играют весьма важную роль в обеспеч</w:t>
      </w:r>
      <w:r>
        <w:t>е</w:t>
      </w:r>
      <w:r>
        <w:t>нии выживания и развития своих семей, как в экономическом плане, так и в тех видах деятельности, которые не приносят никакого дохода. Они также несут ответственность за воспитание детей. Женщины в сельской местности, помимо выполнения тяжелой физической работы за пределами дома, несут также об</w:t>
      </w:r>
      <w:r>
        <w:t>я</w:t>
      </w:r>
      <w:r>
        <w:t>занности по дому при минимальной помощи со стороны мужчин. Женщины обязаны также заботиться о детях.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277.</w:t>
      </w:r>
      <w:r>
        <w:tab/>
        <w:t>Исследования подтвердили, что сельское население имеет весьма смутное представление о гендерных факторах. Для сельской местности характерны проблемы, связанные с нищетой: нерешенные жилищные вопросы, безработ</w:t>
      </w:r>
      <w:r>
        <w:t>и</w:t>
      </w:r>
      <w:r>
        <w:t>ца, плохо развитая инфраструктура, отсутствие учреждений, которые могли бы оказывать помощь. Дополнительной проблемой является удаленность от мун</w:t>
      </w:r>
      <w:r>
        <w:t>и</w:t>
      </w:r>
      <w:r>
        <w:t>ципальных центров, центров социальной работы, медико-санитарных учре</w:t>
      </w:r>
      <w:r>
        <w:t>ж</w:t>
      </w:r>
      <w:r>
        <w:t>дений и учреждений, обеспечивающих занятость. Точно так же из-за трудного экономического положения в Боснии и Герцеговине вышеупомянутые учре</w:t>
      </w:r>
      <w:r>
        <w:t>ж</w:t>
      </w:r>
      <w:r>
        <w:t>дения не в состоянии выполнять свою работу с той же эффективностью, как и в довоенный период.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278.</w:t>
      </w:r>
      <w:r>
        <w:tab/>
        <w:t>Доступ женщин в сельской местности к медико-санитарному обслужив</w:t>
      </w:r>
      <w:r>
        <w:t>а</w:t>
      </w:r>
      <w:r>
        <w:t>нию, включая информацию и консультирование по вопросам планирования с</w:t>
      </w:r>
      <w:r>
        <w:t>е</w:t>
      </w:r>
      <w:r>
        <w:t>мьи, ограничен из-за отсутствия таких услуг, географической удаленности или отсутствия информации о таких учреждениях, однако это не означает, что и</w:t>
      </w:r>
      <w:r>
        <w:t>н</w:t>
      </w:r>
      <w:r>
        <w:t>тереса к подобным учреждениям нет. На уровне государства не принято ник</w:t>
      </w:r>
      <w:r>
        <w:t>а</w:t>
      </w:r>
      <w:r>
        <w:t>кого закона о медико-санитарной помощи, и это создает особые проблемы для возвращающи</w:t>
      </w:r>
      <w:r>
        <w:t>х</w:t>
      </w:r>
      <w:r>
        <w:t>ся лиц.</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279.</w:t>
      </w:r>
      <w:r>
        <w:tab/>
        <w:t>В послевоенный период отмечается заметный рост числа женщин, учас</w:t>
      </w:r>
      <w:r>
        <w:t>т</w:t>
      </w:r>
      <w:r>
        <w:t>вующих в социальной и общественной жизни. Из-за своей большой загруже</w:t>
      </w:r>
      <w:r>
        <w:t>н</w:t>
      </w:r>
      <w:r>
        <w:t>ности домашней работой и других обязанностей очень небольшое число же</w:t>
      </w:r>
      <w:r>
        <w:t>н</w:t>
      </w:r>
      <w:r>
        <w:t>щин в сельской местности являются членами тех или иных объединений, одн</w:t>
      </w:r>
      <w:r>
        <w:t>а</w:t>
      </w:r>
      <w:r>
        <w:t>ко они получают поддержку со стороны городских женщин, которая оказывае</w:t>
      </w:r>
      <w:r>
        <w:t>т</w:t>
      </w:r>
      <w:r>
        <w:t>ся с помощью различных программ и проектов образовательного и иного х</w:t>
      </w:r>
      <w:r>
        <w:t>а</w:t>
      </w:r>
      <w:r>
        <w:t>рактера. Точно так же очень небольшое число таких женщин пользуются своим правом на выражение своего мнения и ведут работу в различных сферах соц</w:t>
      </w:r>
      <w:r>
        <w:t>и</w:t>
      </w:r>
      <w:r>
        <w:t>альной и общественной жизни. Они очень редко могут найти время для ра</w:t>
      </w:r>
      <w:r>
        <w:t>з</w:t>
      </w:r>
      <w:r>
        <w:t>влечений и отдыха от домашней и иной работы.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280.</w:t>
      </w:r>
      <w:r>
        <w:tab/>
        <w:t>Исследователи из неправительственных организаций к настоящему вр</w:t>
      </w:r>
      <w:r>
        <w:t>е</w:t>
      </w:r>
      <w:r>
        <w:t>мени продемонстрировали, что необходимо стимулировать, просвещать, укр</w:t>
      </w:r>
      <w:r>
        <w:t>е</w:t>
      </w:r>
      <w:r>
        <w:t>плять в экономическом плане и повышать информированность женщин из сельской местности. НПО пытаются, хотя и нерегулярно, улучшать общее п</w:t>
      </w:r>
      <w:r>
        <w:t>о</w:t>
      </w:r>
      <w:r>
        <w:t>ложение женщин в сельской местности. Программы НПО предназначены для матерей-одиночек, безработных, возвращающихся лиц, а также для постоянно проживающих жителей. НПО работают на территории всего государства, одн</w:t>
      </w:r>
      <w:r>
        <w:t>а</w:t>
      </w:r>
      <w:r>
        <w:t>ко у них недостаточно сотрудников и они получают весьма ограниченные р</w:t>
      </w:r>
      <w:r>
        <w:t>е</w:t>
      </w:r>
      <w:r>
        <w:t>сурсы от доноров. Женские ассоциации Боснии и Герцеговины работают над укреплением и расширением связей женщин с помощью различных меропри</w:t>
      </w:r>
      <w:r>
        <w:t>я</w:t>
      </w:r>
      <w:r>
        <w:t>тий в государстве и регионе (</w:t>
      </w:r>
      <w:r>
        <w:rPr>
          <w:lang w:val="en-US"/>
        </w:rPr>
        <w:t>Forma</w:t>
      </w:r>
      <w:r>
        <w:t xml:space="preserve"> </w:t>
      </w:r>
      <w:r>
        <w:rPr>
          <w:lang w:val="en-US"/>
        </w:rPr>
        <w:t>F</w:t>
      </w:r>
      <w:r>
        <w:t xml:space="preserve">, </w:t>
      </w:r>
      <w:r>
        <w:rPr>
          <w:lang w:val="en-US"/>
        </w:rPr>
        <w:t>Aldi</w:t>
      </w:r>
      <w:r>
        <w:t xml:space="preserve">, </w:t>
      </w:r>
      <w:r>
        <w:rPr>
          <w:lang w:val="en-US"/>
        </w:rPr>
        <w:t>BH</w:t>
      </w:r>
      <w:r>
        <w:t>Ž</w:t>
      </w:r>
      <w:r>
        <w:rPr>
          <w:lang w:val="en-US"/>
        </w:rPr>
        <w:t>EM</w:t>
      </w:r>
      <w:r>
        <w:t xml:space="preserve">, </w:t>
      </w:r>
      <w:r>
        <w:rPr>
          <w:lang w:val="en-US"/>
        </w:rPr>
        <w:t>STAR</w:t>
      </w:r>
      <w:r>
        <w:t xml:space="preserve">, </w:t>
      </w:r>
      <w:r>
        <w:rPr>
          <w:lang w:val="en-US"/>
        </w:rPr>
        <w:t>Most</w:t>
      </w:r>
      <w:r>
        <w:t xml:space="preserve">, </w:t>
      </w:r>
      <w:r>
        <w:rPr>
          <w:lang w:val="en-US"/>
        </w:rPr>
        <w:t>Amica</w:t>
      </w:r>
      <w:r>
        <w:t xml:space="preserve">, </w:t>
      </w:r>
      <w:r>
        <w:rPr>
          <w:lang w:val="en-US"/>
        </w:rPr>
        <w:t>CARE</w:t>
      </w:r>
      <w:r>
        <w:t xml:space="preserve"> </w:t>
      </w:r>
      <w:r>
        <w:rPr>
          <w:lang w:val="en-US"/>
        </w:rPr>
        <w:t>QIF</w:t>
      </w:r>
      <w:r>
        <w:t>...). Поскольку какого-либо долгосрочного решения всех вышеупомянутых проблем не существует, работа НПО имеет особое значение, причем следует учитывать, что они работают только на средства доноров.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Все вышесказанное свидетельствует о том, что женщинам в сельской м</w:t>
      </w:r>
      <w:r>
        <w:t>е</w:t>
      </w:r>
      <w:r>
        <w:t>стности и их проблемам следует уделять больше внимания и что это непреры</w:t>
      </w:r>
      <w:r>
        <w:t>в</w:t>
      </w:r>
      <w:r>
        <w:t>ный процесс, который в то же время должен быть направлен на борьбу с тр</w:t>
      </w:r>
      <w:r>
        <w:t>а</w:t>
      </w:r>
      <w:r>
        <w:t>диционными неписаными нормами и их негативным воздействием на эту часть населения.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281.</w:t>
      </w:r>
      <w:r>
        <w:tab/>
        <w:t>В системе социальной защиты не проводится какого-либо различия между женщинами из сельской местности или из городов в том, что касается осущ</w:t>
      </w:r>
      <w:r>
        <w:t>е</w:t>
      </w:r>
      <w:r>
        <w:t>ствления определенных прав, норм или мер. В настоящее время нет каких-либо специальных программ социальной защиты, предназначенных для женщин из сельской местности.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Социально-экономическое положение женщин из сельской местности сложное, поскольку местные услуги в социальной сфере из-за нехватки фина</w:t>
      </w:r>
      <w:r>
        <w:t>н</w:t>
      </w:r>
      <w:r>
        <w:t>совых ресурсов и недостаточного числа социальных работников и других сп</w:t>
      </w:r>
      <w:r>
        <w:t>е</w:t>
      </w:r>
      <w:r>
        <w:t>циалистов по этим услугам очень редко, а то и вообще не достигают этих ра</w:t>
      </w:r>
      <w:r>
        <w:t>й</w:t>
      </w:r>
      <w:r>
        <w:t>онов, с тем чтобы на месте можно было выяснить ситуацию, связанную с соц</w:t>
      </w:r>
      <w:r>
        <w:t>и</w:t>
      </w:r>
      <w:r>
        <w:t>альными потребностями и социальными рисками этих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282.</w:t>
      </w:r>
      <w:r>
        <w:tab/>
        <w:t>Точные данные по всем лицам, пользующимся социальной помощью, в том числе и по женщинам, не рассортированы и не могут восприниматься с большой долей вероятности, поскольку предполагаемые показатели гораздо выше. Никакой единой идентификационной карты социального риска, котор</w:t>
      </w:r>
      <w:r>
        <w:t>о</w:t>
      </w:r>
      <w:r>
        <w:t>му подвергаются различные группы населения в Боснии и Герцеговины, или единой базы данных по лицам, пользующимся социальной защитой, не сущ</w:t>
      </w:r>
      <w:r>
        <w:t>е</w:t>
      </w:r>
      <w:r>
        <w:t>ствует, поскольку местные службы социальной помощи из-за нехватки фина</w:t>
      </w:r>
      <w:r>
        <w:t>н</w:t>
      </w:r>
      <w:r>
        <w:t>совых ресурсов и недостаточного количества профессиональных работников в этих службах регистрируют только тех пользователей, которые устанавливают непосредственный контакт с этими службами, и число женщин, которые нах</w:t>
      </w:r>
      <w:r>
        <w:t>о</w:t>
      </w:r>
      <w:r>
        <w:t>дятся в опасности с социальной точки зрения и которые не зарегистрированы социальными службами, гораздо выше. Необходимо проводить исследования по домохозяйствам, ответственность за которые лежит на женщинах.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2218"/>
          <w:tab w:val="left" w:pos="2693"/>
        </w:tabs>
        <w:ind w:left="2700" w:right="1120" w:hanging="1440"/>
      </w:pPr>
      <w:r>
        <w:t>Статья 15.</w:t>
      </w:r>
      <w:r>
        <w:tab/>
        <w:t>Равенство перед законом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283.</w:t>
      </w:r>
      <w:r>
        <w:tab/>
        <w:t>Конституция Боснии и Герцеговины, как и другие действующие законы, признает и гарантирует равные права женщин перед законом, что отражает с</w:t>
      </w:r>
      <w:r>
        <w:t>о</w:t>
      </w:r>
      <w:r>
        <w:t>ответствующие положения Конвенции о ликвидации дискриминации в отн</w:t>
      </w:r>
      <w:r>
        <w:t>о</w:t>
      </w:r>
      <w:r>
        <w:t>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гражданских и юридических вопросах женщины обладают равными правами в плане правоспособности и осуществления коммерческой деятельн</w:t>
      </w:r>
      <w:r>
        <w:t>о</w:t>
      </w:r>
      <w:r>
        <w:t>сти, равными правами на подписание контрактов, распоряжение имуществом, участие в судебных разбирательствах и управлении предприятиями, независ</w:t>
      </w:r>
      <w:r>
        <w:t>и</w:t>
      </w:r>
      <w:r>
        <w:t>мо от того, являются ли они сторонами, истцами, ответчиками или свидетел</w:t>
      </w:r>
      <w:r>
        <w:t>я</w:t>
      </w:r>
      <w:r>
        <w:t>ми, доверенными лицами или законными представителями сторон.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284.</w:t>
      </w:r>
      <w:r>
        <w:tab/>
        <w:t>Законодательство в Боснии и Герцеговине не ограничивает правоспосо</w:t>
      </w:r>
      <w:r>
        <w:t>б</w:t>
      </w:r>
      <w:r>
        <w:t>ность женщин в вопросах подписания контрактов или право женщин на собс</w:t>
      </w:r>
      <w:r>
        <w:t>т</w:t>
      </w:r>
      <w:r>
        <w:t>венность и распоряжение имуществом, равно как оно не ограничивает прав</w:t>
      </w:r>
      <w:r>
        <w:t>о</w:t>
      </w:r>
      <w:r>
        <w:t>способность женщин в связи с представлением своих интересов в суде. Что к</w:t>
      </w:r>
      <w:r>
        <w:t>а</w:t>
      </w:r>
      <w:r>
        <w:t>сается юридической помощи и доступа женщин к учреждениям, оказывающим такую помощь, то и мужчины, и женщины имеют здесь равный доступ. Бол</w:t>
      </w:r>
      <w:r>
        <w:t>ь</w:t>
      </w:r>
      <w:r>
        <w:t>шое число неправительственных организаций оказывают женщинам сущес</w:t>
      </w:r>
      <w:r>
        <w:t>т</w:t>
      </w:r>
      <w:r>
        <w:t>венную юридическую помощь посредством различных форм просвещения в рамках работы семинаров, а также работая с женщинами в центрах, специал</w:t>
      </w:r>
      <w:r>
        <w:t>ь</w:t>
      </w:r>
      <w:r>
        <w:t>но созданных для оказания юридической помощи.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285.</w:t>
      </w:r>
      <w:r>
        <w:tab/>
        <w:t>Женщины имеют право подписывать от своего собственного имени все виды имеющих обязательную силу юридических документов и даже те, кот</w:t>
      </w:r>
      <w:r>
        <w:t>о</w:t>
      </w:r>
      <w:r>
        <w:t>рые имеют отношение к кредитам, материальному имуществу и коммерческим операциям. Однако традиционно в Боснии и Герцеговине владельцем имущ</w:t>
      </w:r>
      <w:r>
        <w:t>е</w:t>
      </w:r>
      <w:r>
        <w:t xml:space="preserve">ства является мужчина.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286.</w:t>
      </w:r>
      <w:r>
        <w:tab/>
        <w:t>Женщины обладают такими же, как и мужчины, правами в том, что кас</w:t>
      </w:r>
      <w:r>
        <w:t>а</w:t>
      </w:r>
      <w:r>
        <w:t>ется распоряжения имуществом, они могут составлять распоряжения на случай смерти и точно так же распоряжаться наследством, когда речь идет об имущ</w:t>
      </w:r>
      <w:r>
        <w:t>е</w:t>
      </w:r>
      <w:r>
        <w:t>стве. Кроме того, женщины имеют право составлять завещания без согласия родственников мужского пола независимо от того, было ли имущество, кот</w:t>
      </w:r>
      <w:r>
        <w:t>о</w:t>
      </w:r>
      <w:r>
        <w:t>рым распоряжается женщина, получено в браке, при вступлении в брак или до вступления в брак. Также из-за традиционного подхода к наследованию им</w:t>
      </w:r>
      <w:r>
        <w:t>у</w:t>
      </w:r>
      <w:r>
        <w:t>щества женщины очень часто предпочитают передать свою долю имущества родственникам мужского пола, хотя они обладают равными правами, гарант</w:t>
      </w:r>
      <w:r>
        <w:t>и</w:t>
      </w:r>
      <w:r>
        <w:t>рованными законом. При выборе своего места жительства женщины в силу традиции предпочитают жить в доме своего мужа.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287.</w:t>
      </w:r>
      <w:r>
        <w:tab/>
        <w:t>Согласно законодательству Боснии и Герцеговины, женщины также им</w:t>
      </w:r>
      <w:r>
        <w:t>е</w:t>
      </w:r>
      <w:r>
        <w:t>ют право официально и юридически выполнять все функции в правовой сист</w:t>
      </w:r>
      <w:r>
        <w:t>е</w:t>
      </w:r>
      <w:r>
        <w:t>ме. Они могут быть членами парламентов, где они представляют законодател</w:t>
      </w:r>
      <w:r>
        <w:t>ь</w:t>
      </w:r>
      <w:r>
        <w:t>ную власть, они могут быть министрами, их заместителями или помощниками и т.д., представляя исполнительную власть, или председателями судов, судь</w:t>
      </w:r>
      <w:r>
        <w:t>я</w:t>
      </w:r>
      <w:r>
        <w:t>ми, государственными прокурорами и защитниками, представляя судебную власть. Характерной чертой переходного периода, на котором в настоящее вр</w:t>
      </w:r>
      <w:r>
        <w:t>е</w:t>
      </w:r>
      <w:r>
        <w:t>мя находится Босния и Герцеговина, является то, что в силу традиций, отсутс</w:t>
      </w:r>
      <w:r>
        <w:t>т</w:t>
      </w:r>
      <w:r>
        <w:t>вия знаний о нормативно-правовых актах и недостатка информации у женщин в частном секторе мужчины очень часто регистрируют свои компании на имя своих жен. Коммерческая деятельность осуществляется мужчинами, так что бывают случаи, когда женщины как официально и юридически ответственные лица, а также в силу того факта, что они, как правило, получают более мягкое наказание по сравнению с мужчинами, отвечают за коммерческие правонар</w:t>
      </w:r>
      <w:r>
        <w:t>у</w:t>
      </w:r>
      <w:r>
        <w:t>шения, хотя фактически они не принимают никаких решений по вед</w:t>
      </w:r>
      <w:r>
        <w:t>е</w:t>
      </w:r>
      <w:r>
        <w:t>нию дел.</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r>
        <w:rPr>
          <w:sz w:val="10"/>
        </w:rPr>
        <w:br w:type="page"/>
      </w:r>
    </w:p>
    <w:p w:rsidR="00000000" w:rsidRDefault="00000000">
      <w:pPr>
        <w:pStyle w:val="H1"/>
        <w:tabs>
          <w:tab w:val="left" w:pos="2218"/>
          <w:tab w:val="left" w:pos="2693"/>
        </w:tabs>
        <w:ind w:left="2700" w:right="1120" w:hanging="1440"/>
      </w:pPr>
      <w:r>
        <w:t>Статья 16.</w:t>
      </w:r>
      <w:r>
        <w:tab/>
        <w:t>Брак и семейные отношения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288.</w:t>
      </w:r>
      <w:r>
        <w:tab/>
        <w:t>Семейные отношения в Боснии и Герцеговине регулируются гражданским законодательством. В Федерации Боснии и Герцеговины семейное законод</w:t>
      </w:r>
      <w:r>
        <w:t>а</w:t>
      </w:r>
      <w:r>
        <w:t>тельство Боснии и Герцеговины заимствовано из действующего законодател</w:t>
      </w:r>
      <w:r>
        <w:t>ь</w:t>
      </w:r>
      <w:r>
        <w:t>ства Сербской Республики Боснии и Герцеговины. Новый закон о семье Сер</w:t>
      </w:r>
      <w:r>
        <w:t>б</w:t>
      </w:r>
      <w:r>
        <w:t>ской Республики вступил в силу в 2002 году. Данный закон касается вопросов брака, семейных взаимоотношений, усыновления/удочерения и опекунства. Определение семьи не содержится в Конституции Боснии и Герцеговины и конституциях административно-территориальных образований, однако при этом обеспечивается выполнение положений, касающихся прав человека и о</w:t>
      </w:r>
      <w:r>
        <w:t>с</w:t>
      </w:r>
      <w:r>
        <w:t>новных свобод, права на частную и семейную жизнь, жилье и свободу пер</w:t>
      </w:r>
      <w:r>
        <w:t>е</w:t>
      </w:r>
      <w:r>
        <w:t>писки. По смыслу вышеупомянутого закона о семье, семья определяется в к</w:t>
      </w:r>
      <w:r>
        <w:t>а</w:t>
      </w:r>
      <w:r>
        <w:t>честве "жизненного сообщества родителей и детей и других родственников". Семья, как правило, включает брачного либо внебрачного партнера, рожденн</w:t>
      </w:r>
      <w:r>
        <w:t>о</w:t>
      </w:r>
      <w:r>
        <w:t>го в браке, вне брака, усыновленного, удочеренного ребенка, отца, мать, отч</w:t>
      </w:r>
      <w:r>
        <w:t>и</w:t>
      </w:r>
      <w:r>
        <w:t>ма, мачеху, дедушку, бабушку (будь то со стороны отца или матери), а также братьев и сестер супругов. Защита семьи, имеющей детей, по смыслу дейс</w:t>
      </w:r>
      <w:r>
        <w:t>т</w:t>
      </w:r>
      <w:r>
        <w:t>вующих законодательных актов в Боснии и Герцеговине, обеспечивается сем</w:t>
      </w:r>
      <w:r>
        <w:t>ь</w:t>
      </w:r>
      <w:r>
        <w:t>ей с помощью материальных и других ресурсов с целью оказать помощь в во</w:t>
      </w:r>
      <w:r>
        <w:t>с</w:t>
      </w:r>
      <w:r>
        <w:t>питании детей, предоставлении им образования и уходе за ними, а также их обучения для того, чтобы вести независимый образ жизни и работать в на</w:t>
      </w:r>
      <w:r>
        <w:t>и</w:t>
      </w:r>
      <w:r>
        <w:t>лучших интересах р</w:t>
      </w:r>
      <w:r>
        <w:t>е</w:t>
      </w:r>
      <w:r>
        <w:t>бенка.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289.</w:t>
      </w:r>
      <w:r>
        <w:tab/>
        <w:t>Поощрение защиты семей с детьми в рамках действующего законодател</w:t>
      </w:r>
      <w:r>
        <w:t>ь</w:t>
      </w:r>
      <w:r>
        <w:t>ства преследует цель обеспечить примерно равные условия для здорового и адекватного физического, интеллектуального и эмоционального развития в с</w:t>
      </w:r>
      <w:r>
        <w:t>е</w:t>
      </w:r>
      <w:r>
        <w:t>мье, обеспечив помощь в исполнении соответствующих репродуктивных функций, а также в уходе за детьми, их воспитании, их просвещении и защите, а также в улучшении условий жизни семьи и в развитии отношений между людьми в соответствии с принципами гражданской морали и солидарности. В соответствии с положениями закона брачные и внебрачные сообщества ра</w:t>
      </w:r>
      <w:r>
        <w:t>в</w:t>
      </w:r>
      <w:r>
        <w:t>ноправны во всех отношениях, связанных с детьми, и должны соблюдать к</w:t>
      </w:r>
      <w:r>
        <w:t>о</w:t>
      </w:r>
      <w:r>
        <w:t xml:space="preserve">ренные интересы ребенка.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290.</w:t>
      </w:r>
      <w:r>
        <w:tab/>
        <w:t>Законодательные акты, которые осуществляются в Боснии и Герцеговине, позволяют сделать вывод о том, что они в своих положениях в большой степ</w:t>
      </w:r>
      <w:r>
        <w:t>е</w:t>
      </w:r>
      <w:r>
        <w:t>ни обеспечивают равенство представителей обоих полов, т.е. мужчин и же</w:t>
      </w:r>
      <w:r>
        <w:t>н</w:t>
      </w:r>
      <w:r>
        <w:t>щин, которые намереваются заключить брак, которые связаны брачными узами, а также тех, которые находятся в процессе развода или уже развелись. Прежде всего следует отметить, что данный закон не разрешает полигамию и что же</w:t>
      </w:r>
      <w:r>
        <w:t>н</w:t>
      </w:r>
      <w:r>
        <w:t>щинам было предоставлено право принимать решение наравне с мужчинами о том, будут ли они выходить замуж, когда они будут это делать и за кого они б</w:t>
      </w:r>
      <w:r>
        <w:t>у</w:t>
      </w:r>
      <w:r>
        <w:t>дут выходить замуж. Данный вид нормативного подхода фактически сводится к насильстве</w:t>
      </w:r>
      <w:r>
        <w:t>н</w:t>
      </w:r>
      <w:r>
        <w:t>ным и повторным бракам.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291.</w:t>
      </w:r>
      <w:r>
        <w:tab/>
        <w:t>Предельный возраст для вступления в брак определяется законодательс</w:t>
      </w:r>
      <w:r>
        <w:t>т</w:t>
      </w:r>
      <w:r>
        <w:t>вом и составляет 18 лет как для женщин, так и для мужчин. Исходя из обосн</w:t>
      </w:r>
      <w:r>
        <w:t>о</w:t>
      </w:r>
      <w:r>
        <w:t>ванных причин, уполномоченный суд, в рамках внесудебной процедуры, может разрешить несовершеннолетним старше 16 лет заключить брак, если было о</w:t>
      </w:r>
      <w:r>
        <w:t>п</w:t>
      </w:r>
      <w:r>
        <w:t>ределено, что соответствующая сторона с физической и психологической точки зрения способна осуществлять права, которые вытекают из заключения брака. Закон устанавливает обязательство заключать брак в официальном учрежд</w:t>
      </w:r>
      <w:r>
        <w:t>е</w:t>
      </w:r>
      <w:r>
        <w:t>нии, регистрирующем бракосочетания.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292.</w:t>
      </w:r>
      <w:r>
        <w:tab/>
        <w:t>Семейное законодательство также предоставляет те же самые права и обязанности женщинам, что и мужчинам, в связи с продолжительностью бра</w:t>
      </w:r>
      <w:r>
        <w:t>ч</w:t>
      </w:r>
      <w:r>
        <w:t>ного союза, а также в случае его прекращения независимо от того, было ли это вызвано разводом или смертью. Родители детей независимо от того, были ли они рождены в браке или вне его, имеют один и тот же статус, т.е. те же самые права и обязанности в отношении их детей. Что касается процедур опекунства и усыновления/удочерения, а также воспитания детей и ухода за ними, то р</w:t>
      </w:r>
      <w:r>
        <w:t>о</w:t>
      </w:r>
      <w:r>
        <w:t>дители несут одни и те же обязанности. Семейное законодательство также пр</w:t>
      </w:r>
      <w:r>
        <w:t>е</w:t>
      </w:r>
      <w:r>
        <w:t>дусматривает равенство женщин и мужчин в том, что касается выбора репр</w:t>
      </w:r>
      <w:r>
        <w:t>о</w:t>
      </w:r>
      <w:r>
        <w:t>дуктивных средств и права на средства для обеспечения этого выбора. Закон запрещает практику принуждения либо насильственной беременности, а также проведения абортов и стерилизации. Закон не ограничивает заключивших брак супругов в выборе профессии, рода занятий или фамилии.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293.</w:t>
      </w:r>
      <w:r>
        <w:tab/>
        <w:t>Статьи 42-46 закона о семье регулируют личные права и обязанности су</w:t>
      </w:r>
      <w:r>
        <w:t>п</w:t>
      </w:r>
      <w:r>
        <w:t>ругов и предписывают, что супруги равны в браке, что они ответственны за то, чтобы оказывать помощь друг другу и уважать друг друга, определять место своего проживания по взаимному согласию, решать по взаимному согласию вопросы воспитания своих детей и то, как они будут налаживать свои взаим</w:t>
      </w:r>
      <w:r>
        <w:t>о</w:t>
      </w:r>
      <w:r>
        <w:t>отношения и выполнять совместную работу в браке, т.е. в рамках семейной общины, а также то, что партнеры в браке решают, какую фамилию выбрать так, чтобы: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а)</w:t>
      </w:r>
      <w:r>
        <w:tab/>
        <w:t>они выбирали фамилию одного из них либо сохраняли свои собс</w:t>
      </w:r>
      <w:r>
        <w:t>т</w:t>
      </w:r>
      <w:r>
        <w:t>венные фамилии;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каждый партнер в браке может добавить фамилию своего партнера к своей собственной фамилии;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с)</w:t>
      </w:r>
      <w:r>
        <w:tab/>
        <w:t>партнеры в браке несут ответственность за выбор своей фамилии после вступления в брак;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d</w:t>
      </w:r>
      <w:r>
        <w:t>)</w:t>
      </w:r>
      <w:r>
        <w:tab/>
        <w:t>заявление партнеров в браке относительно их фамилий будет зан</w:t>
      </w:r>
      <w:r>
        <w:t>о</w:t>
      </w:r>
      <w:r>
        <w:t>ситься в книгу записей актов гражданского состояния;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е)</w:t>
      </w:r>
      <w:r>
        <w:tab/>
        <w:t>в том случае, если партнеры в браке имеют разные фамилии, они по взаимному согласию согласовывают то, какую фамилию будет носить их реб</w:t>
      </w:r>
      <w:r>
        <w:t>е</w:t>
      </w:r>
      <w:r>
        <w:t>нок. Если они не приходят к согласию, то опекунский совет сам принимает р</w:t>
      </w:r>
      <w:r>
        <w:t>е</w:t>
      </w:r>
      <w:r>
        <w:t>шение о том, какую фамилию будет носить ребенок.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Право родителей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294.</w:t>
      </w:r>
      <w:r>
        <w:tab/>
        <w:t>Что касается положений закона о семье, регулирующих право родителей, то они предусматривают равноправие обоих родителей. Отец и мать имеют равные права в том, что касается осуществления родительских прав и обяза</w:t>
      </w:r>
      <w:r>
        <w:t>н</w:t>
      </w:r>
      <w:r>
        <w:t>ностей. Никто из родителей не может отказаться от своего родительского пр</w:t>
      </w:r>
      <w:r>
        <w:t>а</w:t>
      </w:r>
      <w:r>
        <w:t>ва. Родители обязаны ухаживать за своими несовершеннолетними детьми и опекать их, заботиться об их жизни и здоровье, об их образовании, в том числе о регулярном образовании детей, а также в соответствии со своими возможн</w:t>
      </w:r>
      <w:r>
        <w:t>о</w:t>
      </w:r>
      <w:r>
        <w:t>стями обеспечивать продолжение их образования, уделяя внимания возможн</w:t>
      </w:r>
      <w:r>
        <w:t>о</w:t>
      </w:r>
      <w:r>
        <w:t>стям своих детей, их склонностям и оправданным пожеланиям. Кроме того, родители имеют право представлять интересы своих несовершеннолетних д</w:t>
      </w:r>
      <w:r>
        <w:t>е</w:t>
      </w:r>
      <w:r>
        <w:t>тей и несут соответствующие обязательства. Если родители не живут вместе, то в случае необходимо передать что-либо несовершеннолетнему ребенку или проинформировать его о чем-либо, это можно законным образом сделать с п</w:t>
      </w:r>
      <w:r>
        <w:t>о</w:t>
      </w:r>
      <w:r>
        <w:t>мощью того родителя, с которым проживает ребенок. Родительские права ос</w:t>
      </w:r>
      <w:r>
        <w:t>у</w:t>
      </w:r>
      <w:r>
        <w:t>ществляются обоими родителями по взаимному согласию, а в случае возни</w:t>
      </w:r>
      <w:r>
        <w:t>к</w:t>
      </w:r>
      <w:r>
        <w:t>новения разногласий между родителями решение об осуществлении родител</w:t>
      </w:r>
      <w:r>
        <w:t>ь</w:t>
      </w:r>
      <w:r>
        <w:t>ских прав принимает орган по делам опекунства. Вышеуказанные правовые нормы свидетельствуют о том, что с формальной и юридической точки зрения родители равны в том, что касается исполнения обязанностей и осуществления прав в отношении своих несовершеннолетних детей. Положения статей 231-262 закона о семье определяют порядок оказания поддержки детям, родителям и другим родственникам. Что касается оказания поддержки детям, то родители имеют абсолютно те же самые права и обязанности, а дети, независимо от их пола, несут одинаковые обязанности, связанные с оказанием поддержки своим родителям. В связи с оказанием супругами поддержки друг другу закон не пр</w:t>
      </w:r>
      <w:r>
        <w:t>е</w:t>
      </w:r>
      <w:r>
        <w:t>д</w:t>
      </w:r>
      <w:r>
        <w:t>у</w:t>
      </w:r>
      <w:r>
        <w:t>сматривает никаких различий по признаку пола.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Имущество супругов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295.</w:t>
      </w:r>
      <w:r>
        <w:tab/>
        <w:t>Супруги могут владеть имуществом как по отдельности, так и совместно. Имущество, которое принадлежало мужу или жене в момент заключения брака, остается в его или ее личной собственности. Совместно нажитое имущество - это имущество, которое было получено супругами в период брака, а также д</w:t>
      </w:r>
      <w:r>
        <w:t>о</w:t>
      </w:r>
      <w:r>
        <w:t>ходы с такого имущества. Подарки третьих лиц, полученные в браке (в дене</w:t>
      </w:r>
      <w:r>
        <w:t>ж</w:t>
      </w:r>
      <w:r>
        <w:t>ной, натуральной форме, в форме рабочей помощи и т.д.), становятся общей собственностью независимо от того, кто из супругов получил их, за исключ</w:t>
      </w:r>
      <w:r>
        <w:t>е</w:t>
      </w:r>
      <w:r>
        <w:t>нием тех случаев, когда подарок имеет четкое предназначение или если из о</w:t>
      </w:r>
      <w:r>
        <w:t>б</w:t>
      </w:r>
      <w:r>
        <w:t>стоятельств, сложившихся в момент передачи подарка, можно сделать вывод о том, что он предназначался лишь одному из супругов. Имущество, приобр</w:t>
      </w:r>
      <w:r>
        <w:t>е</w:t>
      </w:r>
      <w:r>
        <w:t>таемое одним из супругов в период брака на каком-либо другом правовом о</w:t>
      </w:r>
      <w:r>
        <w:t>с</w:t>
      </w:r>
      <w:r>
        <w:t>новании, находится в его или ее личной собственности. Супруги распоряжаю</w:t>
      </w:r>
      <w:r>
        <w:t>т</w:t>
      </w:r>
      <w:r>
        <w:t>ся своим совместно нажитым имуществом по обоюдному согласию. Один из супругов по собственному усмотрению не может ни распоряжаться совместно нажитым имуществом, ни юридически обременять его без согласия другого супруга.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Раздел совместно нажитого имущества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296.</w:t>
      </w:r>
      <w:r>
        <w:tab/>
        <w:t>Раздел совместно нажитого супругами имущества регулируется стать</w:t>
      </w:r>
      <w:r>
        <w:t>я</w:t>
      </w:r>
      <w:r>
        <w:t>ми 266-271 закона о семье. Супруги по взаимному согласию могут разделить свое имущество, выделив отдельные его части, одну часть или отдельную вещь, а также принять решение о том, что каждая сторона получает определе</w:t>
      </w:r>
      <w:r>
        <w:t>н</w:t>
      </w:r>
      <w:r>
        <w:t>ные вещи или права на имущество, или что один из супругов возмещает др</w:t>
      </w:r>
      <w:r>
        <w:t>у</w:t>
      </w:r>
      <w:r>
        <w:t>гому стоимость его или ее доли в денежной форме.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297.</w:t>
      </w:r>
      <w:r>
        <w:tab/>
        <w:t>Любой из супругов может обратиться в суд с иском об определении его или ее доли совместно нажитого имущества либо принадлежности какого-либо отдельного компонента этого имущества. В рамках дел такого рода суд опред</w:t>
      </w:r>
      <w:r>
        <w:t>е</w:t>
      </w:r>
      <w:r>
        <w:t>ляет размер доли того или иного супруга исходя из его или ее вклада в прио</w:t>
      </w:r>
      <w:r>
        <w:t>б</w:t>
      </w:r>
      <w:r>
        <w:t>ретение совместно нажитого имущества, обращая внимание не только на ли</w:t>
      </w:r>
      <w:r>
        <w:t>ч</w:t>
      </w:r>
      <w:r>
        <w:t>ный доход и заработок каждого из супругов, но и на работу в домашнем хозя</w:t>
      </w:r>
      <w:r>
        <w:t>й</w:t>
      </w:r>
      <w:r>
        <w:t>стве и семье, уход за детьми и помощь в их воспитании, а также во все другие формы работы и сотрудничества, связанные с управлением совместно нажитым имуществом, его обслуживанием и расширением. То обстоятельство, что с</w:t>
      </w:r>
      <w:r>
        <w:t>о</w:t>
      </w:r>
      <w:r>
        <w:t>вместно нажитое имущество было увеличено одним из супругов после расто</w:t>
      </w:r>
      <w:r>
        <w:t>р</w:t>
      </w:r>
      <w:r>
        <w:t>жения брака, не будет влиять на размер доли имущества, принадлежащей этой стороне, если он или она своими действиями препятствовал или препятствов</w:t>
      </w:r>
      <w:r>
        <w:t>а</w:t>
      </w:r>
      <w:r>
        <w:t>ла дальнейшему приобретению имущества другой стороной. Тот из супругов, кто в период брака своей работой способствовал сохранению личного имущ</w:t>
      </w:r>
      <w:r>
        <w:t>е</w:t>
      </w:r>
      <w:r>
        <w:t>ства своего партнера или его расширению (например, посредством проведения сельскохозяйственных работ и т.д.), может обратиться в суд с иском о том, чт</w:t>
      </w:r>
      <w:r>
        <w:t>о</w:t>
      </w:r>
      <w:r>
        <w:t>бы этот партнер выплатил ему денежную компенсацию. Тот супруг, чья доля в приобретении совместно нажитого имущества или отдельных компонентов с</w:t>
      </w:r>
      <w:r>
        <w:t>о</w:t>
      </w:r>
      <w:r>
        <w:t>вместно нажитого имущества значительно ниже доли другой стороны или к</w:t>
      </w:r>
      <w:r>
        <w:t>о</w:t>
      </w:r>
      <w:r>
        <w:t>гда это позволяют особые обстоятельства, может потребовать раздела совмес</w:t>
      </w:r>
      <w:r>
        <w:t>т</w:t>
      </w:r>
      <w:r>
        <w:t>но нажитого имущества, подав иск в суд, который своим решением может об</w:t>
      </w:r>
      <w:r>
        <w:t>я</w:t>
      </w:r>
      <w:r>
        <w:t>зать другого партнера возместить ему или ей стоимость его или ее доли совм</w:t>
      </w:r>
      <w:r>
        <w:t>е</w:t>
      </w:r>
      <w:r>
        <w:t>стно нажитого имущества по состоянию на день вынесения судебного решения в денежной форме. В процессе раздела совместно нажитого имущества по просьбе одного из супругов те компоненты совместно нажитого имущества, которые используются в рамках его или ее профессиональной деятельности, будут включаться в его или ее долю. Помимо его или ее доли совместно наж</w:t>
      </w:r>
      <w:r>
        <w:t>и</w:t>
      </w:r>
      <w:r>
        <w:t>того имущества, суд выделит и передаст одному из супругов те предметы, пр</w:t>
      </w:r>
      <w:r>
        <w:t>и</w:t>
      </w:r>
      <w:r>
        <w:t>обретенные в период брака, которые находятся в его или ее исключительном личном пользовании. Если стоимость этих предметов несоразмерно велика по сравнению со стоимостью всего совместно нажитого имущества, то эти пре</w:t>
      </w:r>
      <w:r>
        <w:t>д</w:t>
      </w:r>
      <w:r>
        <w:t>меты также будут подлежать разделу, если только тот супруг, который должен получить эти предметы, не компенс</w:t>
      </w:r>
      <w:r>
        <w:t>и</w:t>
      </w:r>
      <w:r>
        <w:t>рует другой стороне их стоимость в какой-либо другой форме или не уступит другой стороне, при наличии его или ее с</w:t>
      </w:r>
      <w:r>
        <w:t>о</w:t>
      </w:r>
      <w:r>
        <w:t>гласия, какие-либо другие предметы или объекты.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298.</w:t>
      </w:r>
      <w:r>
        <w:tab/>
        <w:t>Помимо его или ее доли, тот супруг, которому для защиты и воспитания передаются общие дети, также получает и те предметы, которые необходимы исключительно лишь детям или непосредственно предназначены для удовл</w:t>
      </w:r>
      <w:r>
        <w:t>е</w:t>
      </w:r>
      <w:r>
        <w:t>творения их потребностей. В процессе раздела совместно нажитого имущества супругу, под чью защиту и опеку переходят общие дети, передаются те предм</w:t>
      </w:r>
      <w:r>
        <w:t>е</w:t>
      </w:r>
      <w:r>
        <w:t>ты, которые, как очевидно, должны принадлежать тому супругу, на попечение которого были переданы дети. При разделе совместно нажитого имущества для каждого партнера будет рассчитана эквивалентная стоимость того, что должно находиться в его собственности на основе общего дохода. В случае, если было принято решение о продаже совместно нажитого имущества для целей осущ</w:t>
      </w:r>
      <w:r>
        <w:t>е</w:t>
      </w:r>
      <w:r>
        <w:t>ствления расчетов с одним из супругов, этот супруг имеет преимущественное право на приобретение этих предметов. В рамках судопроизводства один из супругов не отвечает по обязательствам, которые были приобретены другой стороной до заключения брака. Он не отвечает по этим обязательствам в части, касающейся его особого имущества и его доли в совместно нажитом имущес</w:t>
      </w:r>
      <w:r>
        <w:t>т</w:t>
      </w:r>
      <w:r>
        <w:t>ве. В соответствии с положениями семейного кодекса, брачные и внебрачные союзы равноправны во всех отношениях, связанных с детьми, в наилучших и</w:t>
      </w:r>
      <w:r>
        <w:t>н</w:t>
      </w:r>
      <w:r>
        <w:t>тересах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Усыновление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299.</w:t>
      </w:r>
      <w:r>
        <w:tab/>
        <w:t>Усыновление представляет собой институт семейной и правовой защиты ребенка, оставшегося без попечения родителей, и регулируется положениями семейного кодекса (статьи 142-171). Усыновление нацелено на то, чтобы уст</w:t>
      </w:r>
      <w:r>
        <w:t>а</w:t>
      </w:r>
      <w:r>
        <w:t>новить взаимоотношения, существующие между родителями и детьми, а также создать ребенку такие условия жизни, которые были бы у него в семье. Ус</w:t>
      </w:r>
      <w:r>
        <w:t>ы</w:t>
      </w:r>
      <w:r>
        <w:t>новление может быть как полным, так и частичным. Ребенок в возрасте до п</w:t>
      </w:r>
      <w:r>
        <w:t>я</w:t>
      </w:r>
      <w:r>
        <w:t>ти лет, чьи родители умерли или неизвестны, а также ребенок, который был брошен своими родителями и место проживания которого неизвестно в течение более чем одного года, или чьи родители дали согласие уполномоченным орг</w:t>
      </w:r>
      <w:r>
        <w:t>а</w:t>
      </w:r>
      <w:r>
        <w:t>нам по делам опекунства на усыновление их детей, может быть усыновлен полностью; что касается частичного усыновления, то родственные взаимоо</w:t>
      </w:r>
      <w:r>
        <w:t>т</w:t>
      </w:r>
      <w:r>
        <w:t>ношения устанавливаются между усыновленными детьми и усыновителями и их детьми с возникновением прав и обязанностей, существующих во взаим</w:t>
      </w:r>
      <w:r>
        <w:t>о</w:t>
      </w:r>
      <w:r>
        <w:t>отношениях между родителями и детьми. В рамках правовой системы обоих административно-территориальных образований в Боснии и Герцеговины в</w:t>
      </w:r>
      <w:r>
        <w:t>о</w:t>
      </w:r>
      <w:r>
        <w:t>просами усыновления занимается центр социальной работы в качестве упо</w:t>
      </w:r>
      <w:r>
        <w:t>л</w:t>
      </w:r>
      <w:r>
        <w:t>номоченного органа по делам опекунства. Усыновить ребенка может лишь гражданин Боснии и Герцеговины и лишь в чрезвычайных обстоятельствах, при наличии особенно уважительных причин усыновление может быть прои</w:t>
      </w:r>
      <w:r>
        <w:t>з</w:t>
      </w:r>
      <w:r>
        <w:t>ведено иностранным гражданином, решение о чем принимается компетентным органом, а именно министерством социальной политики, по делам перемеще</w:t>
      </w:r>
      <w:r>
        <w:t>н</w:t>
      </w:r>
      <w:r>
        <w:t>ных лиц и беженцев Федерации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Опекунство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300.</w:t>
      </w:r>
      <w:r>
        <w:tab/>
        <w:t>В соответствии с позитивными нормативными актами Федерации Боснии и Герцеговины, опекунство - это институт семьи и социально-правовой защ</w:t>
      </w:r>
      <w:r>
        <w:t>и</w:t>
      </w:r>
      <w:r>
        <w:t>ты, нацеленной на то, чтобы обеспечить осуществление обществом защиты н</w:t>
      </w:r>
      <w:r>
        <w:t>е</w:t>
      </w:r>
      <w:r>
        <w:t>совершеннолетних детей, оставшихся без попечения родителей (чьи родители умерли, пропали без вести, имеют неизвестное место проживания, были лиш</w:t>
      </w:r>
      <w:r>
        <w:t>е</w:t>
      </w:r>
      <w:r>
        <w:t>ны родительских прав, потеряли трудоспособность, не исполняют свои род</w:t>
      </w:r>
      <w:r>
        <w:t>и</w:t>
      </w:r>
      <w:r>
        <w:t>тельские обязанности или отсутствуют (статья 13 семейного кодекса)). Мужч</w:t>
      </w:r>
      <w:r>
        <w:t>и</w:t>
      </w:r>
      <w:r>
        <w:t>ны и женщины имеют равные права в том, что касается опеки над детьми, к</w:t>
      </w:r>
      <w:r>
        <w:t>о</w:t>
      </w:r>
      <w:r>
        <w:t>торые не определяются семейным положением женщины, поскольку в нашей правовой системе брачные и гражданские союзы имеют один и тот же статус. Решение об опекунстве над ребенком в каждом конкретном случае принимае</w:t>
      </w:r>
      <w:r>
        <w:t>т</w:t>
      </w:r>
      <w:r>
        <w:t>ся компетентным органом по делам опекунства (центром социальной защиты) в наилучших интересах ребенка.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Решение судьбы детей в ходе развода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301.</w:t>
      </w:r>
      <w:r>
        <w:tab/>
        <w:t>После расторжения брака или решения родителей проживать раздельно в соответствии с решением суда ребенок или дети передаются одному из родит</w:t>
      </w:r>
      <w:r>
        <w:t>е</w:t>
      </w:r>
      <w:r>
        <w:t>лей, который должен их воспитывать, ухаживать за ними и поддерживать их, причем другой родитель при этом несет обязательство вносить свой вклад в такую поддержку. При определении финансовой помощи суд учитывает во</w:t>
      </w:r>
      <w:r>
        <w:t>з</w:t>
      </w:r>
      <w:r>
        <w:t>раст ребенка, доход родителя, обязанного оказывать помощь, а также его или ее собственные потребности (статьи  251-255 семейного кодекса). В судебной практике это положение зачастую нарушается, когда суд не обеспечивает в</w:t>
      </w:r>
      <w:r>
        <w:t>ы</w:t>
      </w:r>
      <w:r>
        <w:t>полнение своих решений, касающихся финансовой поддержки в виде юрид</w:t>
      </w:r>
      <w:r>
        <w:t>и</w:t>
      </w:r>
      <w:r>
        <w:t>ческих алиментов на ребенка, нарушая, таким образом, право ребенка на на</w:t>
      </w:r>
      <w:r>
        <w:t>д</w:t>
      </w:r>
      <w:r>
        <w:t>лежащий уровень жизни, что приводит к еще большему ухудшению положения неполных семей, т.е. матерей-одиночек, которым, по решению суда, чаще всего передаются дети. Речь идет о ситуациях, когда один из родителей, чаще всего это отец ребенка, не выполняет свои юридические обязательства по оказанию финансовой поддержки или когда один из родителей, ввиду своего собственн</w:t>
      </w:r>
      <w:r>
        <w:t>о</w:t>
      </w:r>
      <w:r>
        <w:t>го неблагоприятного социального положения, не имеет возможности выпо</w:t>
      </w:r>
      <w:r>
        <w:t>л</w:t>
      </w:r>
      <w:r>
        <w:t>нять свои обязательства по оказанию финансовой поддержки ребенку или д</w:t>
      </w:r>
      <w:r>
        <w:t>е</w:t>
      </w:r>
      <w:r>
        <w:t>тям.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Уголовные преступления, направленные против брака и семьи (защита)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302.</w:t>
      </w:r>
      <w:r>
        <w:tab/>
        <w:t>Многоженство; статья 231 гласит: 1) тому, кто вступает в новый брак, уже состоя в браке, назначается наказание в виде лишения свободы на срок до о</w:t>
      </w:r>
      <w:r>
        <w:t>д</w:t>
      </w:r>
      <w:r>
        <w:t>ного года; 2) тому, кто вступает в брак с лицом, которое, как ему известно, уже состоит в браке, назначается то же самое наказание, что указано в пункте 1 н</w:t>
      </w:r>
      <w:r>
        <w:t>а</w:t>
      </w:r>
      <w:r>
        <w:t>стоящей статьи.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303.</w:t>
      </w:r>
      <w:r>
        <w:tab/>
        <w:t>Оказание помощи в заключении незаконного брака; статья 232: комп</w:t>
      </w:r>
      <w:r>
        <w:t>е</w:t>
      </w:r>
      <w:r>
        <w:t>тентному должностному лицу, в присутствии которого заключается брак, или регистратору, который путем исполнения своих служебных обязанностей со</w:t>
      </w:r>
      <w:r>
        <w:t>з</w:t>
      </w:r>
      <w:r>
        <w:t>нательно позволяет заключить брак, запрещаемый по закону, недействител</w:t>
      </w:r>
      <w:r>
        <w:t>ь</w:t>
      </w:r>
      <w:r>
        <w:t>ный брак, или брак, считающийся недействительным, назначается наказание в виде лишения свободы на срок до одного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304.</w:t>
      </w:r>
      <w:r>
        <w:tab/>
        <w:t>Гражданский брак с несовершеннолетним ребенком; статья 233 гласит: 1) совершеннолетнему лицу, живущему в гражданском браке с несовершенн</w:t>
      </w:r>
      <w:r>
        <w:t>о</w:t>
      </w:r>
      <w:r>
        <w:t>летним лицом, достигшим возраста 14 лет, назначается наказание в виде лиш</w:t>
      </w:r>
      <w:r>
        <w:t>е</w:t>
      </w:r>
      <w:r>
        <w:t>ния свободы на срок от трех месяцев до трех лет; 2) одному из родителей, ус</w:t>
      </w:r>
      <w:r>
        <w:t>ы</w:t>
      </w:r>
      <w:r>
        <w:t>новителю или опекуну, разрешившему несовершеннолетнему лицу, достигш</w:t>
      </w:r>
      <w:r>
        <w:t>е</w:t>
      </w:r>
      <w:r>
        <w:t>му возраста 14 лет, сожительствовать с другим лицом в гражданском браке, или вынудившему его к подобному действию, назначается наказание, указанное в пункте 1 настоящей статьи; 3) если деяние, упомянутое в пункте 2 настоящей статьи, совершается в корыстных целях, виновному назначается наказание в виде лишения свободы на срок от шести месяцев до пяти лет и денежного штрафа; 4) в случае заключения брака уголовное преследование не осущест</w:t>
      </w:r>
      <w:r>
        <w:t>в</w:t>
      </w:r>
      <w:r>
        <w:t>ляется, а если брак уже был заключен, то уголовное преследование прекращ</w:t>
      </w:r>
      <w:r>
        <w:t>а</w:t>
      </w:r>
      <w:r>
        <w:t>ется.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305.</w:t>
      </w:r>
      <w:r>
        <w:tab/>
        <w:t>Похищение несовершеннолетнего лица; статья 234 гласит: тому, кто нез</w:t>
      </w:r>
      <w:r>
        <w:t>а</w:t>
      </w:r>
      <w:r>
        <w:t>конно забирает несовершеннолетнего у родителей, усыновителей или опекунов либо у лица, на попечении которого был ребенок, тому, кто удерживает ребенка или препятствует его нахождению вместе с лицом, имеющим в отношении него юридическое право, или тому, кто препятствует выполнению решения о пер</w:t>
      </w:r>
      <w:r>
        <w:t>е</w:t>
      </w:r>
      <w:r>
        <w:t>даче несовершеннолетнего ребенка под опеку, назначается наказание в виде лишения свободы на срок до одного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306.</w:t>
      </w:r>
      <w:r>
        <w:tab/>
        <w:t>Изменение семейной принадлежности; статья 235 гласит: 1) тому, кто п</w:t>
      </w:r>
      <w:r>
        <w:t>у</w:t>
      </w:r>
      <w:r>
        <w:t>тем сокрытия, обмена или каким-либо другим образом изменяет семейную принадлежность ребенка, назначается наказание в виде лишения свободы на срок от трех месяцев до трех лет; 2) наказание назначается и за попытку с</w:t>
      </w:r>
      <w:r>
        <w:t>о</w:t>
      </w:r>
      <w:r>
        <w:t>вершить такое деяние.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307.</w:t>
      </w:r>
      <w:r>
        <w:tab/>
        <w:t>Жестокое обращение с несовершеннолетним или пренебрежительное к нему отношение; статья 236 гласит: 1) любому из родителей, усыновителю, опекуну или другому лицу, которое жестоко обращается с несовершенноле</w:t>
      </w:r>
      <w:r>
        <w:t>т</w:t>
      </w:r>
      <w:r>
        <w:t>ним либо которое, прямо игнорируя свои обязанности по оказанию поддержки ребенку и по уходу за ним, пренебрежительно относится к несовершенноле</w:t>
      </w:r>
      <w:r>
        <w:t>т</w:t>
      </w:r>
      <w:r>
        <w:t>нему лицу, за которым он или она призван или призвана ухаживать, назначае</w:t>
      </w:r>
      <w:r>
        <w:t>т</w:t>
      </w:r>
      <w:r>
        <w:t>ся наказание в виде лишения свободы на срок от трех месяцев до трех лет; 2) одному из родителей, усыновителю, опекуну или другому лицу, жестоко о</w:t>
      </w:r>
      <w:r>
        <w:t>б</w:t>
      </w:r>
      <w:r>
        <w:t>ращающемуся с несовершеннолетними или принуждающими несовершенн</w:t>
      </w:r>
      <w:r>
        <w:t>о</w:t>
      </w:r>
      <w:r>
        <w:t>летнего к выполнению тяжелой работы или работы, которая не соответствует возрасту несовершеннолетнего лица, или тому, кто вынуждает их совершать другие действия, наносящие ущерб их развитию, из корыстных побуждений, назначается наказание, указанное в пункте 1 настоящей статьи; 3) если деяния, указанные в пунктах 1 и 2, привели к нанесению значительного ущерба физ</w:t>
      </w:r>
      <w:r>
        <w:t>и</w:t>
      </w:r>
      <w:r>
        <w:t>ческому или психологическому здоровью несовершеннолетнего лица, вино</w:t>
      </w:r>
      <w:r>
        <w:t>в</w:t>
      </w:r>
      <w:r>
        <w:t>ному назначается наказание в виде лишения свободы на срок от одного года до восьми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308.</w:t>
      </w:r>
      <w:r>
        <w:tab/>
        <w:t>Невыполнение семейных обязанностей; статья 237 гласит: 1) тому, кто, прямо нарушив свои носящие юридически обязательный характер семейные обязанности, оставляет члена своей семьи, который не может ухаживать за с</w:t>
      </w:r>
      <w:r>
        <w:t>о</w:t>
      </w:r>
      <w:r>
        <w:t>бой, в сложной ситуации, назначается наказание в виде лишения свободы на срок от трех месяцев до трех лет; 2) если член семьи по причинам, указанным в пункте 1 настоящей статьи, погибает или серьезно заболевает, виновному н</w:t>
      </w:r>
      <w:r>
        <w:t>а</w:t>
      </w:r>
      <w:r>
        <w:t>значается наказание в виде лишения свободы на срок от одного года до восьми лет; 3) при назначении условного наказания суд может установить требование о том, что виновное лицо должно последовательно выполнять свои обязанн</w:t>
      </w:r>
      <w:r>
        <w:t>о</w:t>
      </w:r>
      <w:r>
        <w:t>сти, связанные с уходом за ребенком, его воспитанием и оказанием ему фина</w:t>
      </w:r>
      <w:r>
        <w:t>н</w:t>
      </w:r>
      <w:r>
        <w:t>совой поддер</w:t>
      </w:r>
      <w:r>
        <w:t>ж</w:t>
      </w:r>
      <w:r>
        <w:t>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309.</w:t>
      </w:r>
      <w:r>
        <w:tab/>
        <w:t>Уклонение от оказания финансовой поддержки; статья 238 гласит: 1) любому лицу, уклоняющемуся от оказания поддержки тому, кого он или она на основании исполнительного решения суда или исполнительной договоре</w:t>
      </w:r>
      <w:r>
        <w:t>н</w:t>
      </w:r>
      <w:r>
        <w:t>ности, заключенной в рамках другого компетентного органа, юридически об</w:t>
      </w:r>
      <w:r>
        <w:t>я</w:t>
      </w:r>
      <w:r>
        <w:t>зано поддерживать, назначается наказание в виде лишения свободы на срок до одного года; 2) при назначении условного наказания суд может установить у</w:t>
      </w:r>
      <w:r>
        <w:t>с</w:t>
      </w:r>
      <w:r>
        <w:t>ловие о том, что виновный должен стабильно оказывать финансовую поддер</w:t>
      </w:r>
      <w:r>
        <w:t>ж</w:t>
      </w:r>
      <w:r>
        <w:t>ку, а также о выполнении им предъявленных требований; 3) если виновный в действиях, указанных в пункте 1 настоящей статьи, выполнил свои обязанн</w:t>
      </w:r>
      <w:r>
        <w:t>о</w:t>
      </w:r>
      <w:r>
        <w:t>сти ко времени вынесения решения судом первой инстанции, он может быть освоб</w:t>
      </w:r>
      <w:r>
        <w:t>о</w:t>
      </w:r>
      <w:r>
        <w:t>жден от соответствующего наказания.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310.</w:t>
      </w:r>
      <w:r>
        <w:tab/>
        <w:t>Инцест; статья 239: тому, кто совершает инцест с лицом, находящимся с ним в действительном кровном родстве, или с братом или сестрой, назначается наказание в виде лишения свободы на срок до трех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311.</w:t>
      </w:r>
      <w:r>
        <w:tab/>
        <w:t>Воспрепятствование принятию мер для защиты несовершеннолетнего и непринятие таких мер; статья 240: 1) тому, кто препятствует принятию мер по исправлению положения и других мер по решению суда и уполномоченных о</w:t>
      </w:r>
      <w:r>
        <w:t>р</w:t>
      </w:r>
      <w:r>
        <w:t>ганов в интересах защиты несовершеннолетних, назначается наказание в виде лишения свободы на срок до одного года; 2) ответственному должностному лицу, работающему в органах или учреждениях, занимающихся защитой нес</w:t>
      </w:r>
      <w:r>
        <w:t>о</w:t>
      </w:r>
      <w:r>
        <w:t>вершеннолетних или их воспитанием или подготовкой к работе, из-за очевидно безответственных действий которого здоровью или развитию несовершенн</w:t>
      </w:r>
      <w:r>
        <w:t>о</w:t>
      </w:r>
      <w:r>
        <w:t>летнего был нанесен серьезный ущерб, назначается наказание в виде лишения свободы на срок от трех месяцев до трех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312.</w:t>
      </w:r>
      <w:r>
        <w:tab/>
        <w:t>Проектам неправительственных организаций по гендерной тематике была оказана поддержка в рамках экспериментального этапа проекта (гендерное р</w:t>
      </w:r>
      <w:r>
        <w:t>а</w:t>
      </w:r>
      <w:r>
        <w:t>венство и справедливость в Боснии и Герцеговине). В целом можно сделать вывод о том, что деятельность и цели вышеупомянутых проектов (в общей сложности их насчитывается 21 на всей территории обоих административно-территориальных образований) далеко не полностью охватывали возможную сферу деятельности, предусмотренную в Конвенции о ликвидации всех форм дискриминации в отношении женщин. Определенные аспекты брачных и с</w:t>
      </w:r>
      <w:r>
        <w:t>е</w:t>
      </w:r>
      <w:r>
        <w:t>мейных уз, речь о которых идет в статье 16 Конвенции, были охвачены в ра</w:t>
      </w:r>
      <w:r>
        <w:t>м</w:t>
      </w:r>
      <w:r>
        <w:t>ках трех проектов. Два проекта были нацелены на то, чтобы обратить вним</w:t>
      </w:r>
      <w:r>
        <w:t>а</w:t>
      </w:r>
      <w:r>
        <w:t>ние супружеских пар и лиц, только собирающихся заключить брак, на важную роль равноправия в брачной и семейной жизни, в особенности с точки зрения прав и обязанностей, связанных с уходом за детьми, а другой проект пред</w:t>
      </w:r>
      <w:r>
        <w:t>у</w:t>
      </w:r>
      <w:r>
        <w:t>сматривал даже работу по подготовке к рождению ребенка. Третий проект в Ливно обеспечил создание условий для повышения качества ухода за детьми путем создания игровых залов для детей в возрасте до семи лет, которые, т</w:t>
      </w:r>
      <w:r>
        <w:t>а</w:t>
      </w:r>
      <w:r>
        <w:t>ким образом, стали единственным местом для ухода за детьми, их социализ</w:t>
      </w:r>
      <w:r>
        <w:t>а</w:t>
      </w:r>
      <w:r>
        <w:t>ции и игр. С учетом того факта, что эти проекты были реализованы в условиях весьма плачевного экономического положения страны, послевоенного восст</w:t>
      </w:r>
      <w:r>
        <w:t>а</w:t>
      </w:r>
      <w:r>
        <w:t>новления и наличия по-прежнему немалого числа беженцев и перемещенных лиц в вышеупомянутых муниципалитетах, с которыми, соответственно, связ</w:t>
      </w:r>
      <w:r>
        <w:t>а</w:t>
      </w:r>
      <w:r>
        <w:t>ны определенные социальные проблемы, был достигнут значительный пр</w:t>
      </w:r>
      <w:r>
        <w:t>о</w:t>
      </w:r>
      <w:r>
        <w:t>гресс с точки зрения повышения внимания к гендерной проблематике в малых общинах (экспериментальных муниципалитетах), свидетельствуя, таким обр</w:t>
      </w:r>
      <w:r>
        <w:t>а</w:t>
      </w:r>
      <w:r>
        <w:t>зом, о том, что Конвенция не только обязывает государственные органы с</w:t>
      </w:r>
      <w:r>
        <w:t>о</w:t>
      </w:r>
      <w:r>
        <w:t>блюдать определенные права, но и что для всех заинтересованных сторон и у</w:t>
      </w:r>
      <w:r>
        <w:t>ч</w:t>
      </w:r>
      <w:r>
        <w:t>реждений откр</w:t>
      </w:r>
      <w:r>
        <w:t>ы</w:t>
      </w:r>
      <w:r>
        <w:t>лось большое поле деятельности.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ПРИЛОЖЕНИЯ: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 xml:space="preserve">Приложение </w:t>
      </w:r>
      <w:r>
        <w:rPr>
          <w:lang w:val="en-US"/>
        </w:rPr>
        <w:t>I</w:t>
      </w:r>
      <w:r>
        <w:t xml:space="preserve"> - Перечень законов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 xml:space="preserve">Приложение </w:t>
      </w:r>
      <w:r>
        <w:rPr>
          <w:lang w:val="en-US"/>
        </w:rPr>
        <w:t>II</w:t>
      </w:r>
      <w:r>
        <w:t xml:space="preserve"> - Статистические данные и анализ</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 xml:space="preserve">Приложение </w:t>
      </w:r>
      <w:r>
        <w:rPr>
          <w:lang w:val="en-US"/>
        </w:rPr>
        <w:t>III</w:t>
      </w:r>
      <w:r>
        <w:t xml:space="preserve"> - Ответы на вопросник для правительств.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pPr>
      <w:r>
        <w:t xml:space="preserve">Приложение </w:t>
      </w:r>
      <w:r>
        <w:rPr>
          <w:lang w:val="en-US"/>
        </w:rPr>
        <w:t>I</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 xml:space="preserve">Перечень законов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Конституция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гендерном равенстве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Уголовный кодекс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Уголовный кодекс Федерации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Уголовный кодекс Республики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труде Федерации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труде Республики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Коллективные вспомогательные соглашения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выборах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высшем судебном и прокурорском совете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об охране труда Федерации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об охране труда Республики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социальном обеспечении и об охране детства Федерации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социальном обеспечении и об охране детства Республики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об иммиграции и убежище в Боснии и Герцеговине (предыдущий)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передвижении и пребывании иностранцев (новый)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План действий по предотвращению торговли людьми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Временная инструкция об обращении с жертвами торговли в Боснии и Герц</w:t>
      </w:r>
      <w:r>
        <w:t>е</w:t>
      </w:r>
      <w:r>
        <w:t>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референдуме Федерации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референдуме в Республике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политических организациях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Законы о фондах и ассоциациях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гражданстве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Рамочный закон о начальном и среднем образовании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защите здоровья в Федерации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медицинском страховании в Федерации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об условиях прерывания беременности Федерации Боснии и Герцегов</w:t>
      </w:r>
      <w:r>
        <w:t>и</w:t>
      </w:r>
      <w:r>
        <w:t>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защите от ионизирующего излучения и о радиационной безопасности Федерации Боснии и Герцегов</w:t>
      </w:r>
      <w:r>
        <w:t>и</w:t>
      </w:r>
      <w:r>
        <w:t>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защите душевнобольных лиц в Федерации Боснии и Герцегов</w:t>
      </w:r>
      <w:r>
        <w:t>и</w:t>
      </w:r>
      <w:r>
        <w:t>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об охране здоровья в Республике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медицинском страховании Республики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медицинских препаратах Федерации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медицинских препаратах Республики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палате по делам здравоохранения Федерации Боснии и Герцегов</w:t>
      </w:r>
      <w:r>
        <w:t>и</w:t>
      </w:r>
      <w:r>
        <w:t>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палате по делам здравоохранения Республики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базе социальной защиты семей с детьми и защиты гражданских жертв войны Федерации Боснии и Герцегов</w:t>
      </w:r>
      <w:r>
        <w:t>и</w:t>
      </w:r>
      <w:r>
        <w:t>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социальной защите Республики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об охране детства Республики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принадлежности государственных доходов Федерации Боснии и Герц</w:t>
      </w:r>
      <w:r>
        <w:t>е</w:t>
      </w:r>
      <w:r>
        <w:t>гов</w:t>
      </w:r>
      <w:r>
        <w:t>и</w:t>
      </w:r>
      <w:r>
        <w:t>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защите прав лиц, принадлежащих к национальным меньшинствам,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пенсиях и страховании от нетрудоспособности Федерации Боснии и Герцегов</w:t>
      </w:r>
      <w:r>
        <w:t>и</w:t>
      </w:r>
      <w:r>
        <w:t>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пенсиях и страховании от нетрудоспособности Республики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семье Федерации Боснии и Герцегов</w:t>
      </w:r>
      <w:r>
        <w:t>и</w:t>
      </w:r>
      <w:r>
        <w:t>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Закон о семье Республики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pPr>
      <w:r>
        <w:t xml:space="preserve">Приложение </w:t>
      </w:r>
      <w:r>
        <w:rPr>
          <w:lang w:val="en-US"/>
        </w:rPr>
        <w:t>II</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b w:val="0"/>
          <w:sz w:val="16"/>
        </w:rPr>
      </w:pPr>
      <w:r>
        <w:tab/>
        <w:t>Статистические данные и анализ</w:t>
      </w:r>
      <w:r>
        <w:rPr>
          <w:rStyle w:val="FootnoteReference"/>
        </w:rPr>
        <w:footnoteReference w:customMarkFollows="1" w:id="2"/>
        <w:sym w:font="Symbol" w:char="F02A"/>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Статья 5. Искоренение стереотипов и пре</w:t>
      </w:r>
      <w:r>
        <w:t>д</w:t>
      </w:r>
      <w:r>
        <w:t>рассудков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Показатели для Федерации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rPr>
          <w:i/>
        </w:rPr>
        <w:t>Диаграмма 20</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object w:dxaOrig="6900" w:dyaOrig="3045">
          <v:shape id="_x0000_i1029" type="#_x0000_t75" style="width:345pt;height:152.25pt" o:ole="" fillcolor="window">
            <v:imagedata r:id="rId22" o:title=""/>
          </v:shape>
          <o:OLEObject Type="Embed" ProgID="Excel.Chart.8" ShapeID="_x0000_i1029" DrawAspect="Content" ObjectID="_1418863777" r:id="rId23">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Показатели для Республики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pict>
          <v:shape id="_x0000_i1030" type="#_x0000_t75" style="width:359.25pt;height:4in" fillcolor="window">
            <v:imagedata r:id="rId24" o:title=""/>
          </v:shape>
        </w:pi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pict>
          <v:shape id="_x0000_i1031" type="#_x0000_t75" style="width:337.5pt;height:256.5pt" fillcolor="window">
            <v:imagedata r:id="rId25" o:title=""/>
          </v:shape>
        </w:pi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pict>
          <v:shape id="_x0000_i1032" type="#_x0000_t75" style="width:396pt;height:291pt" fillcolor="window">
            <v:imagedata r:id="rId26" o:title=""/>
          </v:shape>
        </w:pi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r>
        <w:br w:type="page"/>
      </w:r>
    </w:p>
    <w:p w:rsidR="00000000" w:rsidRDefault="00000000">
      <w:pPr>
        <w:pStyle w:val="H1"/>
        <w:tabs>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Статья 10. 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rPr>
          <w:b/>
        </w:rPr>
        <w:t>Показатели</w:t>
      </w:r>
      <w:r>
        <w:t xml:space="preserve"> </w:t>
      </w:r>
      <w:r>
        <w:rPr>
          <w:b/>
        </w:rPr>
        <w:t>для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rPr>
          <w:i/>
        </w:rPr>
        <w:t>Диаграмма 3</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object w:dxaOrig="7366" w:dyaOrig="4080">
          <v:shape id="_x0000_i1033" type="#_x0000_t75" style="width:368.25pt;height:204pt" o:ole="" fillcolor="window">
            <v:imagedata r:id="rId27" o:title=""/>
          </v:shape>
          <o:OLEObject Type="Embed" ProgID="Excel.Chart.8" ShapeID="_x0000_i1033" DrawAspect="Content" ObjectID="_1418863778" r:id="rId28">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rPr>
          <w:i/>
        </w:rPr>
        <w:t>Диаграмма 4</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object w:dxaOrig="7395" w:dyaOrig="4335">
          <v:shape id="_x0000_i1034" type="#_x0000_t75" style="width:369.75pt;height:216.75pt" o:ole="" fillcolor="window">
            <v:imagedata r:id="rId29" o:title=""/>
          </v:shape>
          <o:OLEObject Type="Embed" ProgID="Excel.Chart.8" ShapeID="_x0000_i1034" DrawAspect="Content" ObjectID="_1418863779" r:id="rId30">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rPr>
          <w:i/>
        </w:rPr>
        <w:br w:type="page"/>
      </w:r>
    </w:p>
    <w:p w:rsidR="00000000" w:rsidRDefault="00000000">
      <w:pPr>
        <w:pStyle w:val="H1"/>
        <w:ind w:left="475" w:firstLine="475"/>
      </w:pPr>
      <w:r>
        <w:t>Статья 10. 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Показатели для Республики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pict>
          <v:shape id="_x0000_i1035" type="#_x0000_t75" style="width:359.25pt;height:237pt" fillcolor="window">
            <v:imagedata r:id="rId31" o:title=""/>
          </v:shape>
        </w:pi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pict>
          <v:shape id="_x0000_i1036" type="#_x0000_t75" style="width:388.5pt;height:268.5pt" fillcolor="window">
            <v:imagedata r:id="rId32" o:title=""/>
          </v:shape>
        </w:pi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jc w:val="left"/>
      </w:pPr>
      <w:r>
        <w:rPr>
          <w:b/>
        </w:rPr>
        <w:br w:type="page"/>
      </w:r>
      <w:r>
        <w:pict>
          <v:shape id="_x0000_i1037" type="#_x0000_t75" style="width:395.25pt;height:266.25pt" fillcolor="window">
            <v:imagedata r:id="rId33" o:title=""/>
          </v:shape>
        </w:pict>
      </w:r>
      <w:r>
        <w:pict>
          <v:shape id="_x0000_i1038" type="#_x0000_t75" style="width:381pt;height:281.25pt" fillcolor="window">
            <v:imagedata r:id="rId34" o:title=""/>
          </v:shape>
        </w:pi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br w:type="page"/>
      </w:r>
      <w:r>
        <w:pict>
          <v:shape id="_x0000_i1039" type="#_x0000_t75" style="width:395.25pt;height:249pt" fillcolor="window">
            <v:imagedata r:id="rId35" o:title=""/>
          </v:shape>
        </w:pi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pict>
          <v:shape id="_x0000_i1040" type="#_x0000_t75" style="width:366.75pt;height:278.25pt" fillcolor="window">
            <v:imagedata r:id="rId36" o:title=""/>
          </v:shape>
        </w:pi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br w:type="page"/>
      </w:r>
      <w:r>
        <w:pict>
          <v:shape id="_x0000_i1041" type="#_x0000_t75" style="width:381pt;height:297.75pt" fillcolor="window">
            <v:imagedata r:id="rId37" o:title=""/>
          </v:shape>
        </w:pi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ind w:left="475" w:firstLine="475"/>
      </w:pPr>
      <w:r>
        <w:t>Статья 10. 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b/>
        </w:rPr>
      </w:pPr>
      <w:r>
        <w:rPr>
          <w:b/>
        </w:rPr>
        <w:t>Показатели для Федерации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rPr>
          <w:i/>
        </w:rPr>
        <w:t>Диаграмма 6</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object w:dxaOrig="7049" w:dyaOrig="3900">
          <v:shape id="_x0000_i1042" type="#_x0000_t75" style="width:352.5pt;height:195pt" o:ole="" fillcolor="window">
            <v:imagedata r:id="rId38" o:title=""/>
          </v:shape>
          <o:OLEObject Type="Embed" ProgID="Excel.Chart.8" ShapeID="_x0000_i1042" DrawAspect="Content" ObjectID="_1418863780" r:id="rId39">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br w:type="page"/>
      </w:r>
      <w:r>
        <w:rPr>
          <w:i/>
        </w:rPr>
        <w:t>Диаграмма 7</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object w:dxaOrig="6614" w:dyaOrig="3886">
          <v:shape id="_x0000_i1043" type="#_x0000_t75" style="width:330.75pt;height:194.25pt" o:ole="" fillcolor="window">
            <v:imagedata r:id="rId40" o:title=""/>
          </v:shape>
          <o:OLEObject Type="Embed" ProgID="Excel.Chart.8" ShapeID="_x0000_i1043" DrawAspect="Content" ObjectID="_1418863781" r:id="rId41">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rPr>
          <w:i/>
        </w:rPr>
        <w:t>Диаграмма 8</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object w:dxaOrig="6331" w:dyaOrig="3192">
          <v:shape id="_x0000_i1044" type="#_x0000_t75" style="width:316.5pt;height:159.75pt" o:ole="" fillcolor="window">
            <v:imagedata r:id="rId42" o:title=""/>
          </v:shape>
          <o:OLEObject Type="Embed" ProgID="Excel.Chart.8" ShapeID="_x0000_i1044" DrawAspect="Content" ObjectID="_1418863782" r:id="rId43">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rPr>
          <w:i/>
        </w:rPr>
        <w:t>Диаграмма 9</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object w:dxaOrig="6470" w:dyaOrig="3454">
          <v:shape id="_x0000_i1045" type="#_x0000_t75" style="width:323.25pt;height:172.5pt" o:ole="" fillcolor="window">
            <v:imagedata r:id="rId44" o:title=""/>
          </v:shape>
          <o:OLEObject Type="Embed" ProgID="Excel.Chart.8" ShapeID="_x0000_i1045" DrawAspect="Content" ObjectID="_1418863783" r:id="rId45">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rPr>
          <w:i/>
        </w:rPr>
        <w:t>Диаграмма 10</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object w:dxaOrig="5746" w:dyaOrig="2925">
          <v:shape id="_x0000_i1046" type="#_x0000_t75" style="width:287.25pt;height:146.25pt" o:ole="" fillcolor="window">
            <v:imagedata r:id="rId46" o:title=""/>
          </v:shape>
          <o:OLEObject Type="Embed" ProgID="Excel.Chart.8" ShapeID="_x0000_i1046" DrawAspect="Content" ObjectID="_1418863784" r:id="rId47">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rPr>
          <w:i/>
        </w:rPr>
        <w:t>Диаграмма 11</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object w:dxaOrig="6031" w:dyaOrig="2940">
          <v:shape id="_x0000_i1047" type="#_x0000_t75" style="width:301.5pt;height:147pt" o:ole="" fillcolor="window">
            <v:imagedata r:id="rId48" o:title=""/>
          </v:shape>
          <o:OLEObject Type="Embed" ProgID="Excel.Chart.8" ShapeID="_x0000_i1047" DrawAspect="Content" ObjectID="_1418863785" r:id="rId49">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rPr>
          <w:i/>
        </w:rPr>
        <w:t>Диаграмма 12</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object w:dxaOrig="7366" w:dyaOrig="3734">
          <v:shape id="_x0000_i1048" type="#_x0000_t75" style="width:368.25pt;height:186.75pt" o:ole="" fillcolor="window">
            <v:imagedata r:id="rId50" o:title=""/>
          </v:shape>
          <o:OLEObject Type="Embed" ProgID="Excel.Chart.8" ShapeID="_x0000_i1048" DrawAspect="Content" ObjectID="_1418863786" r:id="rId51">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br w:type="page"/>
      </w:r>
      <w:r>
        <w:rPr>
          <w:i/>
        </w:rPr>
        <w:t>Диаграмма 13</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object w:dxaOrig="7366" w:dyaOrig="4080">
          <v:shape id="_x0000_i1049" type="#_x0000_t75" style="width:368.25pt;height:204pt" o:ole="" fillcolor="window">
            <v:imagedata r:id="rId52" o:title=""/>
          </v:shape>
          <o:OLEObject Type="Embed" ProgID="Excel.Chart.8" ShapeID="_x0000_i1049" DrawAspect="Content" ObjectID="_1418863787" r:id="rId53">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rPr>
          <w:i/>
        </w:rPr>
        <w:t>Диаграмма 14</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object w:dxaOrig="8191" w:dyaOrig="2985">
          <v:shape id="_x0000_i1050" type="#_x0000_t75" style="width:409.5pt;height:149.25pt" o:ole="" fillcolor="window">
            <v:imagedata r:id="rId54" o:title=""/>
          </v:shape>
          <o:OLEObject Type="Embed" ProgID="Excel.Chart.8" ShapeID="_x0000_i1050" DrawAspect="Content" ObjectID="_1418863788" r:id="rId55">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rPr>
          <w:i/>
        </w:rPr>
        <w:t>Диаграмма 15</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object w:dxaOrig="8054" w:dyaOrig="2806">
          <v:shape id="_x0000_i1051" type="#_x0000_t75" style="width:402.75pt;height:140.25pt" o:ole="" fillcolor="window">
            <v:imagedata r:id="rId56" o:title=""/>
          </v:shape>
          <o:OLEObject Type="Embed" ProgID="Excel.Chart.8" ShapeID="_x0000_i1051" DrawAspect="Content" ObjectID="_1418863789" r:id="rId57">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i/>
        </w:rPr>
      </w:pPr>
      <w:r>
        <w:rPr>
          <w:i/>
        </w:rPr>
        <w:t>Диаграмма 16</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object w:dxaOrig="8054" w:dyaOrig="4771">
          <v:shape id="_x0000_i1052" type="#_x0000_t75" style="width:402.75pt;height:238.5pt" o:ole="" fillcolor="window">
            <v:imagedata r:id="rId58" o:title=""/>
          </v:shape>
          <o:OLEObject Type="Embed" ProgID="Excel.Chart.8" ShapeID="_x0000_i1052" DrawAspect="Content" ObjectID="_1418863790" r:id="rId59">
            <o:FieldCodes>\s</o:FieldCodes>
          </o:OLEObject>
        </w:obje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lang w:val="en-US"/>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pPr>
      <w:r>
        <w:t xml:space="preserve">Приложение </w:t>
      </w:r>
      <w:r>
        <w:rPr>
          <w:lang w:val="en-US"/>
        </w:rPr>
        <w:t>III</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b w:val="0"/>
          <w:sz w:val="16"/>
        </w:rPr>
      </w:pPr>
      <w:r>
        <w:tab/>
        <w:t>Ответы на вопросник для правительств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90" w:right="1260" w:hanging="1080"/>
        <w:rPr>
          <w:lang w:val="fr-CA"/>
        </w:rPr>
      </w:pPr>
      <w:r>
        <w:t xml:space="preserve">Часть </w:t>
      </w:r>
      <w:r>
        <w:rPr>
          <w:lang w:val="en-US"/>
        </w:rPr>
        <w:t>I</w:t>
      </w:r>
      <w:r>
        <w:t>.</w:t>
      </w:r>
      <w:r>
        <w:tab/>
      </w:r>
      <w:r>
        <w:tab/>
        <w:t>Обзор достижений и проблем, связанных с улучшением ситуации в области равенства женщин и усилением их роли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а)</w:t>
      </w:r>
      <w:r>
        <w:tab/>
        <w:t>Босния и Герцеговина достигла определенного прогресса по сравн</w:t>
      </w:r>
      <w:r>
        <w:t>е</w:t>
      </w:r>
      <w:r>
        <w:t>нию с ситуацией, сложившейся на 1996 год, в особенности с точки зрения со</w:t>
      </w:r>
      <w:r>
        <w:t>з</w:t>
      </w:r>
      <w:r>
        <w:t>дания необходимой законодательной базы для защиты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одном из пунктом статьи 11 Конституции Боснии и Герцеговины, кот</w:t>
      </w:r>
      <w:r>
        <w:t>о</w:t>
      </w:r>
      <w:r>
        <w:t>рая полностью посвящена вопросам прав человека, устанавливается запрет на дискриминацию в связи с признанием, осуществлением и защитой прав чел</w:t>
      </w:r>
      <w:r>
        <w:t>о</w:t>
      </w:r>
      <w:r>
        <w:t>века, о которых идет речь в настоящей статье или в международных соглаш</w:t>
      </w:r>
      <w:r>
        <w:t>е</w:t>
      </w:r>
      <w:r>
        <w:t>ниях, упомянутых в приложении к Конституции, не допуская при этом по о</w:t>
      </w:r>
      <w:r>
        <w:t>т</w:t>
      </w:r>
      <w:r>
        <w:t>ношению ко всему населению Боснии и Герцеговины никакой дискриминации по любым признакам, таким, например, как пол, раса, язык.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Закон о гендерном равенстве в Боснии и Герцеговине, принятый в мае 2000 года, облегчает выявление на практике ситуаций, когда те или иные лица оказываются в различном положении, т.е. подвергаются различному обращ</w:t>
      </w:r>
      <w:r>
        <w:t>е</w:t>
      </w:r>
      <w:r>
        <w:t>нию из-за их половой принадлежности. Этот закон предусматривает создание государственного учреждения по вопросам гендерного равенства. Такое учр</w:t>
      </w:r>
      <w:r>
        <w:t>е</w:t>
      </w:r>
      <w:r>
        <w:t>ждение было создано в феврале 2004 года со следующим кругом ведения: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right" w:pos="180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160" w:hanging="893"/>
      </w:pPr>
      <w:r>
        <w:tab/>
      </w:r>
      <w:r>
        <w:rPr>
          <w:lang w:val="en-US"/>
        </w:rPr>
        <w:t>i</w:t>
      </w:r>
      <w:r>
        <w:t>)</w:t>
      </w:r>
      <w:r>
        <w:tab/>
        <w:t>разработка периодических национальных планов по обеспечению гендерного равенства;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right" w:pos="180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160" w:hanging="893"/>
      </w:pPr>
      <w:r>
        <w:tab/>
      </w:r>
      <w:r>
        <w:rPr>
          <w:lang w:val="en-US"/>
        </w:rPr>
        <w:t>ii</w:t>
      </w:r>
      <w:r>
        <w:t>)</w:t>
      </w:r>
      <w:r>
        <w:tab/>
        <w:t>контроль за осуществлением государственного плана и координация деятельности всех соответствующих субъектов;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right" w:pos="180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160" w:hanging="893"/>
      </w:pPr>
      <w:r>
        <w:tab/>
      </w:r>
      <w:r>
        <w:rPr>
          <w:lang w:val="en-US"/>
        </w:rPr>
        <w:t>iii</w:t>
      </w:r>
      <w:r>
        <w:t>)</w:t>
      </w:r>
      <w:r>
        <w:tab/>
        <w:t>подготовка ежегодного доклада о принятии мер по предотвращению дискриминации по признакам пола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right" w:pos="180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160" w:hanging="893"/>
      </w:pPr>
      <w:r>
        <w:tab/>
      </w:r>
      <w:r>
        <w:rPr>
          <w:lang w:val="en-US"/>
        </w:rPr>
        <w:t>iv</w:t>
      </w:r>
      <w:r>
        <w:t>)</w:t>
      </w:r>
      <w:r>
        <w:tab/>
        <w:t>анализ законодательства, нормативных актов и общих постановл</w:t>
      </w:r>
      <w:r>
        <w:t>е</w:t>
      </w:r>
      <w:r>
        <w:t>ний, принимаемых Советом министров Боснии и Герцеговины в ц</w:t>
      </w:r>
      <w:r>
        <w:t>е</w:t>
      </w:r>
      <w:r>
        <w:t>лях осуществления контроля за соблюдением принципов гендерного равенства, и установление процедур внесения изменений и поправок в действующее в Боснии и Герцеговине законодательство в соотве</w:t>
      </w:r>
      <w:r>
        <w:t>т</w:t>
      </w:r>
      <w:r>
        <w:t>ствии с международными соглашениями и нормативными актами ЕС по предложению министерства по правам человека и делам беже</w:t>
      </w:r>
      <w:r>
        <w:t>н</w:t>
      </w:r>
      <w:r>
        <w:t>цев;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right" w:pos="180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160" w:hanging="893"/>
      </w:pPr>
      <w:r>
        <w:tab/>
      </w:r>
      <w:r>
        <w:rPr>
          <w:lang w:val="en-US"/>
        </w:rPr>
        <w:t>v</w:t>
      </w:r>
      <w:r>
        <w:t>)</w:t>
      </w:r>
      <w:r>
        <w:tab/>
        <w:t>разработка методологии для оценки эффективности государственной политики и программ в области обеспечения гендерного равенства;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right" w:pos="180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160" w:hanging="893"/>
      </w:pPr>
      <w:r>
        <w:tab/>
      </w:r>
      <w:r>
        <w:rPr>
          <w:lang w:val="en-US"/>
        </w:rPr>
        <w:t>vi</w:t>
      </w:r>
      <w:r>
        <w:t>)</w:t>
      </w:r>
      <w:r>
        <w:tab/>
        <w:t>проведение других мероприятий по поощрению гендерного равенс</w:t>
      </w:r>
      <w:r>
        <w:t>т</w:t>
      </w:r>
      <w:r>
        <w:t>ва и исполнение других соответствующих функций, помимо контроля за ос</w:t>
      </w:r>
      <w:r>
        <w:t>у</w:t>
      </w:r>
      <w:r>
        <w:t>ществлением законодательства.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Вышеуказанные изменения произошли после подписания в конце 1999 года правительствами Боснии и Герцеговины и Финляндской Республики соглашения о проекте по обеспечению гендерного равенства в Боснии и Герц</w:t>
      </w:r>
      <w:r>
        <w:t>е</w:t>
      </w:r>
      <w:r>
        <w:t>говине, осуществление которого способствовало созданию в Боснии и Герц</w:t>
      </w:r>
      <w:r>
        <w:t>е</w:t>
      </w:r>
      <w:r>
        <w:t>говине условий для разработки политики в области гендерного равенства и усилению роли женщин, а также для осуществления такой политики. Основной целью проекта было создание условий для актуализации гендерной проблем</w:t>
      </w:r>
      <w:r>
        <w:t>а</w:t>
      </w:r>
      <w:r>
        <w:t>тики в Боснии и Герцеговине. Эти усилия должны привести к следующим ж</w:t>
      </w:r>
      <w:r>
        <w:t>е</w:t>
      </w:r>
      <w:r>
        <w:t>лаемым результатам: установление комплексных политико-правовых генде</w:t>
      </w:r>
      <w:r>
        <w:t>р</w:t>
      </w:r>
      <w:r>
        <w:t>ных рамок, информационно-пропагандистская кампания в Боснии и Герцег</w:t>
      </w:r>
      <w:r>
        <w:t>о</w:t>
      </w:r>
      <w:r>
        <w:t>вине, касающаяся необходимости обеспечения мужчин и женщин равными возможностями во всех аспектах общественной жизни, наращивание поте</w:t>
      </w:r>
      <w:r>
        <w:t>н</w:t>
      </w:r>
      <w:r>
        <w:t>циала статистических учреждений и СМИ в области поощрения гендерного р</w:t>
      </w:r>
      <w:r>
        <w:t>а</w:t>
      </w:r>
      <w:r>
        <w:t>венства, а также создание организационных рамок для обеспечения актуализ</w:t>
      </w:r>
      <w:r>
        <w:t>а</w:t>
      </w:r>
      <w:r>
        <w:t>ции гендерной проблематики.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Гендерный центр Федерации Боснии и Герцеговины и учрежденный им гендерный центр Республики Сербской выдвинули в координации с неправ</w:t>
      </w:r>
      <w:r>
        <w:t>и</w:t>
      </w:r>
      <w:r>
        <w:t>тельственным сектором инициативу относительно разработки на государстве</w:t>
      </w:r>
      <w:r>
        <w:t>н</w:t>
      </w:r>
      <w:r>
        <w:t>ном уровне закона о гендерном равенстве в Боснии и Герцеговине в качестве рамочного закона, который предполагает обязательство подписавших его ст</w:t>
      </w:r>
      <w:r>
        <w:t>о</w:t>
      </w:r>
      <w:r>
        <w:t>рон на всех уровнях власти привести свои взаимосвязанные законы в соотве</w:t>
      </w:r>
      <w:r>
        <w:t>т</w:t>
      </w:r>
      <w:r>
        <w:t>ствие с данным законом.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После проведения четвертой Всемирной конференции по проблемам женщин был разработан национальный план, послуживший основой для опр</w:t>
      </w:r>
      <w:r>
        <w:t>е</w:t>
      </w:r>
      <w:r>
        <w:t>деления круга ведения гендерных центров Федерации Боснии и Герцеговины и Республики Сербской.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2003 году гендерные центры Федерации Боснии и Герцеговины и Ре</w:t>
      </w:r>
      <w:r>
        <w:t>с</w:t>
      </w:r>
      <w:r>
        <w:t>публики Сербской приняли ряд мер по разработке проекта национального пл</w:t>
      </w:r>
      <w:r>
        <w:t>а</w:t>
      </w:r>
      <w:r>
        <w:t>на действий в соответствии с Пекинской декларацией и Платформой, в связи с чем были разработаны национальные планы административно-территориальных образований, а совместный проект национального плана был подготовлен и представлен компетентным органам.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Согласно достигнутой договоренности, проект национального плана, в подготовке которого участвовали представители как правительственного, так и неправительственного сектора в Боснии и Герцеговине, должен быть предста</w:t>
      </w:r>
      <w:r>
        <w:t>в</w:t>
      </w:r>
      <w:r>
        <w:t>лен в министерство по правам человека и делам беженцев в сентября 2004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с)</w:t>
      </w:r>
      <w:r>
        <w:tab/>
        <w:t>От имени Боснии и Герцеговины в 2004 году гендерные центры Ф</w:t>
      </w:r>
      <w:r>
        <w:t>е</w:t>
      </w:r>
      <w:r>
        <w:t>дерации Боснии и Герцеговины и Республики Сербской приняли участие в подготовке доклада о развитии людских ресурсов ПРООН, который был п</w:t>
      </w:r>
      <w:r>
        <w:t>о</w:t>
      </w:r>
      <w:r>
        <w:t>священ целям в области развития, сформулированным в Декларации тысячел</w:t>
      </w:r>
      <w:r>
        <w:t>е</w:t>
      </w:r>
      <w:r>
        <w:t>тия. Гендерные центры уделяли большое внимание всем восьми целям, в ос</w:t>
      </w:r>
      <w:r>
        <w:t>о</w:t>
      </w:r>
      <w:r>
        <w:t>бенности третьей цели, касающейся гендерного равенства; они сыграли ключ</w:t>
      </w:r>
      <w:r>
        <w:t>е</w:t>
      </w:r>
      <w:r>
        <w:t>вую роль в разработке дополнительных показателей для определения прогре</w:t>
      </w:r>
      <w:r>
        <w:t>с</w:t>
      </w:r>
      <w:r>
        <w:t>са, достигнутого Боснией и Герцеговиной в выполнении третьей цели. Речь идет о следу</w:t>
      </w:r>
      <w:r>
        <w:t>ю</w:t>
      </w:r>
      <w:r>
        <w:t xml:space="preserve">щих показателях: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Всеобщие показатели:</w:t>
      </w:r>
    </w:p>
    <w:p w:rsidR="00000000" w:rsidRDefault="00000000">
      <w:pPr>
        <w:pStyle w:val="SingleTxt"/>
        <w:numPr>
          <w:ilvl w:val="0"/>
          <w:numId w:val="312"/>
        </w:numPr>
        <w:tabs>
          <w:tab w:val="clear" w:pos="1267"/>
          <w:tab w:val="clear" w:pos="1440"/>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50"/>
      </w:pPr>
      <w:r>
        <w:t>Показатель 9: соотношение между мужчинами и женщинами на всех уровнях образования;</w:t>
      </w:r>
    </w:p>
    <w:p w:rsidR="00000000" w:rsidRDefault="00000000">
      <w:pPr>
        <w:pStyle w:val="SingleTxt"/>
        <w:numPr>
          <w:ilvl w:val="0"/>
          <w:numId w:val="312"/>
        </w:numPr>
        <w:tabs>
          <w:tab w:val="clear" w:pos="1267"/>
          <w:tab w:val="clear" w:pos="1440"/>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50"/>
      </w:pPr>
      <w:r>
        <w:t>Показатель 10: соотношение "грамотные мужчины/женщины" среди 15-24-летних;</w:t>
      </w:r>
    </w:p>
    <w:p w:rsidR="00000000" w:rsidRDefault="00000000">
      <w:pPr>
        <w:pStyle w:val="SingleTxt"/>
        <w:numPr>
          <w:ilvl w:val="0"/>
          <w:numId w:val="312"/>
        </w:numPr>
        <w:tabs>
          <w:tab w:val="clear" w:pos="1267"/>
          <w:tab w:val="clear" w:pos="1440"/>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50"/>
      </w:pPr>
      <w:r>
        <w:t>Показатель 11: доля женщин, занимающихся оплачиваемым трудом в н</w:t>
      </w:r>
      <w:r>
        <w:t>е</w:t>
      </w:r>
      <w:r>
        <w:t>сел</w:t>
      </w:r>
      <w:r>
        <w:t>ь</w:t>
      </w:r>
      <w:r>
        <w:t>скохозяйственном секторе;</w:t>
      </w:r>
    </w:p>
    <w:p w:rsidR="00000000" w:rsidRDefault="00000000">
      <w:pPr>
        <w:pStyle w:val="SingleTxt"/>
        <w:numPr>
          <w:ilvl w:val="0"/>
          <w:numId w:val="312"/>
        </w:numPr>
        <w:tabs>
          <w:tab w:val="clear" w:pos="1267"/>
          <w:tab w:val="clear" w:pos="1440"/>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50"/>
      </w:pPr>
      <w:r>
        <w:t>Показатель 12: доля мест, занимаемых женщинами в парламентах;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pPr>
      <w:r>
        <w:tab/>
      </w:r>
      <w:r>
        <w:tab/>
        <w:t>Дополнительные показатели для Боснии и Герцеговины:</w:t>
      </w:r>
    </w:p>
    <w:p w:rsidR="00000000" w:rsidRDefault="00000000">
      <w:pPr>
        <w:pStyle w:val="SingleTxt"/>
        <w:numPr>
          <w:ilvl w:val="0"/>
          <w:numId w:val="312"/>
        </w:numPr>
        <w:tabs>
          <w:tab w:val="clear" w:pos="1267"/>
          <w:tab w:val="clear" w:pos="1440"/>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1710" w:hanging="450"/>
      </w:pPr>
      <w:r>
        <w:t>Доля зарегистрированных безработных среди женщин, доля работающих женщин (среди всего женского населения), доля экономически активных женщин, участие женщин в деятельности исполнительных органов власти и соотношение между грамотными мужчинами и женщинами в возрасте старше 15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d</w:t>
      </w:r>
      <w:r>
        <w:t>)</w:t>
      </w:r>
      <w:r>
        <w:tab/>
        <w:t>В 2003 году министерство по правам человека и делам беженцев Боснии и Герцеговины и оба гендерных центра, включая представителей зак</w:t>
      </w:r>
      <w:r>
        <w:t>о</w:t>
      </w:r>
      <w:r>
        <w:t>нодательных и исполнительных органов власти всех уровней, подготовили г</w:t>
      </w:r>
      <w:r>
        <w:t>о</w:t>
      </w:r>
      <w:r>
        <w:t>сударственный доклад и доклады административно-территориальных образ</w:t>
      </w:r>
      <w:r>
        <w:t>о</w:t>
      </w:r>
      <w:r>
        <w:t>ваний в рамках первоначального доклада Боснии и Герцеговины об осущест</w:t>
      </w:r>
      <w:r>
        <w:t>в</w:t>
      </w:r>
      <w:r>
        <w:t>лении Конвенции о ликвидации всех форм дискриминации в отношении же</w:t>
      </w:r>
      <w:r>
        <w:t>н</w:t>
      </w:r>
      <w:r>
        <w:t>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Эти доклады включают оценку положения женщин во всех областях, о</w:t>
      </w:r>
      <w:r>
        <w:t>х</w:t>
      </w:r>
      <w:r>
        <w:t>ваченных Конвенцией, а также выводы относительно мер, которые необходимо принять для улучшения положения женщин в конкретных областях (изменение существующих нормативных актов в конкретных областях и разработка новых нормативных актов). Здесь нам необходимо отметить, что на основании одной из рекомендаций Комитета Организации Объединенных Наций по ликвидации дискриминации в отношении женщин в 2001 году в закон о выборах Боснии и Герцеговины была включена конструктивная мера, утвержденная Парламен</w:t>
      </w:r>
      <w:r>
        <w:t>т</w:t>
      </w:r>
      <w:r>
        <w:t>ской ассамблеей Боснии и Герцеговины. В соответствии с этим законом все п</w:t>
      </w:r>
      <w:r>
        <w:t>о</w:t>
      </w:r>
      <w:r>
        <w:t>литические субъекты, принимающие участие в выборах в законодательные о</w:t>
      </w:r>
      <w:r>
        <w:t>р</w:t>
      </w:r>
      <w:r>
        <w:t xml:space="preserve">ганы всех уровней, в свои списки кандидатов обязаны включать одну треть женщин-кандидатов.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е)</w:t>
      </w:r>
      <w:r>
        <w:tab/>
        <w:t>За последнее десятилетие в области обеспечения равенства мужчин и женщин и укрепления роли женщин в том, что касается законодательства и принятия решений, были достигнуты следующие крупные успехи:</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w:t>
      </w:r>
      <w:r>
        <w:t>)</w:t>
      </w:r>
      <w:r>
        <w:tab/>
        <w:t>принятие закона о гендерном равенстве в Боснии и Герцегов</w:t>
      </w:r>
      <w:r>
        <w:t>и</w:t>
      </w:r>
      <w:r>
        <w:t>не;</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ii</w:t>
      </w:r>
      <w:r>
        <w:t>)</w:t>
      </w:r>
      <w:r>
        <w:tab/>
        <w:t>принятие закона о выборах Боснии и Герцеговины, который требует от всех политических субъектов, принимающих уч</w:t>
      </w:r>
      <w:r>
        <w:t>а</w:t>
      </w:r>
      <w:r>
        <w:t>стие в избирательном процессе, включать в свои списки канд</w:t>
      </w:r>
      <w:r>
        <w:t>и</w:t>
      </w:r>
      <w:r>
        <w:t>датов одну треть представителей пола, составляющего мен</w:t>
      </w:r>
      <w:r>
        <w:t>ь</w:t>
      </w:r>
      <w:r>
        <w:t>шинство в общем списке, т.е. в случае с Боснией и Герцегов</w:t>
      </w:r>
      <w:r>
        <w:t>и</w:t>
      </w:r>
      <w:r>
        <w:t>ной одну треть женщин;</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iii</w:t>
      </w:r>
      <w:r>
        <w:t>)</w:t>
      </w:r>
      <w:r>
        <w:tab/>
        <w:t>включение определения насилия в семье в качестве уголовно наказуемого преступления в уголовные кодексы администр</w:t>
      </w:r>
      <w:r>
        <w:t>а</w:t>
      </w:r>
      <w:r>
        <w:t>тивно-территориальных образований, а также уголовно нак</w:t>
      </w:r>
      <w:r>
        <w:t>а</w:t>
      </w:r>
      <w:r>
        <w:t>зуемых действий, направленных против сексуальной свободы и морали, и в тех случаях, когда то или иное лицо подвергается ненадлежащему обращению на основании его/ее половой пр</w:t>
      </w:r>
      <w:r>
        <w:t>и</w:t>
      </w:r>
      <w:r>
        <w:t>надлежности или сексуальной ориентации;</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iv</w:t>
      </w:r>
      <w:r>
        <w:t>)</w:t>
      </w:r>
      <w:r>
        <w:tab/>
        <w:t>в процессе подготовки находится законопроект, посвященный предотвращению насилия в семье, разработанный гендерными це</w:t>
      </w:r>
      <w:r>
        <w:t>н</w:t>
      </w:r>
      <w:r>
        <w:t>трами, в том числе некоторыми НПО;</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v</w:t>
      </w:r>
      <w:r>
        <w:t>)</w:t>
      </w:r>
      <w:r>
        <w:tab/>
        <w:t>в соответствии с законом о труде Федерации Боснии и Герцег</w:t>
      </w:r>
      <w:r>
        <w:t>о</w:t>
      </w:r>
      <w:r>
        <w:t>вины никто не может быть поставлен в менее благоприятное положение на основании его половой принадлежности в том, что касается трудоустройства, образования, продвижения по службе, требований и условий занятости, прекращения дейс</w:t>
      </w:r>
      <w:r>
        <w:t>т</w:t>
      </w:r>
      <w:r>
        <w:t>вия труд</w:t>
      </w:r>
      <w:r>
        <w:t>о</w:t>
      </w:r>
      <w:r>
        <w:t>вых договоров или других вопросов занятости;</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vi</w:t>
      </w:r>
      <w:r>
        <w:t>)</w:t>
      </w:r>
      <w:r>
        <w:tab/>
        <w:t>гендерный центр Республики Сербской выступил с инициат</w:t>
      </w:r>
      <w:r>
        <w:t>и</w:t>
      </w:r>
      <w:r>
        <w:t>вой относительно внесения изменений в закон о занятости Ре</w:t>
      </w:r>
      <w:r>
        <w:t>с</w:t>
      </w:r>
      <w:r>
        <w:t>публики Сербской и закон о пенсионном страховании - страх</w:t>
      </w:r>
      <w:r>
        <w:t>о</w:t>
      </w:r>
      <w:r>
        <w:t>вании на случай потери нетрудоспособности, включив в них, таким образом, положения общегосударственного закона о ге</w:t>
      </w:r>
      <w:r>
        <w:t>н</w:t>
      </w:r>
      <w:r>
        <w:t>дерном равенстве, касающегося введения требования о том, чтобы компетентные органы, ответственные за выполнение этого закона, соблюдали принципы гендерного равенства и не допускали дискримин</w:t>
      </w:r>
      <w:r>
        <w:t>а</w:t>
      </w:r>
      <w:r>
        <w:t>ции в своей деятельности;</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vii</w:t>
      </w:r>
      <w:r>
        <w:t>)</w:t>
      </w:r>
      <w:r>
        <w:tab/>
        <w:t>в закон об образовании Республики Сербской также должны быть внесены некоторые изменения, предложенные гендерным центром Республики Сербской для того, чтобы привести его в соответствие с законом о гендерном равенстве, которые были приняты в качестве поправок на заседании Комитета по соц</w:t>
      </w:r>
      <w:r>
        <w:t>и</w:t>
      </w:r>
      <w:r>
        <w:t>альному положению женщин и гендерному равенству Наци</w:t>
      </w:r>
      <w:r>
        <w:t>о</w:t>
      </w:r>
      <w:r>
        <w:t>нальной Ассамблеи Республики Сербской, но до сих пор еще окончательно не утверждены Ассамблеей.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Аналогичные положения включены в кантональные законы, касающиеся начального и среднего образования в Федерации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f</w:t>
      </w:r>
      <w:r>
        <w:t>)</w:t>
      </w:r>
      <w:r>
        <w:tab/>
        <w:t>В соответствии со своими программами работы на 2004 год генде</w:t>
      </w:r>
      <w:r>
        <w:t>р</w:t>
      </w:r>
      <w:r>
        <w:t>ные центры административно-территориальных образований проведут обуч</w:t>
      </w:r>
      <w:r>
        <w:t>е</w:t>
      </w:r>
      <w:r>
        <w:t>ние сотрудников по бюджетным вопросам в некоторых учреждениях разли</w:t>
      </w:r>
      <w:r>
        <w:t>ч</w:t>
      </w:r>
      <w:r>
        <w:t>ных уровней по аспектам обеспечения учета гендерного компонента в бюдж</w:t>
      </w:r>
      <w:r>
        <w:t>е</w:t>
      </w:r>
      <w:r>
        <w:t>тах на последующие годы. Текущие данные свидетельствуют о том, что в этом отношении никакого существенного прогресса еще не достигнуто. У нас есть сведения о мероприятиях, проводимых миссией ОБСЕ в Боснии и Герцеговине по обучению максимально возможного числа женщин приемам бюджетного анализа с точки зрения гендерного равенства. Гендерные центры планируют включить эту деятельность в состав уже созданных механизмов решения ге</w:t>
      </w:r>
      <w:r>
        <w:t>н</w:t>
      </w:r>
      <w:r>
        <w:t>дерных вопросов;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g</w:t>
      </w:r>
      <w:r>
        <w:t>)</w:t>
      </w:r>
      <w:r>
        <w:tab/>
        <w:t>Среди проблем, касающихся женщин, центральную роль играет пр</w:t>
      </w:r>
      <w:r>
        <w:t>о</w:t>
      </w:r>
      <w:r>
        <w:t>блема торговли женщинами, решением которой занимаются государственные исполнительные и законодательные органы. Виновные в соответствующей де</w:t>
      </w:r>
      <w:r>
        <w:t>я</w:t>
      </w:r>
      <w:r>
        <w:t>тельности подлежат наказанию в соответствии с уголовными кодексами Бо</w:t>
      </w:r>
      <w:r>
        <w:t>с</w:t>
      </w:r>
      <w:r>
        <w:t>нии и Герцеговины, Федерации Боснии и Герцеговины и Республики Сербской. Государственные органы власти приняли план действий по предотвращению то</w:t>
      </w:r>
      <w:r>
        <w:t>р</w:t>
      </w:r>
      <w:r>
        <w:t>говли людьми, в том числе торговли женщинами.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Парламентские комиссии по вопросам гендерного равенства на общег</w:t>
      </w:r>
      <w:r>
        <w:t>о</w:t>
      </w:r>
      <w:r>
        <w:t>сударственном уровне, уровне административно-территориальных образований и кантонов представляют свои предложения и заключения по документам (нормативно-правовым актам и т.п.), которые впоследствии рассматриваются соответствующими законодательными органами, а также и по определенным формам гендерных отношений в связи с некоторыми аспектами общественной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Различные парламентские комиссии и исполнительные органы власти всех уровней информируются о положении женщин в областях, охваченных Конвенцией о ликвидации всех форм дискриминации в отношении женщин, с помощью соответствующего доклада по этой Конвенции.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Насилие в семье относится к числу важнейших проблем, для решения к</w:t>
      </w:r>
      <w:r>
        <w:t>о</w:t>
      </w:r>
      <w:r>
        <w:t>торых предпринимаются попытки найти надлежащие способы, в особенности касающиеся потерпевших и надлежащих мер наказания виновных. Таким обр</w:t>
      </w:r>
      <w:r>
        <w:t>а</w:t>
      </w:r>
      <w:r>
        <w:t>зом, была выдвинута инициатива о разработке закона по защите от насилия в семье с участием как правительственного, так и неправительс</w:t>
      </w:r>
      <w:r>
        <w:t>т</w:t>
      </w:r>
      <w:r>
        <w:t>венного сектора.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h</w:t>
      </w:r>
      <w:r>
        <w:t>)</w:t>
      </w:r>
      <w:r>
        <w:tab/>
        <w:t>В послевоенный период неправительственный сектор при поддержке со стороны доноров начал принимать меры по обеспечению учета проблем женщин в рамках процессов реконструкции и восстановления (разработка п</w:t>
      </w:r>
      <w:r>
        <w:t>о</w:t>
      </w:r>
      <w:r>
        <w:t>ложений, касающихся регулирования деятельности мелких предпринимателей, изменения нормативно-правовых актов, касающихся владения недвижимым имуществом, создания ассоциаций, которые должны добиваться примирения между этническими группами и в более обширном географическом районе).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Гендерные центры непосредственно участвовали в подготовке закона об обороне Боснии и Герцеговины, применяя методику гендерного анализа в о</w:t>
      </w:r>
      <w:r>
        <w:t>т</w:t>
      </w:r>
      <w:r>
        <w:t>ношении законопроекта, в особенности с учетом резолюции 1325 Генеральной А</w:t>
      </w:r>
      <w:r>
        <w:t>с</w:t>
      </w:r>
      <w:r>
        <w:t>самблеи Организации Объединенных Наций.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i</w:t>
      </w:r>
      <w:r>
        <w:t>)</w:t>
      </w:r>
      <w:r>
        <w:tab/>
        <w:t>Произошедшие в Боснии и Герцеговине перемены, характерные для большинства стран, оказавшихся на переходном этапе, негативно повлияли на положение женщин (например, в случае ликвидации предприятия увольнению подвергаются прежде всего женщины) и на применение принципа гендерного равенства. Шаги, предпринятые в рамках осуществления закона о гендерном равенстве, безусловно, будут способствовать преодолению негативных тенде</w:t>
      </w:r>
      <w:r>
        <w:t>н</w:t>
      </w:r>
      <w:r>
        <w:t>ций в деле утверждения прав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Боснии и Герцеговине женщины составляют 37,2 процента занятых, что является чрезвычайно низким показателем с учетом того факта, что женщины в Боснии и Герцеговине составляют 60 процентов трудоспособного населения. Кроме того, в Боснии и Герцеговине наблюдается так называемый феномен "стеклянного потолка", т.е. женщины в Боснии и Герцеговине крайне редко преодолевают определенный уровень в иерархической структуре, причем даже такие тенденции меняются, когда речь заходит об исполнительных и законод</w:t>
      </w:r>
      <w:r>
        <w:t>а</w:t>
      </w:r>
      <w:r>
        <w:t>тельных органах, и в Боснии и Герцеговине по-прежнему имеются высокоо</w:t>
      </w:r>
      <w:r>
        <w:t>п</w:t>
      </w:r>
      <w:r>
        <w:t>лачиваемые должности, абсолютно недоступные для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Открыт для обсуждения вопрос об определении сбалансированного соо</w:t>
      </w:r>
      <w:r>
        <w:t>т</w:t>
      </w:r>
      <w:r>
        <w:t>ношения между профессиональной деятельностью женщин и их семейной жизнью. Новый закон о труде предоставляет возможности матери (или отцу, если мать работает на условиях полной занятости) работать на условиях н</w:t>
      </w:r>
      <w:r>
        <w:t>е</w:t>
      </w:r>
      <w:r>
        <w:t>полной занятости после того, как ребенку исполняется один год, сроком до трех лет, если ребенок нуждается в дополнительном уходе.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j</w:t>
      </w:r>
      <w:r>
        <w:t>)</w:t>
      </w:r>
      <w:r>
        <w:tab/>
        <w:t>Министерство по вопросам прав человека и беженцев Боснии и Ге</w:t>
      </w:r>
      <w:r>
        <w:t>р</w:t>
      </w:r>
      <w:r>
        <w:t>цеговины в сотрудничестве с гендерными центрами административно-территориальных образований представило проект об осуществлении закона о гендерном равенстве в Боснии и Герцеговине на рассмотрение ПРООН. ПРООН оказала также финансовую поддержку осуществлению проекта, нац</w:t>
      </w:r>
      <w:r>
        <w:t>е</w:t>
      </w:r>
      <w:r>
        <w:t>ленного прежде всего на то, чтобы оказать помощь в разработке планов дейс</w:t>
      </w:r>
      <w:r>
        <w:t>т</w:t>
      </w:r>
      <w:r>
        <w:t>вий по поощрению гендерного равенства и укреплению положения женщин во всех областях общественной жизни и в признании определенных аспектов ди</w:t>
      </w:r>
      <w:r>
        <w:t>с</w:t>
      </w:r>
      <w:r>
        <w:t>криминации, а также в определении направлений регулярной деятельности компетентных органов власти по ликвидации такой дискриминации.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К настоящему моменту гендерные центры проделали существенную раб</w:t>
      </w:r>
      <w:r>
        <w:t>о</w:t>
      </w:r>
      <w:r>
        <w:t>ту в целях обеспечения учета гендерных аспектов в рамках образовательной сист</w:t>
      </w:r>
      <w:r>
        <w:t>е</w:t>
      </w:r>
      <w:r>
        <w:t xml:space="preserve">мы в Боснии и Герцеговине.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Кроме того, было внесено предложение об организации отдела по генде</w:t>
      </w:r>
      <w:r>
        <w:t>р</w:t>
      </w:r>
      <w:r>
        <w:t>ным вопросам в составе центра по междисциплинарной аспирантской подг</w:t>
      </w:r>
      <w:r>
        <w:t>о</w:t>
      </w:r>
      <w:r>
        <w:t>товке в Сараево.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k</w:t>
      </w:r>
      <w:r>
        <w:t>)</w:t>
      </w:r>
      <w:r>
        <w:tab/>
        <w:t>С момента своего создания гендерные центры проводят регулярные совместные совещания с представителями НПО для рассмотрения соответс</w:t>
      </w:r>
      <w:r>
        <w:t>т</w:t>
      </w:r>
      <w:r>
        <w:t>вующих тем с точки зрения некоторых аспектов общественной жизни. По ит</w:t>
      </w:r>
      <w:r>
        <w:t>о</w:t>
      </w:r>
      <w:r>
        <w:t>гам этих встреч представлялись конкретные замечания и предложения относ</w:t>
      </w:r>
      <w:r>
        <w:t>и</w:t>
      </w:r>
      <w:r>
        <w:t>тельно разработки определенных нормативных актов (например, уголовный кодекс и т.д.). НПО также принимали участие в разработке общегосударстве</w:t>
      </w:r>
      <w:r>
        <w:t>н</w:t>
      </w:r>
      <w:r>
        <w:t>ного плана действий по гендерным вопросам и в других процессах разработки политики и законодательных актов по поощрению гендерного равенства. Соо</w:t>
      </w:r>
      <w:r>
        <w:t>т</w:t>
      </w:r>
      <w:r>
        <w:t>ветствующая деятельность начинается с разработки стратегии, нацеленной прежде всего на создание и укрепление муниципальных служб по оказанию женщинам бесплатной правовой помощи, а также по просвещению женщин на всей территории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l</w:t>
      </w:r>
      <w:r>
        <w:t>)</w:t>
      </w:r>
      <w:r>
        <w:tab/>
        <w:t>В отличие от других мер, принимаемых на международном уровне, гендерные центры неизменно привлекали к своей работе и мужчин, и женщин на равной основе. Так, например, в общегосударственных учреждениях и у</w:t>
      </w:r>
      <w:r>
        <w:t>ч</w:t>
      </w:r>
      <w:r>
        <w:t>реждениях административно-территориальных образований решение генде</w:t>
      </w:r>
      <w:r>
        <w:t>р</w:t>
      </w:r>
      <w:r>
        <w:t>ных вопросов всегда возлагается и на мужчин, и на женщин, равно как и в к</w:t>
      </w:r>
      <w:r>
        <w:t>о</w:t>
      </w:r>
      <w:r>
        <w:t>миссиях и комитетах всех уровней.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Однако, несмотря на эти меры, доля мужчин среди участников никогда не превышала 30 процентов. По-прежнему будут приниматься новые меры и шаги для того, чтобы более активно вовлекать мужчин в процессы поощрения ге</w:t>
      </w:r>
      <w:r>
        <w:t>н</w:t>
      </w:r>
      <w:r>
        <w:t>дерного равенства.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r>
        <w:rPr>
          <w:sz w:val="10"/>
        </w:rP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50" w:right="1210" w:hanging="1458"/>
      </w:pPr>
      <w:r>
        <w:t>Часть </w:t>
      </w:r>
      <w:r>
        <w:rPr>
          <w:lang w:val="en-US"/>
        </w:rPr>
        <w:t>II</w:t>
      </w:r>
      <w:r>
        <w:t>.</w:t>
      </w:r>
      <w:r>
        <w:tab/>
        <w:t xml:space="preserve">Прогресс в основных тематических областях Пекинской платформы для действий и дополнительные инициативы и меры, принятые на </w:t>
      </w:r>
      <w:r>
        <w:rPr>
          <w:lang w:val="en-US"/>
        </w:rPr>
        <w:t>XXIII</w:t>
      </w:r>
      <w:r>
        <w:t xml:space="preserve"> специальной сессии Генеральной Ассамблеи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A.</w:t>
      </w:r>
      <w:r>
        <w:tab/>
      </w:r>
      <w:r>
        <w:tab/>
        <w:t xml:space="preserve">Примеры успешных стратегий, законодательных изменений, программ и проектов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а)</w:t>
      </w:r>
      <w:r>
        <w:tab/>
        <w:t>С учетом того факта, что Государственный план действий по улу</w:t>
      </w:r>
      <w:r>
        <w:t>ч</w:t>
      </w:r>
      <w:r>
        <w:t>шению положения женщин готовится в Боснии и Герцеговине впервые и еще не принят, тем не менее следует упомянуть о некоторых уже предпринятых крупных шагах, помимо результатов, уже достигнутых в том, что касается улучшения положения женщин и защиты основных прав в области, определе</w:t>
      </w:r>
      <w:r>
        <w:t>н</w:t>
      </w:r>
      <w:r>
        <w:t>ной в соответствии с Пекинской платформой для действий.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законе о гендерном равенстве, принятом в Боснии и Герцеговине, сфо</w:t>
      </w:r>
      <w:r>
        <w:t>р</w:t>
      </w:r>
      <w:r>
        <w:t>мулированы определения прямой и косвенной дискриминации, обусловленного половой принадлежностью насилия, домогательств и сексуальных домог</w:t>
      </w:r>
      <w:r>
        <w:t>а</w:t>
      </w:r>
      <w:r>
        <w:t>тельств, а также предусматриваются различные виды наказаний для соответс</w:t>
      </w:r>
      <w:r>
        <w:t>т</w:t>
      </w:r>
      <w:r>
        <w:t>вующих правонарушителей. Кроме того, в законе определяются и вводятся в действие другие общие элементы процедур в учреждениях и в подразделениях в составе учреждений в интересах соблюдения принципов гендерного равенс</w:t>
      </w:r>
      <w:r>
        <w:t>т</w:t>
      </w:r>
      <w:r>
        <w:t>ва в областях, указанных в законе, в следующем порядке: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1.</w:t>
      </w:r>
      <w:r>
        <w:tab/>
        <w:t>образование, работа и доступ ко всем видам ресурсов;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2.</w:t>
      </w:r>
      <w:r>
        <w:tab/>
        <w:t>социальная защита;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3.</w:t>
      </w:r>
      <w:r>
        <w:tab/>
        <w:t>здравоохранение;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4.</w:t>
      </w:r>
      <w:r>
        <w:tab/>
        <w:t>спорт и культура, общественная жизнь, СМИ, запрет на насилие.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Кроме того, в законе предусмотрены обязательства компетентных органов власти всех уровней по принятию программ и мер для достижения гендерного равенства во всех областях, вместе с новыми законами или поправками к уже действующим законам, в целях приведения их в соответствие с положениями закона о гендерном равенстве.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Что касается правовых аспектов и того факта, что закон о гендерном р</w:t>
      </w:r>
      <w:r>
        <w:t>а</w:t>
      </w:r>
      <w:r>
        <w:t>венстве был принят в июне 2003 года и что его осуществление еще только н</w:t>
      </w:r>
      <w:r>
        <w:t>а</w:t>
      </w:r>
      <w:r>
        <w:t>чинается, и что государственный план действий еще не принят, то нельзя ск</w:t>
      </w:r>
      <w:r>
        <w:t>а</w:t>
      </w:r>
      <w:r>
        <w:t>зать, что реформа была проведена в областях, связанных с этим законом и П</w:t>
      </w:r>
      <w:r>
        <w:t>е</w:t>
      </w:r>
      <w:r>
        <w:t>кинской платформой, однако с уверенностью можно отметить, что проблема гендерного равенства все чаще учитывается в качестве критерия при разрабо</w:t>
      </w:r>
      <w:r>
        <w:t>т</w:t>
      </w:r>
      <w:r>
        <w:t>ке политики, стратегии, программ работы, законодательства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С начала 2004 года гендерные центры пользуются услугами сотрудников по связям с общественностью, которые должны распространять информацию о деятельности по обеспечению учета гендерного фактора и о результатах такой деятельности в контексте осуществления закона о гендерном равенстве. Кроме того, по нашему мнению, связанные с гендерным равенством темы все чаще освещаются в средствах массовой информации. Гендерные центры также по</w:t>
      </w:r>
      <w:r>
        <w:t>д</w:t>
      </w:r>
      <w:r>
        <w:t>готовили специальную стратегию освещения гендерных проблем в средствах массовой информации, причем уже принимаются соответствующие практич</w:t>
      </w:r>
      <w:r>
        <w:t>е</w:t>
      </w:r>
      <w:r>
        <w:t>ские меры, как, например, подготовка и повышение осведомленности сотру</w:t>
      </w:r>
      <w:r>
        <w:t>д</w:t>
      </w:r>
      <w:r>
        <w:t>ников СМИ.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Что касается экспериментальных проектов и программ, то следует отм</w:t>
      </w:r>
      <w:r>
        <w:t>е</w:t>
      </w:r>
      <w:r>
        <w:t>тить, что по линии министерства по вопросам прав человека и затем министе</w:t>
      </w:r>
      <w:r>
        <w:t>р</w:t>
      </w:r>
      <w:r>
        <w:t>ства по вопросам европейской интеграции Босния и Герцеговина подписала в 2000 году соглашение с Финляндской Республикой об осуществлении проекта в области гендерного равноправия и равенства при финансовой помощи со стороны правительства Финляндии, которое началось в 2000 году и по плану должно завершиться в 2005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Координация и осуществление проекта поручены гендерным центрам а</w:t>
      </w:r>
      <w:r>
        <w:t>д</w:t>
      </w:r>
      <w:r>
        <w:t>министративно-территориальных образований, а его учреждением-исполнителем является независимое бюро по гуманитарным вопросам в Бо</w:t>
      </w:r>
      <w:r>
        <w:t>с</w:t>
      </w:r>
      <w:r>
        <w:t>нии и Герцеговине. Общая цель проекта заключается в создании условий для достижения гендерного равенства в качестве основы для демократии и процв</w:t>
      </w:r>
      <w:r>
        <w:t>е</w:t>
      </w:r>
      <w:r>
        <w:t>тания общества. Задача проекта заключается в обеспечении учета гендерной проблематики в рамках единой стратегии и разработке методики и механизмов обеспечения гендерного равенства с достижением в конечном итоге эффекти</w:t>
      </w:r>
      <w:r>
        <w:t>в</w:t>
      </w:r>
      <w:r>
        <w:t>ного использования людских ресурсов, имеющихся в обществе. Значительная часть мероприятий и результатов, о которых идет речь в ответах на конкретные вопросы из вопросника, связана с осуществлением проекта по обеспечению гендерного равноправия и равенства.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Второе место в хронологическом порядке, но не по степени значимости, занимает проект по осуществлению закона о гендерном равенстве, или созд</w:t>
      </w:r>
      <w:r>
        <w:t>а</w:t>
      </w:r>
      <w:r>
        <w:t>ние потенциала и налаживание партнерских отношений между правительством и гражданским обществом в целях достижения гендерного равенства в Боснии и Герцеговине. Эти проекты осуществляются при финансовой поддержке со стороны ПРООН и правительства Японии такими учреждениями, как генде</w:t>
      </w:r>
      <w:r>
        <w:t>р</w:t>
      </w:r>
      <w:r>
        <w:t>ные центры и бюро по вопросам гендерного равенства Боснии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Общая задача этого проекта заключается в укреплении организационного потенциала правительства Боснии и Герцеговины в тесной координации с н</w:t>
      </w:r>
      <w:r>
        <w:t>е</w:t>
      </w:r>
      <w:r>
        <w:t>правительственным сектором в области поощрения гендерного равенства и осуществления закона о гендерном равенстве. Цель проекта заключается в обеспечении защиты и поддержании гендерного равенства, которое благодаря осуществлению закона о гендерном равенстве должно способствовать справе</w:t>
      </w:r>
      <w:r>
        <w:t>д</w:t>
      </w:r>
      <w:r>
        <w:t>ливому, эффективному и ориентированному на права человека процессу разв</w:t>
      </w:r>
      <w:r>
        <w:t>и</w:t>
      </w:r>
      <w:r>
        <w:t>тия. Этот проект рассчитан на два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НПО в Боснии и Герцеговине осуществили также множество проектов в контексте своих мандатов и деятельности, связанной с правами человека и ге</w:t>
      </w:r>
      <w:r>
        <w:t>н</w:t>
      </w:r>
      <w:r>
        <w:t>дерным равенством. Правительство не располагает информацией о такой де</w:t>
      </w:r>
      <w:r>
        <w:t>я</w:t>
      </w:r>
      <w:r>
        <w:t>тельности, поскольку НПО не обязаны отчитываться перед правительством о реализованных проектах, однако можно сделать предварительный вывод о том, что среди осуществляемых проектов преобладают в основном те, которые п</w:t>
      </w:r>
      <w:r>
        <w:t>о</w:t>
      </w:r>
      <w:r>
        <w:t>священы проблемам избирательного процесса и участию в управлении, пр</w:t>
      </w:r>
      <w:r>
        <w:t>о</w:t>
      </w:r>
      <w:r>
        <w:t>свещению женщин и повышению степени их осведомленности, проблемам н</w:t>
      </w:r>
      <w:r>
        <w:t>а</w:t>
      </w:r>
      <w:r>
        <w:t>силия в семье, торговли людьми, предпринимательской деятельности женщин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В Боснии и Герцеговине еще не принят государственный план де</w:t>
      </w:r>
      <w:r>
        <w:t>й</w:t>
      </w:r>
      <w:r>
        <w:t>ствий, и поэтому мы не можем прокомментировать выполнение взятых на себя обязательств или фактические результаты его осуществления. Тем не менее мы полагаем, что немало было достигнуто с точки зрения улучшения положения женщин, результатов и мероприятий, связанных с осуществлением проекта по обеспечению гендерного равноправия и равенства, а также принятия и выпо</w:t>
      </w:r>
      <w:r>
        <w:t>л</w:t>
      </w:r>
      <w:r>
        <w:t>нения закона о гендерном равенстве.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с)</w:t>
      </w:r>
      <w:r>
        <w:tab/>
        <w:t>Босния и Герцеговина предпринимает попытки добиться того, чтобы принцип гендерного равенства стал важным критерием в рамках любых пров</w:t>
      </w:r>
      <w:r>
        <w:t>о</w:t>
      </w:r>
      <w:r>
        <w:t>димых ею мероприятий. Предпринимаются попытки использовать многочи</w:t>
      </w:r>
      <w:r>
        <w:t>с</w:t>
      </w:r>
      <w:r>
        <w:t>ленные конференции и совещания, в которых принимают участие представит</w:t>
      </w:r>
      <w:r>
        <w:t>е</w:t>
      </w:r>
      <w:r>
        <w:t>ли Боснии и Герцеговины, для того чтобы привлечь внимание к женской пр</w:t>
      </w:r>
      <w:r>
        <w:t>о</w:t>
      </w:r>
      <w:r>
        <w:t>блематике и в конечном итоге особо отметить дискриминацию и определенные решения, которые позволяют наладить более сбалансированные отношения между представителями обоих полов. Через компетентные учреждения руков</w:t>
      </w:r>
      <w:r>
        <w:t>о</w:t>
      </w:r>
      <w:r>
        <w:t>дящие принципы и рекомендации, принимаемые на таких форумах, доводятся до сведения гендерных центров.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В.</w:t>
      </w:r>
      <w:r>
        <w:tab/>
      </w:r>
      <w:r>
        <w:tab/>
        <w:t xml:space="preserve">Возникшие препятствия, остающиеся пробелы и вызовы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d</w:t>
      </w:r>
      <w:r>
        <w:t>)</w:t>
      </w:r>
      <w:r>
        <w:tab/>
        <w:t>Как уже отмечалось, в Боснии и Герцеговине еще не принят госуда</w:t>
      </w:r>
      <w:r>
        <w:t>р</w:t>
      </w:r>
      <w:r>
        <w:t>ственный план действий, и поэтому мы не можем перечислить препятствия на пути его осуществления. Вместо этого мы можем указать на некоторые пр</w:t>
      </w:r>
      <w:r>
        <w:t>о</w:t>
      </w:r>
      <w:r>
        <w:t>блемы в целом, в различных областях, которые можно считать препятствиями на пути осуществления закона о гендерном равенстве. Речь идет о следующем:</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w:t>
      </w:r>
      <w:r>
        <w:t>)</w:t>
      </w:r>
      <w:r>
        <w:tab/>
        <w:t>у нас нет экспертов в этой области, поскольку нет и никаких организованных исследований по гендерной проблематике;</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ii</w:t>
      </w:r>
      <w:r>
        <w:t>)</w:t>
      </w:r>
      <w:r>
        <w:tab/>
        <w:t>в Боснии и Герцеговине не ведется никакого комплексного ст</w:t>
      </w:r>
      <w:r>
        <w:t>а</w:t>
      </w:r>
      <w:r>
        <w:t>тистического учета, из-за чего отсутствуют данные в разбивке по полу, поскольку в послевоенный период в Боснии и Герцег</w:t>
      </w:r>
      <w:r>
        <w:t>о</w:t>
      </w:r>
      <w:r>
        <w:t>вине не была проведена ни одна перепись населения, что, как представляется, затрудняет предоставление докладов по КЛДЖ;</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iii</w:t>
      </w:r>
      <w:r>
        <w:t>)</w:t>
      </w:r>
      <w:r>
        <w:tab/>
        <w:t>граждане Боснии и Герцеговины пока еще не учитывают ге</w:t>
      </w:r>
      <w:r>
        <w:t>н</w:t>
      </w:r>
      <w:r>
        <w:t>дерные факторы и не имеют представления о дискриминации в некоторых областях;</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iv</w:t>
      </w:r>
      <w:r>
        <w:t>)</w:t>
      </w:r>
      <w:r>
        <w:tab/>
        <w:t>учебники и учебные планы и программы по-прежнему вкл</w:t>
      </w:r>
      <w:r>
        <w:t>ю</w:t>
      </w:r>
      <w:r>
        <w:t>чают стереотипы, касающиеся традиционной роли мужчин и женщин, хотя некоторые изменения в них уже были внесены;</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v</w:t>
      </w:r>
      <w:r>
        <w:t>)</w:t>
      </w:r>
      <w:r>
        <w:tab/>
        <w:t>в органах власти Боснии и Герцеговины по-прежнему мало женщин, причем некоторые решения, программы, стратегии и нормативно-правовые акты не соответствуют установленным требованиям и не учитывают гендерные факторы.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С.</w:t>
      </w:r>
      <w:r>
        <w:tab/>
      </w:r>
      <w:r>
        <w:tab/>
        <w:t xml:space="preserve">Усвоенные уроки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е)</w:t>
      </w:r>
      <w:r>
        <w:tab/>
        <w:t>Государственный план действий еще не принят, поэтому о его ос</w:t>
      </w:r>
      <w:r>
        <w:t>у</w:t>
      </w:r>
      <w:r>
        <w:t>ществлении речи не идет. Усвоенные уроки касаются процессов, развернутых в рамках проекта по обеспечению гендерного равноправия и равенства. Благод</w:t>
      </w:r>
      <w:r>
        <w:t>а</w:t>
      </w:r>
      <w:r>
        <w:t>ря этому проекту в регионе стали учитываться соображения и приниматься м</w:t>
      </w:r>
      <w:r>
        <w:t>е</w:t>
      </w:r>
      <w:r>
        <w:t>ры, обеспечивающие улучшение положения женщин и гендерное равенство так, как это происходит в ЕС. В процессе осуществления закона о гендерном равенстве были проведены следующие мероприятия и получены следующие результаты:</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w:t>
      </w:r>
      <w:r>
        <w:t>)</w:t>
      </w:r>
      <w:r>
        <w:tab/>
        <w:t>в Боснии и Герцеговине уже созданы организационные мех</w:t>
      </w:r>
      <w:r>
        <w:t>а</w:t>
      </w:r>
      <w:r>
        <w:t>низмы, связанные с гендерной проблематикой, которые следует продолжать поддерживать и укреплять посредством повышения потенциала и осведомленности о гендерной проблематике;</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ii</w:t>
      </w:r>
      <w:r>
        <w:t>)</w:t>
      </w:r>
      <w:r>
        <w:tab/>
        <w:t>повышение осведомленности о гендерных вопросах;</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iii</w:t>
      </w:r>
      <w:r>
        <w:t>)</w:t>
      </w:r>
      <w:r>
        <w:tab/>
        <w:t>совершенствование системы соответствующего статистическ</w:t>
      </w:r>
      <w:r>
        <w:t>о</w:t>
      </w:r>
      <w:r>
        <w:t>го учета, без которого невозможны надлежащие конкретные меры;</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iv</w:t>
      </w:r>
      <w:r>
        <w:t>)</w:t>
      </w:r>
      <w:r>
        <w:tab/>
        <w:t>ликвидация торговли женщинами в регионе;</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v</w:t>
      </w:r>
      <w:r>
        <w:t>)</w:t>
      </w:r>
      <w:r>
        <w:tab/>
        <w:t>развитие социальной инфраструктуры с тем, чтобы облегчить уход за детьми в сочетании с профессиональной деятельн</w:t>
      </w:r>
      <w:r>
        <w:t>о</w:t>
      </w:r>
      <w:r>
        <w:t>стью;</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vi</w:t>
      </w:r>
      <w:r>
        <w:t>)</w:t>
      </w:r>
      <w:r>
        <w:tab/>
        <w:t>поощрение освещения в СМИ гендерной проблематики;</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vii</w:t>
      </w:r>
      <w:r>
        <w:t>)</w:t>
      </w:r>
      <w:r>
        <w:tab/>
        <w:t>улучшение состояния здоровья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50" w:right="1210" w:hanging="1458"/>
      </w:pPr>
      <w:r>
        <w:t>Часть </w:t>
      </w:r>
      <w:r>
        <w:rPr>
          <w:lang w:val="en-US"/>
        </w:rPr>
        <w:t>III</w:t>
      </w:r>
      <w:r>
        <w:t>.</w:t>
      </w:r>
      <w:r>
        <w:tab/>
        <w:t>Институциональное развитие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а)</w:t>
      </w:r>
      <w:r>
        <w:tab/>
        <w:t>В рамках своих мандатов гендерные центры обязаны работать над созданием организационных механизмов по гендерной проблематике на всех уровнях власти в Боснии и Герцеговине. В соответствии с законом о гендерном равенстве в Боснии и Герцеговине министерству по правам человека и делам беженцев подотчетно бюро по вопросам гендерного равенства, которое было образовано в качестве отдельной организации. В соответствии с вышеизл</w:t>
      </w:r>
      <w:r>
        <w:t>о</w:t>
      </w:r>
      <w:r>
        <w:t>женным далее проводится обзор созданных к настоящему моменту организ</w:t>
      </w:r>
      <w:r>
        <w:t>а</w:t>
      </w:r>
      <w:r>
        <w:t>цио</w:t>
      </w:r>
      <w:r>
        <w:t>н</w:t>
      </w:r>
      <w:r>
        <w:t xml:space="preserve">ных механизмов.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br w:type="page"/>
      </w:r>
      <w:r>
        <w:rPr>
          <w:noProof/>
          <w:w w:val="100"/>
        </w:rPr>
        <w:pict>
          <v:shapetype id="_x0000_t202" coordsize="21600,21600" o:spt="202" path="m,l,21600r21600,l21600,xe">
            <v:stroke joinstyle="miter"/>
            <v:path gradientshapeok="t" o:connecttype="rect"/>
          </v:shapetype>
          <v:shape id="_x0000_s2173" type="#_x0000_t202" style="position:absolute;left:0;text-align:left;margin-left:61.3pt;margin-top:9.1pt;width:387pt;height:27pt;z-index:4;mso-position-horizontal:absolute;mso-position-horizontal-relative:text;mso-position-vertical:absolute;mso-position-vertical-relative:text" o:allowincell="f">
            <v:textbox style="mso-next-textbox:#_x0000_s2173">
              <w:txbxContent>
                <w:p w:rsidR="00000000" w:rsidRDefault="00000000">
                  <w:pPr>
                    <w:jc w:val="center"/>
                    <w:rPr>
                      <w:sz w:val="16"/>
                    </w:rPr>
                  </w:pPr>
                  <w:r>
                    <w:rPr>
                      <w:caps/>
                      <w:sz w:val="16"/>
                    </w:rPr>
                    <w:t>Государственные организационные механизмы по гендерной проблематике</w:t>
                  </w:r>
                </w:p>
              </w:txbxContent>
            </v:textbox>
          </v:shape>
        </w:pi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jc w:val="cente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rPr>
          <w:noProof/>
          <w:w w:val="100"/>
        </w:rPr>
        <w:pict>
          <v:line id="_x0000_s2186" style="position:absolute;left:0;text-align:left;z-index:17;mso-position-horizontal:absolute;mso-position-horizontal-relative:text;mso-position-vertical:absolute;mso-position-vertical-relative:text" from="358.3pt,444.1pt" to="358.3pt,462.1pt" o:allowincell="f">
            <v:stroke endarrow="block"/>
          </v:line>
        </w:pict>
      </w:r>
      <w:r>
        <w:rPr>
          <w:noProof/>
          <w:w w:val="100"/>
        </w:rPr>
        <w:pict>
          <v:shape id="_x0000_s2185" type="#_x0000_t202" style="position:absolute;left:0;text-align:left;margin-left:241.3pt;margin-top:462.1pt;width:3in;height:63pt;z-index:16;mso-position-horizontal:absolute;mso-position-horizontal-relative:text;mso-position-vertical:absolute;mso-position-vertical-relative:text" o:allowincell="f">
            <v:textbox style="mso-next-textbox:#_x0000_s2185">
              <w:txbxContent>
                <w:p w:rsidR="00000000" w:rsidRDefault="00000000">
                  <w:pPr>
                    <w:rPr>
                      <w:sz w:val="16"/>
                    </w:rPr>
                  </w:pPr>
                  <w:r>
                    <w:rPr>
                      <w:sz w:val="16"/>
                    </w:rPr>
                    <w:t>Канцелярия главы муниципалитета:</w:t>
                  </w:r>
                </w:p>
                <w:p w:rsidR="00000000" w:rsidRDefault="00000000">
                  <w:pPr>
                    <w:rPr>
                      <w:sz w:val="16"/>
                    </w:rPr>
                  </w:pPr>
                  <w:r>
                    <w:rPr>
                      <w:sz w:val="16"/>
                    </w:rPr>
                    <w:t>комиссии по гендерным вопросам в муниципалит</w:t>
                  </w:r>
                  <w:r>
                    <w:rPr>
                      <w:sz w:val="16"/>
                    </w:rPr>
                    <w:t>е</w:t>
                  </w:r>
                  <w:r>
                    <w:rPr>
                      <w:sz w:val="16"/>
                    </w:rPr>
                    <w:t>тах; комиссии по гендерным вопросам в местных о</w:t>
                  </w:r>
                  <w:r>
                    <w:rPr>
                      <w:sz w:val="16"/>
                    </w:rPr>
                    <w:t>б</w:t>
                  </w:r>
                  <w:r>
                    <w:rPr>
                      <w:sz w:val="16"/>
                    </w:rPr>
                    <w:t>щинах</w:t>
                  </w:r>
                </w:p>
              </w:txbxContent>
            </v:textbox>
          </v:shape>
        </w:pict>
      </w:r>
      <w:r>
        <w:rPr>
          <w:noProof/>
          <w:w w:val="100"/>
        </w:rPr>
        <w:pict>
          <v:line id="_x0000_s2184" style="position:absolute;left:0;text-align:left;z-index:15;mso-position-horizontal:absolute;mso-position-horizontal-relative:text;mso-position-vertical:absolute;mso-position-vertical-relative:text" from="358.3pt,360.1pt" to="358.3pt,378.1pt" o:allowincell="f">
            <v:stroke endarrow="block"/>
          </v:line>
        </w:pict>
      </w:r>
      <w:r>
        <w:rPr>
          <w:noProof/>
          <w:w w:val="100"/>
        </w:rPr>
        <w:pict>
          <v:shape id="_x0000_s2183" type="#_x0000_t202" style="position:absolute;left:0;text-align:left;margin-left:232.3pt;margin-top:378.1pt;width:225pt;height:63pt;z-index:14;mso-position-horizontal:absolute;mso-position-horizontal-relative:text;mso-position-vertical:absolute;mso-position-vertical-relative:text" o:allowincell="f">
            <v:textbox style="mso-next-textbox:#_x0000_s2183">
              <w:txbxContent>
                <w:p w:rsidR="00000000" w:rsidRDefault="00000000">
                  <w:pPr>
                    <w:rPr>
                      <w:sz w:val="16"/>
                    </w:rPr>
                  </w:pPr>
                  <w:r>
                    <w:rPr>
                      <w:sz w:val="16"/>
                    </w:rPr>
                    <w:t>УПОЛНОМОЧЕННЫЕ ПРЕДСТАВИТЕЛИ ПО ГЕНДЕРНЫМ ВОПРОСАМ МИНИСТЕРСТВ АДМИНИСТРАТИВНО-ТЕРРИТОРИАЛЬНЫХ ОБРАЗОВАНИЙ (мужчина и женщина)</w:t>
                  </w:r>
                </w:p>
              </w:txbxContent>
            </v:textbox>
          </v:shape>
        </w:pict>
      </w:r>
      <w:r>
        <w:rPr>
          <w:noProof/>
          <w:w w:val="100"/>
        </w:rPr>
        <w:pict>
          <v:line id="_x0000_s2182" style="position:absolute;left:0;text-align:left;z-index:13;mso-position-horizontal:absolute;mso-position-horizontal-relative:text;mso-position-vertical:absolute;mso-position-vertical-relative:text" from="358.3pt,252.1pt" to="358.3pt,297.1pt" o:allowincell="f">
            <v:stroke endarrow="block"/>
          </v:line>
        </w:pict>
      </w:r>
      <w:r>
        <w:rPr>
          <w:noProof/>
          <w:w w:val="100"/>
        </w:rPr>
        <w:pict>
          <v:shape id="_x0000_s2181" type="#_x0000_t202" style="position:absolute;left:0;text-align:left;margin-left:277.3pt;margin-top:297.1pt;width:171pt;height:63pt;z-index:12;mso-position-horizontal:absolute;mso-position-horizontal-relative:text;mso-position-vertical:absolute;mso-position-vertical-relative:text" o:allowincell="f">
            <v:textbox style="mso-next-textbox:#_x0000_s2181">
              <w:txbxContent>
                <w:p w:rsidR="00000000" w:rsidRDefault="00000000">
                  <w:r>
                    <w:rPr>
                      <w:sz w:val="16"/>
                    </w:rPr>
                    <w:t>ГЕНДЕРНЫЙ ЦЕНТР ФЕДЕРАЦИИ БОСНИИ И ГЕРЦЕГОВИНЫ, ГЕНДЕРНЫЙ ЦЕНТР</w:t>
                  </w:r>
                  <w:r>
                    <w:t xml:space="preserve"> </w:t>
                  </w:r>
                  <w:r>
                    <w:rPr>
                      <w:sz w:val="16"/>
                    </w:rPr>
                    <w:t>РЕСПУБЛИКИ СЕРБСКОЙ</w:t>
                  </w:r>
                </w:p>
              </w:txbxContent>
            </v:textbox>
          </v:shape>
        </w:pict>
      </w:r>
      <w:r>
        <w:rPr>
          <w:noProof/>
          <w:w w:val="100"/>
        </w:rPr>
        <w:pict>
          <v:shape id="_x0000_s2177" type="#_x0000_t202" style="position:absolute;left:0;text-align:left;margin-left:61.3pt;margin-top:297.1pt;width:180pt;height:63pt;z-index:8;mso-position-horizontal:absolute;mso-position-horizontal-relative:text;mso-position-vertical:absolute;mso-position-vertical-relative:text" o:allowincell="f">
            <v:textbox style="mso-next-textbox:#_x0000_s2177">
              <w:txbxContent>
                <w:p w:rsidR="00000000" w:rsidRDefault="00000000">
                  <w:pPr>
                    <w:rPr>
                      <w:sz w:val="16"/>
                    </w:rPr>
                  </w:pPr>
                  <w:r>
                    <w:rPr>
                      <w:sz w:val="16"/>
                    </w:rPr>
                    <w:t>НАЦИОНАЛЬНАЯ АССАМБЛЕЯ РЕСПУБЛИКИ СЕРБСКОЙ: Комитет по с</w:t>
                  </w:r>
                  <w:r>
                    <w:rPr>
                      <w:sz w:val="16"/>
                    </w:rPr>
                    <w:t>о</w:t>
                  </w:r>
                  <w:r>
                    <w:rPr>
                      <w:sz w:val="16"/>
                    </w:rPr>
                    <w:t>циальному положению женщин и гендерн</w:t>
                  </w:r>
                  <w:r>
                    <w:rPr>
                      <w:sz w:val="16"/>
                    </w:rPr>
                    <w:t>о</w:t>
                  </w:r>
                  <w:r>
                    <w:rPr>
                      <w:sz w:val="16"/>
                    </w:rPr>
                    <w:t>му равенству</w:t>
                  </w:r>
                </w:p>
              </w:txbxContent>
            </v:textbox>
          </v:shape>
        </w:pict>
      </w:r>
      <w:r>
        <w:rPr>
          <w:noProof/>
          <w:w w:val="100"/>
        </w:rPr>
        <w:pict>
          <v:line id="_x0000_s2180" style="position:absolute;left:0;text-align:left;z-index:11;mso-position-horizontal:absolute;mso-position-horizontal-relative:text;mso-position-vertical:absolute;mso-position-vertical-relative:text" from="151.3pt,270.1pt" to="151.3pt,297.1pt" o:allowincell="f">
            <v:stroke endarrow="block"/>
          </v:line>
        </w:pict>
      </w:r>
      <w:r>
        <w:rPr>
          <w:noProof/>
          <w:w w:val="100"/>
        </w:rPr>
        <w:pict>
          <v:line id="_x0000_s2179" style="position:absolute;left:0;text-align:left;z-index:10;mso-position-horizontal:absolute;mso-position-horizontal-relative:text;mso-position-vertical:absolute;mso-position-vertical-relative:text" from="241.3pt,234.1pt" to="268.3pt,234.1pt" o:allowincell="f">
            <v:stroke endarrow="block"/>
          </v:line>
        </w:pict>
      </w:r>
      <w:r>
        <w:rPr>
          <w:noProof/>
          <w:w w:val="100"/>
        </w:rPr>
        <w:pict>
          <v:shape id="_x0000_s2178" type="#_x0000_t202" style="position:absolute;left:0;text-align:left;margin-left:268.3pt;margin-top:198.1pt;width:180pt;height:54pt;z-index:9;mso-position-horizontal:absolute;mso-position-horizontal-relative:text;mso-position-vertical:absolute;mso-position-vertical-relative:text" o:allowincell="f">
            <v:textbox style="mso-next-textbox:#_x0000_s2178">
              <w:txbxContent>
                <w:p w:rsidR="00000000" w:rsidRDefault="00000000">
                  <w:pPr>
                    <w:rPr>
                      <w:sz w:val="16"/>
                    </w:rPr>
                  </w:pPr>
                  <w:r>
                    <w:rPr>
                      <w:sz w:val="16"/>
                    </w:rPr>
                    <w:t>ПРАВИТЕЛЬСТВО ФЕДЕРАЦИИ БОСНИИ И ГЕРЦЕГОВИНЫ, ПРАВИТЕЛЬСТВО РЕСПУБЛИКИ СЕРБСКОЙ</w:t>
                  </w:r>
                </w:p>
              </w:txbxContent>
            </v:textbox>
          </v:shape>
        </w:pict>
      </w:r>
      <w:r>
        <w:rPr>
          <w:noProof/>
          <w:w w:val="100"/>
        </w:rPr>
        <w:pict>
          <v:shape id="_x0000_s2176" type="#_x0000_t202" style="position:absolute;left:0;text-align:left;margin-left:70.3pt;margin-top:189.1pt;width:171pt;height:81pt;z-index:7;mso-position-horizontal:absolute;mso-position-horizontal-relative:text;mso-position-vertical:absolute;mso-position-vertical-relative:text" o:allowincell="f">
            <v:textbox style="mso-next-textbox:#_x0000_s2176">
              <w:txbxContent>
                <w:p w:rsidR="00000000" w:rsidRDefault="00000000">
                  <w:pPr>
                    <w:rPr>
                      <w:sz w:val="16"/>
                    </w:rPr>
                  </w:pPr>
                  <w:r>
                    <w:rPr>
                      <w:caps/>
                      <w:sz w:val="16"/>
                    </w:rPr>
                    <w:t>Палата представителей парламента Федерации Боснии и Герцеговины</w:t>
                  </w:r>
                  <w:r>
                    <w:rPr>
                      <w:sz w:val="16"/>
                    </w:rPr>
                    <w:t>: Комиссия по генде</w:t>
                  </w:r>
                  <w:r>
                    <w:rPr>
                      <w:sz w:val="16"/>
                    </w:rPr>
                    <w:t>р</w:t>
                  </w:r>
                  <w:r>
                    <w:rPr>
                      <w:sz w:val="16"/>
                    </w:rPr>
                    <w:t>ному равенству; Палата народов парл</w:t>
                  </w:r>
                  <w:r>
                    <w:rPr>
                      <w:sz w:val="16"/>
                    </w:rPr>
                    <w:t>а</w:t>
                  </w:r>
                  <w:r>
                    <w:rPr>
                      <w:sz w:val="16"/>
                    </w:rPr>
                    <w:t>мента Федерации Боснии и Герцеговины: Комиссия по гендерному раве</w:t>
                  </w:r>
                  <w:r>
                    <w:rPr>
                      <w:sz w:val="16"/>
                    </w:rPr>
                    <w:t>н</w:t>
                  </w:r>
                  <w:r>
                    <w:rPr>
                      <w:sz w:val="16"/>
                    </w:rPr>
                    <w:t>ству</w:t>
                  </w:r>
                </w:p>
              </w:txbxContent>
            </v:textbox>
          </v:shape>
        </w:pict>
      </w:r>
      <w:r>
        <w:rPr>
          <w:noProof/>
          <w:w w:val="100"/>
        </w:rPr>
        <w:pict>
          <v:shape id="_x0000_s2175" type="#_x0000_t202" style="position:absolute;left:0;text-align:left;margin-left:79.3pt;margin-top:144.1pt;width:5in;height:36pt;z-index:6;mso-position-horizontal:absolute;mso-position-horizontal-relative:text;mso-position-vertical:absolute;mso-position-vertical-relative:text" o:allowincell="f">
            <v:textbox style="mso-next-textbox:#_x0000_s2175">
              <w:txbxContent>
                <w:p w:rsidR="00000000" w:rsidRDefault="00000000">
                  <w:pPr>
                    <w:jc w:val="center"/>
                  </w:pPr>
                  <w:r>
                    <w:t>ОРГАНИЗАЦИОННЫЙ МЕХАНИЗМ ПО ГЕНДЕРНОЙ ПРОБЛЕМАТИКЕ АДМИНИСТРАТИВНО-ТЕРРИТОРИАЛЬНЫХ ОБРАЗОВАНИЙ</w:t>
                  </w:r>
                </w:p>
              </w:txbxContent>
            </v:textbox>
          </v:shape>
        </w:pict>
      </w:r>
      <w:r>
        <w:rPr>
          <w:noProof/>
          <w:w w:val="100"/>
        </w:rPr>
        <w:pict>
          <v:shape id="_x0000_s2174" type="#_x0000_t202" style="position:absolute;left:0;text-align:left;margin-left:259.3pt;margin-top:72.1pt;width:171pt;height:63pt;z-index:5;mso-position-horizontal:absolute;mso-position-horizontal-relative:text;mso-position-vertical:absolute;mso-position-vertical-relative:text" o:allowincell="f">
            <v:textbox style="mso-next-textbox:#_x0000_s2174">
              <w:txbxContent>
                <w:p w:rsidR="00000000" w:rsidRDefault="00000000">
                  <w:pPr>
                    <w:rPr>
                      <w:sz w:val="16"/>
                    </w:rPr>
                  </w:pPr>
                  <w:r>
                    <w:rPr>
                      <w:sz w:val="16"/>
                    </w:rPr>
                    <w:t>Министерство по правам человека и д</w:t>
                  </w:r>
                  <w:r>
                    <w:rPr>
                      <w:sz w:val="16"/>
                    </w:rPr>
                    <w:t>е</w:t>
                  </w:r>
                  <w:r>
                    <w:rPr>
                      <w:sz w:val="16"/>
                    </w:rPr>
                    <w:t>лам беженцев Боснии и Герцеговины: Бюро по вопросам гендерного равенства Боснии и Герцегов</w:t>
                  </w:r>
                  <w:r>
                    <w:rPr>
                      <w:sz w:val="16"/>
                    </w:rPr>
                    <w:t>и</w:t>
                  </w:r>
                  <w:r>
                    <w:rPr>
                      <w:sz w:val="16"/>
                    </w:rPr>
                    <w:t>ны</w:t>
                  </w:r>
                </w:p>
              </w:txbxContent>
            </v:textbox>
          </v:shape>
        </w:pict>
      </w:r>
      <w:r>
        <w:rPr>
          <w:noProof/>
          <w:w w:val="100"/>
        </w:rPr>
        <w:pict>
          <v:line id="_x0000_s2172" style="position:absolute;left:0;text-align:left;z-index:3;mso-position-horizontal:absolute;mso-position-horizontal-relative:text;mso-position-vertical:absolute;mso-position-vertical-relative:text" from="214.3pt,27.1pt" to="277.3pt,27.1pt" o:allowincell="f">
            <v:stroke endarrow="block"/>
          </v:line>
        </w:pict>
      </w:r>
      <w:r>
        <w:rPr>
          <w:noProof/>
          <w:w w:val="100"/>
        </w:rPr>
        <w:pict>
          <v:shape id="_x0000_s2171" type="#_x0000_t202" style="position:absolute;left:0;text-align:left;margin-left:277.3pt;margin-top:8.1pt;width:135pt;height:46pt;z-index:2;mso-position-horizontal:absolute;mso-position-horizontal-relative:text;mso-position-vertical:absolute;mso-position-vertical-relative:text" o:allowincell="f">
            <v:textbox style="mso-next-textbox:#_x0000_s2171">
              <w:txbxContent>
                <w:p w:rsidR="00000000" w:rsidRDefault="00000000">
                  <w:pPr>
                    <w:rPr>
                      <w:sz w:val="16"/>
                    </w:rPr>
                  </w:pPr>
                  <w:r>
                    <w:rPr>
                      <w:sz w:val="16"/>
                    </w:rPr>
                    <w:t>СОВЕТ МИНИСТРОВ БОСНИИ И ГЕРЦЕГОВИНЫ</w:t>
                  </w:r>
                </w:p>
              </w:txbxContent>
            </v:textbox>
          </v:shape>
        </w:pict>
      </w:r>
      <w:r>
        <w:rPr>
          <w:noProof/>
          <w:w w:val="100"/>
        </w:rPr>
        <w:pict>
          <v:shape id="_x0000_s2170" type="#_x0000_t202" style="position:absolute;left:0;text-align:left;margin-left:61.3pt;margin-top:8.1pt;width:153pt;height:46pt;z-index:1;mso-position-horizontal:absolute;mso-position-horizontal-relative:text;mso-position-vertical:absolute;mso-position-vertical-relative:text" o:allowincell="f">
            <v:textbox style="mso-next-textbox:#_x0000_s2170">
              <w:txbxContent>
                <w:p w:rsidR="00000000" w:rsidRDefault="00000000">
                  <w:pPr>
                    <w:rPr>
                      <w:sz w:val="16"/>
                    </w:rPr>
                  </w:pPr>
                  <w:r>
                    <w:rPr>
                      <w:sz w:val="16"/>
                    </w:rPr>
                    <w:t xml:space="preserve">Парламентская ассамблея Боснии и Герцеговины: </w:t>
                  </w:r>
                </w:p>
                <w:p w:rsidR="00000000" w:rsidRDefault="00000000">
                  <w:r>
                    <w:rPr>
                      <w:sz w:val="16"/>
                    </w:rPr>
                    <w:t>Комиссия по гендерному раве</w:t>
                  </w:r>
                  <w:r>
                    <w:rPr>
                      <w:sz w:val="16"/>
                    </w:rPr>
                    <w:t>н</w:t>
                  </w:r>
                  <w:r>
                    <w:rPr>
                      <w:sz w:val="16"/>
                    </w:rPr>
                    <w:t>ству</w:t>
                  </w:r>
                </w:p>
              </w:txbxContent>
            </v:textbox>
          </v:shape>
        </w:pic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rPr>
          <w:noProof/>
          <w:w w:val="100"/>
        </w:rPr>
        <w:pict>
          <v:line id="_x0000_s2187" style="position:absolute;left:0;text-align:left;z-index:18;mso-position-horizontal:absolute;mso-position-horizontal-relative:text;mso-position-vertical:absolute;mso-position-vertical-relative:text" from="343.45pt,35.3pt" to="343.45pt,56.9pt" o:allowincell="f">
            <v:stroke endarrow="block"/>
          </v:line>
        </w:pict>
      </w:r>
      <w:r>
        <w:br w:type="page"/>
      </w:r>
      <w:r>
        <w:tab/>
        <w:t>Вышеизложенное свидетельствует о том, что законодательные и исполн</w:t>
      </w:r>
      <w:r>
        <w:t>и</w:t>
      </w:r>
      <w:r>
        <w:t>тельные органы власти всех уровней в Боснии и Герцеговине сформировали органы, занимающиеся гендерными вопросами, т.е. обеспечением гендерного равенства на практике.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Такие органы в рамках своих законодательных полномочий занимаются прежде всего рассмотрением всех законопроектов и других документов, в ос</w:t>
      </w:r>
      <w:r>
        <w:t>о</w:t>
      </w:r>
      <w:r>
        <w:t>бенности с точки зрения приведения их в соответствие с положениями закона о гендерном равенстве, а также готовят заключения по всем таким документам. Эти органы работают также над объединением всех женщин, избранных в тот или иной законодательный орган, независимо от их политических взглядов и взаимодействия с гендерными центрами, НПО и аналогичными исполнител</w:t>
      </w:r>
      <w:r>
        <w:t>ь</w:t>
      </w:r>
      <w:r>
        <w:t>ными структурами.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Парламентские комиссии, занимающиеся гендерными вопросами, имеют в своем распоряжении все необходимые ресурсы, включая служебные помещ</w:t>
      </w:r>
      <w:r>
        <w:t>е</w:t>
      </w:r>
      <w:r>
        <w:t>ния, финансовые и кадровые ресурсы, что и любые другие парламентские к</w:t>
      </w:r>
      <w:r>
        <w:t>о</w:t>
      </w:r>
      <w:r>
        <w:t>миссии.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соответствии с установленными процедурами заключения, замечания и предложения представляются парламенту в форме докладов.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Из представленной выше диаграммы видно, что механизмы по гендерной проблематике (гендерные центры, координационные советы, уполномоченные должностные лица в министерствах и т.д.) существуют во всех органах испо</w:t>
      </w:r>
      <w:r>
        <w:t>л</w:t>
      </w:r>
      <w:r>
        <w:t>нительной власти в Боснии и Герцеговине.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Основные задачи этих центров заключаются в том, чтобы принимать уч</w:t>
      </w:r>
      <w:r>
        <w:t>а</w:t>
      </w:r>
      <w:r>
        <w:t>стие в подготовке документов в пределах компетенции министерств и прин</w:t>
      </w:r>
      <w:r>
        <w:t>и</w:t>
      </w:r>
      <w:r>
        <w:t>мать надлежащие меры для приведения этих документов в соответствие с п</w:t>
      </w:r>
      <w:r>
        <w:t>о</w:t>
      </w:r>
      <w:r>
        <w:t>ложениями закона о гендерном равенстве.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процессе регулярного исполнения своих функций кантональные коо</w:t>
      </w:r>
      <w:r>
        <w:t>р</w:t>
      </w:r>
      <w:r>
        <w:t>динационные советы чаще всего сталкиваются с таким препятствием, как о</w:t>
      </w:r>
      <w:r>
        <w:t>т</w:t>
      </w:r>
      <w:r>
        <w:t>сутствие ресурсов, поскольку кантоны не предусматривают в своем бюджете и не выделяют финансовые ресурсы на эти цели.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Ранее правительство Федерации Боснии и Герцеговины выделяло опред</w:t>
      </w:r>
      <w:r>
        <w:t>е</w:t>
      </w:r>
      <w:r>
        <w:t>ленные финансовые средства гендерным центрам. На практике позитивную роль играет их координация с комиссиями кантональных ассамблей, нацеле</w:t>
      </w:r>
      <w:r>
        <w:t>н</w:t>
      </w:r>
      <w:r>
        <w:t>ная на осуществление совместной деятельности.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b</w:t>
      </w:r>
      <w:r>
        <w:t>)</w:t>
      </w:r>
      <w:r>
        <w:tab/>
        <w:t>Каждое министерство на всех уровнях власти уполномочило двух человек - мужчину и женщину - заниматься гендерными проблемами, а генде</w:t>
      </w:r>
      <w:r>
        <w:t>р</w:t>
      </w:r>
      <w:r>
        <w:t>ные центры организуют подготовку этих должностных лиц с привлечением экспертов по гендерной проблематике.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с)</w:t>
      </w:r>
      <w:r>
        <w:tab/>
        <w:t>Были разработаны определенные механизмы отслеживания прогре</w:t>
      </w:r>
      <w:r>
        <w:t>с</w:t>
      </w:r>
      <w:r>
        <w:t>са в деле поощрения гендерного равенства. Важнейшим субъективным показ</w:t>
      </w:r>
      <w:r>
        <w:t>а</w:t>
      </w:r>
      <w:r>
        <w:t>телем повышения осведомленности является количественное исследование "Гендерный барометр", проводимое каждые полгода в сотрудничестве с Стат</w:t>
      </w:r>
      <w:r>
        <w:t>и</w:t>
      </w:r>
      <w:r>
        <w:t>стическим бюро Боснии и Герцеговины и статистическими институтами адм</w:t>
      </w:r>
      <w:r>
        <w:t>и</w:t>
      </w:r>
      <w:r>
        <w:t>нистративно-территориальных образований.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Достигнутый прогресс оценивается на совместных совещаниях предст</w:t>
      </w:r>
      <w:r>
        <w:t>а</w:t>
      </w:r>
      <w:r>
        <w:t>вителей вышеупомянутых организационных механизмов, для чего сообщается информация как о достигнутых результатах, так и о возникших проблемах, а также совместно принимаются конкретные меры по их решению.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сотрудничестве со статистическими учреждениями Боснии и Герцег</w:t>
      </w:r>
      <w:r>
        <w:t>о</w:t>
      </w:r>
      <w:r>
        <w:t>вины и ее административно-территориальными образованиями и известными социологами гендерные центры готовят другие виды количественных исслед</w:t>
      </w:r>
      <w:r>
        <w:t>о</w:t>
      </w:r>
      <w:r>
        <w:t>ваний (сексуальные домогательства в высших учебных заведениях, насилие в с</w:t>
      </w:r>
      <w:r>
        <w:t>е</w:t>
      </w:r>
      <w:r>
        <w:t>мье, женщины-руководители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Гендерные центры оказывают поддержку статистическим учреждениям административно-территориальных образований в подготовке ежегодных к</w:t>
      </w:r>
      <w:r>
        <w:t>о</w:t>
      </w:r>
      <w:r>
        <w:t>личественных аналитических исследований, таких, например, как "Женщины и мужчины в Республике Сербской" и "Мужчины и женщины в Федерации Бо</w:t>
      </w:r>
      <w:r>
        <w:t>с</w:t>
      </w:r>
      <w:r>
        <w:t>нии и Герцеговины".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По нашему мнению, именно в этой области недавно созданное бюро по вопросам гендерного равенства в сотрудничестве с гендерными центрами должно укреплять существующие механизмы отслеживания ситуации в обла</w:t>
      </w:r>
      <w:r>
        <w:t>с</w:t>
      </w:r>
      <w:r>
        <w:t>ти гендерного равенства.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r>
      <w:r>
        <w:rPr>
          <w:lang w:val="en-US"/>
        </w:rPr>
        <w:t>d</w:t>
      </w:r>
      <w:r>
        <w:t>)</w:t>
      </w:r>
      <w:r>
        <w:tab/>
        <w:t>Меры по повышению степени приоритетности гендерной проблем</w:t>
      </w:r>
      <w:r>
        <w:t>а</w:t>
      </w:r>
      <w:r>
        <w:t>тики по-прежнему принимаются с помощью:</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w:t>
      </w:r>
      <w:r>
        <w:t>)</w:t>
      </w:r>
      <w:r>
        <w:tab/>
        <w:t>национальных механизмов, т.е. слушателей, прошедших подг</w:t>
      </w:r>
      <w:r>
        <w:t>о</w:t>
      </w:r>
      <w:r>
        <w:t>товку по вопросам повышения осведомленности о гендерной проблематике и гендерного анализа, включая разработку пл</w:t>
      </w:r>
      <w:r>
        <w:t>а</w:t>
      </w:r>
      <w:r>
        <w:t>нов;</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ii</w:t>
      </w:r>
      <w:r>
        <w:t>)</w:t>
      </w:r>
      <w:r>
        <w:tab/>
        <w:t>сектора НПО, студенческих организаций, уполномоченных должностных лиц по гендерным вопросам, прошедших подг</w:t>
      </w:r>
      <w:r>
        <w:t>о</w:t>
      </w:r>
      <w:r>
        <w:t>товку для повышения осведомленности о гендерной проблем</w:t>
      </w:r>
      <w:r>
        <w:t>а</w:t>
      </w:r>
      <w:r>
        <w:t>тике;</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iii</w:t>
      </w:r>
      <w:r>
        <w:t>)</w:t>
      </w:r>
      <w:r>
        <w:tab/>
        <w:t>осуществление сотрудничества по линии союз - женский форум и организации подготовки.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е)</w:t>
      </w:r>
      <w:r>
        <w:tab/>
        <w:t>За последние годы гендерные центры административно-территориальных образований провели ряд мероприятий, связанных с осущ</w:t>
      </w:r>
      <w:r>
        <w:t>е</w:t>
      </w:r>
      <w:r>
        <w:t>ствлением в обоих административно-территориальных образованиях программ статистических исследований для сбора имеющихся статистических данных и определения того, имеют ли они разбивку по полу.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Текущие данные позволяют сделать вывод о том, что статистические у</w:t>
      </w:r>
      <w:r>
        <w:t>ч</w:t>
      </w:r>
      <w:r>
        <w:t>реждения в своей регулярной работе не собирают статистических данных, н</w:t>
      </w:r>
      <w:r>
        <w:t>е</w:t>
      </w:r>
      <w:r>
        <w:t>обходимых для отслеживания и оценки положения женщин в областях, охв</w:t>
      </w:r>
      <w:r>
        <w:t>а</w:t>
      </w:r>
      <w:r>
        <w:t>ченных Конвенцией о ликвидации всех форм дискриминации в отношении женщин или Пекинской декларацией, что было особенно заметно в ходе подг</w:t>
      </w:r>
      <w:r>
        <w:t>о</w:t>
      </w:r>
      <w:r>
        <w:t>товки в обоих административно-территориальных образованиях доклада в с</w:t>
      </w:r>
      <w:r>
        <w:t>о</w:t>
      </w:r>
      <w:r>
        <w:t>ответствии с вышеупомянутой конвенцией.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Для того чтобы изменить сложившуюся ситуацию, министерство по пр</w:t>
      </w:r>
      <w:r>
        <w:t>а</w:t>
      </w:r>
      <w:r>
        <w:t>вам человека и делам беженцев приняло определенные меры для создания ед</w:t>
      </w:r>
      <w:r>
        <w:t>и</w:t>
      </w:r>
      <w:r>
        <w:t>ной базы данных. В гендерных центрах регулярно проходят встречи с предст</w:t>
      </w:r>
      <w:r>
        <w:t>а</w:t>
      </w:r>
      <w:r>
        <w:t>вителями статистических учреждений, в ходе которых указывается на необх</w:t>
      </w:r>
      <w:r>
        <w:t>о</w:t>
      </w:r>
      <w:r>
        <w:t>димость сбора определенных статистических данных и их разбивки по призн</w:t>
      </w:r>
      <w:r>
        <w:t>а</w:t>
      </w:r>
      <w:r>
        <w:t>ку пола (например, статистические учреждения ведут учет числа вынесенных обвинительных приговоров или числа руководителей в учебных, медицинских и других учреждениях, однако соответствующие результаты при этом по пр</w:t>
      </w:r>
      <w:r>
        <w:t>и</w:t>
      </w:r>
      <w:r>
        <w:t>знаку пола не разб</w:t>
      </w:r>
      <w:r>
        <w:t>и</w:t>
      </w:r>
      <w:r>
        <w:t>ваются).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Гендерные центры развернули ряд исследований, из которых важнейшую роль сыграл "Гендерный барометр" Боснии и Герцеговины, проводимых сил</w:t>
      </w:r>
      <w:r>
        <w:t>а</w:t>
      </w:r>
      <w:r>
        <w:t>ми статистических учреждений, однако эта практика так и не стала общепр</w:t>
      </w:r>
      <w:r>
        <w:t>и</w:t>
      </w:r>
      <w:r>
        <w:t>нятой. Важно отметить, что была сформирована совместная статистическая группа для вынесения рекомендаций статистическим учреждениям, которые должны собирать данные и классифицировать их по различным аспектам жи</w:t>
      </w:r>
      <w:r>
        <w:t>з</w:t>
      </w:r>
      <w:r>
        <w:t>ни. В 2002 году сотрудник по осуществлению проекта в области гендерного равенства провел анализ четырех статистических публикаций в Боснии и Ге</w:t>
      </w:r>
      <w:r>
        <w:t>р</w:t>
      </w:r>
      <w:r>
        <w:t>цеговине и существующей классификации по признаку пола. Проанализир</w:t>
      </w:r>
      <w:r>
        <w:t>о</w:t>
      </w:r>
      <w:r>
        <w:t>ванные публикации содержали данные с разбивкой по полу, касавшиеся, гла</w:t>
      </w:r>
      <w:r>
        <w:t>в</w:t>
      </w:r>
      <w:r>
        <w:t>ным образом, следующих областей: экономика и оклады, здравоохранение, уголо</w:t>
      </w:r>
      <w:r>
        <w:t>в</w:t>
      </w:r>
      <w:r>
        <w:t>ные преступления и процессы принятия решений.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В классификации в ее нынешнем виде не учтены многие вопросы из п</w:t>
      </w:r>
      <w:r>
        <w:t>е</w:t>
      </w:r>
      <w:r>
        <w:t>речня статистических данных или вопросы, определенные с помощью генде</w:t>
      </w:r>
      <w:r>
        <w:t>р</w:t>
      </w:r>
      <w:r>
        <w:t>ных показателей. Некоторые из основных пробелов включают: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1.</w:t>
      </w:r>
      <w:r>
        <w:tab/>
        <w:t>соотношение между сельским и городским населением;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2.</w:t>
      </w:r>
      <w:r>
        <w:tab/>
        <w:t>описательные статистические данные, касающиеся домашних х</w:t>
      </w:r>
      <w:r>
        <w:t>о</w:t>
      </w:r>
      <w:r>
        <w:t>зяйств (состав, половая принадлежность домовладельца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3.</w:t>
      </w:r>
      <w:r>
        <w:tab/>
        <w:t>данные о заработной плате и окладах в разбивке по полу.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Обычные статистические публикации, издаваемые всеми учреждениями, содержат данные с различной степенью классификации. Однако все три учр</w:t>
      </w:r>
      <w:r>
        <w:t>е</w:t>
      </w:r>
      <w:r>
        <w:t>ждения подготовили публикации под названием "Женщины и мужчины в ...", содержащие различные версии гендерной классификации данных, заимств</w:t>
      </w:r>
      <w:r>
        <w:t>о</w:t>
      </w:r>
      <w:r>
        <w:t>ванных из других публикаций. Это означает, что все три учреждения испол</w:t>
      </w:r>
      <w:r>
        <w:t>ь</w:t>
      </w:r>
      <w:r>
        <w:t>зуют свои возможности для того, чтобы классифицировать по признаку пола имеющиеся у них данные и что в будущем прилагаемые усилия следует соср</w:t>
      </w:r>
      <w:r>
        <w:t>е</w:t>
      </w:r>
      <w:r>
        <w:t>доточить на повышении приоритетности гендерной классификации и станда</w:t>
      </w:r>
      <w:r>
        <w:t>р</w:t>
      </w:r>
      <w:r>
        <w:t>тизации сбора и представления данных, с тем чтобы более эффективно решать вопросы, связанные с гендерными показателями и перечнем статистических да</w:t>
      </w:r>
      <w:r>
        <w:t>н</w:t>
      </w:r>
      <w:r>
        <w:t>ных.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е)</w:t>
      </w:r>
      <w:r>
        <w:tab/>
        <w:t>Законодательные органы Боснии и Герцеговины в рамках своей ко</w:t>
      </w:r>
      <w:r>
        <w:t>м</w:t>
      </w:r>
      <w:r>
        <w:t>петенции обязаны добиваться того, чтобы все рассматриваемые ими вопросы также содержали гендерный компонент, а также принимать необходимые меры для улучшения положения женщин в определенных областях.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Особая роль в парламентах принадлежит комиссиям по гендерному р</w:t>
      </w:r>
      <w:r>
        <w:t>а</w:t>
      </w:r>
      <w:r>
        <w:t>венству, равно как и парламентским рабочим группам.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Накопленный опыт показывает, что подготовка членов парламента, и в особенности членов комиссии по гендерному равенству, должна быть продо</w:t>
      </w:r>
      <w:r>
        <w:t>л</w:t>
      </w:r>
      <w:r>
        <w:t>жена в интересах более эффективного учета ими гендерного компонента в св</w:t>
      </w:r>
      <w:r>
        <w:t>о</w:t>
      </w:r>
      <w:r>
        <w:t>ей работе. Как было указано выше, гендерные центры стали взаимодействовать в своей деятельности с неправительственным сектором и выступили с иници</w:t>
      </w:r>
      <w:r>
        <w:t>а</w:t>
      </w:r>
      <w:r>
        <w:t>тивой, касающейся назначения на региональном уровне того или иного лица из неправительственного сектора, которое должно исполнять функции координ</w:t>
      </w:r>
      <w:r>
        <w:t>а</w:t>
      </w:r>
      <w:r>
        <w:t>тора взаимодействия между неправительственным сектором и гендерными центрами. Между неправительственным сектором и правительственным сект</w:t>
      </w:r>
      <w:r>
        <w:t>о</w:t>
      </w:r>
      <w:r>
        <w:t>ром было подписано соглашение о сотрудничестве. Неправительственный се</w:t>
      </w:r>
      <w:r>
        <w:t>к</w:t>
      </w:r>
      <w:r>
        <w:t>тор принял также участие в подготовке доклада по Конвенции о ликвидации всех форм дискриминации в отношении женщин, а также национального плана действий.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50" w:right="1210" w:hanging="1458"/>
      </w:pPr>
      <w:r>
        <w:t>Часть </w:t>
      </w:r>
      <w:r>
        <w:rPr>
          <w:lang w:val="en-US"/>
        </w:rPr>
        <w:t>IV</w:t>
      </w:r>
      <w:r>
        <w:t>.</w:t>
      </w:r>
      <w:r>
        <w:tab/>
        <w:t>Основные проблемы и способы их решения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Босния и Герцеговина еще не приняла национальный план действий по улучшению положения женщин. Его текст готовится на уровне администр</w:t>
      </w:r>
      <w:r>
        <w:t>а</w:t>
      </w:r>
      <w:r>
        <w:t>тивно-территориальных образований, а все предложения будут объединены к</w:t>
      </w:r>
      <w:r>
        <w:t>о</w:t>
      </w:r>
      <w:r>
        <w:t>ординатором в едином документе для Боснии и Герцеговины. Как было запл</w:t>
      </w:r>
      <w:r>
        <w:t>а</w:t>
      </w:r>
      <w:r>
        <w:t>нировано, национальный план действий должен быть принят в 2004 году, и, по нашему мнению, Босния и Герцеговина сможет выполнить его в течение сл</w:t>
      </w:r>
      <w:r>
        <w:t>е</w:t>
      </w:r>
      <w:r>
        <w:t>дующего года, и в это время должны появиться и соответствующие результаты. Национальный план действий будет охватывать все области, определенные в Пекинской платформе, причем парламенту и правительству Боснии и Герцег</w:t>
      </w:r>
      <w:r>
        <w:t>о</w:t>
      </w:r>
      <w:r>
        <w:t>вины будут, таким образом, предложены те стратегические меры, которые они должны принять. Национальный план действий рассчитан на пятилетний п</w:t>
      </w:r>
      <w:r>
        <w:t>е</w:t>
      </w:r>
      <w:r>
        <w:t>риод.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pPr>
      <w:r>
        <w:tab/>
        <w:t>Что касается ранее проделанной компетентными органами и всеми пр</w:t>
      </w:r>
      <w:r>
        <w:t>о</w:t>
      </w:r>
      <w:r>
        <w:t>чими учреждениями работы по улучшению положения женщин и обеспечению гендерного равенства, то будут определены следующие приоритеты:</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w:t>
      </w:r>
      <w:r>
        <w:t>)</w:t>
      </w:r>
      <w:r>
        <w:tab/>
        <w:t>создание условий для осуществления закона о гендерном р</w:t>
      </w:r>
      <w:r>
        <w:t>а</w:t>
      </w:r>
      <w:r>
        <w:t>венстве, включая создание правительственного потенциала и организационных механизмов, касающихся гендерной пробл</w:t>
      </w:r>
      <w:r>
        <w:t>е</w:t>
      </w:r>
      <w:r>
        <w:t>матики и гражданского общества в целом;</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ii</w:t>
      </w:r>
      <w:r>
        <w:t>)</w:t>
      </w:r>
      <w:r>
        <w:tab/>
        <w:t>приведение всех законодательных актов на всех уровнях в с</w:t>
      </w:r>
      <w:r>
        <w:t>о</w:t>
      </w:r>
      <w:r>
        <w:t>ответствие с законом о гендерном равенстве;</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iii</w:t>
      </w:r>
      <w:r>
        <w:t>)</w:t>
      </w:r>
      <w:r>
        <w:tab/>
        <w:t>повышение качества имеющихся статистических данных по всем аспектам жизни и трудовой деятельности с разбивкой по полу;</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iv</w:t>
      </w:r>
      <w:r>
        <w:t>)</w:t>
      </w:r>
      <w:r>
        <w:tab/>
        <w:t>продолжение процесса внедрения гендерного компонента в учебные программы на всех уровнях;</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v</w:t>
      </w:r>
      <w:r>
        <w:t>)</w:t>
      </w:r>
      <w:r>
        <w:tab/>
        <w:t>освещение гендерных вопросов в СМИ и повышение осведо</w:t>
      </w:r>
      <w:r>
        <w:t>м</w:t>
      </w:r>
      <w:r>
        <w:t>ленности сотрудников СМИ;</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vi</w:t>
      </w:r>
      <w:r>
        <w:t>)</w:t>
      </w:r>
      <w:r>
        <w:tab/>
        <w:t>общее повышение осведомленности о проблемах гендерного равенства как мужчин, так и женщин, с учетом его роли в б</w:t>
      </w:r>
      <w:r>
        <w:t>у</w:t>
      </w:r>
      <w:r>
        <w:t>дущем процветании общества в целом;</w:t>
      </w:r>
    </w:p>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021"/>
          <w:tab w:val="right" w:pos="2430"/>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2700" w:hanging="900"/>
      </w:pPr>
      <w:r>
        <w:tab/>
      </w:r>
      <w:r>
        <w:rPr>
          <w:lang w:val="en-US"/>
        </w:rPr>
        <w:t>vii</w:t>
      </w:r>
      <w:r>
        <w:t>)</w:t>
      </w:r>
      <w:r>
        <w:tab/>
        <w:t>оказание поддержки и содействия женщинам-политикам.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jc w:val="center"/>
      </w:pPr>
      <w:r>
        <w:t>_____________</w:t>
      </w:r>
    </w:p>
    <w:sectPr w:rsidR="00000000">
      <w:headerReference w:type="even" r:id="rId60"/>
      <w:headerReference w:type="default" r:id="rId61"/>
      <w:footerReference w:type="even" r:id="rId62"/>
      <w:footerReference w:type="default" r:id="rId63"/>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NO&gt;&gt;N0531565R&lt;&lt;ODS JOB NO&gt;&gt;</w:t>
      </w:r>
    </w:p>
    <w:p w:rsidR="00000000" w:rsidRDefault="00000000">
      <w:pPr>
        <w:pStyle w:val="CommentText"/>
        <w:rPr>
          <w:lang w:val="en-US"/>
        </w:rPr>
      </w:pPr>
      <w:r>
        <w:rPr>
          <w:lang w:val="en-US"/>
        </w:rPr>
        <w:t>&lt;&lt;ODS DOC SYMBOL1&gt;&gt;CEDAW/C/BIH/1-3&lt;&lt;ODS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05-31565 (R)    </w:t>
    </w:r>
  </w:p>
  <w:p w:rsidR="00000000" w:rsidRDefault="00000000">
    <w:pPr>
      <w:pStyle w:val="Footer"/>
      <w:spacing w:before="60" w:line="200" w:lineRule="exact"/>
      <w:rPr>
        <w:rFonts w:ascii="Barcode 3 of 9 by request" w:hAnsi="Barcode 3 of 9 by request"/>
        <w:b w:val="0"/>
        <w:sz w:val="20"/>
      </w:rPr>
    </w:pPr>
    <w:r>
      <w:rPr>
        <w:rFonts w:ascii="Barcode 3 of 9 by request" w:hAnsi="Barcode 3 of 9 by request"/>
        <w:b w:val="0"/>
        <w:sz w:val="20"/>
      </w:rPr>
      <w:t>*0531565*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142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141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Настоящий доклад издается без официального редактирования.</w:t>
      </w:r>
    </w:p>
    <w:p w:rsidR="00000000" w:rsidRDefault="00000000">
      <w:pPr>
        <w:pStyle w:val="FootnoteText"/>
        <w:tabs>
          <w:tab w:val="clear" w:pos="418"/>
          <w:tab w:val="right" w:pos="1195"/>
          <w:tab w:val="left" w:pos="1267"/>
          <w:tab w:val="left" w:pos="1742"/>
          <w:tab w:val="left" w:pos="2218"/>
          <w:tab w:val="left" w:pos="2693"/>
        </w:tabs>
        <w:ind w:left="0" w:right="1260" w:firstLine="0"/>
      </w:pPr>
    </w:p>
  </w:footnote>
  <w:footnote w:id="2">
    <w:p w:rsidR="00000000" w:rsidRDefault="00000000">
      <w:pPr>
        <w:pStyle w:val="FootnoteText"/>
      </w:pPr>
      <w:r>
        <w:tab/>
      </w:r>
      <w:r>
        <w:tab/>
      </w:r>
      <w:r>
        <w:tab/>
      </w:r>
      <w:r>
        <w:rPr>
          <w:rStyle w:val="FootnoteReference"/>
        </w:rPr>
        <w:sym w:font="Symbol" w:char="F02A"/>
      </w:r>
      <w:r>
        <w:t xml:space="preserve"> Данный материал воспроизводится в том виде, как он был представлен.</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/C/BIH/1-3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18 April 2005</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CEDAW/C/BIH/1-3</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CEDAW/C/BIH/1-3</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8D603A4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5D605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29E75E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FDE849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7">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
    <w:nsid w:val="06EE7E36"/>
    <w:multiLevelType w:val="singleLevel"/>
    <w:tmpl w:val="B6FED234"/>
    <w:lvl w:ilvl="0">
      <w:start w:val="1"/>
      <w:numFmt w:val="bullet"/>
      <w:lvlText w:val=""/>
      <w:lvlJc w:val="left"/>
      <w:pPr>
        <w:tabs>
          <w:tab w:val="num" w:pos="720"/>
        </w:tabs>
        <w:ind w:left="720" w:hanging="720"/>
      </w:pPr>
      <w:rPr>
        <w:rFonts w:ascii="Symbol" w:hAnsi="Symbol" w:hint="default"/>
      </w:rPr>
    </w:lvl>
  </w:abstractNum>
  <w:abstractNum w:abstractNumId="21">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08BA78F5"/>
    <w:multiLevelType w:val="singleLevel"/>
    <w:tmpl w:val="F938A33E"/>
    <w:lvl w:ilvl="0">
      <w:numFmt w:val="bullet"/>
      <w:lvlText w:val="-"/>
      <w:lvlJc w:val="left"/>
      <w:pPr>
        <w:tabs>
          <w:tab w:val="num" w:pos="360"/>
        </w:tabs>
        <w:ind w:left="360" w:hanging="360"/>
      </w:pPr>
      <w:rPr>
        <w:rFonts w:hint="default"/>
      </w:rPr>
    </w:lvl>
  </w:abstractNum>
  <w:abstractNum w:abstractNumId="26">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1">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3">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5">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36">
    <w:nsid w:val="0C55490E"/>
    <w:multiLevelType w:val="singleLevel"/>
    <w:tmpl w:val="F938A33E"/>
    <w:lvl w:ilvl="0">
      <w:numFmt w:val="bullet"/>
      <w:lvlText w:val="-"/>
      <w:lvlJc w:val="left"/>
      <w:pPr>
        <w:tabs>
          <w:tab w:val="num" w:pos="360"/>
        </w:tabs>
        <w:ind w:left="360" w:hanging="360"/>
      </w:pPr>
      <w:rPr>
        <w:rFonts w:hint="default"/>
      </w:rPr>
    </w:lvl>
  </w:abstractNum>
  <w:abstractNum w:abstractNumId="37">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8">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39">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0FBA115B"/>
    <w:multiLevelType w:val="singleLevel"/>
    <w:tmpl w:val="3DA0891A"/>
    <w:lvl w:ilvl="0">
      <w:start w:val="1"/>
      <w:numFmt w:val="bullet"/>
      <w:lvlText w:val=""/>
      <w:lvlJc w:val="left"/>
      <w:pPr>
        <w:tabs>
          <w:tab w:val="num" w:pos="1440"/>
        </w:tabs>
        <w:ind w:left="1440" w:hanging="720"/>
      </w:pPr>
      <w:rPr>
        <w:rFonts w:ascii="Symbol" w:hAnsi="Symbol" w:hint="default"/>
      </w:rPr>
    </w:lvl>
  </w:abstractNum>
  <w:abstractNum w:abstractNumId="41">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43">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10C8709E"/>
    <w:multiLevelType w:val="singleLevel"/>
    <w:tmpl w:val="E556B404"/>
    <w:lvl w:ilvl="0">
      <w:start w:val="1"/>
      <w:numFmt w:val="decimal"/>
      <w:lvlText w:val="%1."/>
      <w:lvlJc w:val="left"/>
      <w:pPr>
        <w:tabs>
          <w:tab w:val="num" w:pos="648"/>
        </w:tabs>
        <w:ind w:left="288" w:firstLine="0"/>
      </w:pPr>
    </w:lvl>
  </w:abstractNum>
  <w:abstractNum w:abstractNumId="45">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48">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49">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0">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1">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
    <w:nsid w:val="126E317D"/>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54">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5">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6">
    <w:nsid w:val="135420E0"/>
    <w:multiLevelType w:val="singleLevel"/>
    <w:tmpl w:val="05143C68"/>
    <w:lvl w:ilvl="0">
      <w:start w:val="43"/>
      <w:numFmt w:val="decimal"/>
      <w:lvlText w:val="%1."/>
      <w:lvlJc w:val="left"/>
      <w:pPr>
        <w:tabs>
          <w:tab w:val="num" w:pos="648"/>
        </w:tabs>
        <w:ind w:left="360" w:hanging="72"/>
      </w:pPr>
    </w:lvl>
  </w:abstractNum>
  <w:abstractNum w:abstractNumId="57">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58">
    <w:nsid w:val="14C740E3"/>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59">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0">
    <w:nsid w:val="14FA63C4"/>
    <w:multiLevelType w:val="singleLevel"/>
    <w:tmpl w:val="671E4776"/>
    <w:lvl w:ilvl="0">
      <w:start w:val="127"/>
      <w:numFmt w:val="decimal"/>
      <w:lvlText w:val="%1."/>
      <w:lvlJc w:val="left"/>
      <w:pPr>
        <w:tabs>
          <w:tab w:val="num" w:pos="1747"/>
        </w:tabs>
        <w:ind w:left="1747" w:hanging="480"/>
      </w:pPr>
      <w:rPr>
        <w:rFonts w:hint="default"/>
      </w:rPr>
    </w:lvl>
  </w:abstractNum>
  <w:abstractNum w:abstractNumId="61">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3">
    <w:nsid w:val="15D36F16"/>
    <w:multiLevelType w:val="singleLevel"/>
    <w:tmpl w:val="0409000F"/>
    <w:lvl w:ilvl="0">
      <w:start w:val="1"/>
      <w:numFmt w:val="decimal"/>
      <w:lvlText w:val="%1."/>
      <w:lvlJc w:val="left"/>
      <w:pPr>
        <w:tabs>
          <w:tab w:val="num" w:pos="360"/>
        </w:tabs>
        <w:ind w:left="360" w:hanging="360"/>
      </w:pPr>
    </w:lvl>
  </w:abstractNum>
  <w:abstractNum w:abstractNumId="64">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5">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66">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67">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
    <w:nsid w:val="18094EC5"/>
    <w:multiLevelType w:val="singleLevel"/>
    <w:tmpl w:val="0409000F"/>
    <w:lvl w:ilvl="0">
      <w:start w:val="1"/>
      <w:numFmt w:val="decimal"/>
      <w:lvlText w:val="%1."/>
      <w:lvlJc w:val="left"/>
      <w:pPr>
        <w:tabs>
          <w:tab w:val="num" w:pos="360"/>
        </w:tabs>
        <w:ind w:left="360" w:hanging="360"/>
      </w:pPr>
    </w:lvl>
  </w:abstractNum>
  <w:abstractNum w:abstractNumId="69">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70">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71">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2">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74">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6">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77">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8">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9">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80">
    <w:nsid w:val="1F1772A6"/>
    <w:multiLevelType w:val="singleLevel"/>
    <w:tmpl w:val="AA5AC07E"/>
    <w:lvl w:ilvl="0">
      <w:start w:val="132"/>
      <w:numFmt w:val="decimal"/>
      <w:lvlText w:val="%1."/>
      <w:lvlJc w:val="left"/>
      <w:pPr>
        <w:tabs>
          <w:tab w:val="num" w:pos="648"/>
        </w:tabs>
        <w:ind w:left="288" w:firstLine="0"/>
      </w:pPr>
    </w:lvl>
  </w:abstractNum>
  <w:abstractNum w:abstractNumId="81">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82">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
    <w:nsid w:val="221234C1"/>
    <w:multiLevelType w:val="singleLevel"/>
    <w:tmpl w:val="CE0084AC"/>
    <w:lvl w:ilvl="0">
      <w:start w:val="1"/>
      <w:numFmt w:val="decimal"/>
      <w:lvlText w:val="%1."/>
      <w:lvlJc w:val="left"/>
      <w:pPr>
        <w:tabs>
          <w:tab w:val="num" w:pos="360"/>
        </w:tabs>
        <w:ind w:left="360" w:hanging="360"/>
      </w:pPr>
    </w:lvl>
  </w:abstractNum>
  <w:abstractNum w:abstractNumId="85">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86">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89">
    <w:nsid w:val="24254926"/>
    <w:multiLevelType w:val="multilevel"/>
    <w:tmpl w:val="E53CC14A"/>
    <w:lvl w:ilvl="0">
      <w:start w:val="1"/>
      <w:numFmt w:val="bullet"/>
      <w:lvlText w:val=""/>
      <w:lvlJc w:val="left"/>
      <w:pPr>
        <w:tabs>
          <w:tab w:val="num" w:pos="2099"/>
        </w:tabs>
        <w:ind w:left="2099" w:hanging="864"/>
      </w:pPr>
      <w:rPr>
        <w:rFonts w:ascii="Symbol" w:hAnsi="Symbol" w:hint="default"/>
      </w:rPr>
    </w:lvl>
    <w:lvl w:ilvl="1" w:tentative="1">
      <w:start w:val="1"/>
      <w:numFmt w:val="bullet"/>
      <w:lvlText w:val="o"/>
      <w:lvlJc w:val="left"/>
      <w:pPr>
        <w:tabs>
          <w:tab w:val="num" w:pos="3179"/>
        </w:tabs>
        <w:ind w:left="3179" w:hanging="360"/>
      </w:pPr>
      <w:rPr>
        <w:rFonts w:ascii="Courier New" w:hAnsi="Courier New" w:hint="default"/>
      </w:rPr>
    </w:lvl>
    <w:lvl w:ilvl="2" w:tentative="1">
      <w:start w:val="1"/>
      <w:numFmt w:val="bullet"/>
      <w:lvlText w:val=""/>
      <w:lvlJc w:val="left"/>
      <w:pPr>
        <w:tabs>
          <w:tab w:val="num" w:pos="3899"/>
        </w:tabs>
        <w:ind w:left="3899" w:hanging="360"/>
      </w:pPr>
      <w:rPr>
        <w:rFonts w:ascii="Wingdings" w:hAnsi="Wingdings" w:hint="default"/>
      </w:rPr>
    </w:lvl>
    <w:lvl w:ilvl="3" w:tentative="1">
      <w:start w:val="1"/>
      <w:numFmt w:val="bullet"/>
      <w:lvlText w:val=""/>
      <w:lvlJc w:val="left"/>
      <w:pPr>
        <w:tabs>
          <w:tab w:val="num" w:pos="4619"/>
        </w:tabs>
        <w:ind w:left="4619" w:hanging="360"/>
      </w:pPr>
      <w:rPr>
        <w:rFonts w:ascii="Symbol" w:hAnsi="Symbol" w:hint="default"/>
      </w:rPr>
    </w:lvl>
    <w:lvl w:ilvl="4" w:tentative="1">
      <w:start w:val="1"/>
      <w:numFmt w:val="bullet"/>
      <w:lvlText w:val="o"/>
      <w:lvlJc w:val="left"/>
      <w:pPr>
        <w:tabs>
          <w:tab w:val="num" w:pos="5339"/>
        </w:tabs>
        <w:ind w:left="5339" w:hanging="360"/>
      </w:pPr>
      <w:rPr>
        <w:rFonts w:ascii="Courier New" w:hAnsi="Courier New" w:hint="default"/>
      </w:rPr>
    </w:lvl>
    <w:lvl w:ilvl="5" w:tentative="1">
      <w:start w:val="1"/>
      <w:numFmt w:val="bullet"/>
      <w:lvlText w:val=""/>
      <w:lvlJc w:val="left"/>
      <w:pPr>
        <w:tabs>
          <w:tab w:val="num" w:pos="6059"/>
        </w:tabs>
        <w:ind w:left="6059" w:hanging="360"/>
      </w:pPr>
      <w:rPr>
        <w:rFonts w:ascii="Wingdings" w:hAnsi="Wingdings" w:hint="default"/>
      </w:rPr>
    </w:lvl>
    <w:lvl w:ilvl="6" w:tentative="1">
      <w:start w:val="1"/>
      <w:numFmt w:val="bullet"/>
      <w:lvlText w:val=""/>
      <w:lvlJc w:val="left"/>
      <w:pPr>
        <w:tabs>
          <w:tab w:val="num" w:pos="6779"/>
        </w:tabs>
        <w:ind w:left="6779" w:hanging="360"/>
      </w:pPr>
      <w:rPr>
        <w:rFonts w:ascii="Symbol" w:hAnsi="Symbol" w:hint="default"/>
      </w:rPr>
    </w:lvl>
    <w:lvl w:ilvl="7" w:tentative="1">
      <w:start w:val="1"/>
      <w:numFmt w:val="bullet"/>
      <w:lvlText w:val="o"/>
      <w:lvlJc w:val="left"/>
      <w:pPr>
        <w:tabs>
          <w:tab w:val="num" w:pos="7499"/>
        </w:tabs>
        <w:ind w:left="7499" w:hanging="360"/>
      </w:pPr>
      <w:rPr>
        <w:rFonts w:ascii="Courier New" w:hAnsi="Courier New" w:hint="default"/>
      </w:rPr>
    </w:lvl>
    <w:lvl w:ilvl="8" w:tentative="1">
      <w:start w:val="1"/>
      <w:numFmt w:val="bullet"/>
      <w:lvlText w:val=""/>
      <w:lvlJc w:val="left"/>
      <w:pPr>
        <w:tabs>
          <w:tab w:val="num" w:pos="8219"/>
        </w:tabs>
        <w:ind w:left="8219" w:hanging="360"/>
      </w:pPr>
      <w:rPr>
        <w:rFonts w:ascii="Wingdings" w:hAnsi="Wingdings" w:hint="default"/>
      </w:rPr>
    </w:lvl>
  </w:abstractNum>
  <w:abstractNum w:abstractNumId="90">
    <w:nsid w:val="2518546C"/>
    <w:multiLevelType w:val="singleLevel"/>
    <w:tmpl w:val="0409000F"/>
    <w:lvl w:ilvl="0">
      <w:start w:val="1"/>
      <w:numFmt w:val="decimal"/>
      <w:lvlText w:val="%1."/>
      <w:lvlJc w:val="left"/>
      <w:pPr>
        <w:tabs>
          <w:tab w:val="num" w:pos="360"/>
        </w:tabs>
        <w:ind w:left="360" w:hanging="360"/>
      </w:pPr>
    </w:lvl>
  </w:abstractNum>
  <w:abstractNum w:abstractNumId="91">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92">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3">
    <w:nsid w:val="267333E2"/>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94">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5">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96">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97">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98">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9">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0">
    <w:nsid w:val="2A7D2ABB"/>
    <w:multiLevelType w:val="singleLevel"/>
    <w:tmpl w:val="EDB4B11E"/>
    <w:lvl w:ilvl="0">
      <w:start w:val="72"/>
      <w:numFmt w:val="decimal"/>
      <w:lvlText w:val="%1."/>
      <w:lvlJc w:val="left"/>
      <w:pPr>
        <w:tabs>
          <w:tab w:val="num" w:pos="1747"/>
        </w:tabs>
        <w:ind w:left="1747" w:hanging="480"/>
      </w:pPr>
      <w:rPr>
        <w:rFonts w:hint="default"/>
      </w:rPr>
    </w:lvl>
  </w:abstractNum>
  <w:abstractNum w:abstractNumId="101">
    <w:nsid w:val="2A856AD7"/>
    <w:multiLevelType w:val="singleLevel"/>
    <w:tmpl w:val="E556B404"/>
    <w:lvl w:ilvl="0">
      <w:start w:val="1"/>
      <w:numFmt w:val="decimal"/>
      <w:lvlText w:val="%1."/>
      <w:lvlJc w:val="left"/>
      <w:pPr>
        <w:tabs>
          <w:tab w:val="num" w:pos="648"/>
        </w:tabs>
        <w:ind w:left="288" w:firstLine="0"/>
      </w:pPr>
    </w:lvl>
  </w:abstractNum>
  <w:abstractNum w:abstractNumId="102">
    <w:nsid w:val="2B14622E"/>
    <w:multiLevelType w:val="singleLevel"/>
    <w:tmpl w:val="9B4C49DC"/>
    <w:lvl w:ilvl="0">
      <w:start w:val="73"/>
      <w:numFmt w:val="decimal"/>
      <w:lvlText w:val="%1."/>
      <w:lvlJc w:val="left"/>
      <w:pPr>
        <w:tabs>
          <w:tab w:val="num" w:pos="1627"/>
        </w:tabs>
        <w:ind w:left="1627" w:hanging="360"/>
      </w:pPr>
      <w:rPr>
        <w:rFonts w:hint="default"/>
      </w:rPr>
    </w:lvl>
  </w:abstractNum>
  <w:abstractNum w:abstractNumId="103">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4">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5">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6">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7">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8">
    <w:nsid w:val="2ECA2505"/>
    <w:multiLevelType w:val="hybridMultilevel"/>
    <w:tmpl w:val="F26EE566"/>
    <w:lvl w:ilvl="0">
      <w:start w:val="1"/>
      <w:numFmt w:val="bullet"/>
      <w:lvlText w:val=""/>
      <w:lvlJc w:val="left"/>
      <w:pPr>
        <w:tabs>
          <w:tab w:val="num" w:pos="1620"/>
        </w:tabs>
        <w:ind w:left="1620" w:hanging="864"/>
      </w:pPr>
      <w:rPr>
        <w:rFonts w:ascii="Symbol" w:hAnsi="Symbol" w:hint="default"/>
      </w:rPr>
    </w:lvl>
    <w:lvl w:ilvl="1" w:tentative="1">
      <w:start w:val="1"/>
      <w:numFmt w:val="bullet"/>
      <w:lvlText w:val="o"/>
      <w:lvlJc w:val="left"/>
      <w:pPr>
        <w:tabs>
          <w:tab w:val="num" w:pos="2700"/>
        </w:tabs>
        <w:ind w:left="2700" w:hanging="360"/>
      </w:pPr>
      <w:rPr>
        <w:rFonts w:ascii="Courier New" w:hAnsi="Courier New" w:hint="default"/>
      </w:rPr>
    </w:lvl>
    <w:lvl w:ilvl="2" w:tentative="1">
      <w:start w:val="1"/>
      <w:numFmt w:val="bullet"/>
      <w:lvlText w:val=""/>
      <w:lvlJc w:val="left"/>
      <w:pPr>
        <w:tabs>
          <w:tab w:val="num" w:pos="3420"/>
        </w:tabs>
        <w:ind w:left="3420" w:hanging="360"/>
      </w:pPr>
      <w:rPr>
        <w:rFonts w:ascii="Wingdings" w:hAnsi="Wingdings" w:hint="default"/>
      </w:rPr>
    </w:lvl>
    <w:lvl w:ilvl="3" w:tentative="1">
      <w:start w:val="1"/>
      <w:numFmt w:val="bullet"/>
      <w:lvlText w:val=""/>
      <w:lvlJc w:val="left"/>
      <w:pPr>
        <w:tabs>
          <w:tab w:val="num" w:pos="4140"/>
        </w:tabs>
        <w:ind w:left="4140" w:hanging="360"/>
      </w:pPr>
      <w:rPr>
        <w:rFonts w:ascii="Symbol" w:hAnsi="Symbol" w:hint="default"/>
      </w:rPr>
    </w:lvl>
    <w:lvl w:ilvl="4" w:tentative="1">
      <w:start w:val="1"/>
      <w:numFmt w:val="bullet"/>
      <w:lvlText w:val="o"/>
      <w:lvlJc w:val="left"/>
      <w:pPr>
        <w:tabs>
          <w:tab w:val="num" w:pos="4860"/>
        </w:tabs>
        <w:ind w:left="4860" w:hanging="360"/>
      </w:pPr>
      <w:rPr>
        <w:rFonts w:ascii="Courier New" w:hAnsi="Courier New" w:hint="default"/>
      </w:rPr>
    </w:lvl>
    <w:lvl w:ilvl="5" w:tentative="1">
      <w:start w:val="1"/>
      <w:numFmt w:val="bullet"/>
      <w:lvlText w:val=""/>
      <w:lvlJc w:val="left"/>
      <w:pPr>
        <w:tabs>
          <w:tab w:val="num" w:pos="5580"/>
        </w:tabs>
        <w:ind w:left="5580" w:hanging="360"/>
      </w:pPr>
      <w:rPr>
        <w:rFonts w:ascii="Wingdings" w:hAnsi="Wingdings" w:hint="default"/>
      </w:rPr>
    </w:lvl>
    <w:lvl w:ilvl="6" w:tentative="1">
      <w:start w:val="1"/>
      <w:numFmt w:val="bullet"/>
      <w:lvlText w:val=""/>
      <w:lvlJc w:val="left"/>
      <w:pPr>
        <w:tabs>
          <w:tab w:val="num" w:pos="6300"/>
        </w:tabs>
        <w:ind w:left="6300" w:hanging="360"/>
      </w:pPr>
      <w:rPr>
        <w:rFonts w:ascii="Symbol" w:hAnsi="Symbol" w:hint="default"/>
      </w:rPr>
    </w:lvl>
    <w:lvl w:ilvl="7" w:tentative="1">
      <w:start w:val="1"/>
      <w:numFmt w:val="bullet"/>
      <w:lvlText w:val="o"/>
      <w:lvlJc w:val="left"/>
      <w:pPr>
        <w:tabs>
          <w:tab w:val="num" w:pos="7020"/>
        </w:tabs>
        <w:ind w:left="7020" w:hanging="360"/>
      </w:pPr>
      <w:rPr>
        <w:rFonts w:ascii="Courier New" w:hAnsi="Courier New" w:hint="default"/>
      </w:rPr>
    </w:lvl>
    <w:lvl w:ilvl="8" w:tentative="1">
      <w:start w:val="1"/>
      <w:numFmt w:val="bullet"/>
      <w:lvlText w:val=""/>
      <w:lvlJc w:val="left"/>
      <w:pPr>
        <w:tabs>
          <w:tab w:val="num" w:pos="7740"/>
        </w:tabs>
        <w:ind w:left="7740" w:hanging="360"/>
      </w:pPr>
      <w:rPr>
        <w:rFonts w:ascii="Wingdings" w:hAnsi="Wingdings" w:hint="default"/>
      </w:rPr>
    </w:lvl>
  </w:abstractNum>
  <w:abstractNum w:abstractNumId="109">
    <w:nsid w:val="2F127D9A"/>
    <w:multiLevelType w:val="singleLevel"/>
    <w:tmpl w:val="BBBA8180"/>
    <w:lvl w:ilvl="0">
      <w:numFmt w:val="bullet"/>
      <w:lvlText w:val="-"/>
      <w:lvlJc w:val="left"/>
      <w:pPr>
        <w:tabs>
          <w:tab w:val="num" w:pos="720"/>
        </w:tabs>
        <w:ind w:left="720" w:hanging="720"/>
      </w:pPr>
      <w:rPr>
        <w:rFonts w:hint="default"/>
      </w:rPr>
    </w:lvl>
  </w:abstractNum>
  <w:abstractNum w:abstractNumId="110">
    <w:nsid w:val="2F4A5879"/>
    <w:multiLevelType w:val="singleLevel"/>
    <w:tmpl w:val="F938A33E"/>
    <w:lvl w:ilvl="0">
      <w:numFmt w:val="bullet"/>
      <w:lvlText w:val="-"/>
      <w:lvlJc w:val="left"/>
      <w:pPr>
        <w:tabs>
          <w:tab w:val="num" w:pos="360"/>
        </w:tabs>
        <w:ind w:left="360" w:hanging="360"/>
      </w:pPr>
      <w:rPr>
        <w:rFonts w:hint="default"/>
      </w:rPr>
    </w:lvl>
  </w:abstractNum>
  <w:abstractNum w:abstractNumId="111">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2">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3">
    <w:nsid w:val="2FFC19A7"/>
    <w:multiLevelType w:val="singleLevel"/>
    <w:tmpl w:val="40BE0C7C"/>
    <w:lvl w:ilvl="0">
      <w:start w:val="131"/>
      <w:numFmt w:val="decimal"/>
      <w:lvlText w:val="%1."/>
      <w:lvlJc w:val="left"/>
      <w:pPr>
        <w:tabs>
          <w:tab w:val="num" w:pos="648"/>
        </w:tabs>
        <w:ind w:left="288" w:firstLine="0"/>
      </w:pPr>
    </w:lvl>
  </w:abstractNum>
  <w:abstractNum w:abstractNumId="114">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5">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16">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7">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8">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9">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0">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1">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2">
    <w:nsid w:val="343D5175"/>
    <w:multiLevelType w:val="singleLevel"/>
    <w:tmpl w:val="B6FED234"/>
    <w:lvl w:ilvl="0">
      <w:start w:val="1"/>
      <w:numFmt w:val="bullet"/>
      <w:lvlText w:val=""/>
      <w:lvlJc w:val="left"/>
      <w:pPr>
        <w:tabs>
          <w:tab w:val="num" w:pos="720"/>
        </w:tabs>
        <w:ind w:left="720" w:hanging="720"/>
      </w:pPr>
      <w:rPr>
        <w:rFonts w:ascii="Symbol" w:hAnsi="Symbol" w:hint="default"/>
      </w:rPr>
    </w:lvl>
  </w:abstractNum>
  <w:abstractNum w:abstractNumId="123">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4">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25">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2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27">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8">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9">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30">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1">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2">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3">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4">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35">
    <w:nsid w:val="391F1A82"/>
    <w:multiLevelType w:val="singleLevel"/>
    <w:tmpl w:val="E0743FFA"/>
    <w:lvl w:ilvl="0">
      <w:start w:val="1"/>
      <w:numFmt w:val="decimal"/>
      <w:lvlText w:val="%1."/>
      <w:lvlJc w:val="left"/>
      <w:pPr>
        <w:tabs>
          <w:tab w:val="num" w:pos="648"/>
        </w:tabs>
        <w:ind w:left="360" w:hanging="72"/>
      </w:pPr>
    </w:lvl>
  </w:abstractNum>
  <w:abstractNum w:abstractNumId="136">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37">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8">
    <w:nsid w:val="39DD063A"/>
    <w:multiLevelType w:val="singleLevel"/>
    <w:tmpl w:val="2258CAAE"/>
    <w:lvl w:ilvl="0">
      <w:start w:val="127"/>
      <w:numFmt w:val="decimal"/>
      <w:lvlText w:val="%1."/>
      <w:lvlJc w:val="left"/>
      <w:pPr>
        <w:tabs>
          <w:tab w:val="num" w:pos="1747"/>
        </w:tabs>
        <w:ind w:left="1747" w:hanging="480"/>
      </w:pPr>
      <w:rPr>
        <w:rFonts w:hint="default"/>
      </w:rPr>
    </w:lvl>
  </w:abstractNum>
  <w:abstractNum w:abstractNumId="139">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0">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41">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42">
    <w:nsid w:val="3AAB773F"/>
    <w:multiLevelType w:val="singleLevel"/>
    <w:tmpl w:val="F938A33E"/>
    <w:lvl w:ilvl="0">
      <w:numFmt w:val="bullet"/>
      <w:lvlText w:val="-"/>
      <w:lvlJc w:val="left"/>
      <w:pPr>
        <w:tabs>
          <w:tab w:val="num" w:pos="360"/>
        </w:tabs>
        <w:ind w:left="360" w:hanging="360"/>
      </w:pPr>
      <w:rPr>
        <w:rFonts w:hint="default"/>
      </w:rPr>
    </w:lvl>
  </w:abstractNum>
  <w:abstractNum w:abstractNumId="143">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4">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45">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6">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7">
    <w:nsid w:val="3DE81D6B"/>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48">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149">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0">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1">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52">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6">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7">
    <w:nsid w:val="411E6E92"/>
    <w:multiLevelType w:val="singleLevel"/>
    <w:tmpl w:val="E0743FFA"/>
    <w:lvl w:ilvl="0">
      <w:start w:val="1"/>
      <w:numFmt w:val="decimal"/>
      <w:lvlText w:val="%1."/>
      <w:lvlJc w:val="left"/>
      <w:pPr>
        <w:tabs>
          <w:tab w:val="num" w:pos="648"/>
        </w:tabs>
        <w:ind w:left="360" w:hanging="72"/>
      </w:pPr>
    </w:lvl>
  </w:abstractNum>
  <w:abstractNum w:abstractNumId="158">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9">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160">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1">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2">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63">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4">
    <w:nsid w:val="437B078D"/>
    <w:multiLevelType w:val="multilevel"/>
    <w:tmpl w:val="FF1ECD5A"/>
    <w:lvl w:ilvl="0">
      <w:start w:val="1"/>
      <w:numFmt w:val="upperRoman"/>
      <w:lvlText w:val="%1."/>
      <w:lvlJc w:val="right"/>
      <w:pPr>
        <w:tabs>
          <w:tab w:val="num" w:pos="1296"/>
        </w:tabs>
        <w:ind w:left="1296" w:hanging="216"/>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5">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6">
    <w:nsid w:val="4449782A"/>
    <w:multiLevelType w:val="singleLevel"/>
    <w:tmpl w:val="7778B022"/>
    <w:lvl w:ilvl="0">
      <w:start w:val="63"/>
      <w:numFmt w:val="decimal"/>
      <w:lvlText w:val="%1."/>
      <w:lvlJc w:val="left"/>
      <w:pPr>
        <w:tabs>
          <w:tab w:val="num" w:pos="1740"/>
        </w:tabs>
        <w:ind w:left="1740" w:hanging="480"/>
      </w:pPr>
      <w:rPr>
        <w:rFonts w:hint="default"/>
      </w:rPr>
    </w:lvl>
  </w:abstractNum>
  <w:abstractNum w:abstractNumId="167">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8">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9">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0">
    <w:nsid w:val="494A6BC7"/>
    <w:multiLevelType w:val="singleLevel"/>
    <w:tmpl w:val="F938A33E"/>
    <w:lvl w:ilvl="0">
      <w:numFmt w:val="bullet"/>
      <w:lvlText w:val="-"/>
      <w:lvlJc w:val="left"/>
      <w:pPr>
        <w:tabs>
          <w:tab w:val="num" w:pos="360"/>
        </w:tabs>
        <w:ind w:left="360" w:hanging="360"/>
      </w:pPr>
      <w:rPr>
        <w:rFonts w:hint="default"/>
      </w:rPr>
    </w:lvl>
  </w:abstractNum>
  <w:abstractNum w:abstractNumId="171">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2">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3">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4">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175">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6">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7">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8">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9">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0">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181">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2">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3">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4">
    <w:nsid w:val="507A1C8B"/>
    <w:multiLevelType w:val="singleLevel"/>
    <w:tmpl w:val="F938A33E"/>
    <w:lvl w:ilvl="0">
      <w:numFmt w:val="bullet"/>
      <w:lvlText w:val="-"/>
      <w:lvlJc w:val="left"/>
      <w:pPr>
        <w:tabs>
          <w:tab w:val="num" w:pos="360"/>
        </w:tabs>
        <w:ind w:left="360" w:hanging="360"/>
      </w:pPr>
      <w:rPr>
        <w:rFonts w:hint="default"/>
      </w:rPr>
    </w:lvl>
  </w:abstractNum>
  <w:abstractNum w:abstractNumId="185">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6">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87">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8">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189">
    <w:nsid w:val="52C34885"/>
    <w:multiLevelType w:val="singleLevel"/>
    <w:tmpl w:val="E556B404"/>
    <w:lvl w:ilvl="0">
      <w:start w:val="1"/>
      <w:numFmt w:val="decimal"/>
      <w:lvlText w:val="%1."/>
      <w:lvlJc w:val="left"/>
      <w:pPr>
        <w:tabs>
          <w:tab w:val="num" w:pos="648"/>
        </w:tabs>
        <w:ind w:left="288" w:firstLine="0"/>
      </w:pPr>
    </w:lvl>
  </w:abstractNum>
  <w:abstractNum w:abstractNumId="190">
    <w:nsid w:val="52F00051"/>
    <w:multiLevelType w:val="singleLevel"/>
    <w:tmpl w:val="E556B404"/>
    <w:lvl w:ilvl="0">
      <w:start w:val="1"/>
      <w:numFmt w:val="decimal"/>
      <w:lvlText w:val="%1."/>
      <w:lvlJc w:val="left"/>
      <w:pPr>
        <w:tabs>
          <w:tab w:val="num" w:pos="648"/>
        </w:tabs>
        <w:ind w:left="288" w:firstLine="0"/>
      </w:pPr>
    </w:lvl>
  </w:abstractNum>
  <w:abstractNum w:abstractNumId="191">
    <w:nsid w:val="53081281"/>
    <w:multiLevelType w:val="singleLevel"/>
    <w:tmpl w:val="E556B404"/>
    <w:lvl w:ilvl="0">
      <w:start w:val="1"/>
      <w:numFmt w:val="decimal"/>
      <w:lvlText w:val="%1."/>
      <w:lvlJc w:val="left"/>
      <w:pPr>
        <w:tabs>
          <w:tab w:val="num" w:pos="648"/>
        </w:tabs>
        <w:ind w:left="288" w:firstLine="0"/>
      </w:pPr>
    </w:lvl>
  </w:abstractNum>
  <w:abstractNum w:abstractNumId="192">
    <w:nsid w:val="54C24DB7"/>
    <w:multiLevelType w:val="singleLevel"/>
    <w:tmpl w:val="79D089C4"/>
    <w:lvl w:ilvl="0">
      <w:start w:val="1"/>
      <w:numFmt w:val="decimal"/>
      <w:lvlText w:val="%1."/>
      <w:lvlJc w:val="left"/>
      <w:pPr>
        <w:tabs>
          <w:tab w:val="num" w:pos="360"/>
        </w:tabs>
        <w:ind w:left="0" w:firstLine="0"/>
      </w:pPr>
    </w:lvl>
  </w:abstractNum>
  <w:abstractNum w:abstractNumId="193">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4">
    <w:nsid w:val="560E1ED1"/>
    <w:multiLevelType w:val="singleLevel"/>
    <w:tmpl w:val="0409000F"/>
    <w:lvl w:ilvl="0">
      <w:start w:val="1"/>
      <w:numFmt w:val="decimal"/>
      <w:lvlText w:val="%1."/>
      <w:lvlJc w:val="left"/>
      <w:pPr>
        <w:tabs>
          <w:tab w:val="num" w:pos="360"/>
        </w:tabs>
        <w:ind w:left="360" w:hanging="360"/>
      </w:pPr>
    </w:lvl>
  </w:abstractNum>
  <w:abstractNum w:abstractNumId="195">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6">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7">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198">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199">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00">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1">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2">
    <w:nsid w:val="5B1738B9"/>
    <w:multiLevelType w:val="singleLevel"/>
    <w:tmpl w:val="0409000F"/>
    <w:lvl w:ilvl="0">
      <w:start w:val="1"/>
      <w:numFmt w:val="decimal"/>
      <w:lvlText w:val="%1."/>
      <w:lvlJc w:val="left"/>
      <w:pPr>
        <w:tabs>
          <w:tab w:val="num" w:pos="360"/>
        </w:tabs>
        <w:ind w:left="360" w:hanging="360"/>
      </w:pPr>
    </w:lvl>
  </w:abstractNum>
  <w:abstractNum w:abstractNumId="203">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204">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5">
    <w:nsid w:val="5B9476C9"/>
    <w:multiLevelType w:val="singleLevel"/>
    <w:tmpl w:val="E0743FFA"/>
    <w:lvl w:ilvl="0">
      <w:start w:val="1"/>
      <w:numFmt w:val="decimal"/>
      <w:lvlText w:val="%1."/>
      <w:lvlJc w:val="left"/>
      <w:pPr>
        <w:tabs>
          <w:tab w:val="num" w:pos="648"/>
        </w:tabs>
        <w:ind w:left="360" w:hanging="72"/>
      </w:pPr>
    </w:lvl>
  </w:abstractNum>
  <w:abstractNum w:abstractNumId="206">
    <w:nsid w:val="5BAB79B9"/>
    <w:multiLevelType w:val="singleLevel"/>
    <w:tmpl w:val="0409000F"/>
    <w:lvl w:ilvl="0">
      <w:start w:val="1"/>
      <w:numFmt w:val="decimal"/>
      <w:lvlText w:val="%1."/>
      <w:lvlJc w:val="left"/>
      <w:pPr>
        <w:tabs>
          <w:tab w:val="num" w:pos="360"/>
        </w:tabs>
        <w:ind w:left="360" w:hanging="360"/>
      </w:pPr>
    </w:lvl>
  </w:abstractNum>
  <w:abstractNum w:abstractNumId="207">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8">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9">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0">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1">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212">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3">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214">
    <w:nsid w:val="602827E8"/>
    <w:multiLevelType w:val="singleLevel"/>
    <w:tmpl w:val="79D089C4"/>
    <w:lvl w:ilvl="0">
      <w:start w:val="1"/>
      <w:numFmt w:val="decimal"/>
      <w:lvlText w:val="%1."/>
      <w:lvlJc w:val="left"/>
      <w:pPr>
        <w:tabs>
          <w:tab w:val="num" w:pos="360"/>
        </w:tabs>
        <w:ind w:left="0" w:firstLine="0"/>
      </w:pPr>
    </w:lvl>
  </w:abstractNum>
  <w:abstractNum w:abstractNumId="215">
    <w:nsid w:val="605C02FF"/>
    <w:multiLevelType w:val="singleLevel"/>
    <w:tmpl w:val="77743DB6"/>
    <w:lvl w:ilvl="0">
      <w:start w:val="1"/>
      <w:numFmt w:val="lowerLetter"/>
      <w:lvlText w:val="(%1)"/>
      <w:lvlJc w:val="left"/>
      <w:pPr>
        <w:tabs>
          <w:tab w:val="num" w:pos="360"/>
        </w:tabs>
        <w:ind w:left="360" w:hanging="360"/>
      </w:pPr>
    </w:lvl>
  </w:abstractNum>
  <w:abstractNum w:abstractNumId="216">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217">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8">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19">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0">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1">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222">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23">
    <w:nsid w:val="625A5FCE"/>
    <w:multiLevelType w:val="singleLevel"/>
    <w:tmpl w:val="F938A33E"/>
    <w:lvl w:ilvl="0">
      <w:numFmt w:val="bullet"/>
      <w:lvlText w:val="-"/>
      <w:lvlJc w:val="left"/>
      <w:pPr>
        <w:tabs>
          <w:tab w:val="num" w:pos="360"/>
        </w:tabs>
        <w:ind w:left="360" w:hanging="360"/>
      </w:pPr>
      <w:rPr>
        <w:rFonts w:hint="default"/>
      </w:rPr>
    </w:lvl>
  </w:abstractNum>
  <w:abstractNum w:abstractNumId="224">
    <w:nsid w:val="63AB60F3"/>
    <w:multiLevelType w:val="hybridMultilevel"/>
    <w:tmpl w:val="27125F96"/>
    <w:lvl w:ilvl="0">
      <w:start w:val="1"/>
      <w:numFmt w:val="bullet"/>
      <w:lvlText w:val=""/>
      <w:lvlJc w:val="left"/>
      <w:pPr>
        <w:tabs>
          <w:tab w:val="num" w:pos="2099"/>
        </w:tabs>
        <w:ind w:left="2099" w:hanging="864"/>
      </w:pPr>
      <w:rPr>
        <w:rFonts w:ascii="Symbol" w:hAnsi="Symbol" w:hint="default"/>
      </w:rPr>
    </w:lvl>
    <w:lvl w:ilvl="1" w:tentative="1">
      <w:start w:val="1"/>
      <w:numFmt w:val="bullet"/>
      <w:lvlText w:val="o"/>
      <w:lvlJc w:val="left"/>
      <w:pPr>
        <w:tabs>
          <w:tab w:val="num" w:pos="3179"/>
        </w:tabs>
        <w:ind w:left="3179" w:hanging="360"/>
      </w:pPr>
      <w:rPr>
        <w:rFonts w:ascii="Courier New" w:hAnsi="Courier New" w:hint="default"/>
      </w:rPr>
    </w:lvl>
    <w:lvl w:ilvl="2" w:tentative="1">
      <w:start w:val="1"/>
      <w:numFmt w:val="bullet"/>
      <w:lvlText w:val=""/>
      <w:lvlJc w:val="left"/>
      <w:pPr>
        <w:tabs>
          <w:tab w:val="num" w:pos="3899"/>
        </w:tabs>
        <w:ind w:left="3899" w:hanging="360"/>
      </w:pPr>
      <w:rPr>
        <w:rFonts w:ascii="Wingdings" w:hAnsi="Wingdings" w:hint="default"/>
      </w:rPr>
    </w:lvl>
    <w:lvl w:ilvl="3" w:tentative="1">
      <w:start w:val="1"/>
      <w:numFmt w:val="bullet"/>
      <w:lvlText w:val=""/>
      <w:lvlJc w:val="left"/>
      <w:pPr>
        <w:tabs>
          <w:tab w:val="num" w:pos="4619"/>
        </w:tabs>
        <w:ind w:left="4619" w:hanging="360"/>
      </w:pPr>
      <w:rPr>
        <w:rFonts w:ascii="Symbol" w:hAnsi="Symbol" w:hint="default"/>
      </w:rPr>
    </w:lvl>
    <w:lvl w:ilvl="4" w:tentative="1">
      <w:start w:val="1"/>
      <w:numFmt w:val="bullet"/>
      <w:lvlText w:val="o"/>
      <w:lvlJc w:val="left"/>
      <w:pPr>
        <w:tabs>
          <w:tab w:val="num" w:pos="5339"/>
        </w:tabs>
        <w:ind w:left="5339" w:hanging="360"/>
      </w:pPr>
      <w:rPr>
        <w:rFonts w:ascii="Courier New" w:hAnsi="Courier New" w:hint="default"/>
      </w:rPr>
    </w:lvl>
    <w:lvl w:ilvl="5" w:tentative="1">
      <w:start w:val="1"/>
      <w:numFmt w:val="bullet"/>
      <w:lvlText w:val=""/>
      <w:lvlJc w:val="left"/>
      <w:pPr>
        <w:tabs>
          <w:tab w:val="num" w:pos="6059"/>
        </w:tabs>
        <w:ind w:left="6059" w:hanging="360"/>
      </w:pPr>
      <w:rPr>
        <w:rFonts w:ascii="Wingdings" w:hAnsi="Wingdings" w:hint="default"/>
      </w:rPr>
    </w:lvl>
    <w:lvl w:ilvl="6" w:tentative="1">
      <w:start w:val="1"/>
      <w:numFmt w:val="bullet"/>
      <w:lvlText w:val=""/>
      <w:lvlJc w:val="left"/>
      <w:pPr>
        <w:tabs>
          <w:tab w:val="num" w:pos="6779"/>
        </w:tabs>
        <w:ind w:left="6779" w:hanging="360"/>
      </w:pPr>
      <w:rPr>
        <w:rFonts w:ascii="Symbol" w:hAnsi="Symbol" w:hint="default"/>
      </w:rPr>
    </w:lvl>
    <w:lvl w:ilvl="7" w:tentative="1">
      <w:start w:val="1"/>
      <w:numFmt w:val="bullet"/>
      <w:lvlText w:val="o"/>
      <w:lvlJc w:val="left"/>
      <w:pPr>
        <w:tabs>
          <w:tab w:val="num" w:pos="7499"/>
        </w:tabs>
        <w:ind w:left="7499" w:hanging="360"/>
      </w:pPr>
      <w:rPr>
        <w:rFonts w:ascii="Courier New" w:hAnsi="Courier New" w:hint="default"/>
      </w:rPr>
    </w:lvl>
    <w:lvl w:ilvl="8" w:tentative="1">
      <w:start w:val="1"/>
      <w:numFmt w:val="bullet"/>
      <w:lvlText w:val=""/>
      <w:lvlJc w:val="left"/>
      <w:pPr>
        <w:tabs>
          <w:tab w:val="num" w:pos="8219"/>
        </w:tabs>
        <w:ind w:left="8219" w:hanging="360"/>
      </w:pPr>
      <w:rPr>
        <w:rFonts w:ascii="Wingdings" w:hAnsi="Wingdings" w:hint="default"/>
      </w:rPr>
    </w:lvl>
  </w:abstractNum>
  <w:abstractNum w:abstractNumId="225">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6">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227">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8">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9">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230">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1">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232">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3">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234">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5">
    <w:nsid w:val="67197D68"/>
    <w:multiLevelType w:val="singleLevel"/>
    <w:tmpl w:val="0409000F"/>
    <w:lvl w:ilvl="0">
      <w:start w:val="1"/>
      <w:numFmt w:val="decimal"/>
      <w:lvlText w:val="%1."/>
      <w:lvlJc w:val="left"/>
      <w:pPr>
        <w:tabs>
          <w:tab w:val="num" w:pos="360"/>
        </w:tabs>
        <w:ind w:left="360" w:hanging="360"/>
      </w:pPr>
    </w:lvl>
  </w:abstractNum>
  <w:abstractNum w:abstractNumId="236">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7">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8">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9">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0">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1">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42">
    <w:nsid w:val="6B87739A"/>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43">
    <w:nsid w:val="6CDD2F90"/>
    <w:multiLevelType w:val="singleLevel"/>
    <w:tmpl w:val="3DA0891A"/>
    <w:lvl w:ilvl="0">
      <w:start w:val="1"/>
      <w:numFmt w:val="bullet"/>
      <w:lvlText w:val=""/>
      <w:lvlJc w:val="left"/>
      <w:pPr>
        <w:tabs>
          <w:tab w:val="num" w:pos="1440"/>
        </w:tabs>
        <w:ind w:left="1440" w:hanging="720"/>
      </w:pPr>
      <w:rPr>
        <w:rFonts w:ascii="Symbol" w:hAnsi="Symbol" w:hint="default"/>
      </w:rPr>
    </w:lvl>
  </w:abstractNum>
  <w:abstractNum w:abstractNumId="244">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5">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6">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47">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48">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9">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0">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1">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252">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253">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54">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255">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56">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7">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8">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9">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0">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261">
    <w:nsid w:val="777D59DA"/>
    <w:multiLevelType w:val="singleLevel"/>
    <w:tmpl w:val="AEC40F66"/>
    <w:lvl w:ilvl="0">
      <w:start w:val="74"/>
      <w:numFmt w:val="decimal"/>
      <w:lvlText w:val="%1."/>
      <w:lvlJc w:val="left"/>
      <w:pPr>
        <w:tabs>
          <w:tab w:val="num" w:pos="1627"/>
        </w:tabs>
        <w:ind w:left="1627" w:hanging="360"/>
      </w:pPr>
      <w:rPr>
        <w:rFonts w:hint="default"/>
      </w:rPr>
    </w:lvl>
  </w:abstractNum>
  <w:abstractNum w:abstractNumId="262">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63">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4">
    <w:nsid w:val="7A2660EC"/>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65">
    <w:nsid w:val="7AFA21F6"/>
    <w:multiLevelType w:val="singleLevel"/>
    <w:tmpl w:val="3DA0891A"/>
    <w:lvl w:ilvl="0">
      <w:start w:val="1"/>
      <w:numFmt w:val="bullet"/>
      <w:lvlText w:val=""/>
      <w:lvlJc w:val="left"/>
      <w:pPr>
        <w:tabs>
          <w:tab w:val="num" w:pos="1440"/>
        </w:tabs>
        <w:ind w:left="1440" w:hanging="720"/>
      </w:pPr>
      <w:rPr>
        <w:rFonts w:ascii="Symbol" w:hAnsi="Symbol" w:hint="default"/>
      </w:rPr>
    </w:lvl>
  </w:abstractNum>
  <w:abstractNum w:abstractNumId="266">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7">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8">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9">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0">
    <w:nsid w:val="7F401B4A"/>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71">
    <w:nsid w:val="7F634374"/>
    <w:multiLevelType w:val="singleLevel"/>
    <w:tmpl w:val="07AA697E"/>
    <w:lvl w:ilvl="0">
      <w:start w:val="1"/>
      <w:numFmt w:val="lowerLetter"/>
      <w:lvlText w:val="(%1)"/>
      <w:lvlJc w:val="left"/>
      <w:pPr>
        <w:tabs>
          <w:tab w:val="num" w:pos="648"/>
        </w:tabs>
        <w:ind w:left="648" w:hanging="360"/>
      </w:pPr>
      <w:rPr>
        <w:rFonts w:hint="default"/>
      </w:rPr>
    </w:lvl>
  </w:abstractNum>
  <w:num w:numId="1">
    <w:abstractNumId w:val="126"/>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47"/>
  </w:num>
  <w:num w:numId="13">
    <w:abstractNumId w:val="186"/>
  </w:num>
  <w:num w:numId="14">
    <w:abstractNumId w:val="9"/>
  </w:num>
  <w:num w:numId="15">
    <w:abstractNumId w:val="252"/>
  </w:num>
  <w:num w:numId="16">
    <w:abstractNumId w:val="226"/>
  </w:num>
  <w:num w:numId="17">
    <w:abstractNumId w:val="213"/>
  </w:num>
  <w:num w:numId="18">
    <w:abstractNumId w:val="70"/>
  </w:num>
  <w:num w:numId="19">
    <w:abstractNumId w:val="216"/>
  </w:num>
  <w:num w:numId="20">
    <w:abstractNumId w:val="159"/>
  </w:num>
  <w:num w:numId="21">
    <w:abstractNumId w:val="254"/>
  </w:num>
  <w:num w:numId="22">
    <w:abstractNumId w:val="115"/>
  </w:num>
  <w:num w:numId="23">
    <w:abstractNumId w:val="125"/>
  </w:num>
  <w:num w:numId="24">
    <w:abstractNumId w:val="197"/>
  </w:num>
  <w:num w:numId="25">
    <w:abstractNumId w:val="88"/>
  </w:num>
  <w:num w:numId="26">
    <w:abstractNumId w:val="129"/>
  </w:num>
  <w:num w:numId="27">
    <w:abstractNumId w:val="233"/>
  </w:num>
  <w:num w:numId="28">
    <w:abstractNumId w:val="69"/>
  </w:num>
  <w:num w:numId="29">
    <w:abstractNumId w:val="56"/>
  </w:num>
  <w:num w:numId="30">
    <w:abstractNumId w:val="205"/>
  </w:num>
  <w:num w:numId="31">
    <w:abstractNumId w:val="157"/>
  </w:num>
  <w:num w:numId="32">
    <w:abstractNumId w:val="135"/>
  </w:num>
  <w:num w:numId="33">
    <w:abstractNumId w:val="63"/>
  </w:num>
  <w:num w:numId="34">
    <w:abstractNumId w:val="235"/>
  </w:num>
  <w:num w:numId="35">
    <w:abstractNumId w:val="202"/>
  </w:num>
  <w:num w:numId="36">
    <w:abstractNumId w:val="206"/>
  </w:num>
  <w:num w:numId="37">
    <w:abstractNumId w:val="214"/>
  </w:num>
  <w:num w:numId="38">
    <w:abstractNumId w:val="260"/>
  </w:num>
  <w:num w:numId="39">
    <w:abstractNumId w:val="174"/>
  </w:num>
  <w:num w:numId="40">
    <w:abstractNumId w:val="188"/>
  </w:num>
  <w:num w:numId="41">
    <w:abstractNumId w:val="170"/>
  </w:num>
  <w:num w:numId="42">
    <w:abstractNumId w:val="36"/>
  </w:num>
  <w:num w:numId="43">
    <w:abstractNumId w:val="223"/>
  </w:num>
  <w:num w:numId="44">
    <w:abstractNumId w:val="110"/>
  </w:num>
  <w:num w:numId="45">
    <w:abstractNumId w:val="184"/>
  </w:num>
  <w:num w:numId="46">
    <w:abstractNumId w:val="142"/>
  </w:num>
  <w:num w:numId="47">
    <w:abstractNumId w:val="25"/>
  </w:num>
  <w:num w:numId="48">
    <w:abstractNumId w:val="109"/>
  </w:num>
  <w:num w:numId="49">
    <w:abstractNumId w:val="203"/>
  </w:num>
  <w:num w:numId="50">
    <w:abstractNumId w:val="73"/>
  </w:num>
  <w:num w:numId="51">
    <w:abstractNumId w:val="32"/>
  </w:num>
  <w:num w:numId="52">
    <w:abstractNumId w:val="61"/>
  </w:num>
  <w:num w:numId="53">
    <w:abstractNumId w:val="21"/>
  </w:num>
  <w:num w:numId="54">
    <w:abstractNumId w:val="192"/>
  </w:num>
  <w:num w:numId="55">
    <w:abstractNumId w:val="68"/>
  </w:num>
  <w:num w:numId="56">
    <w:abstractNumId w:val="79"/>
  </w:num>
  <w:num w:numId="57">
    <w:abstractNumId w:val="42"/>
  </w:num>
  <w:num w:numId="58">
    <w:abstractNumId w:val="229"/>
  </w:num>
  <w:num w:numId="59">
    <w:abstractNumId w:val="29"/>
  </w:num>
  <w:num w:numId="60">
    <w:abstractNumId w:val="84"/>
  </w:num>
  <w:num w:numId="61">
    <w:abstractNumId w:val="211"/>
  </w:num>
  <w:num w:numId="62">
    <w:abstractNumId w:val="144"/>
  </w:num>
  <w:num w:numId="63">
    <w:abstractNumId w:val="271"/>
  </w:num>
  <w:num w:numId="64">
    <w:abstractNumId w:val="148"/>
  </w:num>
  <w:num w:numId="65">
    <w:abstractNumId w:val="65"/>
  </w:num>
  <w:num w:numId="66">
    <w:abstractNumId w:val="38"/>
  </w:num>
  <w:num w:numId="67">
    <w:abstractNumId w:val="35"/>
  </w:num>
  <w:num w:numId="68">
    <w:abstractNumId w:val="124"/>
  </w:num>
  <w:num w:numId="69">
    <w:abstractNumId w:val="59"/>
  </w:num>
  <w:num w:numId="70">
    <w:abstractNumId w:val="220"/>
  </w:num>
  <w:num w:numId="71">
    <w:abstractNumId w:val="123"/>
  </w:num>
  <w:num w:numId="72">
    <w:abstractNumId w:val="215"/>
  </w:num>
  <w:num w:numId="73">
    <w:abstractNumId w:val="77"/>
  </w:num>
  <w:num w:numId="74">
    <w:abstractNumId w:val="165"/>
  </w:num>
  <w:num w:numId="75">
    <w:abstractNumId w:val="95"/>
  </w:num>
  <w:num w:numId="76">
    <w:abstractNumId w:val="30"/>
  </w:num>
  <w:num w:numId="77">
    <w:abstractNumId w:val="199"/>
  </w:num>
  <w:num w:numId="78">
    <w:abstractNumId w:val="66"/>
  </w:num>
  <w:num w:numId="79">
    <w:abstractNumId w:val="162"/>
  </w:num>
  <w:num w:numId="80">
    <w:abstractNumId w:val="255"/>
  </w:num>
  <w:num w:numId="81">
    <w:abstractNumId w:val="96"/>
  </w:num>
  <w:num w:numId="82">
    <w:abstractNumId w:val="16"/>
  </w:num>
  <w:num w:numId="83">
    <w:abstractNumId w:val="221"/>
  </w:num>
  <w:num w:numId="84">
    <w:abstractNumId w:val="104"/>
  </w:num>
  <w:num w:numId="85">
    <w:abstractNumId w:val="97"/>
  </w:num>
  <w:num w:numId="86">
    <w:abstractNumId w:val="194"/>
  </w:num>
  <w:num w:numId="87">
    <w:abstractNumId w:val="189"/>
  </w:num>
  <w:num w:numId="88">
    <w:abstractNumId w:val="190"/>
  </w:num>
  <w:num w:numId="89">
    <w:abstractNumId w:val="191"/>
  </w:num>
  <w:num w:numId="90">
    <w:abstractNumId w:val="44"/>
  </w:num>
  <w:num w:numId="91">
    <w:abstractNumId w:val="101"/>
  </w:num>
  <w:num w:numId="92">
    <w:abstractNumId w:val="80"/>
  </w:num>
  <w:num w:numId="93">
    <w:abstractNumId w:val="113"/>
  </w:num>
  <w:num w:numId="94">
    <w:abstractNumId w:val="82"/>
  </w:num>
  <w:num w:numId="95">
    <w:abstractNumId w:val="181"/>
  </w:num>
  <w:num w:numId="96">
    <w:abstractNumId w:val="240"/>
  </w:num>
  <w:num w:numId="97">
    <w:abstractNumId w:val="10"/>
  </w:num>
  <w:num w:numId="98">
    <w:abstractNumId w:val="152"/>
  </w:num>
  <w:num w:numId="99">
    <w:abstractNumId w:val="86"/>
  </w:num>
  <w:num w:numId="100">
    <w:abstractNumId w:val="17"/>
  </w:num>
  <w:num w:numId="101">
    <w:abstractNumId w:val="85"/>
  </w:num>
  <w:num w:numId="102">
    <w:abstractNumId w:val="49"/>
  </w:num>
  <w:num w:numId="103">
    <w:abstractNumId w:val="173"/>
  </w:num>
  <w:num w:numId="104">
    <w:abstractNumId w:val="72"/>
  </w:num>
  <w:num w:numId="105">
    <w:abstractNumId w:val="11"/>
  </w:num>
  <w:num w:numId="106">
    <w:abstractNumId w:val="46"/>
  </w:num>
  <w:num w:numId="107">
    <w:abstractNumId w:val="198"/>
  </w:num>
  <w:num w:numId="108">
    <w:abstractNumId w:val="22"/>
  </w:num>
  <w:num w:numId="109">
    <w:abstractNumId w:val="251"/>
  </w:num>
  <w:num w:numId="110">
    <w:abstractNumId w:val="154"/>
  </w:num>
  <w:num w:numId="111">
    <w:abstractNumId w:val="114"/>
  </w:num>
  <w:num w:numId="112">
    <w:abstractNumId w:val="204"/>
  </w:num>
  <w:num w:numId="113">
    <w:abstractNumId w:val="87"/>
  </w:num>
  <w:num w:numId="114">
    <w:abstractNumId w:val="180"/>
  </w:num>
  <w:num w:numId="115">
    <w:abstractNumId w:val="74"/>
  </w:num>
  <w:num w:numId="116">
    <w:abstractNumId w:val="78"/>
  </w:num>
  <w:num w:numId="117">
    <w:abstractNumId w:val="45"/>
  </w:num>
  <w:num w:numId="118">
    <w:abstractNumId w:val="81"/>
  </w:num>
  <w:num w:numId="119">
    <w:abstractNumId w:val="168"/>
  </w:num>
  <w:num w:numId="120">
    <w:abstractNumId w:val="253"/>
  </w:num>
  <w:num w:numId="121">
    <w:abstractNumId w:val="258"/>
  </w:num>
  <w:num w:numId="122">
    <w:abstractNumId w:val="41"/>
  </w:num>
  <w:num w:numId="123">
    <w:abstractNumId w:val="140"/>
  </w:num>
  <w:num w:numId="124">
    <w:abstractNumId w:val="33"/>
  </w:num>
  <w:num w:numId="125">
    <w:abstractNumId w:val="178"/>
  </w:num>
  <w:num w:numId="126">
    <w:abstractNumId w:val="158"/>
  </w:num>
  <w:num w:numId="127">
    <w:abstractNumId w:val="246"/>
  </w:num>
  <w:num w:numId="128">
    <w:abstractNumId w:val="145"/>
  </w:num>
  <w:num w:numId="129">
    <w:abstractNumId w:val="143"/>
  </w:num>
  <w:num w:numId="130">
    <w:abstractNumId w:val="175"/>
  </w:num>
  <w:num w:numId="131">
    <w:abstractNumId w:val="98"/>
  </w:num>
  <w:num w:numId="132">
    <w:abstractNumId w:val="210"/>
  </w:num>
  <w:num w:numId="133">
    <w:abstractNumId w:val="217"/>
  </w:num>
  <w:num w:numId="134">
    <w:abstractNumId w:val="177"/>
  </w:num>
  <w:num w:numId="135">
    <w:abstractNumId w:val="149"/>
  </w:num>
  <w:num w:numId="136">
    <w:abstractNumId w:val="15"/>
  </w:num>
  <w:num w:numId="137">
    <w:abstractNumId w:val="106"/>
  </w:num>
  <w:num w:numId="138">
    <w:abstractNumId w:val="107"/>
  </w:num>
  <w:num w:numId="139">
    <w:abstractNumId w:val="241"/>
  </w:num>
  <w:num w:numId="140">
    <w:abstractNumId w:val="262"/>
  </w:num>
  <w:num w:numId="141">
    <w:abstractNumId w:val="76"/>
  </w:num>
  <w:num w:numId="142">
    <w:abstractNumId w:val="43"/>
  </w:num>
  <w:num w:numId="143">
    <w:abstractNumId w:val="133"/>
  </w:num>
  <w:num w:numId="144">
    <w:abstractNumId w:val="183"/>
  </w:num>
  <w:num w:numId="145">
    <w:abstractNumId w:val="19"/>
  </w:num>
  <w:num w:numId="146">
    <w:abstractNumId w:val="212"/>
  </w:num>
  <w:num w:numId="147">
    <w:abstractNumId w:val="50"/>
  </w:num>
  <w:num w:numId="148">
    <w:abstractNumId w:val="151"/>
  </w:num>
  <w:num w:numId="149">
    <w:abstractNumId w:val="227"/>
  </w:num>
  <w:num w:numId="150">
    <w:abstractNumId w:val="268"/>
  </w:num>
  <w:num w:numId="151">
    <w:abstractNumId w:val="26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2">
    <w:abstractNumId w:val="269"/>
  </w:num>
  <w:num w:numId="153">
    <w:abstractNumId w:val="2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230"/>
  </w:num>
  <w:num w:numId="155">
    <w:abstractNumId w:val="23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218"/>
  </w:num>
  <w:num w:numId="157">
    <w:abstractNumId w:val="238"/>
  </w:num>
  <w:num w:numId="158">
    <w:abstractNumId w:val="34"/>
  </w:num>
  <w:num w:numId="159">
    <w:abstractNumId w:val="55"/>
  </w:num>
  <w:num w:numId="160">
    <w:abstractNumId w:val="47"/>
  </w:num>
  <w:num w:numId="161">
    <w:abstractNumId w:val="259"/>
  </w:num>
  <w:num w:numId="162">
    <w:abstractNumId w:val="209"/>
  </w:num>
  <w:num w:numId="163">
    <w:abstractNumId w:val="20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4">
    <w:abstractNumId w:val="156"/>
  </w:num>
  <w:num w:numId="165">
    <w:abstractNumId w:val="15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118"/>
  </w:num>
  <w:num w:numId="167">
    <w:abstractNumId w:val="208"/>
  </w:num>
  <w:num w:numId="168">
    <w:abstractNumId w:val="37"/>
  </w:num>
  <w:num w:numId="169">
    <w:abstractNumId w:val="201"/>
  </w:num>
  <w:num w:numId="170">
    <w:abstractNumId w:val="201"/>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1">
    <w:abstractNumId w:val="18"/>
  </w:num>
  <w:num w:numId="172">
    <w:abstractNumId w:val="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266"/>
  </w:num>
  <w:num w:numId="174">
    <w:abstractNumId w:val="26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92"/>
  </w:num>
  <w:num w:numId="176">
    <w:abstractNumId w:val="9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225"/>
  </w:num>
  <w:num w:numId="178">
    <w:abstractNumId w:val="257"/>
  </w:num>
  <w:num w:numId="179">
    <w:abstractNumId w:val="231"/>
  </w:num>
  <w:num w:numId="180">
    <w:abstractNumId w:val="167"/>
  </w:num>
  <w:num w:numId="181">
    <w:abstractNumId w:val="1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2">
    <w:abstractNumId w:val="62"/>
  </w:num>
  <w:num w:numId="183">
    <w:abstractNumId w:val="6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239"/>
  </w:num>
  <w:num w:numId="185">
    <w:abstractNumId w:val="128"/>
  </w:num>
  <w:num w:numId="186">
    <w:abstractNumId w:val="130"/>
  </w:num>
  <w:num w:numId="187">
    <w:abstractNumId w:val="13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8">
    <w:abstractNumId w:val="99"/>
  </w:num>
  <w:num w:numId="189">
    <w:abstractNumId w:val="9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171"/>
  </w:num>
  <w:num w:numId="191">
    <w:abstractNumId w:val="17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119"/>
  </w:num>
  <w:num w:numId="193">
    <w:abstractNumId w:val="11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41"/>
  </w:num>
  <w:num w:numId="195">
    <w:abstractNumId w:val="64"/>
  </w:num>
  <w:num w:numId="196">
    <w:abstractNumId w:val="6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7">
    <w:abstractNumId w:val="136"/>
  </w:num>
  <w:num w:numId="198">
    <w:abstractNumId w:val="116"/>
  </w:num>
  <w:num w:numId="199">
    <w:abstractNumId w:val="11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0">
    <w:abstractNumId w:val="232"/>
  </w:num>
  <w:num w:numId="201">
    <w:abstractNumId w:val="179"/>
  </w:num>
  <w:num w:numId="202">
    <w:abstractNumId w:val="52"/>
  </w:num>
  <w:num w:numId="203">
    <w:abstractNumId w:val="5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4">
    <w:abstractNumId w:val="132"/>
  </w:num>
  <w:num w:numId="205">
    <w:abstractNumId w:val="13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54"/>
  </w:num>
  <w:num w:numId="207">
    <w:abstractNumId w:val="5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121"/>
  </w:num>
  <w:num w:numId="209">
    <w:abstractNumId w:val="12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200"/>
  </w:num>
  <w:num w:numId="211">
    <w:abstractNumId w:val="20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172"/>
  </w:num>
  <w:num w:numId="213">
    <w:abstractNumId w:val="112"/>
  </w:num>
  <w:num w:numId="214">
    <w:abstractNumId w:val="176"/>
  </w:num>
  <w:num w:numId="215">
    <w:abstractNumId w:val="105"/>
  </w:num>
  <w:num w:numId="216">
    <w:abstractNumId w:val="10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7">
    <w:abstractNumId w:val="71"/>
  </w:num>
  <w:num w:numId="218">
    <w:abstractNumId w:val="7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163"/>
  </w:num>
  <w:num w:numId="220">
    <w:abstractNumId w:val="1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250"/>
  </w:num>
  <w:num w:numId="222">
    <w:abstractNumId w:val="25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139"/>
  </w:num>
  <w:num w:numId="224">
    <w:abstractNumId w:val="13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23"/>
  </w:num>
  <w:num w:numId="226">
    <w:abstractNumId w:val="94"/>
  </w:num>
  <w:num w:numId="227">
    <w:abstractNumId w:val="237"/>
  </w:num>
  <w:num w:numId="228">
    <w:abstractNumId w:val="23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9">
    <w:abstractNumId w:val="150"/>
  </w:num>
  <w:num w:numId="230">
    <w:abstractNumId w:val="169"/>
  </w:num>
  <w:num w:numId="231">
    <w:abstractNumId w:val="207"/>
  </w:num>
  <w:num w:numId="232">
    <w:abstractNumId w:val="75"/>
  </w:num>
  <w:num w:numId="233">
    <w:abstractNumId w:val="185"/>
  </w:num>
  <w:num w:numId="234">
    <w:abstractNumId w:val="146"/>
  </w:num>
  <w:num w:numId="235">
    <w:abstractNumId w:val="14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6">
    <w:abstractNumId w:val="222"/>
  </w:num>
  <w:num w:numId="237">
    <w:abstractNumId w:val="160"/>
  </w:num>
  <w:num w:numId="238">
    <w:abstractNumId w:val="16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134"/>
  </w:num>
  <w:num w:numId="240">
    <w:abstractNumId w:val="120"/>
  </w:num>
  <w:num w:numId="241">
    <w:abstractNumId w:val="12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2">
    <w:abstractNumId w:val="48"/>
  </w:num>
  <w:num w:numId="243">
    <w:abstractNumId w:val="14"/>
  </w:num>
  <w:num w:numId="244">
    <w:abstractNumId w:val="57"/>
  </w:num>
  <w:num w:numId="245">
    <w:abstractNumId w:val="67"/>
  </w:num>
  <w:num w:numId="246">
    <w:abstractNumId w:val="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103"/>
  </w:num>
  <w:num w:numId="248">
    <w:abstractNumId w:val="127"/>
  </w:num>
  <w:num w:numId="249">
    <w:abstractNumId w:val="267"/>
  </w:num>
  <w:num w:numId="250">
    <w:abstractNumId w:val="91"/>
  </w:num>
  <w:num w:numId="251">
    <w:abstractNumId w:val="249"/>
  </w:num>
  <w:num w:numId="252">
    <w:abstractNumId w:val="161"/>
  </w:num>
  <w:num w:numId="253">
    <w:abstractNumId w:val="219"/>
  </w:num>
  <w:num w:numId="254">
    <w:abstractNumId w:val="21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5">
    <w:abstractNumId w:val="195"/>
  </w:num>
  <w:num w:numId="256">
    <w:abstractNumId w:val="19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245"/>
  </w:num>
  <w:num w:numId="258">
    <w:abstractNumId w:val="24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187"/>
  </w:num>
  <w:num w:numId="260">
    <w:abstractNumId w:val="131"/>
  </w:num>
  <w:num w:numId="261">
    <w:abstractNumId w:val="13"/>
  </w:num>
  <w:num w:numId="262">
    <w:abstractNumId w:val="236"/>
  </w:num>
  <w:num w:numId="263">
    <w:abstractNumId w:val="182"/>
  </w:num>
  <w:num w:numId="264">
    <w:abstractNumId w:val="153"/>
  </w:num>
  <w:num w:numId="265">
    <w:abstractNumId w:val="83"/>
  </w:num>
  <w:num w:numId="266">
    <w:abstractNumId w:val="12"/>
  </w:num>
  <w:num w:numId="267">
    <w:abstractNumId w:val="256"/>
  </w:num>
  <w:num w:numId="268">
    <w:abstractNumId w:val="234"/>
  </w:num>
  <w:num w:numId="269">
    <w:abstractNumId w:val="196"/>
  </w:num>
  <w:num w:numId="270">
    <w:abstractNumId w:val="31"/>
  </w:num>
  <w:num w:numId="271">
    <w:abstractNumId w:val="263"/>
  </w:num>
  <w:num w:numId="272">
    <w:abstractNumId w:val="24"/>
  </w:num>
  <w:num w:numId="273">
    <w:abstractNumId w:val="137"/>
  </w:num>
  <w:num w:numId="274">
    <w:abstractNumId w:val="111"/>
  </w:num>
  <w:num w:numId="275">
    <w:abstractNumId w:val="117"/>
  </w:num>
  <w:num w:numId="276">
    <w:abstractNumId w:val="51"/>
  </w:num>
  <w:num w:numId="277">
    <w:abstractNumId w:val="228"/>
  </w:num>
  <w:num w:numId="278">
    <w:abstractNumId w:val="39"/>
  </w:num>
  <w:num w:numId="279">
    <w:abstractNumId w:val="28"/>
  </w:num>
  <w:num w:numId="280">
    <w:abstractNumId w:val="248"/>
  </w:num>
  <w:num w:numId="281">
    <w:abstractNumId w:val="155"/>
  </w:num>
  <w:num w:numId="282">
    <w:abstractNumId w:val="26"/>
  </w:num>
  <w:num w:numId="283">
    <w:abstractNumId w:val="27"/>
  </w:num>
  <w:num w:numId="284">
    <w:abstractNumId w:val="244"/>
  </w:num>
  <w:num w:numId="285">
    <w:abstractNumId w:val="193"/>
  </w:num>
  <w:num w:numId="286">
    <w:abstractNumId w:val="7"/>
  </w:num>
  <w:num w:numId="287">
    <w:abstractNumId w:val="6"/>
  </w:num>
  <w:num w:numId="288">
    <w:abstractNumId w:val="5"/>
  </w:num>
  <w:num w:numId="289">
    <w:abstractNumId w:val="4"/>
  </w:num>
  <w:num w:numId="290">
    <w:abstractNumId w:val="20"/>
  </w:num>
  <w:num w:numId="291">
    <w:abstractNumId w:val="122"/>
  </w:num>
  <w:num w:numId="292">
    <w:abstractNumId w:val="164"/>
  </w:num>
  <w:num w:numId="293">
    <w:abstractNumId w:val="242"/>
  </w:num>
  <w:num w:numId="294">
    <w:abstractNumId w:val="90"/>
  </w:num>
  <w:num w:numId="295">
    <w:abstractNumId w:val="264"/>
  </w:num>
  <w:num w:numId="296">
    <w:abstractNumId w:val="58"/>
  </w:num>
  <w:num w:numId="297">
    <w:abstractNumId w:val="270"/>
  </w:num>
  <w:num w:numId="298">
    <w:abstractNumId w:val="93"/>
  </w:num>
  <w:num w:numId="299">
    <w:abstractNumId w:val="53"/>
  </w:num>
  <w:num w:numId="300">
    <w:abstractNumId w:val="147"/>
  </w:num>
  <w:num w:numId="301">
    <w:abstractNumId w:val="224"/>
  </w:num>
  <w:num w:numId="302">
    <w:abstractNumId w:val="108"/>
  </w:num>
  <w:num w:numId="303">
    <w:abstractNumId w:val="166"/>
  </w:num>
  <w:num w:numId="304">
    <w:abstractNumId w:val="100"/>
  </w:num>
  <w:num w:numId="305">
    <w:abstractNumId w:val="102"/>
  </w:num>
  <w:num w:numId="306">
    <w:abstractNumId w:val="261"/>
  </w:num>
  <w:num w:numId="307">
    <w:abstractNumId w:val="138"/>
  </w:num>
  <w:num w:numId="308">
    <w:abstractNumId w:val="60"/>
  </w:num>
  <w:num w:numId="309">
    <w:abstractNumId w:val="89"/>
  </w:num>
  <w:num w:numId="310">
    <w:abstractNumId w:val="40"/>
  </w:num>
  <w:num w:numId="311">
    <w:abstractNumId w:val="265"/>
  </w:num>
  <w:num w:numId="312">
    <w:abstractNumId w:val="2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8"/>
  <w:hideGrammaticalErrors/>
  <w:activeWritingStyle w:appName="MSWord" w:lang="ru-RU" w:vendorID="1" w:dllVersion="512" w:checkStyle="1"/>
  <w:activeWritingStyle w:appName="MSWord" w:lang="en-US" w:vendorID="8" w:dllVersion="513"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4">
    <w:name w:val="heading 4"/>
    <w:basedOn w:val="Normal"/>
    <w:next w:val="Normal"/>
    <w:qFormat/>
    <w:pPr>
      <w:keepNext/>
      <w:ind w:left="1267" w:right="1267"/>
      <w:jc w:val="both"/>
      <w:outlineLvl w:val="3"/>
    </w:pPr>
    <w:rPr>
      <w:b/>
    </w:rPr>
  </w:style>
  <w:style w:type="paragraph" w:styleId="Heading9">
    <w:name w:val="heading 9"/>
    <w:basedOn w:val="Normal"/>
    <w:next w:val="Normal"/>
    <w:qFormat/>
    <w:pPr>
      <w:keepNext/>
      <w:numPr>
        <w:numId w:val="5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4"/>
      </w:numPr>
    </w:pPr>
  </w:style>
  <w:style w:type="paragraph" w:styleId="BodyText">
    <w:name w:val="Body Text"/>
    <w:basedOn w:val="Normal"/>
    <w:semiHidden/>
    <w:pPr>
      <w:tabs>
        <w:tab w:val="left" w:pos="1814"/>
      </w:tabs>
      <w:spacing w:after="120"/>
      <w:ind w:left="1247" w:right="1247"/>
      <w:jc w:val="both"/>
    </w:pPr>
    <w:rPr>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image" Target="media/image9.png"/><Relationship Id="rId39" Type="http://schemas.openxmlformats.org/officeDocument/2006/relationships/oleObject" Target="embeddings/Microsoft_Excel_Chart7.xls"/><Relationship Id="rId21" Type="http://schemas.openxmlformats.org/officeDocument/2006/relationships/oleObject" Target="embeddings/Microsoft_Excel_Chart3.xls"/><Relationship Id="rId34" Type="http://schemas.openxmlformats.org/officeDocument/2006/relationships/image" Target="media/image15.png"/><Relationship Id="rId42" Type="http://schemas.openxmlformats.org/officeDocument/2006/relationships/image" Target="media/image21.wmf"/><Relationship Id="rId47" Type="http://schemas.openxmlformats.org/officeDocument/2006/relationships/oleObject" Target="embeddings/Microsoft_Excel_Chart11.xls"/><Relationship Id="rId50" Type="http://schemas.openxmlformats.org/officeDocument/2006/relationships/image" Target="media/image25.wmf"/><Relationship Id="rId55" Type="http://schemas.openxmlformats.org/officeDocument/2006/relationships/oleObject" Target="embeddings/Microsoft_Excel_Chart15.xls"/><Relationship Id="rId63" Type="http://schemas.openxmlformats.org/officeDocument/2006/relationships/footer" Target="footer5.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image" Target="media/image11.wmf"/><Relationship Id="rId41" Type="http://schemas.openxmlformats.org/officeDocument/2006/relationships/oleObject" Target="embeddings/Microsoft_Excel_Chart8.xls"/><Relationship Id="rId54" Type="http://schemas.openxmlformats.org/officeDocument/2006/relationships/image" Target="media/image27.wmf"/><Relationship Id="rId62"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0.wmf"/><Relationship Id="rId45" Type="http://schemas.openxmlformats.org/officeDocument/2006/relationships/oleObject" Target="embeddings/Microsoft_Excel_Chart10.xls"/><Relationship Id="rId53" Type="http://schemas.openxmlformats.org/officeDocument/2006/relationships/oleObject" Target="embeddings/Microsoft_Excel_Chart14.xls"/><Relationship Id="rId58" Type="http://schemas.openxmlformats.org/officeDocument/2006/relationships/image" Target="media/image29.wmf"/><Relationship Id="rId5" Type="http://schemas.openxmlformats.org/officeDocument/2006/relationships/footnotes" Target="footnotes.xml"/><Relationship Id="rId15" Type="http://schemas.openxmlformats.org/officeDocument/2006/relationships/oleObject" Target="embeddings/Microsoft_Excel_97-2003_Worksheet1.xls"/><Relationship Id="rId23" Type="http://schemas.openxmlformats.org/officeDocument/2006/relationships/oleObject" Target="embeddings/Microsoft_Excel_Chart4.xls"/><Relationship Id="rId28" Type="http://schemas.openxmlformats.org/officeDocument/2006/relationships/oleObject" Target="embeddings/Microsoft_Excel_Chart5.xls"/><Relationship Id="rId36" Type="http://schemas.openxmlformats.org/officeDocument/2006/relationships/image" Target="media/image17.png"/><Relationship Id="rId49" Type="http://schemas.openxmlformats.org/officeDocument/2006/relationships/oleObject" Target="embeddings/Microsoft_Excel_Chart12.xls"/><Relationship Id="rId57" Type="http://schemas.openxmlformats.org/officeDocument/2006/relationships/oleObject" Target="embeddings/Microsoft_Excel_Chart16.xls"/><Relationship Id="rId61" Type="http://schemas.openxmlformats.org/officeDocument/2006/relationships/header" Target="header5.xml"/><Relationship Id="rId10" Type="http://schemas.openxmlformats.org/officeDocument/2006/relationships/footer" Target="footer2.xml"/><Relationship Id="rId19" Type="http://schemas.openxmlformats.org/officeDocument/2006/relationships/oleObject" Target="embeddings/oleObject1.bin"/><Relationship Id="rId31" Type="http://schemas.openxmlformats.org/officeDocument/2006/relationships/image" Target="media/image12.png"/><Relationship Id="rId44" Type="http://schemas.openxmlformats.org/officeDocument/2006/relationships/image" Target="media/image22.wmf"/><Relationship Id="rId52" Type="http://schemas.openxmlformats.org/officeDocument/2006/relationships/image" Target="media/image26.wmf"/><Relationship Id="rId60" Type="http://schemas.openxmlformats.org/officeDocument/2006/relationships/header" Target="header4.xm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image" Target="media/image10.wmf"/><Relationship Id="rId30" Type="http://schemas.openxmlformats.org/officeDocument/2006/relationships/oleObject" Target="embeddings/Microsoft_Excel_Chart6.xls"/><Relationship Id="rId35" Type="http://schemas.openxmlformats.org/officeDocument/2006/relationships/image" Target="media/image16.png"/><Relationship Id="rId43" Type="http://schemas.openxmlformats.org/officeDocument/2006/relationships/oleObject" Target="embeddings/Microsoft_Excel_Chart9.xls"/><Relationship Id="rId48" Type="http://schemas.openxmlformats.org/officeDocument/2006/relationships/image" Target="media/image24.wmf"/><Relationship Id="rId56" Type="http://schemas.openxmlformats.org/officeDocument/2006/relationships/image" Target="media/image28.wmf"/><Relationship Id="rId64" Type="http://schemas.openxmlformats.org/officeDocument/2006/relationships/fontTable" Target="fontTable.xml"/><Relationship Id="rId8" Type="http://schemas.openxmlformats.org/officeDocument/2006/relationships/header" Target="header2.xml"/><Relationship Id="rId51" Type="http://schemas.openxmlformats.org/officeDocument/2006/relationships/oleObject" Target="embeddings/Microsoft_Excel_Chart13.xls"/><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oleObject" Target="embeddings/Microsoft_Excel_97-2003_Worksheet2.xls"/><Relationship Id="rId25" Type="http://schemas.openxmlformats.org/officeDocument/2006/relationships/image" Target="media/image8.png"/><Relationship Id="rId33" Type="http://schemas.openxmlformats.org/officeDocument/2006/relationships/image" Target="media/image14.png"/><Relationship Id="rId38" Type="http://schemas.openxmlformats.org/officeDocument/2006/relationships/image" Target="media/image19.wmf"/><Relationship Id="rId46" Type="http://schemas.openxmlformats.org/officeDocument/2006/relationships/image" Target="media/image23.wmf"/><Relationship Id="rId59" Type="http://schemas.openxmlformats.org/officeDocument/2006/relationships/oleObject" Target="embeddings/Microsoft_Excel_Chart17.xls"/></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143</Pages>
  <Words>52810</Words>
  <Characters>301017</Characters>
  <Application>Microsoft Office Word</Application>
  <DocSecurity>4</DocSecurity>
  <Lines>2508</Lines>
  <Paragraphs>602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369670</CharactersWithSpaces>
  <SharedDoc>false</SharedDoc>
  <HLinks>
    <vt:vector size="6" baseType="variant">
      <vt:variant>
        <vt:i4>4522087</vt:i4>
      </vt:variant>
      <vt:variant>
        <vt:i4>731448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Tatiana.Panichkina</cp:lastModifiedBy>
  <cp:revision>11</cp:revision>
  <cp:lastPrinted>2005-08-25T19:48:00Z</cp:lastPrinted>
  <dcterms:created xsi:type="dcterms:W3CDTF">2005-08-25T19:03:00Z</dcterms:created>
  <dcterms:modified xsi:type="dcterms:W3CDTF">2005-08-25T20:23:00Z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146</vt:lpwstr>
  </property>
  <property fmtid="{D5CDD505-2E9C-101B-9397-08002B2CF9AE}" pid="8" name="Operator">
    <vt:lpwstr>Паничкина</vt:lpwstr>
  </property>
</Properties>
</file>