
<file path=[Content_Types].xml><?xml version="1.0" encoding="utf-8"?>
<Types xmlns="http://schemas.openxmlformats.org/package/2006/content-types">
  <Override PartName="/word/footnotes.xml" ContentType="application/vnd.openxmlformats-officedocument.wordprocessingml.footnotes+xml"/>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para la Eliminación de la Discriminación</w:t>
      </w:r>
      <w:r>
        <w:br/>
        <w:t>contra la Mujer</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Grupo de trabajo anterior al período de sesiones </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34° período de sesiones</w:t>
      </w:r>
    </w:p>
    <w:p w:rsidR="00000000" w:rsidRDefault="00000000">
      <w:pPr>
        <w:tabs>
          <w:tab w:val="left" w:pos="475"/>
          <w:tab w:val="left" w:pos="965"/>
          <w:tab w:val="left" w:pos="1440"/>
          <w:tab w:val="left" w:pos="1915"/>
          <w:tab w:val="left" w:pos="2405"/>
          <w:tab w:val="left" w:pos="2880"/>
          <w:tab w:val="left" w:pos="3355"/>
        </w:tabs>
      </w:pPr>
      <w:r>
        <w:t>16 de enero a 3 de febrero de 2006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Lista de cuestiones y preguntas relativas al examen </w:t>
      </w:r>
      <w:r>
        <w:br/>
        <w:t>de los informes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Eritrea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w:t>
      </w:r>
      <w:r>
        <w:tab/>
      </w:r>
      <w:r>
        <w:rPr>
          <w:spacing w:val="6"/>
          <w:w w:val="104"/>
        </w:rPr>
        <w:t>El grupo de trabajo anterior al período de sesiones examinó el informe in</w:t>
      </w:r>
      <w:r>
        <w:rPr>
          <w:spacing w:val="6"/>
          <w:w w:val="104"/>
        </w:rPr>
        <w:t>i</w:t>
      </w:r>
      <w:r>
        <w:rPr>
          <w:spacing w:val="6"/>
          <w:w w:val="104"/>
        </w:rPr>
        <w:t>cial y los informes periódicos segundo y tercero combinados de Eritrea (CEDAW/C/ERI/1-2 y CEDAW/C/ERI/1</w:t>
      </w:r>
      <w:r>
        <w:rPr>
          <w:spacing w:val="6"/>
          <w:w w:val="104"/>
        </w:rPr>
        <w:noBreakHyphen/>
        <w:t>3/Corr.1).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Artículos 1 y 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w:t>
      </w:r>
      <w:r>
        <w:tab/>
        <w:t>En el informe se menciona que en 1997 se creó un comité de reforma de la l</w:t>
      </w:r>
      <w:r>
        <w:t>e</w:t>
      </w:r>
      <w:r>
        <w:t>gislación con el cometido de reformar o revocar los códigos civil y penal de la era colonial, y que está en vigor un código de transición, en el que se prevé la elimin</w:t>
      </w:r>
      <w:r>
        <w:t>a</w:t>
      </w:r>
      <w:r>
        <w:t xml:space="preserve">ción de todas las cláusulas y connotaciones discriminatorias y la incorporación de medidas jurídicas de protección (véase ibíd., pág. 8). ¿Cuál es la situación jurídica del código de transición y cómo contribuye al cumplimiento por el Gobierno de las obligaciones que le impone la Convención? </w:t>
      </w:r>
    </w:p>
    <w:p w:rsidR="00000000" w:rsidRDefault="00000000">
      <w:pPr>
        <w:pStyle w:val="SingleTxt"/>
      </w:pPr>
      <w:r>
        <w:t>3.</w:t>
      </w:r>
      <w:r>
        <w:tab/>
        <w:t xml:space="preserve">Sírvanse indicar la situación jurídica en que se halla la Convención dentro del ordenamiento jurídico interno. En caso de conflicto entre las disposiciones de la Convención y el derecho nacional, ¿qué disposiciones prevalecerían? </w:t>
      </w:r>
    </w:p>
    <w:p w:rsidR="00000000" w:rsidRDefault="00000000">
      <w:pPr>
        <w:pStyle w:val="SingleTxt"/>
      </w:pPr>
      <w:r>
        <w:t>4.</w:t>
      </w:r>
      <w:r>
        <w:tab/>
        <w:t>Sírvanse describir de qué mecanismos y recursos dispone la mujer para denu</w:t>
      </w:r>
      <w:r>
        <w:t>n</w:t>
      </w:r>
      <w:r>
        <w:t>ciar casos de discriminación por motivos de género, incluidos los mecanismos ind</w:t>
      </w:r>
      <w:r>
        <w:t>e</w:t>
      </w:r>
      <w:r>
        <w:t xml:space="preserve">pendientes (por ejemplo, un defensor de la mujer).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 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5.</w:t>
      </w:r>
      <w:r>
        <w:tab/>
        <w:t>En el informe se menciona la necesidad de aplicar de manera sistemática un enfoque integrado con respecto a la implantación de un sistema de obtención de e</w:t>
      </w:r>
      <w:r>
        <w:t>s</w:t>
      </w:r>
      <w:r>
        <w:t>tadísticas desglosadas por género en todos los ministerios competentes del Gobie</w:t>
      </w:r>
      <w:r>
        <w:t>r</w:t>
      </w:r>
      <w:r>
        <w:t>no, el sector privado, las organizaciones no gubernamentales y otras instituciones pertinentes (véase ibíd., pág. 7). Sírvanse indicar si se ha formulado y se está apl</w:t>
      </w:r>
      <w:r>
        <w:t>i</w:t>
      </w:r>
      <w:r>
        <w:t>cando un enfoque o una política de esas características y cómo se utilizarán las est</w:t>
      </w:r>
      <w:r>
        <w:t>a</w:t>
      </w:r>
      <w:r>
        <w:t xml:space="preserve">dísticas desglosadas por género para promover la aplicación de la Convención. </w:t>
      </w:r>
    </w:p>
    <w:p w:rsidR="00000000" w:rsidRDefault="00000000">
      <w:pPr>
        <w:pStyle w:val="SingleTxt"/>
      </w:pPr>
      <w:r>
        <w:t>6.</w:t>
      </w:r>
      <w:r>
        <w:tab/>
        <w:t>La Unión Nacional de Mujeres de Eritrea es una organización no gubern</w:t>
      </w:r>
      <w:r>
        <w:t>a</w:t>
      </w:r>
      <w:r>
        <w:t>mental creada para ser el mecanismo nacional de adelanto de la mujer (véase ibíd., pág. 5), incluido en el contexto de la aplicación de la Convención. En el informe se indica que la Unión “necesita potenciar su estructura para desempeñar un amplio papel en el seguimiento de las actividades destinadas a incorporar la perspectiva de género en el sector público y en otros organismos” (véase ibíd., pág. 13). En la Pl</w:t>
      </w:r>
      <w:r>
        <w:t>a</w:t>
      </w:r>
      <w:r>
        <w:t>taforma de Acción se estipulan los parámetros a los que deben atenerse los mec</w:t>
      </w:r>
      <w:r>
        <w:t>a</w:t>
      </w:r>
      <w:r>
        <w:t>nismos nacionales. ¿Está previsto crear algún mecanismo nacional que se ajuste a lo especificado en la Declaración y Plataforma de Acción de Beijing, que tenga ta</w:t>
      </w:r>
      <w:r>
        <w:t>m</w:t>
      </w:r>
      <w:r>
        <w:t>bién el cometido de contribuir a la aplicación de la Co</w:t>
      </w:r>
      <w:r>
        <w:t>n</w:t>
      </w:r>
      <w:r>
        <w:t>vención?</w:t>
      </w:r>
    </w:p>
    <w:p w:rsidR="00000000" w:rsidRDefault="00000000">
      <w:pPr>
        <w:pStyle w:val="SingleTxt"/>
      </w:pPr>
      <w:r>
        <w:t>7.</w:t>
      </w:r>
      <w:r>
        <w:tab/>
        <w:t>En el informe se indica que la Unión Nacional de Mujeres de Eritrea ha pr</w:t>
      </w:r>
      <w:r>
        <w:t>o</w:t>
      </w:r>
      <w:r>
        <w:t>puesto un plan nacional de acción quinquenal sobre los aspectos del desarrollo rel</w:t>
      </w:r>
      <w:r>
        <w:t>a</w:t>
      </w:r>
      <w:r>
        <w:t>cionados con el género (véase ibíd., pág. 5). ¿En qué situación se encuentra actua</w:t>
      </w:r>
      <w:r>
        <w:t>l</w:t>
      </w:r>
      <w:r>
        <w:t xml:space="preserve">mente la aplicación de ese plan nacional? Sírvanse indicar si se han incorporado las normas y disposiciones de la Convención en el marco de ese plan nacional.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8.</w:t>
      </w:r>
      <w:r>
        <w:tab/>
        <w:t>En el informe se indica que el Gobierno tiene previsto aplicar “una política n</w:t>
      </w:r>
      <w:r>
        <w:t>a</w:t>
      </w:r>
      <w:r>
        <w:t>cional de amplio alcance y el correspondiente plan de acción sobre las cuestiones de género, que abarcará a todos los sectores e instituciones, a fin de integrar esas cue</w:t>
      </w:r>
      <w:r>
        <w:t>s</w:t>
      </w:r>
      <w:r>
        <w:t>tiones mediante la acción afirmativa” (véase ibíd., pág. 11). Sírvanse aclarar qué entiende el Gobierno por “acción afirmativa” a tenor de la recomendación general No. 25 del Comité y especificar qué medidas especiales de carácter temporal se está estudiando adoptar.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9.</w:t>
      </w:r>
      <w:r>
        <w:tab/>
        <w:t>En el informe se señala que los estereotipos arraigados en la cultura menosc</w:t>
      </w:r>
      <w:r>
        <w:t>a</w:t>
      </w:r>
      <w:r>
        <w:t>ban considerablemente el ejercicio de los derechos de la mujer reconocidos en la Convención (véase ibíd., págs. 13 y 14) y se indica la necesidad de un plan inte</w:t>
      </w:r>
      <w:r>
        <w:t>r</w:t>
      </w:r>
      <w:r>
        <w:t>sectorial a largo plazo, con financiación suficiente, para combatir los estereotipos basados en el género (véase ibíd., pág. 14). Sírvanse indicar qué medidas concretas se han adoptado para concebir y poner en práctica dicho plan.</w:t>
      </w:r>
    </w:p>
    <w:p w:rsidR="00000000" w:rsidRDefault="00000000">
      <w:pPr>
        <w:pStyle w:val="SingleTxt"/>
      </w:pPr>
      <w:r>
        <w:t>10.</w:t>
      </w:r>
      <w:r>
        <w:tab/>
        <w:t>En el informe de la Relatora Especial sobre la violencia contra la mujer, sus causas y sus consecuencias (E/CN.4/2003/75/Add.1) se indica que la violencia contra la mujer es un fenómeno generalizado en Eritrea. El informe contiene poca información sobre la violencia contra la mujer. Sírvanse aportar información det</w:t>
      </w:r>
      <w:r>
        <w:t>a</w:t>
      </w:r>
      <w:r>
        <w:t>llada sobre las formas y el alcance de la violencia contra la mujer, en particular de la violencia doméstica, en Eritrea. Sírvanse indicar si existe una estrategia integral y multidisciplinaria para combatir todas las formas de violencia contra la mujer y de</w:t>
      </w:r>
      <w:r>
        <w:t>s</w:t>
      </w:r>
      <w:r>
        <w:t>cr</w:t>
      </w:r>
      <w:r>
        <w:t>í</w:t>
      </w:r>
      <w:r>
        <w:t>banla, si la hubiere.</w:t>
      </w:r>
    </w:p>
    <w:p w:rsidR="00000000" w:rsidRDefault="00000000">
      <w:pPr>
        <w:pStyle w:val="SingleTxt"/>
      </w:pPr>
      <w:r>
        <w:t>11.</w:t>
      </w:r>
      <w:r>
        <w:tab/>
        <w:t>En el informe se indica que los violadores eluden el enjuiciamiento y el cast</w:t>
      </w:r>
      <w:r>
        <w:t>i</w:t>
      </w:r>
      <w:r>
        <w:t>go casándose con sus víctimas, y que la definición de violación excluye la violación en el matrimonio (véase ibíd., pág. 72). Sírvanse especificar si se ha tomado alguna medida, incluida la promulgación de legislación, para hacer frente a esa situación.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12.</w:t>
      </w:r>
      <w:r>
        <w:tab/>
        <w:t>Según el informe, la trata de personas y la “explotación habitual de la conducta inmoral ajena” son contrarias a la ley y están penadas (véase ibíd., págs. 15 y 16). Sírvanse aportar datos y comentar los rasgos fundamentales de las causas juzgadas en virtud de los artículos 604 y 605 del Código Penal. ¿De qué medidas de prote</w:t>
      </w:r>
      <w:r>
        <w:t>c</w:t>
      </w:r>
      <w:r>
        <w:t xml:space="preserve">ción, si las hubiere, disponen las víctimas de la trata de personas?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13.</w:t>
      </w:r>
      <w:r>
        <w:tab/>
        <w:t>En el informe se indica que son muy pocas las mujeres que ocupan cargos i</w:t>
      </w:r>
      <w:r>
        <w:t>m</w:t>
      </w:r>
      <w:r>
        <w:t>portantes en la vida política y pública (véase ibíd., págs. 17 a 20). Aparte del est</w:t>
      </w:r>
      <w:r>
        <w:t>a</w:t>
      </w:r>
      <w:r>
        <w:t>blecimiento de un sistema de cupos por el que se reserva el 30% de los esc</w:t>
      </w:r>
      <w:r>
        <w:t>a</w:t>
      </w:r>
      <w:r>
        <w:t>ños de las asambleas de distrito y el Parlamento Nacional a mujeres, ¿qué otras m</w:t>
      </w:r>
      <w:r>
        <w:t>e</w:t>
      </w:r>
      <w:r>
        <w:t>didas se han adoptado para lograr la participación y representación plenas y parit</w:t>
      </w:r>
      <w:r>
        <w:t>a</w:t>
      </w:r>
      <w:r>
        <w:t>rias de la mujer en el Gobierno a todos los niveles, incluidos el gabinete minist</w:t>
      </w:r>
      <w:r>
        <w:t>e</w:t>
      </w:r>
      <w:r>
        <w:t>rial, el Politburó y el Comité Central, así como a nivel de distrito y local, en el ma</w:t>
      </w:r>
      <w:r>
        <w:t>r</w:t>
      </w:r>
      <w:r>
        <w:t>co de la recomendación general No. 25 del Comité relativa al párrafo 1 del artículo 4 de la Convención y la recomendación general No. 23 relativa a la mujer en la vida públ</w:t>
      </w:r>
      <w:r>
        <w:t>i</w:t>
      </w:r>
      <w:r>
        <w:t>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14.</w:t>
      </w:r>
      <w:r>
        <w:tab/>
        <w:t>En el informe se indica que la mujer no está suficientemente representada en el ámbito de las relaciones internacionales del país, en especial en los altos cargos de la administración y las misiones en el exterior, y que en general la mujer no partic</w:t>
      </w:r>
      <w:r>
        <w:t>i</w:t>
      </w:r>
      <w:r>
        <w:t xml:space="preserve">pa ni representa al Gobierno en los distintos foros y delegaciones internacionales (véase ibíd., págs. 20 y 21). Sírvanse indicar qué medidas se están adoptando para aumentar la participación de la mujer en esos ámbitos.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15.</w:t>
      </w:r>
      <w:r>
        <w:tab/>
        <w:t>En el informe se señala que: el 52% de las mujeres no tiene estudios (véase ibíd., pág. 23); la tasa de asistencia a la escuela de las mujeres es mucho más baja en las zonas rurales que en las zonas urbanas (véase ibíd., págs. 24 y 54); las muj</w:t>
      </w:r>
      <w:r>
        <w:t>e</w:t>
      </w:r>
      <w:r>
        <w:t>res constituyen únicamente entre el 13% y el 14% del alumnado universitario (vé</w:t>
      </w:r>
      <w:r>
        <w:t>a</w:t>
      </w:r>
      <w:r>
        <w:t>se ibíd., pág. 28); y la representación de la mujer en la enseñanza técnica es de sólo el 14% (véase ibíd., pág. 30). En el informe se indica además que se ha puesto en marcha un proyecto que cuenta con el apoyo del Fondo de las Naciones Unidas para la Infancia (UNICEF) y que tiene por objeto la formulación de una política nacional en materia de educación de las niñas (véase ibíd., pág. 31). Sírvanse indicar la situ</w:t>
      </w:r>
      <w:r>
        <w:t>a</w:t>
      </w:r>
      <w:r>
        <w:t xml:space="preserve">ción en que se encuentra actualmente esa política y las medidas previstas para </w:t>
      </w:r>
      <w:r>
        <w:br/>
        <w:t>aumentar el acceso de la mujer a la educación a todos los niveles y en todos los campos.</w:t>
      </w:r>
    </w:p>
    <w:p w:rsidR="00000000" w:rsidRDefault="00000000">
      <w:pPr>
        <w:pStyle w:val="SingleTxt"/>
      </w:pPr>
      <w:r>
        <w:t>16.</w:t>
      </w:r>
      <w:r>
        <w:tab/>
        <w:t>En el informe se indica que el Ministerio de Educación ha adoptado med</w:t>
      </w:r>
      <w:r>
        <w:t>i</w:t>
      </w:r>
      <w:r>
        <w:t>das concretas para combatir los estereotipos de género en el sistema educat</w:t>
      </w:r>
      <w:r>
        <w:t>i</w:t>
      </w:r>
      <w:r>
        <w:t>vo, como la revisión de los planes de estudio y la introducción de cursos de capac</w:t>
      </w:r>
      <w:r>
        <w:t>i</w:t>
      </w:r>
      <w:r>
        <w:t>tación y sensibilización en materia de género (véase ibíd., págs. 13 y 29). Sírvanse explicar con detalle la repercusión de esas medidas e indicar si se han adoptado otras medidas de amplio alcance para combatir los estereotipos de género en el si</w:t>
      </w:r>
      <w:r>
        <w:t>s</w:t>
      </w:r>
      <w:r>
        <w:t>tema educ</w:t>
      </w:r>
      <w:r>
        <w:t>a</w:t>
      </w:r>
      <w:r>
        <w:t>tivo.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17.</w:t>
      </w:r>
      <w:r>
        <w:tab/>
        <w:t>En el informe se indica que las mujeres constituyen un porcentaje muy bajo de la población económicamente activa (con un 5,1% en los campos profesional y té</w:t>
      </w:r>
      <w:r>
        <w:t>c</w:t>
      </w:r>
      <w:r>
        <w:t>nico, un 0,2% en puestos administrativos y directivos, un 5% en la administración pública y puestos de oficina, un 5,7% en el sector de las ventas, un 17,3% en el sector servicios, un 50% en la agricultura y un 15,5% en producción y puestos af</w:t>
      </w:r>
      <w:r>
        <w:t>i</w:t>
      </w:r>
      <w:r>
        <w:t>nes) (véase ibíd., pág. 34). ¿Qué medidas se han adoptado, incluidas medidas esp</w:t>
      </w:r>
      <w:r>
        <w:t>e</w:t>
      </w:r>
      <w:r>
        <w:t>ciales de carácter temporal y actividades de formación profesional, para asegurar la igualdad en el ámbito del empleo?</w:t>
      </w:r>
    </w:p>
    <w:p w:rsidR="00000000" w:rsidRDefault="00000000">
      <w:pPr>
        <w:pStyle w:val="SingleTxt"/>
      </w:pPr>
      <w:r>
        <w:t>18.</w:t>
      </w:r>
      <w:r>
        <w:tab/>
        <w:t>Sírvanse aportar datos sobre la participación de la mujer en el sector no e</w:t>
      </w:r>
      <w:r>
        <w:t>s</w:t>
      </w:r>
      <w:r>
        <w:t>tructurado, entre otras cosas sobre el número de mujeres que trabajan en la econ</w:t>
      </w:r>
      <w:r>
        <w:t>o</w:t>
      </w:r>
      <w:r>
        <w:t>mía no estructurada en comparación con las que trabajan en la economía estructur</w:t>
      </w:r>
      <w:r>
        <w:t>a</w:t>
      </w:r>
      <w:r>
        <w:t>da, así como sobre los sectores de la economía no estructurada en que el porcentaje de mujeres es más alto.</w:t>
      </w:r>
    </w:p>
    <w:p w:rsidR="00000000" w:rsidRDefault="00000000">
      <w:pPr>
        <w:pStyle w:val="SingleTxt"/>
      </w:pPr>
      <w:r>
        <w:t>19.</w:t>
      </w:r>
      <w:r>
        <w:tab/>
        <w:t>En el informe se señala que la proclamación laboral No. 118/2001 prohíbe la discriminación por motivos de género en el empleo (en términos de oportunid</w:t>
      </w:r>
      <w:r>
        <w:t>a</w:t>
      </w:r>
      <w:r>
        <w:t>des, trato y remuneración) y dispone que las mujeres pueden denunciar cualquier discriminación al Ministro y tendrán derecho a recurrir la decisión del Ministro ante el Tribunal Superior (véase ibíd., pág. 36). En el informe se indica también que, en la práctica, los hombres están mejor pagados y reciben aumentos de sueldo y asce</w:t>
      </w:r>
      <w:r>
        <w:t>n</w:t>
      </w:r>
      <w:r>
        <w:t>sos con mayor frecuencia que las mujeres (véase ibíd., pág. 38). Sírvanse especificar si la proclamación laboral No. 118/2001 ha servido para que las mujeres puedan combatir este tipo de prácticas discriminatorias e indiquen también qué otras med</w:t>
      </w:r>
      <w:r>
        <w:t>i</w:t>
      </w:r>
      <w:r>
        <w:t>das se han adoptado para lograr la aplicación y el cumplimiento efectivos de esa proclam</w:t>
      </w:r>
      <w:r>
        <w:t>a</w:t>
      </w:r>
      <w:r>
        <w:t>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20.</w:t>
      </w:r>
      <w:r>
        <w:tab/>
        <w:t>En el informe se indica que se calcula que la tasa de mortalidad materna es de 998 mujeres por cada 100.000 nacidos vivos (véase ibíd., pág. 46) y que un amplio porcentaje de las mujeres no tiene acceso a centros médicos con servicios de asi</w:t>
      </w:r>
      <w:r>
        <w:t>s</w:t>
      </w:r>
      <w:r>
        <w:t>tencia obstétrica (véase ibíd., págs. 43 y 54). Se ejecutó un programa de capacit</w:t>
      </w:r>
      <w:r>
        <w:t>a</w:t>
      </w:r>
      <w:r>
        <w:t>ción de parteras tradicionales con el fin de mejorar la atención posnatal y la asiste</w:t>
      </w:r>
      <w:r>
        <w:t>n</w:t>
      </w:r>
      <w:r>
        <w:t>cia obstétrica prestadas a las mujeres en las zonas rurales y remotas, sin obtener los resultados deseados (véase ibíd., pág. 43). ¿Existen otros planes o políticas vigentes para aumentar el acceso de la mujer a los centros médicos para recibir asistencia obstétrica y atención prenatal y posnatal?</w:t>
      </w:r>
    </w:p>
    <w:p w:rsidR="00000000" w:rsidRDefault="00000000">
      <w:pPr>
        <w:pStyle w:val="SingleTxt"/>
      </w:pPr>
      <w:r>
        <w:t>21.</w:t>
      </w:r>
      <w:r>
        <w:tab/>
        <w:t>En el informe se señala que el 89% de las mujeres ha sufrido la mutilación g</w:t>
      </w:r>
      <w:r>
        <w:t>e</w:t>
      </w:r>
      <w:r>
        <w:t>nital femenina y se hace notar la necesidad de una campaña intersectorial bien coo</w:t>
      </w:r>
      <w:r>
        <w:t>r</w:t>
      </w:r>
      <w:r>
        <w:t>dinada e integrada en que participen todas las partes interesadas para tratar esa cuestión (véase ibíd., pág. 49). Sírvanse indicar qué medidas se han tomado en este sentido, incluidas las medidas legislativas y de sensibilización.</w:t>
      </w:r>
    </w:p>
    <w:p w:rsidR="00000000" w:rsidRDefault="00000000">
      <w:pPr>
        <w:pStyle w:val="SingleTxt"/>
      </w:pPr>
      <w:r>
        <w:t>22.</w:t>
      </w:r>
      <w:r>
        <w:tab/>
        <w:t>En el informe se indica que: el conocimiento de los métodos de planificación de la familia no está muy extendido (véase ibíd., pág. 48); los embarazos en adole</w:t>
      </w:r>
      <w:r>
        <w:t>s</w:t>
      </w:r>
      <w:r>
        <w:t>centes representan un alto porcentaje de los embarazos (véase ibíd., pág. 47); el aborto practicado por motivos ajenos a estrictos criterios médicos está tipificado como delito (véase ibíd., pág. 48); y los abortos ilícitos son una de las causas de la elevada tasa de mortalidad materna (véase ibíd., pág. 46). Sírvanse aportar inform</w:t>
      </w:r>
      <w:r>
        <w:t>a</w:t>
      </w:r>
      <w:r>
        <w:t xml:space="preserve">ción detallada sobre las medidas adoptadas para lograr que tanto las mujeres como los hombres tengan conocimiento de los métodos anticonceptivos y de planificación de la familia y aumentar el acceso a la planificación de la familia y su utilización. </w:t>
      </w:r>
    </w:p>
    <w:p w:rsidR="00000000" w:rsidRDefault="00000000">
      <w:pPr>
        <w:pStyle w:val="SingleTxt"/>
      </w:pPr>
      <w:r>
        <w:t>23.</w:t>
      </w:r>
      <w:r>
        <w:tab/>
        <w:t>Sírvanse indicar si se ha incorporado una perspectiva de género a los progr</w:t>
      </w:r>
      <w:r>
        <w:t>a</w:t>
      </w:r>
      <w:r>
        <w:t>mas vigentes para combatir el VIH/SIDA y si se han adoptado medidas especiales de prevención dirigidas expresamente a las mujeres.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24.</w:t>
      </w:r>
      <w:r>
        <w:tab/>
        <w:t>En el informe se indica que los programas de microcrédito del Gobierno y las organizaciones no gubernamentales parten del principio de igualdad de acceso y que, en algunos casos, se alienta especialmente a las mujeres como medida de di</w:t>
      </w:r>
      <w:r>
        <w:t>s</w:t>
      </w:r>
      <w:r>
        <w:t>criminación positiva (véase ibíd., pág. 51). Sin embargo, en el informe no queda cl</w:t>
      </w:r>
      <w:r>
        <w:t>a</w:t>
      </w:r>
      <w:r>
        <w:t>ro qué tipo de apoyo programático y práctico se ha prestado a las mujeres empres</w:t>
      </w:r>
      <w:r>
        <w:t>a</w:t>
      </w:r>
      <w:r>
        <w:t>rias. ¿Qué medidas se han adoptado para apoyar a las empresarias en sectores dive</w:t>
      </w:r>
      <w:r>
        <w:t>r</w:t>
      </w:r>
      <w:r>
        <w:t>sos y no tradicionales?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25.</w:t>
      </w:r>
      <w:r>
        <w:tab/>
        <w:t>En el informe se hace notar que el Fondo de Rehabilitación Comunitaria Er</w:t>
      </w:r>
      <w:r>
        <w:t>i</w:t>
      </w:r>
      <w:r>
        <w:t>trea ha emprendido varias actividades encaminadas a fomentar el desarrollo de las comunidades rurales y que en el momento en que se presentó el informe estaba pr</w:t>
      </w:r>
      <w:r>
        <w:t>e</w:t>
      </w:r>
      <w:r>
        <w:t>visto que se realizara una evaluación integral de la repercusión de esos programas para las mujeres de las zonas rurales (véase ibíd., págs. 54 y 55). ¿Se ha realizado esa evaluación? De ser así, indíquense los resultados.</w:t>
      </w:r>
    </w:p>
    <w:p w:rsidR="00000000" w:rsidRDefault="00000000">
      <w:pPr>
        <w:pStyle w:val="SingleTxt"/>
      </w:pPr>
      <w:r>
        <w:t>26.</w:t>
      </w:r>
      <w:r>
        <w:tab/>
        <w:t>En el informe se señala que, aunque conforme a la política de reforma agraria la ley reconoce a la mujer el derecho a utilizar la tierra con fines agrícolas, de v</w:t>
      </w:r>
      <w:r>
        <w:t>i</w:t>
      </w:r>
      <w:r>
        <w:t>vienda y de inversión, subsisten “actitudes que representan impedimentos” para la aplicación de esas disposiciones (véase ibíd., págs. 56 y 65). Sírvanse describir las dificultades para aplicar la política de reforma a hombres y mujeres por igual y qué medidas se han adoptado para superar esos impedimentos.</w:t>
      </w:r>
    </w:p>
    <w:p w:rsidR="00000000" w:rsidRDefault="00000000">
      <w:pPr>
        <w:pStyle w:val="SingleTxt"/>
      </w:pPr>
      <w:r>
        <w:br w:type="page"/>
        <w:t>27.</w:t>
      </w:r>
      <w:r>
        <w:tab/>
        <w:t>En el informe se indica la necesidad de que las agricultoras participen en s</w:t>
      </w:r>
      <w:r>
        <w:t>e</w:t>
      </w:r>
      <w:r>
        <w:t>siones de capacitación organizadas por el Servicio de Asesoramiento Agr</w:t>
      </w:r>
      <w:r>
        <w:t>a</w:t>
      </w:r>
      <w:r>
        <w:t>rio y se recomienda que la Unión Nacional de Mujeres Eritreas y otros interesados participen en la coordinación del Servicio para aumentar su eficacia (véase ibíd., pág. 58). ¿Se han adoptado medidas para que la Unión y otras organizaciones de mujeres participen en las actividades del Servicio a fin de lograr que las mujeres de las zonas rurales puedan beneficiarse de esos servicios de asesoramiento y capacit</w:t>
      </w:r>
      <w:r>
        <w:t>a</w:t>
      </w:r>
      <w:r>
        <w:t>ción y de aumentar su acceso a los procesos de adopción de decisiones?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28.</w:t>
      </w:r>
      <w:r>
        <w:tab/>
        <w:t>En el informe se hace notar que las mujeres, aunque tienen la misma capacidad jurídica que los hombres, desconocen sus derechos y capacidad jurídica, y que la Unión Nacional de Mujeres Eritreas ha creado una dependencia de asesoramiento jurídico para dar a conocer las disposiciones jurídicas relativas a la mujer (véase ibíd., pág. 67). ¿Recibe la dependencia de asesoramiento jurídico financiación y apoyo del Gobierno? ¿Llegan sus programas de sensibilización a las mujeres de las zonas rurales?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29.</w:t>
      </w:r>
      <w:r>
        <w:tab/>
        <w:t>En el informe se indica que, si bien para contraer matrimonio la edad exigida por la ley es 18 años tanto para el hombre como para la mujer y es necesario el co</w:t>
      </w:r>
      <w:r>
        <w:t>n</w:t>
      </w:r>
      <w:r>
        <w:t>sentimiento de ambos contrayentes, el matrimonio entre menores de edad, el matr</w:t>
      </w:r>
      <w:r>
        <w:t>i</w:t>
      </w:r>
      <w:r>
        <w:t>monio forzoso y los compromisos matrimoniales son prácticas comunes (véase ibíd., págs. 67 y 70). Sírvanse aportar información detallada sobre la prevalencia de estas prácticas y describir las iniciativas de sensibilización y otros programas que se h</w:t>
      </w:r>
      <w:r>
        <w:t>a</w:t>
      </w:r>
      <w:r>
        <w:t>yan previsto o emprendido para acabar con el matrimonio precoz y el matrimonio forzoso y aumentar el cumplimiento de la Convención.</w:t>
      </w:r>
    </w:p>
    <w:p w:rsidR="00000000" w:rsidRDefault="00000000">
      <w:pPr>
        <w:pStyle w:val="SingleTxt"/>
      </w:pPr>
      <w:r>
        <w:t>30.</w:t>
      </w:r>
      <w:r>
        <w:tab/>
        <w:t>En el informe se indica que el matrimonio consuetudinario y el matrim</w:t>
      </w:r>
      <w:r>
        <w:t>o</w:t>
      </w:r>
      <w:r>
        <w:t>nio religioso están reconocidos (véase ibíd., pág. 68) y que las normas por las que se rigen el matrimonio y el divorcio en ese tipo de matrimonios son discriminat</w:t>
      </w:r>
      <w:r>
        <w:t>o</w:t>
      </w:r>
      <w:r>
        <w:t>rias contra la mujer (véase ibíd., págs. 68 a 71). ¿Qué se está haciendo para apl</w:t>
      </w:r>
      <w:r>
        <w:t>i</w:t>
      </w:r>
      <w:r>
        <w:t>car las disposiciones del derecho de familia previstas en el código de transición al matrimonio religioso y consuetudinario, y para garantizar el cumplimiento de la Conve</w:t>
      </w:r>
      <w:r>
        <w:t>n</w:t>
      </w:r>
      <w:r>
        <w:t>ción?</w:t>
      </w:r>
    </w:p>
    <w:p w:rsidR="00000000" w:rsidRDefault="00000000">
      <w:pPr>
        <w:pStyle w:val="SingleTxt"/>
        <w:spacing w:after="0" w:line="240" w:lineRule="auto"/>
      </w:pPr>
      <w:r>
        <w:rPr>
          <w:noProof/>
          <w:w w:val="100"/>
        </w:rPr>
        <w:pict>
          <v:line id="_x0000_s2050" style="position:absolute;left:0;text-align:left;z-index:1;mso-position-horizontal:absolute;mso-position-horizontal-relative:page;mso-position-vertical:absolute;mso-position-vertical-relative:text" from="280.8pt,24pt" to="352.8pt,24pt" o:allowincell="f" strokeweight=".25pt">
            <w10:wrap anchorx="page"/>
          </v:line>
        </w:pict>
      </w:r>
    </w:p>
    <w:sectPr w:rsidR="00000000">
      <w:endnotePr>
        <w:numFmt w:val="decimal"/>
      </w:endnotePr>
      <w:type w:val="continuous"/>
      <w:pgSz w:w="12240" w:h="15840" w:code="1"/>
      <w:pgMar w:top="1742" w:right="1195" w:bottom="1898" w:left="1195" w:header="576" w:footer="1030" w:gutter="0"/>
      <w:pgNumType w:start="1"/>
      <w:cols w:space="720"/>
      <w:noEndnote/>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NO&gt;&gt;N0545827S&lt;&lt;ODS JOB NO&gt;&gt;</w:t>
      </w:r>
    </w:p>
    <w:p w:rsidR="00000000" w:rsidRDefault="00000000">
      <w:pPr>
        <w:pStyle w:val="CommentText"/>
      </w:pPr>
      <w:r>
        <w:t>&lt;&lt;ODS DOC SYMBOL1&gt;&gt;CEDAW/C/ERI/Q/1-3&lt;&lt;ODS DOC SYMBOL1&gt;&gt;</w:t>
      </w:r>
    </w:p>
    <w:p w:rsidR="00000000" w:rsidRDefault="00000000">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6" w:type="dxa"/>
      <w:tblBorders>
        <w:insideH w:val="single" w:sz="4" w:space="0" w:color="auto"/>
      </w:tblBorders>
      <w:tblLayout w:type="fixed"/>
      <w:tblLook w:val="000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fldSimple w:instr=" PAGE  \* MERGEFORMAT ">
            <w:r>
              <w:t>6</w:t>
            </w:r>
          </w:fldSimple>
        </w:p>
      </w:tc>
      <w:tc>
        <w:tcPr>
          <w:tcW w:w="5033" w:type="dxa"/>
          <w:vAlign w:val="bottom"/>
        </w:tcPr>
        <w:p w:rsidR="00000000" w:rsidRDefault="00000000">
          <w:pPr>
            <w:pStyle w:val="Footer"/>
            <w:jc w:val="right"/>
            <w:rPr>
              <w:b w:val="0"/>
              <w:sz w:val="14"/>
            </w:rPr>
          </w:pPr>
          <w:fldSimple w:instr=" FILENAME \* Lower  \* MERGEFORMAT ">
            <w:r>
              <w:rPr>
                <w:b w:val="0"/>
                <w:sz w:val="14"/>
              </w:rPr>
              <w:t>0545827s.doc</w:t>
            </w:r>
          </w:fldSimple>
        </w:p>
      </w:tc>
    </w:tr>
  </w:tbl>
  <w:p w:rsidR="00000000" w:rsidRDefault="0000000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6" w:type="dxa"/>
      <w:tblBorders>
        <w:insideH w:val="single" w:sz="4" w:space="0" w:color="auto"/>
      </w:tblBorders>
      <w:tblLayout w:type="fixed"/>
      <w:tblLook w:val="000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fldSimple w:instr=" FILENAME \* Lower  \* MERGEFORMAT ">
            <w:r>
              <w:rPr>
                <w:b w:val="0"/>
                <w:sz w:val="14"/>
              </w:rPr>
              <w:t>0545827s.doc</w:t>
            </w:r>
          </w:fldSimple>
        </w:p>
      </w:tc>
      <w:tc>
        <w:tcPr>
          <w:tcW w:w="5033" w:type="dxa"/>
          <w:vAlign w:val="bottom"/>
        </w:tcPr>
        <w:p w:rsidR="00000000" w:rsidRDefault="00000000">
          <w:pPr>
            <w:pStyle w:val="Footer"/>
            <w:jc w:val="right"/>
          </w:pPr>
          <w:fldSimple w:instr=" PAGE  \* MERGEFORMAT ">
            <w:r>
              <w:t>5</w:t>
            </w:r>
          </w:fldSimple>
        </w:p>
      </w:tc>
    </w:tr>
  </w:tbl>
  <w:p w:rsidR="00000000" w:rsidRDefault="0000000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rPr>
        <w:b w:val="0"/>
        <w:sz w:val="20"/>
      </w:rPr>
    </w:pPr>
    <w:r>
      <w:rPr>
        <w:b w:val="0"/>
        <w:sz w:val="20"/>
      </w:rPr>
      <w:t xml:space="preserve">05-45827 (S)    </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*0545827*</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CEDAW/C/ERI/Q/1-3</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CEDAW/C/ERI/Q/1-3</w:t>
                      </w:r>
                    </w:p>
                  </w:tc>
                </w:tr>
              </w:tbl>
              <w:p w:rsidR="00000000" w:rsidRDefault="00000000"/>
            </w:txbxContent>
          </v:textbox>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/C/ERI/Q/1-3</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p>
        <w:p w:rsidR="00000000" w:rsidRDefault="00000000">
          <w:r>
            <w:t>29 de julio de 2005</w:t>
          </w:r>
        </w:p>
        <w:p w:rsidR="00000000" w:rsidRDefault="00000000">
          <w:r>
            <w:t>Español</w:t>
          </w:r>
        </w:p>
        <w:p w:rsidR="00000000" w:rsidRDefault="00000000">
          <w:r>
            <w:t>Original: inglés</w:t>
          </w:r>
        </w:p>
      </w:tc>
    </w:tr>
  </w:tbl>
  <w:p w:rsidR="00000000" w:rsidRDefault="00000000">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CreationDt" w:val="31/10/2005 19:00:09"/>
    <w:docVar w:name="DocCategory" w:val="Doc"/>
    <w:docVar w:name="DocType" w:val="Final"/>
    <w:docVar w:name="JobNo" w:val="0545827S"/>
    <w:docVar w:name="OandT" w:val="fridda"/>
    <w:docVar w:name="Symbol1" w:val="CEDAW/C/ERI/Q/1-3"/>
    <w:docVar w:name="Symbol2" w:val="-"/>
  </w:docVar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basedOn w:val="DefaultParagraphFont"/>
    <w:semiHidden/>
    <w:rPr>
      <w:sz w:val="6"/>
    </w:rPr>
  </w:style>
  <w:style w:type="character" w:styleId="FootnoteReference">
    <w:name w:val="footnote reference"/>
    <w:basedOn w:val="DefaultParagraphFont"/>
    <w:semiHidden/>
    <w:rPr>
      <w:color w:val="FF0000"/>
      <w:spacing w:val="-5"/>
      <w:w w:val="130"/>
      <w:position w:val="-4"/>
      <w:vertAlign w:val="superscript"/>
    </w:rPr>
  </w:style>
  <w:style w:type="character" w:styleId="EndnoteReference">
    <w:name w:val="endnote reference"/>
    <w:basedOn w:val="FootnoteReference"/>
    <w:semiHidden/>
    <w:rPr>
      <w:color w:val="FF00FF"/>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basedOn w:val="DefaultParagraphFont"/>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65</TotalTime>
  <Pages>6</Pages>
  <Words>2319</Words>
  <Characters>13219</Characters>
  <Application>Microsoft Office Outlook</Application>
  <DocSecurity>4</DocSecurity>
  <Lines>110</Lines>
  <Paragraphs>26</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16233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vásquez, fridda</dc:creator>
  <cp:keywords/>
  <dc:description/>
  <cp:lastModifiedBy>FALLA, Bertha</cp:lastModifiedBy>
  <cp:revision>36</cp:revision>
  <cp:lastPrinted>2005-11-01T00:28:00Z</cp:lastPrinted>
  <dcterms:created xsi:type="dcterms:W3CDTF">2005-10-31T18:00:00Z</dcterms:created>
  <dcterms:modified xsi:type="dcterms:W3CDTF">2005-11-01T00:44:00Z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0545827</vt:lpwstr>
  </property>
  <property fmtid="{D5CDD505-2E9C-101B-9397-08002B2CF9AE}" pid="3" name="Symbol1">
    <vt:lpwstr>CEDAW/C/ERI/Q/1-3</vt:lpwstr>
  </property>
  <property fmtid="{D5CDD505-2E9C-101B-9397-08002B2CF9AE}" pid="4" name="Symbol2">
    <vt:lpwstr/>
  </property>
  <property fmtid="{D5CDD505-2E9C-101B-9397-08002B2CF9AE}" pid="5" name="Translator">
    <vt:lpwstr/>
  </property>
  <property fmtid="{D5CDD505-2E9C-101B-9397-08002B2CF9AE}" pid="6" name="Operator">
    <vt:lpwstr>fridda</vt:lpwstr>
  </property>
  <property fmtid="{D5CDD505-2E9C-101B-9397-08002B2CF9AE}" pid="7" name="DraftPages">
    <vt:lpwstr> </vt:lpwstr>
  </property>
  <property fmtid="{D5CDD505-2E9C-101B-9397-08002B2CF9AE}" pid="8" name="Comment">
    <vt:lpwstr/>
  </property>
</Properties>
</file>