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31917D9D" w14:textId="77777777" w:rsidTr="001141F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B3FBD61" w14:textId="77777777" w:rsidR="002D5AAC" w:rsidRPr="001359DC" w:rsidRDefault="002D5AAC" w:rsidP="001141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750DA07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3C90353" w14:textId="194F06C3" w:rsidR="002D5AAC" w:rsidRPr="001359DC" w:rsidRDefault="001141F0" w:rsidP="001141F0">
            <w:pPr>
              <w:jc w:val="right"/>
              <w:rPr>
                <w:lang w:val="es-ES"/>
              </w:rPr>
            </w:pPr>
            <w:r w:rsidRPr="001141F0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/HRC/RES/52/10</w:t>
            </w:r>
          </w:p>
        </w:tc>
      </w:tr>
      <w:tr w:rsidR="002D5AAC" w:rsidRPr="001359DC" w14:paraId="68CC0F2B" w14:textId="77777777" w:rsidTr="001141F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58CD08B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734D6FD5" wp14:editId="7CC82D58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293C89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7F4DBA" w14:textId="77777777" w:rsidR="002D5AAC" w:rsidRDefault="001141F0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02553C9" w14:textId="77777777" w:rsidR="001141F0" w:rsidRDefault="001141F0" w:rsidP="001141F0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13 de abril de 2023</w:t>
            </w:r>
          </w:p>
          <w:p w14:paraId="687F80B3" w14:textId="77777777" w:rsidR="001141F0" w:rsidRDefault="001141F0" w:rsidP="001141F0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27043E05" w14:textId="0C55F452" w:rsidR="001141F0" w:rsidRPr="001359DC" w:rsidRDefault="001141F0" w:rsidP="001141F0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023E0E5F" w14:textId="77777777" w:rsidR="001141F0" w:rsidRPr="001141F0" w:rsidRDefault="001141F0" w:rsidP="001141F0">
      <w:pPr>
        <w:spacing w:before="120"/>
        <w:rPr>
          <w:b/>
          <w:sz w:val="24"/>
          <w:szCs w:val="24"/>
        </w:rPr>
      </w:pPr>
      <w:r w:rsidRPr="001141F0">
        <w:rPr>
          <w:b/>
          <w:bCs/>
          <w:sz w:val="24"/>
          <w:szCs w:val="24"/>
        </w:rPr>
        <w:t>Consejo de Derechos Humanos</w:t>
      </w:r>
    </w:p>
    <w:p w14:paraId="21BA0936" w14:textId="77777777" w:rsidR="001141F0" w:rsidRPr="001141F0" w:rsidRDefault="001141F0" w:rsidP="001141F0">
      <w:pPr>
        <w:rPr>
          <w:b/>
        </w:rPr>
      </w:pPr>
      <w:r w:rsidRPr="001141F0">
        <w:rPr>
          <w:b/>
          <w:bCs/>
        </w:rPr>
        <w:t>52º período de sesiones</w:t>
      </w:r>
    </w:p>
    <w:p w14:paraId="79002705" w14:textId="77777777" w:rsidR="001141F0" w:rsidRPr="001141F0" w:rsidRDefault="001141F0" w:rsidP="001141F0">
      <w:r w:rsidRPr="001141F0">
        <w:t>27 de febrero a 4 de abril de 2023</w:t>
      </w:r>
    </w:p>
    <w:p w14:paraId="15E5E9D3" w14:textId="77777777" w:rsidR="001141F0" w:rsidRPr="001141F0" w:rsidRDefault="001141F0" w:rsidP="001141F0">
      <w:r w:rsidRPr="001141F0">
        <w:t>Tema 3 de la agenda</w:t>
      </w:r>
    </w:p>
    <w:p w14:paraId="3047F2A2" w14:textId="77777777" w:rsidR="001141F0" w:rsidRPr="001141F0" w:rsidRDefault="001141F0" w:rsidP="001141F0">
      <w:pPr>
        <w:rPr>
          <w:b/>
        </w:rPr>
      </w:pPr>
      <w:r w:rsidRPr="001141F0">
        <w:rPr>
          <w:b/>
          <w:bCs/>
        </w:rPr>
        <w:t>Promoción y protección de todos los derechos humanos,</w:t>
      </w:r>
      <w:r w:rsidRPr="001141F0">
        <w:rPr>
          <w:b/>
          <w:bCs/>
        </w:rPr>
        <w:br/>
        <w:t>civiles, políticos, económicos, sociales y culturales,</w:t>
      </w:r>
      <w:r w:rsidRPr="001141F0">
        <w:rPr>
          <w:b/>
          <w:bCs/>
        </w:rPr>
        <w:br/>
        <w:t>incluido el derecho al desarrollo</w:t>
      </w:r>
    </w:p>
    <w:p w14:paraId="5334066B" w14:textId="013D5EF3" w:rsidR="001141F0" w:rsidRPr="001141F0" w:rsidRDefault="001141F0" w:rsidP="001141F0">
      <w:pPr>
        <w:pStyle w:val="HChG"/>
      </w:pPr>
      <w:r w:rsidRPr="001141F0">
        <w:tab/>
      </w:r>
      <w:r>
        <w:tab/>
      </w:r>
      <w:r w:rsidRPr="001141F0">
        <w:t>Resolución aprobada por el Consejo de Derechos Humanos el</w:t>
      </w:r>
      <w:r>
        <w:t> </w:t>
      </w:r>
      <w:r w:rsidRPr="001141F0">
        <w:t>3 de abril de 2023</w:t>
      </w:r>
    </w:p>
    <w:p w14:paraId="776EDE27" w14:textId="6EAD099F" w:rsidR="001141F0" w:rsidRDefault="001141F0" w:rsidP="001141F0">
      <w:pPr>
        <w:pStyle w:val="H1G"/>
      </w:pPr>
      <w:r>
        <w:tab/>
      </w:r>
      <w:r w:rsidRPr="002E7864">
        <w:t>52/10.</w:t>
      </w:r>
      <w:r w:rsidRPr="002E7864">
        <w:tab/>
        <w:t xml:space="preserve">La vivienda adecuada como elemento integrante del derecho a un </w:t>
      </w:r>
      <w:r>
        <w:br/>
      </w:r>
      <w:r w:rsidRPr="002E7864">
        <w:t xml:space="preserve">nivel de vida adecuado y el derecho de no discriminación </w:t>
      </w:r>
      <w:r>
        <w:br/>
      </w:r>
      <w:r w:rsidRPr="002E7864">
        <w:t>a este respecto</w:t>
      </w:r>
    </w:p>
    <w:p w14:paraId="4DA374F8" w14:textId="6BBB00A3" w:rsidR="001141F0" w:rsidRPr="001141F0" w:rsidRDefault="001141F0" w:rsidP="001141F0">
      <w:pPr>
        <w:pStyle w:val="SingleTxtG"/>
        <w:rPr>
          <w:i/>
          <w:iCs/>
        </w:rPr>
      </w:pPr>
      <w:r w:rsidRPr="001141F0">
        <w:rPr>
          <w:i/>
          <w:iCs/>
        </w:rPr>
        <w:tab/>
        <w:t>El Consejo de</w:t>
      </w:r>
      <w:r w:rsidR="002824D0">
        <w:rPr>
          <w:i/>
          <w:iCs/>
        </w:rPr>
        <w:t xml:space="preserve"> </w:t>
      </w:r>
      <w:r w:rsidRPr="001141F0">
        <w:rPr>
          <w:i/>
          <w:iCs/>
        </w:rPr>
        <w:t>Derechos Humanos</w:t>
      </w:r>
      <w:r w:rsidRPr="001141F0">
        <w:t>,</w:t>
      </w:r>
    </w:p>
    <w:p w14:paraId="12CB3CC4" w14:textId="5A2A5809" w:rsidR="001141F0" w:rsidRPr="001141F0" w:rsidRDefault="001141F0" w:rsidP="001141F0">
      <w:pPr>
        <w:pStyle w:val="SingleTxtG"/>
      </w:pPr>
      <w:r>
        <w:rPr>
          <w:i/>
          <w:iCs/>
        </w:rPr>
        <w:tab/>
      </w:r>
      <w:r w:rsidRPr="001141F0">
        <w:rPr>
          <w:i/>
          <w:iCs/>
        </w:rPr>
        <w:t>Reafirmando</w:t>
      </w:r>
      <w:r w:rsidRPr="001141F0">
        <w:t xml:space="preserve"> que los instrumentos de derecho internacional de los derechos humanos, entre ellos la Declaración Universal de Derechos Humanos, el Pacto Internacional de Derechos Económicos, Sociales y Culturales y el Pacto Internacional de Derechos Civiles y Políticos, entrañan para los Estados partes, incluidos todos los niveles de gobierno, obligaciones y compromisos en relación con el acceso a una vivienda adecuada,</w:t>
      </w:r>
    </w:p>
    <w:p w14:paraId="19E6E98C" w14:textId="25803CA5" w:rsidR="001141F0" w:rsidRPr="001141F0" w:rsidRDefault="001141F0" w:rsidP="001141F0">
      <w:pPr>
        <w:pStyle w:val="SingleTxtG"/>
      </w:pPr>
      <w:r>
        <w:rPr>
          <w:i/>
          <w:iCs/>
        </w:rPr>
        <w:tab/>
      </w:r>
      <w:r w:rsidRPr="001141F0">
        <w:rPr>
          <w:i/>
          <w:iCs/>
        </w:rPr>
        <w:t>Recordando</w:t>
      </w:r>
      <w:r w:rsidRPr="001141F0">
        <w:t xml:space="preserve"> todas las resoluciones anteriores del Consejo de Derechos Humanos y las aprobadas por la Comisión de Derechos Humanos sobre la cuestión del derecho a una vivienda adecuada como elemento integrante del derecho a un nivel de vida adecuado, incluidas las resoluciones del Consejo 43/14, de 19 de junio de 2020, y 49/17, de 31 de marzo de 2022,</w:t>
      </w:r>
    </w:p>
    <w:p w14:paraId="4A9A5821" w14:textId="43A34495" w:rsidR="001141F0" w:rsidRPr="001141F0" w:rsidRDefault="001141F0" w:rsidP="001141F0">
      <w:pPr>
        <w:pStyle w:val="SingleTxtG"/>
      </w:pPr>
      <w:r>
        <w:rPr>
          <w:i/>
          <w:iCs/>
        </w:rPr>
        <w:tab/>
      </w:r>
      <w:r w:rsidRPr="001141F0">
        <w:rPr>
          <w:i/>
          <w:iCs/>
        </w:rPr>
        <w:t>Recordando</w:t>
      </w:r>
      <w:r w:rsidRPr="001141F0">
        <w:t xml:space="preserve"> </w:t>
      </w:r>
      <w:r w:rsidRPr="001141F0">
        <w:rPr>
          <w:i/>
          <w:iCs/>
        </w:rPr>
        <w:t>también</w:t>
      </w:r>
      <w:r w:rsidRPr="001141F0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1E33D3A4" w14:textId="698ADC45" w:rsidR="001141F0" w:rsidRPr="001141F0" w:rsidRDefault="001141F0" w:rsidP="001141F0">
      <w:pPr>
        <w:pStyle w:val="SingleTxtG"/>
      </w:pPr>
      <w:r>
        <w:rPr>
          <w:i/>
          <w:iCs/>
        </w:rPr>
        <w:tab/>
      </w:r>
      <w:r w:rsidRPr="001141F0">
        <w:rPr>
          <w:i/>
          <w:iCs/>
        </w:rPr>
        <w:t>Recordando</w:t>
      </w:r>
      <w:r w:rsidRPr="001141F0">
        <w:t xml:space="preserve"> </w:t>
      </w:r>
      <w:r w:rsidRPr="001141F0">
        <w:rPr>
          <w:i/>
          <w:iCs/>
        </w:rPr>
        <w:t>además</w:t>
      </w:r>
      <w:r w:rsidRPr="001141F0">
        <w:t xml:space="preserve"> la resolución 76/133 de la Asamblea General, de 16 de diciembre de 2021, sobre políticas y programas inclusivos para abordar la falta de hogar, en particular después de la enfermedad por coronavirus (COVID-19),</w:t>
      </w:r>
    </w:p>
    <w:p w14:paraId="454AF266" w14:textId="0F314299" w:rsidR="001141F0" w:rsidRPr="001141F0" w:rsidRDefault="001141F0" w:rsidP="001141F0">
      <w:pPr>
        <w:pStyle w:val="SingleTxtG"/>
      </w:pPr>
      <w:r>
        <w:rPr>
          <w:i/>
          <w:iCs/>
        </w:rPr>
        <w:tab/>
      </w:r>
      <w:r w:rsidRPr="001141F0">
        <w:rPr>
          <w:i/>
          <w:iCs/>
        </w:rPr>
        <w:t>Reafirmando</w:t>
      </w:r>
      <w:r w:rsidRPr="001141F0">
        <w:t xml:space="preserve"> los principios y compromisos relativos a una vivienda adecuada consagrados en las disposiciones pertinentes de las declaraciones y los programas aprobados en las principales conferencias y cumbres de las Naciones Unidas, como la Nueva Agenda Urbana, aprobada en la Conferencia de las Naciones Unidas sobre la Vivienda y el Desarrollo Urbano Sostenible (Hábitat III), y subrayando la importancia de la implementación de la Agenda 2030 para el Desarrollo Sostenible, incluida la meta 11.1,</w:t>
      </w:r>
    </w:p>
    <w:p w14:paraId="67421941" w14:textId="6FD4A0E6" w:rsidR="001141F0" w:rsidRPr="001141F0" w:rsidRDefault="001141F0" w:rsidP="001141F0">
      <w:pPr>
        <w:pStyle w:val="SingleTxtG"/>
        <w:keepNext/>
      </w:pPr>
      <w:r>
        <w:lastRenderedPageBreak/>
        <w:tab/>
      </w:r>
      <w:r w:rsidRPr="001141F0">
        <w:t>1.</w:t>
      </w:r>
      <w:r w:rsidRPr="001141F0">
        <w:tab/>
      </w:r>
      <w:r w:rsidRPr="001141F0">
        <w:rPr>
          <w:i/>
          <w:iCs/>
        </w:rPr>
        <w:t>Acoge con beneplácito</w:t>
      </w:r>
      <w:r w:rsidRPr="001141F0">
        <w:t xml:space="preserve"> la labor del Relator Especial sobre una vivienda adecuada como elemento integrante del derecho a un nivel de vida adecuado y sobre el derecho de no discriminación a este respecto, incluida la realización de misiones a los países;</w:t>
      </w:r>
    </w:p>
    <w:p w14:paraId="6DCFC986" w14:textId="4B2D9609" w:rsidR="001141F0" w:rsidRPr="001141F0" w:rsidRDefault="001141F0" w:rsidP="001141F0">
      <w:pPr>
        <w:pStyle w:val="SingleTxtG"/>
      </w:pPr>
      <w:r>
        <w:tab/>
      </w:r>
      <w:r w:rsidRPr="001141F0">
        <w:t>2.</w:t>
      </w:r>
      <w:r w:rsidRPr="001141F0">
        <w:tab/>
      </w:r>
      <w:r w:rsidRPr="001141F0">
        <w:rPr>
          <w:i/>
          <w:iCs/>
        </w:rPr>
        <w:t>Toma nota</w:t>
      </w:r>
      <w:r w:rsidRPr="001141F0">
        <w:t xml:space="preserve"> de los informes del Relator Especial, incluido su informe más reciente, sobre la crisis climática y el derecho a una vivienda adecuada</w:t>
      </w:r>
      <w:r w:rsidRPr="001141F0">
        <w:rPr>
          <w:rStyle w:val="Refdenotaalpie"/>
        </w:rPr>
        <w:footnoteReference w:id="1"/>
      </w:r>
      <w:r w:rsidRPr="001141F0">
        <w:t>;</w:t>
      </w:r>
    </w:p>
    <w:p w14:paraId="5772FDA2" w14:textId="2EE1A220" w:rsidR="001141F0" w:rsidRPr="001141F0" w:rsidRDefault="001141F0" w:rsidP="001141F0">
      <w:pPr>
        <w:pStyle w:val="SingleTxtG"/>
      </w:pPr>
      <w:r>
        <w:tab/>
      </w:r>
      <w:r w:rsidRPr="001141F0">
        <w:t>3.</w:t>
      </w:r>
      <w:r w:rsidRPr="001141F0">
        <w:tab/>
      </w:r>
      <w:r w:rsidRPr="001141F0">
        <w:rPr>
          <w:i/>
          <w:iCs/>
        </w:rPr>
        <w:t>Decide</w:t>
      </w:r>
      <w:r w:rsidRPr="001141F0">
        <w:t xml:space="preserve"> prorrogar por un período de tres años el mandato del Relator Especial sobre una vivienda adecuada como parte del derecho a un nivel de vida adecuado, y sobre el derecho de no discriminación a este respecto, como se establece en las resoluciones del Consejo de Derechos Humanos, en particular en la resolución 15/8 del Consejo, de 30 de septiembre de 2010;</w:t>
      </w:r>
    </w:p>
    <w:p w14:paraId="717915AD" w14:textId="21156AB6" w:rsidR="001141F0" w:rsidRPr="001141F0" w:rsidRDefault="001141F0" w:rsidP="001141F0">
      <w:pPr>
        <w:pStyle w:val="SingleTxtG"/>
      </w:pPr>
      <w:r>
        <w:tab/>
      </w:r>
      <w:r w:rsidRPr="001141F0">
        <w:t>4.</w:t>
      </w:r>
      <w:r w:rsidRPr="001141F0">
        <w:tab/>
      </w:r>
      <w:r w:rsidRPr="001141F0">
        <w:rPr>
          <w:i/>
          <w:iCs/>
        </w:rPr>
        <w:t>Solicita</w:t>
      </w:r>
      <w:r w:rsidRPr="001141F0">
        <w:t xml:space="preserve"> al Relator Especial que, en el desempeño de su mandato, siga colaborando con los Estados con miras a lograr progresivamente la plena realización del derecho a una vivienda adecuada como elemento integrante de un nivel de vida adecuado, la Nueva Agenda Urbana y los Objetivos de Desarrollo Sostenible relacionados con la vivienda y sus metas, y que celebre consultas con la sociedad civil y otras partes interesadas, y presente propuestas y recomendaciones al respecto;</w:t>
      </w:r>
    </w:p>
    <w:p w14:paraId="4D418848" w14:textId="4DAB8DBA" w:rsidR="001141F0" w:rsidRPr="001141F0" w:rsidRDefault="001141F0" w:rsidP="001141F0">
      <w:pPr>
        <w:pStyle w:val="SingleTxtG"/>
      </w:pPr>
      <w:r>
        <w:tab/>
      </w:r>
      <w:r w:rsidRPr="001141F0">
        <w:t>5.</w:t>
      </w:r>
      <w:r w:rsidRPr="001141F0">
        <w:tab/>
      </w:r>
      <w:r w:rsidRPr="001141F0">
        <w:rPr>
          <w:i/>
          <w:iCs/>
        </w:rPr>
        <w:t>Solicita</w:t>
      </w:r>
      <w:r w:rsidRPr="001141F0">
        <w:t xml:space="preserve"> </w:t>
      </w:r>
      <w:r w:rsidRPr="001141F0">
        <w:rPr>
          <w:i/>
          <w:iCs/>
        </w:rPr>
        <w:t>también</w:t>
      </w:r>
      <w:r w:rsidRPr="001141F0">
        <w:t xml:space="preserve"> al Relator Especial que, en el desempeño de su mandato, trabaje en estrecha cooperación y coordinación con los demás procedimientos especiales y órganos subsidiarios del Consejo de Derechos Humanos, los órganos pertinentes de las Naciones Unidas, los órganos de tratados y las organizaciones regionales de derechos humanos;</w:t>
      </w:r>
    </w:p>
    <w:p w14:paraId="66160480" w14:textId="4968E898" w:rsidR="001141F0" w:rsidRPr="001141F0" w:rsidRDefault="001141F0" w:rsidP="001141F0">
      <w:pPr>
        <w:pStyle w:val="SingleTxtG"/>
      </w:pPr>
      <w:r>
        <w:tab/>
      </w:r>
      <w:r w:rsidRPr="001141F0">
        <w:t>6.</w:t>
      </w:r>
      <w:r w:rsidRPr="001141F0">
        <w:tab/>
      </w:r>
      <w:r w:rsidRPr="001141F0">
        <w:rPr>
          <w:i/>
          <w:iCs/>
        </w:rPr>
        <w:t>Solicita</w:t>
      </w:r>
      <w:r w:rsidRPr="001141F0">
        <w:t xml:space="preserve"> </w:t>
      </w:r>
      <w:r w:rsidRPr="001141F0">
        <w:rPr>
          <w:i/>
          <w:iCs/>
        </w:rPr>
        <w:t>además</w:t>
      </w:r>
      <w:r w:rsidRPr="001141F0">
        <w:t xml:space="preserve"> al Relator Especial que, en el desempeño de su mandato, preste especial atención a los derechos humanos y las libertades fundamentales de, entre otros, las mujeres, los niños, los jóvenes, las personas de edad, las personas con discapacidad y las personas en situación de vulnerabilidad e integre una perspectiva de género en el desempeño de su mandato;</w:t>
      </w:r>
    </w:p>
    <w:p w14:paraId="75B7943D" w14:textId="58AFE8C2" w:rsidR="001141F0" w:rsidRPr="001141F0" w:rsidRDefault="001141F0" w:rsidP="001141F0">
      <w:pPr>
        <w:pStyle w:val="SingleTxtG"/>
      </w:pPr>
      <w:r>
        <w:tab/>
      </w:r>
      <w:r w:rsidRPr="001141F0">
        <w:t>7.</w:t>
      </w:r>
      <w:r w:rsidRPr="001141F0">
        <w:tab/>
      </w:r>
      <w:r w:rsidRPr="001141F0">
        <w:rPr>
          <w:i/>
          <w:iCs/>
        </w:rPr>
        <w:t xml:space="preserve">Observa con aprecio </w:t>
      </w:r>
      <w:r w:rsidRPr="001141F0">
        <w:t>la cooperación prestada al Relator Especial por diferentes actores, y exhorta a los Estados a que:</w:t>
      </w:r>
    </w:p>
    <w:p w14:paraId="1EBEDE06" w14:textId="6F8136A3" w:rsidR="001141F0" w:rsidRPr="001141F0" w:rsidRDefault="001141F0" w:rsidP="001141F0">
      <w:pPr>
        <w:pStyle w:val="SingleTxtG"/>
      </w:pPr>
      <w:r>
        <w:tab/>
      </w:r>
      <w:r w:rsidRPr="001141F0">
        <w:t>a)</w:t>
      </w:r>
      <w:r w:rsidRPr="001141F0">
        <w:tab/>
        <w:t>Sigan colaborando plenamente con la Relatoría Especial en el desempeño de su mandato y respondan favorablemente a sus solicitudes de información y visitas;</w:t>
      </w:r>
    </w:p>
    <w:p w14:paraId="1B585B62" w14:textId="3ED1F4D1" w:rsidR="001141F0" w:rsidRPr="001141F0" w:rsidRDefault="001141F0" w:rsidP="001141F0">
      <w:pPr>
        <w:pStyle w:val="SingleTxtG"/>
      </w:pPr>
      <w:r>
        <w:tab/>
      </w:r>
      <w:r w:rsidRPr="001141F0">
        <w:t>b)</w:t>
      </w:r>
      <w:r w:rsidRPr="001141F0">
        <w:tab/>
        <w:t>Entablen un diálogo constructivo con la Relatoría Especial sobre el seguimiento y la aplicación de sus recomendaciones</w:t>
      </w:r>
      <w:r w:rsidR="00137A2E">
        <w:t>;</w:t>
      </w:r>
    </w:p>
    <w:p w14:paraId="27B671DB" w14:textId="3DDC4028" w:rsidR="001141F0" w:rsidRPr="001141F0" w:rsidRDefault="001141F0" w:rsidP="001141F0">
      <w:pPr>
        <w:pStyle w:val="SingleTxtG"/>
      </w:pPr>
      <w:r>
        <w:tab/>
      </w:r>
      <w:r w:rsidRPr="001141F0">
        <w:t>8.</w:t>
      </w:r>
      <w:r w:rsidRPr="001141F0">
        <w:tab/>
      </w:r>
      <w:r w:rsidRPr="001141F0">
        <w:rPr>
          <w:i/>
          <w:iCs/>
        </w:rPr>
        <w:t>Alienta</w:t>
      </w:r>
      <w:r w:rsidRPr="001141F0">
        <w:t xml:space="preserve"> a todos los interesados pertinentes, incluidos los organismos, fondos y programas de las Naciones Unidas, los mecanismos de derechos humanos, las instituciones nacionales de derechos humanos, la sociedad civil, el sector privado, los donantes y los organismos de desarrollo a que colaboren plenamente con el Relator Especial en el desempeño de su mandato;</w:t>
      </w:r>
    </w:p>
    <w:p w14:paraId="1D3A9B54" w14:textId="45961F57" w:rsidR="001141F0" w:rsidRPr="001141F0" w:rsidRDefault="001141F0" w:rsidP="001141F0">
      <w:pPr>
        <w:pStyle w:val="SingleTxtG"/>
      </w:pPr>
      <w:r>
        <w:tab/>
      </w:r>
      <w:r w:rsidRPr="001141F0">
        <w:t>9.</w:t>
      </w:r>
      <w:r w:rsidRPr="001141F0">
        <w:tab/>
      </w:r>
      <w:r w:rsidRPr="001141F0">
        <w:rPr>
          <w:i/>
          <w:iCs/>
        </w:rPr>
        <w:t>Solicita</w:t>
      </w:r>
      <w:r w:rsidRPr="001141F0">
        <w:t xml:space="preserve"> al Secretario General y al Alto Comisionado de las Naciones Unidas para los Derechos Humanos que sigan proporcionando al Relator Especial todos los recursos que necesite para desempeñar eficazmente su mandato;</w:t>
      </w:r>
    </w:p>
    <w:p w14:paraId="6C65A4E7" w14:textId="2B3D1A28" w:rsidR="001141F0" w:rsidRPr="001141F0" w:rsidRDefault="001141F0" w:rsidP="001141F0">
      <w:pPr>
        <w:pStyle w:val="SingleTxtG"/>
      </w:pPr>
      <w:r>
        <w:tab/>
      </w:r>
      <w:r w:rsidRPr="001141F0">
        <w:t>10.</w:t>
      </w:r>
      <w:r w:rsidRPr="001141F0">
        <w:tab/>
      </w:r>
      <w:r w:rsidRPr="001141F0">
        <w:rPr>
          <w:i/>
          <w:iCs/>
        </w:rPr>
        <w:t>Solicita</w:t>
      </w:r>
      <w:r w:rsidRPr="001141F0">
        <w:t xml:space="preserve"> al Relator Especial que presente un informe anual sobre el cumplimiento de su mandato al Consejo de Derechos Humanos y a la Asamblea General, de conformidad con su programa de trabajo anual;</w:t>
      </w:r>
    </w:p>
    <w:p w14:paraId="12742563" w14:textId="202E9DB3" w:rsidR="001141F0" w:rsidRPr="001141F0" w:rsidRDefault="001141F0" w:rsidP="001141F0">
      <w:pPr>
        <w:pStyle w:val="SingleTxtG"/>
      </w:pPr>
      <w:r>
        <w:tab/>
      </w:r>
      <w:r w:rsidRPr="001141F0">
        <w:t>11.</w:t>
      </w:r>
      <w:r w:rsidRPr="001141F0">
        <w:tab/>
      </w:r>
      <w:r w:rsidRPr="001141F0">
        <w:rPr>
          <w:i/>
          <w:iCs/>
        </w:rPr>
        <w:t>Decide</w:t>
      </w:r>
      <w:r w:rsidRPr="001141F0">
        <w:t xml:space="preserve"> seguir examinando esta cuestión en relación con el mismo tema de la agenda</w:t>
      </w:r>
      <w:r w:rsidR="00B37884">
        <w:t>.</w:t>
      </w:r>
    </w:p>
    <w:p w14:paraId="0CCAF6FF" w14:textId="77777777" w:rsidR="001141F0" w:rsidRPr="001141F0" w:rsidRDefault="001141F0" w:rsidP="001141F0">
      <w:pPr>
        <w:pStyle w:val="SingleTxtG"/>
        <w:jc w:val="right"/>
        <w:rPr>
          <w:i/>
          <w:iCs/>
        </w:rPr>
      </w:pPr>
      <w:r w:rsidRPr="001141F0">
        <w:rPr>
          <w:i/>
          <w:iCs/>
        </w:rPr>
        <w:t>55ª sesión</w:t>
      </w:r>
      <w:r w:rsidRPr="001141F0">
        <w:rPr>
          <w:i/>
          <w:iCs/>
        </w:rPr>
        <w:br/>
        <w:t>3 de abril de 2023</w:t>
      </w:r>
    </w:p>
    <w:p w14:paraId="0C77E4DF" w14:textId="617258AB" w:rsidR="001141F0" w:rsidRDefault="001141F0" w:rsidP="001141F0">
      <w:pPr>
        <w:pStyle w:val="SingleTxtG"/>
      </w:pPr>
      <w:r w:rsidRPr="002E7864">
        <w:t>[Aprobada sin votación.]</w:t>
      </w:r>
    </w:p>
    <w:p w14:paraId="287147C3" w14:textId="1B11B338" w:rsidR="00381C24" w:rsidRPr="001141F0" w:rsidRDefault="001141F0" w:rsidP="001141F0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141F0" w:rsidSect="001141F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65C09" w14:textId="77777777" w:rsidR="003170EC" w:rsidRPr="00A312BC" w:rsidRDefault="003170EC" w:rsidP="00A312BC">
      <w:pPr>
        <w:pStyle w:val="Piedepgina"/>
      </w:pPr>
    </w:p>
  </w:endnote>
  <w:endnote w:type="continuationSeparator" w:id="0">
    <w:p w14:paraId="5C92F160" w14:textId="77777777" w:rsidR="003170EC" w:rsidRPr="00A312BC" w:rsidRDefault="003170EC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4125E" w14:textId="35CEFDB2" w:rsidR="001141F0" w:rsidRPr="001141F0" w:rsidRDefault="001141F0" w:rsidP="001141F0">
    <w:pPr>
      <w:pStyle w:val="Piedepgina"/>
      <w:tabs>
        <w:tab w:val="right" w:pos="9638"/>
      </w:tabs>
    </w:pPr>
    <w:r w:rsidRPr="001141F0">
      <w:rPr>
        <w:b/>
        <w:sz w:val="18"/>
      </w:rPr>
      <w:fldChar w:fldCharType="begin"/>
    </w:r>
    <w:r w:rsidRPr="001141F0">
      <w:rPr>
        <w:b/>
        <w:sz w:val="18"/>
      </w:rPr>
      <w:instrText xml:space="preserve"> PAGE  \* MERGEFORMAT </w:instrText>
    </w:r>
    <w:r w:rsidRPr="001141F0">
      <w:rPr>
        <w:b/>
        <w:sz w:val="18"/>
      </w:rPr>
      <w:fldChar w:fldCharType="separate"/>
    </w:r>
    <w:r w:rsidRPr="001141F0">
      <w:rPr>
        <w:b/>
        <w:noProof/>
        <w:sz w:val="18"/>
      </w:rPr>
      <w:t>2</w:t>
    </w:r>
    <w:r w:rsidRPr="001141F0">
      <w:rPr>
        <w:b/>
        <w:sz w:val="18"/>
      </w:rPr>
      <w:fldChar w:fldCharType="end"/>
    </w:r>
    <w:r>
      <w:rPr>
        <w:b/>
        <w:sz w:val="18"/>
      </w:rPr>
      <w:tab/>
    </w:r>
    <w:r>
      <w:t>GE.23-06900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A0B89" w14:textId="6A10E2EA" w:rsidR="001141F0" w:rsidRPr="001141F0" w:rsidRDefault="001141F0" w:rsidP="001141F0">
    <w:pPr>
      <w:pStyle w:val="Piedepgina"/>
      <w:tabs>
        <w:tab w:val="right" w:pos="9638"/>
      </w:tabs>
      <w:rPr>
        <w:b/>
        <w:sz w:val="18"/>
      </w:rPr>
    </w:pPr>
    <w:r>
      <w:t>GE.23-06900</w:t>
    </w:r>
    <w:r>
      <w:tab/>
    </w:r>
    <w:r w:rsidRPr="001141F0">
      <w:rPr>
        <w:b/>
        <w:sz w:val="18"/>
      </w:rPr>
      <w:fldChar w:fldCharType="begin"/>
    </w:r>
    <w:r w:rsidRPr="001141F0">
      <w:rPr>
        <w:b/>
        <w:sz w:val="18"/>
      </w:rPr>
      <w:instrText xml:space="preserve"> PAGE  \* MERGEFORMAT </w:instrText>
    </w:r>
    <w:r w:rsidRPr="001141F0">
      <w:rPr>
        <w:b/>
        <w:sz w:val="18"/>
      </w:rPr>
      <w:fldChar w:fldCharType="separate"/>
    </w:r>
    <w:r w:rsidRPr="001141F0">
      <w:rPr>
        <w:b/>
        <w:noProof/>
        <w:sz w:val="18"/>
      </w:rPr>
      <w:t>3</w:t>
    </w:r>
    <w:r w:rsidRPr="001141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6EFA" w14:textId="45B54696" w:rsidR="00042B72" w:rsidRPr="001141F0" w:rsidRDefault="001141F0" w:rsidP="001141F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158380EC" wp14:editId="735B336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23-06900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8F2618A" wp14:editId="640B2FF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090523    100523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899F" w14:textId="77777777" w:rsidR="003170EC" w:rsidRPr="001075E9" w:rsidRDefault="003170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F8317A3" w14:textId="77777777" w:rsidR="003170EC" w:rsidRDefault="003170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AC0959F" w14:textId="75D5C351" w:rsidR="001141F0" w:rsidRPr="002E7864" w:rsidRDefault="001141F0" w:rsidP="001141F0">
      <w:pPr>
        <w:pStyle w:val="Textonotapie"/>
      </w:pPr>
      <w:r w:rsidRPr="002E7864">
        <w:tab/>
      </w:r>
      <w:r w:rsidRPr="001141F0">
        <w:rPr>
          <w:rStyle w:val="Refdenotaalpie"/>
        </w:rPr>
        <w:footnoteRef/>
      </w:r>
      <w:r w:rsidRPr="002E7864">
        <w:tab/>
      </w:r>
      <w:hyperlink r:id="rId1" w:history="1">
        <w:r w:rsidRPr="002C5D74">
          <w:rPr>
            <w:rStyle w:val="Hipervnculo"/>
          </w:rPr>
          <w:t>A/</w:t>
        </w:r>
        <w:proofErr w:type="spellStart"/>
        <w:r w:rsidRPr="002C5D74">
          <w:rPr>
            <w:rStyle w:val="Hipervnculo"/>
          </w:rPr>
          <w:t>HRC</w:t>
        </w:r>
        <w:proofErr w:type="spellEnd"/>
        <w:r w:rsidRPr="002C5D74">
          <w:rPr>
            <w:rStyle w:val="Hipervnculo"/>
          </w:rPr>
          <w:t>/52/28</w:t>
        </w:r>
      </w:hyperlink>
      <w:r w:rsidRPr="002E786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46052" w14:textId="4F8D73BE" w:rsidR="001141F0" w:rsidRPr="001141F0" w:rsidRDefault="00B37884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4954D1">
      <w:t>A/</w:t>
    </w:r>
    <w:proofErr w:type="spellStart"/>
    <w:r w:rsidR="004954D1">
      <w:t>HRC</w:t>
    </w:r>
    <w:proofErr w:type="spellEnd"/>
    <w:r w:rsidR="004954D1">
      <w:t>/RES/52/10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7BAD2" w14:textId="4FFC1ACC" w:rsidR="001141F0" w:rsidRPr="001141F0" w:rsidRDefault="00B37884" w:rsidP="001141F0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954D1">
      <w:t>A/</w:t>
    </w:r>
    <w:proofErr w:type="spellStart"/>
    <w:r w:rsidR="004954D1">
      <w:t>HRC</w:t>
    </w:r>
    <w:proofErr w:type="spellEnd"/>
    <w:r w:rsidR="004954D1">
      <w:t>/RES/52/10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973951323">
    <w:abstractNumId w:val="14"/>
  </w:num>
  <w:num w:numId="2" w16cid:durableId="1617329834">
    <w:abstractNumId w:val="11"/>
  </w:num>
  <w:num w:numId="3" w16cid:durableId="347214528">
    <w:abstractNumId w:val="16"/>
  </w:num>
  <w:num w:numId="4" w16cid:durableId="1976374315">
    <w:abstractNumId w:val="15"/>
  </w:num>
  <w:num w:numId="5" w16cid:durableId="801575264">
    <w:abstractNumId w:val="13"/>
  </w:num>
  <w:num w:numId="6" w16cid:durableId="1427966801">
    <w:abstractNumId w:val="8"/>
  </w:num>
  <w:num w:numId="7" w16cid:durableId="749043447">
    <w:abstractNumId w:val="3"/>
  </w:num>
  <w:num w:numId="8" w16cid:durableId="1782141873">
    <w:abstractNumId w:val="2"/>
  </w:num>
  <w:num w:numId="9" w16cid:durableId="2067946593">
    <w:abstractNumId w:val="1"/>
  </w:num>
  <w:num w:numId="10" w16cid:durableId="1806771554">
    <w:abstractNumId w:val="0"/>
  </w:num>
  <w:num w:numId="11" w16cid:durableId="833227808">
    <w:abstractNumId w:val="9"/>
  </w:num>
  <w:num w:numId="12" w16cid:durableId="581598433">
    <w:abstractNumId w:val="7"/>
  </w:num>
  <w:num w:numId="13" w16cid:durableId="2102025638">
    <w:abstractNumId w:val="6"/>
  </w:num>
  <w:num w:numId="14" w16cid:durableId="845092038">
    <w:abstractNumId w:val="5"/>
  </w:num>
  <w:num w:numId="15" w16cid:durableId="942080065">
    <w:abstractNumId w:val="4"/>
  </w:num>
  <w:num w:numId="16" w16cid:durableId="198124814">
    <w:abstractNumId w:val="10"/>
  </w:num>
  <w:num w:numId="17" w16cid:durableId="777215586">
    <w:abstractNumId w:val="14"/>
  </w:num>
  <w:num w:numId="18" w16cid:durableId="1903636484">
    <w:abstractNumId w:val="11"/>
  </w:num>
  <w:num w:numId="19" w16cid:durableId="488130795">
    <w:abstractNumId w:val="10"/>
  </w:num>
  <w:num w:numId="20" w16cid:durableId="1161316399">
    <w:abstractNumId w:val="16"/>
  </w:num>
  <w:num w:numId="21" w16cid:durableId="1855995488">
    <w:abstractNumId w:val="15"/>
  </w:num>
  <w:num w:numId="22" w16cid:durableId="1714111665">
    <w:abstractNumId w:val="12"/>
  </w:num>
  <w:num w:numId="23" w16cid:durableId="1742018488">
    <w:abstractNumId w:val="12"/>
  </w:num>
  <w:num w:numId="24" w16cid:durableId="1298028779">
    <w:abstractNumId w:val="13"/>
  </w:num>
  <w:num w:numId="25" w16cid:durableId="653727320">
    <w:abstractNumId w:val="9"/>
  </w:num>
  <w:num w:numId="26" w16cid:durableId="915940175">
    <w:abstractNumId w:val="7"/>
  </w:num>
  <w:num w:numId="27" w16cid:durableId="1582718679">
    <w:abstractNumId w:val="6"/>
  </w:num>
  <w:num w:numId="28" w16cid:durableId="1769615590">
    <w:abstractNumId w:val="5"/>
  </w:num>
  <w:num w:numId="29" w16cid:durableId="1937909093">
    <w:abstractNumId w:val="4"/>
  </w:num>
  <w:num w:numId="30" w16cid:durableId="1417285658">
    <w:abstractNumId w:val="8"/>
  </w:num>
  <w:num w:numId="31" w16cid:durableId="1491747490">
    <w:abstractNumId w:val="3"/>
  </w:num>
  <w:num w:numId="32" w16cid:durableId="1832482998">
    <w:abstractNumId w:val="2"/>
  </w:num>
  <w:num w:numId="33" w16cid:durableId="144781100">
    <w:abstractNumId w:val="1"/>
  </w:num>
  <w:num w:numId="34" w16cid:durableId="154324538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0EC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141F0"/>
    <w:rsid w:val="001359DC"/>
    <w:rsid w:val="00137A2E"/>
    <w:rsid w:val="00180183"/>
    <w:rsid w:val="0018024D"/>
    <w:rsid w:val="0018649F"/>
    <w:rsid w:val="00196389"/>
    <w:rsid w:val="001B3EF6"/>
    <w:rsid w:val="001C7A89"/>
    <w:rsid w:val="002624B6"/>
    <w:rsid w:val="002824D0"/>
    <w:rsid w:val="002A2EFC"/>
    <w:rsid w:val="002C0E18"/>
    <w:rsid w:val="002C5D74"/>
    <w:rsid w:val="002D5AAC"/>
    <w:rsid w:val="002E5067"/>
    <w:rsid w:val="002F405F"/>
    <w:rsid w:val="002F7EEC"/>
    <w:rsid w:val="00301299"/>
    <w:rsid w:val="00307FB6"/>
    <w:rsid w:val="003170EC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954D1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37884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079E"/>
    <w:rsid w:val="00EF1360"/>
    <w:rsid w:val="00EF3220"/>
    <w:rsid w:val="00F94155"/>
    <w:rsid w:val="00F9783F"/>
    <w:rsid w:val="00FC19E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0F676"/>
  <w15:docId w15:val="{8F89BEB5-7314-489A-B676-02C81830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A/HRC/52/2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911</Words>
  <Characters>4883</Characters>
  <Application>Microsoft Office Word</Application>
  <DocSecurity>0</DocSecurity>
  <Lines>95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A/HRC/RES/52/10</dc:title>
  <dc:subject/>
  <dc:creator>Marcel GONZALEZ-PEREZ</dc:creator>
  <cp:keywords/>
  <cp:lastModifiedBy>Romina Merino Mac-Kay</cp:lastModifiedBy>
  <cp:revision>3</cp:revision>
  <cp:lastPrinted>2023-05-10T08:01:00Z</cp:lastPrinted>
  <dcterms:created xsi:type="dcterms:W3CDTF">2023-05-10T08:01:00Z</dcterms:created>
  <dcterms:modified xsi:type="dcterms:W3CDTF">2023-05-10T08:01:00Z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