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DB0D0" w14:textId="77777777" w:rsidR="009E6E17" w:rsidRPr="001F6745" w:rsidRDefault="009E6E17" w:rsidP="009E6E17">
      <w:pPr>
        <w:spacing w:line="240" w:lineRule="auto"/>
        <w:rPr>
          <w:sz w:val="2"/>
          <w:lang w:val="en-US"/>
        </w:rPr>
        <w:sectPr w:rsidR="009E6E17" w:rsidRPr="001F6745" w:rsidSect="00CE00A4">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DA3C54">
        <w:rPr>
          <w:rStyle w:val="CommentReference"/>
        </w:rPr>
        <w:commentReference w:id="0"/>
      </w:r>
    </w:p>
    <w:p w14:paraId="415BC537" w14:textId="77777777" w:rsidR="00CE00A4" w:rsidRPr="00CE00A4" w:rsidRDefault="00CE00A4" w:rsidP="00DA3C54">
      <w:pPr>
        <w:pStyle w:val="H1"/>
        <w:ind w:left="0" w:right="4620" w:firstLine="0"/>
        <w:rPr>
          <w:lang w:val="fr-FR"/>
        </w:rPr>
      </w:pPr>
      <w:r w:rsidRPr="00CE00A4">
        <w:rPr>
          <w:lang w:val="fr-FR"/>
        </w:rPr>
        <w:t>Comité pour l’élimination de la discrimination à l’égard des femmes</w:t>
      </w:r>
    </w:p>
    <w:p w14:paraId="78A9B5EE" w14:textId="77777777" w:rsidR="00CE00A4" w:rsidRPr="001F6745" w:rsidRDefault="00CE00A4" w:rsidP="00DA3C54">
      <w:pPr>
        <w:pStyle w:val="Session"/>
        <w:rPr>
          <w:lang w:val="fr-CA"/>
        </w:rPr>
      </w:pPr>
      <w:r w:rsidRPr="001F6745">
        <w:rPr>
          <w:lang w:val="fr-CA"/>
        </w:rPr>
        <w:t>Quatre-vingt-douzième session</w:t>
      </w:r>
    </w:p>
    <w:p w14:paraId="21B55B55" w14:textId="77777777" w:rsidR="00CE00A4" w:rsidRPr="00CE00A4" w:rsidRDefault="00CE00A4" w:rsidP="00DA3C54">
      <w:pPr>
        <w:rPr>
          <w:lang w:val="fr-FR"/>
        </w:rPr>
      </w:pPr>
      <w:r w:rsidRPr="00CE00A4">
        <w:rPr>
          <w:lang w:val="fr-FR"/>
        </w:rPr>
        <w:t>Genève, 6-24 octobre 2025</w:t>
      </w:r>
    </w:p>
    <w:p w14:paraId="457D86B3" w14:textId="77777777" w:rsidR="00CE00A4" w:rsidRPr="001F6745" w:rsidRDefault="00CE00A4" w:rsidP="00DA3C54">
      <w:pPr>
        <w:pStyle w:val="AgendaItemNormal"/>
        <w:rPr>
          <w:lang w:val="fr-CA"/>
        </w:rPr>
      </w:pPr>
      <w:r w:rsidRPr="001F6745">
        <w:rPr>
          <w:lang w:val="fr-CA"/>
        </w:rPr>
        <w:t>Point 4 de l’ordre du jour provisoire</w:t>
      </w:r>
    </w:p>
    <w:p w14:paraId="7BA54B0E" w14:textId="63D7E409" w:rsidR="00CE00A4" w:rsidRPr="00CE00A4" w:rsidRDefault="00CE00A4" w:rsidP="00DA3C54">
      <w:pPr>
        <w:pStyle w:val="AgendaTitleH2"/>
        <w:ind w:right="4710"/>
        <w:rPr>
          <w:lang w:val="fr-FR"/>
        </w:rPr>
      </w:pPr>
      <w:r w:rsidRPr="00CE00A4">
        <w:rPr>
          <w:lang w:val="fr-FR"/>
        </w:rPr>
        <w:t>Examen des rapports soumis par les États parties en</w:t>
      </w:r>
      <w:r w:rsidR="00DA3C54">
        <w:rPr>
          <w:lang w:val="fr-FR"/>
        </w:rPr>
        <w:t> </w:t>
      </w:r>
      <w:r w:rsidRPr="00CE00A4">
        <w:rPr>
          <w:lang w:val="fr-FR"/>
        </w:rPr>
        <w:t>application de l’article 18 de la Convention sur</w:t>
      </w:r>
      <w:r w:rsidR="00DA3C54">
        <w:rPr>
          <w:lang w:val="fr-FR"/>
        </w:rPr>
        <w:t> </w:t>
      </w:r>
      <w:r w:rsidRPr="00CE00A4">
        <w:rPr>
          <w:lang w:val="fr-FR"/>
        </w:rPr>
        <w:t>l’élimination de toutes les formes de discrimination à l’égard des femmes</w:t>
      </w:r>
    </w:p>
    <w:p w14:paraId="70F49412" w14:textId="77777777" w:rsidR="00DA3C54" w:rsidRPr="00DA3C54" w:rsidRDefault="00DA3C54" w:rsidP="00DA3C54">
      <w:pPr>
        <w:pStyle w:val="SingleTxt"/>
        <w:spacing w:after="0" w:line="120" w:lineRule="exact"/>
        <w:rPr>
          <w:b/>
          <w:sz w:val="10"/>
          <w:lang w:val="fr-FR"/>
        </w:rPr>
      </w:pPr>
    </w:p>
    <w:p w14:paraId="702AF910" w14:textId="77777777" w:rsidR="00DA3C54" w:rsidRPr="00DA3C54" w:rsidRDefault="00DA3C54" w:rsidP="00DA3C54">
      <w:pPr>
        <w:pStyle w:val="SingleTxt"/>
        <w:spacing w:after="0" w:line="120" w:lineRule="exact"/>
        <w:rPr>
          <w:b/>
          <w:sz w:val="10"/>
          <w:lang w:val="fr-FR"/>
        </w:rPr>
      </w:pPr>
    </w:p>
    <w:p w14:paraId="49ACCD99" w14:textId="77777777" w:rsidR="00DA3C54" w:rsidRPr="00DA3C54" w:rsidRDefault="00DA3C54" w:rsidP="00DA3C54">
      <w:pPr>
        <w:pStyle w:val="SingleTxt"/>
        <w:spacing w:after="0" w:line="120" w:lineRule="exact"/>
        <w:rPr>
          <w:b/>
          <w:sz w:val="10"/>
          <w:lang w:val="fr-FR"/>
        </w:rPr>
      </w:pPr>
    </w:p>
    <w:p w14:paraId="7A83E1E0" w14:textId="720C4DC8" w:rsidR="00DA3C54" w:rsidRPr="00DA3C54" w:rsidRDefault="00DA3C54" w:rsidP="00DA3C54">
      <w:pPr>
        <w:framePr w:w="9792" w:h="432" w:hSpace="180" w:wrap="around" w:vAnchor="page" w:hAnchor="page" w:x="1205" w:y="1373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14:ligatures w14:val="none"/>
        </w:rPr>
      </w:pPr>
      <w:r>
        <w:rPr>
          <w:noProof/>
          <w:w w:val="100"/>
        </w:rPr>
        <mc:AlternateContent>
          <mc:Choice Requires="wps">
            <w:drawing>
              <wp:anchor distT="0" distB="0" distL="114300" distR="114300" simplePos="0" relativeHeight="251661312" behindDoc="0" locked="0" layoutInCell="1" allowOverlap="1" wp14:anchorId="6853FCC8" wp14:editId="47D931A4">
                <wp:simplePos x="0" y="0"/>
                <wp:positionH relativeFrom="column">
                  <wp:posOffset>548640</wp:posOffset>
                </wp:positionH>
                <wp:positionV relativeFrom="paragraph">
                  <wp:posOffset>-12700</wp:posOffset>
                </wp:positionV>
                <wp:extent cx="914400" cy="0"/>
                <wp:effectExtent l="0" t="0" r="0" b="0"/>
                <wp:wrapNone/>
                <wp:docPr id="195768758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AD896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14:ligatures w14:val="none"/>
        </w:rPr>
        <w:tab/>
        <w:t>*</w:t>
      </w:r>
      <w:r>
        <w:rPr>
          <w:spacing w:val="5"/>
          <w:w w:val="104"/>
          <w:sz w:val="17"/>
          <w14:ligatures w14:val="none"/>
        </w:rPr>
        <w:tab/>
      </w:r>
      <w:r w:rsidRPr="00CE00A4">
        <w:rPr>
          <w:spacing w:val="5"/>
          <w:w w:val="104"/>
          <w:sz w:val="17"/>
          <w:lang w:val="fr-FR"/>
          <w14:ligatures w14:val="none"/>
        </w:rPr>
        <w:t>La version originale du présent document n’a pas été revue par les services d’édition.</w:t>
      </w:r>
    </w:p>
    <w:p w14:paraId="0F3D439D" w14:textId="2AD95B05" w:rsidR="00CE00A4" w:rsidRPr="00CE00A4" w:rsidRDefault="00CE00A4" w:rsidP="00DA3C54">
      <w:pPr>
        <w:pStyle w:val="TitleHCH"/>
        <w:ind w:left="1267" w:right="1260" w:hanging="1267"/>
        <w:rPr>
          <w:lang w:val="fr-FR"/>
        </w:rPr>
      </w:pPr>
      <w:r w:rsidRPr="00CE00A4">
        <w:rPr>
          <w:lang w:val="fr-FR"/>
        </w:rPr>
        <w:tab/>
      </w:r>
      <w:r w:rsidRPr="00CE00A4">
        <w:rPr>
          <w:lang w:val="fr-FR"/>
        </w:rPr>
        <w:tab/>
        <w:t>Réponses d’El Salvador à la liste de points et de questions concernant son dixième rapport périodique</w:t>
      </w:r>
      <w:r w:rsidR="00DA3C54" w:rsidRPr="00DA3C54">
        <w:rPr>
          <w:b w:val="0"/>
          <w:bCs/>
          <w:sz w:val="20"/>
          <w:lang w:val="fr-FR"/>
        </w:rPr>
        <w:t>*</w:t>
      </w:r>
    </w:p>
    <w:p w14:paraId="493FE85B" w14:textId="77777777" w:rsidR="00DA3C54" w:rsidRPr="00DA3C54" w:rsidRDefault="00DA3C54" w:rsidP="00DA3C54">
      <w:pPr>
        <w:pStyle w:val="SingleTxt"/>
        <w:spacing w:after="0" w:line="120" w:lineRule="exact"/>
        <w:rPr>
          <w:sz w:val="10"/>
          <w:lang w:val="fr-FR"/>
        </w:rPr>
      </w:pPr>
    </w:p>
    <w:p w14:paraId="2C7A73EB" w14:textId="77777777" w:rsidR="00DA3C54" w:rsidRPr="00DA3C54" w:rsidRDefault="00DA3C54" w:rsidP="00DA3C54">
      <w:pPr>
        <w:pStyle w:val="SingleTxt"/>
        <w:spacing w:after="0" w:line="120" w:lineRule="exact"/>
        <w:rPr>
          <w:sz w:val="10"/>
          <w:lang w:val="fr-FR"/>
        </w:rPr>
      </w:pPr>
    </w:p>
    <w:p w14:paraId="3C578453" w14:textId="33C1CA4B" w:rsidR="00CE00A4" w:rsidRPr="00DA3C54" w:rsidRDefault="00CE00A4" w:rsidP="00DA3C54">
      <w:pPr>
        <w:pStyle w:val="SingleTxt"/>
        <w:jc w:val="right"/>
        <w:rPr>
          <w:lang w:val="fr-FR"/>
        </w:rPr>
      </w:pPr>
      <w:r w:rsidRPr="00CE00A4">
        <w:rPr>
          <w:lang w:val="fr-FR"/>
        </w:rPr>
        <w:t>[Date de réception : 3 mars 2025]</w:t>
      </w:r>
    </w:p>
    <w:p w14:paraId="584CAA42" w14:textId="07E15A77" w:rsidR="00CE00A4" w:rsidRPr="00DA3C54" w:rsidRDefault="00CE00A4">
      <w:pPr>
        <w:suppressAutoHyphens w:val="0"/>
        <w:spacing w:after="160" w:line="259" w:lineRule="auto"/>
      </w:pPr>
      <w:r w:rsidRPr="00DA3C54">
        <w:br w:type="page"/>
      </w:r>
    </w:p>
    <w:p w14:paraId="5FAFBAFD" w14:textId="2B6EF733" w:rsidR="00CE00A4" w:rsidRPr="00DA3C54" w:rsidRDefault="00DA3C54" w:rsidP="00DA3C54">
      <w:pPr>
        <w:pStyle w:val="HCh"/>
        <w:spacing w:after="120" w:line="240" w:lineRule="auto"/>
      </w:pPr>
      <w:r>
        <w:lastRenderedPageBreak/>
        <w:t>Ta</w:t>
      </w:r>
      <w:r w:rsidR="00CE00A4" w:rsidRPr="00DA3C54">
        <w:t>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E00A4" w:rsidRPr="00DA3C54" w14:paraId="08027161" w14:textId="77777777" w:rsidTr="00CE00A4">
        <w:tc>
          <w:tcPr>
            <w:tcW w:w="1060" w:type="dxa"/>
            <w:shd w:val="clear" w:color="auto" w:fill="auto"/>
          </w:tcPr>
          <w:p w14:paraId="05B9CF74" w14:textId="63A09EC4" w:rsidR="00CE00A4" w:rsidRPr="00DA3C54" w:rsidRDefault="00CE00A4" w:rsidP="00CE00A4">
            <w:pPr>
              <w:spacing w:after="120" w:line="240" w:lineRule="auto"/>
              <w:jc w:val="right"/>
              <w:rPr>
                <w:i/>
                <w:sz w:val="14"/>
              </w:rPr>
            </w:pPr>
          </w:p>
        </w:tc>
        <w:tc>
          <w:tcPr>
            <w:tcW w:w="7315" w:type="dxa"/>
            <w:shd w:val="clear" w:color="auto" w:fill="auto"/>
          </w:tcPr>
          <w:p w14:paraId="44583AD4" w14:textId="77777777" w:rsidR="00CE00A4" w:rsidRPr="00DA3C54" w:rsidRDefault="00CE00A4" w:rsidP="00CE00A4">
            <w:pPr>
              <w:spacing w:after="120" w:line="240" w:lineRule="auto"/>
              <w:rPr>
                <w:i/>
                <w:sz w:val="14"/>
              </w:rPr>
            </w:pPr>
          </w:p>
        </w:tc>
        <w:tc>
          <w:tcPr>
            <w:tcW w:w="994" w:type="dxa"/>
            <w:shd w:val="clear" w:color="auto" w:fill="auto"/>
          </w:tcPr>
          <w:p w14:paraId="07D5BEDF" w14:textId="23F7A590" w:rsidR="00CE00A4" w:rsidRPr="00DA3C54" w:rsidRDefault="00CE00A4" w:rsidP="00CE00A4">
            <w:pPr>
              <w:spacing w:after="120" w:line="240" w:lineRule="auto"/>
              <w:jc w:val="right"/>
              <w:rPr>
                <w:i/>
                <w:sz w:val="14"/>
              </w:rPr>
            </w:pPr>
          </w:p>
        </w:tc>
        <w:tc>
          <w:tcPr>
            <w:tcW w:w="533" w:type="dxa"/>
            <w:shd w:val="clear" w:color="auto" w:fill="auto"/>
          </w:tcPr>
          <w:p w14:paraId="2E081B0C" w14:textId="3E9E6341" w:rsidR="00CE00A4" w:rsidRPr="00DA3C54" w:rsidRDefault="00CE00A4" w:rsidP="00CE00A4">
            <w:pPr>
              <w:spacing w:after="120" w:line="240" w:lineRule="auto"/>
              <w:jc w:val="right"/>
              <w:rPr>
                <w:i/>
                <w:sz w:val="14"/>
              </w:rPr>
            </w:pPr>
            <w:r w:rsidRPr="00DA3C54">
              <w:rPr>
                <w:i/>
                <w:sz w:val="14"/>
              </w:rPr>
              <w:t>Page</w:t>
            </w:r>
          </w:p>
        </w:tc>
      </w:tr>
      <w:tr w:rsidR="00CE00A4" w:rsidRPr="00DA3C54" w14:paraId="32899833" w14:textId="77777777" w:rsidTr="00CE00A4">
        <w:tc>
          <w:tcPr>
            <w:tcW w:w="9369" w:type="dxa"/>
            <w:gridSpan w:val="3"/>
            <w:shd w:val="clear" w:color="auto" w:fill="auto"/>
          </w:tcPr>
          <w:p w14:paraId="25387455" w14:textId="276AD3BB" w:rsidR="00CE00A4" w:rsidRPr="001959B3" w:rsidRDefault="001959B3" w:rsidP="001959B3">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1959B3">
              <w:rPr>
                <w:lang w:val="fr-FR"/>
              </w:rPr>
              <w:t>Contexte : femmes et paix et sécurité</w:t>
            </w:r>
            <w:r>
              <w:rPr>
                <w:spacing w:val="60"/>
                <w:sz w:val="17"/>
                <w:lang w:val="fr-FR"/>
              </w:rPr>
              <w:tab/>
            </w:r>
          </w:p>
        </w:tc>
        <w:tc>
          <w:tcPr>
            <w:tcW w:w="533" w:type="dxa"/>
            <w:shd w:val="clear" w:color="auto" w:fill="auto"/>
            <w:vAlign w:val="bottom"/>
          </w:tcPr>
          <w:p w14:paraId="01D3B9BF" w14:textId="0B145485" w:rsidR="00CE00A4" w:rsidRPr="00DA3C54" w:rsidRDefault="001959B3" w:rsidP="00CE00A4">
            <w:pPr>
              <w:spacing w:after="120"/>
              <w:ind w:right="40"/>
              <w:jc w:val="right"/>
            </w:pPr>
            <w:r>
              <w:t>3</w:t>
            </w:r>
          </w:p>
        </w:tc>
      </w:tr>
      <w:tr w:rsidR="00CE00A4" w:rsidRPr="00DA3C54" w14:paraId="33449087" w14:textId="77777777" w:rsidTr="00CE00A4">
        <w:tc>
          <w:tcPr>
            <w:tcW w:w="9369" w:type="dxa"/>
            <w:gridSpan w:val="3"/>
            <w:shd w:val="clear" w:color="auto" w:fill="auto"/>
          </w:tcPr>
          <w:p w14:paraId="01B8A531" w14:textId="2D20BCDF" w:rsidR="00CE00A4" w:rsidRPr="001959B3" w:rsidRDefault="001959B3" w:rsidP="001959B3">
            <w:pPr>
              <w:pStyle w:val="ListParagraph"/>
              <w:tabs>
                <w:tab w:val="left" w:pos="1296"/>
                <w:tab w:val="left" w:pos="1728"/>
                <w:tab w:val="left" w:pos="2160"/>
                <w:tab w:val="left" w:pos="2592"/>
                <w:tab w:val="left" w:pos="3024"/>
                <w:tab w:val="left" w:pos="3456"/>
                <w:tab w:val="right" w:leader="dot" w:pos="9360"/>
              </w:tabs>
              <w:spacing w:after="120"/>
              <w:ind w:left="1296"/>
              <w:rPr>
                <w:spacing w:val="60"/>
                <w:sz w:val="17"/>
              </w:rPr>
            </w:pPr>
            <w:r w:rsidRPr="001959B3">
              <w:rPr>
                <w:lang w:val="fr-FR"/>
              </w:rPr>
              <w:t>Visibilité de la Convention</w:t>
            </w:r>
            <w:r>
              <w:rPr>
                <w:spacing w:val="60"/>
                <w:sz w:val="17"/>
                <w:lang w:val="fr-FR"/>
              </w:rPr>
              <w:tab/>
            </w:r>
          </w:p>
        </w:tc>
        <w:tc>
          <w:tcPr>
            <w:tcW w:w="533" w:type="dxa"/>
            <w:shd w:val="clear" w:color="auto" w:fill="auto"/>
            <w:vAlign w:val="bottom"/>
          </w:tcPr>
          <w:p w14:paraId="23A60618" w14:textId="5BFA7CFE" w:rsidR="00CE00A4" w:rsidRPr="00DA3C54" w:rsidRDefault="001959B3" w:rsidP="00CE00A4">
            <w:pPr>
              <w:spacing w:after="120"/>
              <w:ind w:right="40"/>
              <w:jc w:val="right"/>
            </w:pPr>
            <w:r>
              <w:t>4</w:t>
            </w:r>
          </w:p>
        </w:tc>
      </w:tr>
      <w:tr w:rsidR="00CE00A4" w:rsidRPr="00DA3C54" w14:paraId="1765F5B3" w14:textId="77777777" w:rsidTr="00CE00A4">
        <w:tc>
          <w:tcPr>
            <w:tcW w:w="9369" w:type="dxa"/>
            <w:gridSpan w:val="3"/>
            <w:shd w:val="clear" w:color="auto" w:fill="auto"/>
          </w:tcPr>
          <w:p w14:paraId="7A77076E" w14:textId="4DC3649A" w:rsidR="00CE00A4" w:rsidRPr="001959B3" w:rsidRDefault="001959B3" w:rsidP="001959B3">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1959B3">
              <w:rPr>
                <w:lang w:val="fr-FR"/>
              </w:rPr>
              <w:t>Cadre juridique et définition de la discrimination</w:t>
            </w:r>
            <w:r>
              <w:rPr>
                <w:spacing w:val="60"/>
                <w:sz w:val="17"/>
                <w:lang w:val="fr-FR"/>
              </w:rPr>
              <w:tab/>
            </w:r>
          </w:p>
        </w:tc>
        <w:tc>
          <w:tcPr>
            <w:tcW w:w="533" w:type="dxa"/>
            <w:shd w:val="clear" w:color="auto" w:fill="auto"/>
            <w:vAlign w:val="bottom"/>
          </w:tcPr>
          <w:p w14:paraId="436511BA" w14:textId="5BF754AA" w:rsidR="00CE00A4" w:rsidRPr="00DA3C54" w:rsidRDefault="001959B3" w:rsidP="00CE00A4">
            <w:pPr>
              <w:spacing w:after="120"/>
              <w:ind w:right="40"/>
              <w:jc w:val="right"/>
            </w:pPr>
            <w:r>
              <w:t>5</w:t>
            </w:r>
          </w:p>
        </w:tc>
      </w:tr>
      <w:tr w:rsidR="00CE00A4" w:rsidRPr="00DA3C54" w14:paraId="51C2B120" w14:textId="77777777" w:rsidTr="00CE00A4">
        <w:tc>
          <w:tcPr>
            <w:tcW w:w="9369" w:type="dxa"/>
            <w:gridSpan w:val="3"/>
            <w:shd w:val="clear" w:color="auto" w:fill="auto"/>
          </w:tcPr>
          <w:p w14:paraId="5C87AD04" w14:textId="0E45EBCD" w:rsidR="00CE00A4" w:rsidRPr="001959B3" w:rsidRDefault="001959B3" w:rsidP="001959B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1959B3">
              <w:rPr>
                <w:lang w:val="fr-FR"/>
              </w:rPr>
              <w:t>Accès à la justice et à des mécanismes juridiques de plainte</w:t>
            </w:r>
            <w:r>
              <w:rPr>
                <w:spacing w:val="60"/>
                <w:sz w:val="17"/>
                <w:lang w:val="fr-FR"/>
              </w:rPr>
              <w:tab/>
            </w:r>
          </w:p>
        </w:tc>
        <w:tc>
          <w:tcPr>
            <w:tcW w:w="533" w:type="dxa"/>
            <w:shd w:val="clear" w:color="auto" w:fill="auto"/>
            <w:vAlign w:val="bottom"/>
          </w:tcPr>
          <w:p w14:paraId="5C0548B2" w14:textId="2B73D285" w:rsidR="00CE00A4" w:rsidRPr="00DA3C54" w:rsidRDefault="001959B3" w:rsidP="00CE00A4">
            <w:pPr>
              <w:spacing w:after="120"/>
              <w:ind w:right="40"/>
              <w:jc w:val="right"/>
            </w:pPr>
            <w:r>
              <w:t>6</w:t>
            </w:r>
          </w:p>
        </w:tc>
      </w:tr>
      <w:tr w:rsidR="00CE00A4" w:rsidRPr="00DA3C54" w14:paraId="49676428" w14:textId="77777777" w:rsidTr="00CE00A4">
        <w:tc>
          <w:tcPr>
            <w:tcW w:w="9369" w:type="dxa"/>
            <w:gridSpan w:val="3"/>
            <w:shd w:val="clear" w:color="auto" w:fill="auto"/>
          </w:tcPr>
          <w:p w14:paraId="5B116337" w14:textId="227619A7" w:rsidR="00CE00A4" w:rsidRPr="001959B3" w:rsidRDefault="001959B3" w:rsidP="001959B3">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1959B3">
              <w:rPr>
                <w:lang w:val="fr-FR"/>
              </w:rPr>
              <w:t>Mécanisme national de promotion des femmes</w:t>
            </w:r>
            <w:r>
              <w:rPr>
                <w:spacing w:val="60"/>
                <w:sz w:val="17"/>
                <w:lang w:val="fr-FR"/>
              </w:rPr>
              <w:tab/>
            </w:r>
          </w:p>
        </w:tc>
        <w:tc>
          <w:tcPr>
            <w:tcW w:w="533" w:type="dxa"/>
            <w:shd w:val="clear" w:color="auto" w:fill="auto"/>
            <w:vAlign w:val="bottom"/>
          </w:tcPr>
          <w:p w14:paraId="45181EEE" w14:textId="27C2E972" w:rsidR="00CE00A4" w:rsidRPr="00DA3C54" w:rsidRDefault="001959B3" w:rsidP="00CE00A4">
            <w:pPr>
              <w:spacing w:after="120"/>
              <w:ind w:right="40"/>
              <w:jc w:val="right"/>
            </w:pPr>
            <w:r>
              <w:t>9</w:t>
            </w:r>
          </w:p>
        </w:tc>
      </w:tr>
      <w:tr w:rsidR="00CE00A4" w:rsidRPr="00DA3C54" w14:paraId="60BE7BF6" w14:textId="77777777" w:rsidTr="00CE00A4">
        <w:tc>
          <w:tcPr>
            <w:tcW w:w="9369" w:type="dxa"/>
            <w:gridSpan w:val="3"/>
            <w:shd w:val="clear" w:color="auto" w:fill="auto"/>
          </w:tcPr>
          <w:p w14:paraId="3B43C67A" w14:textId="4D2A4089" w:rsidR="00CE00A4" w:rsidRPr="001959B3" w:rsidRDefault="001959B3" w:rsidP="001959B3">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1959B3">
              <w:rPr>
                <w:lang w:val="fr-FR"/>
              </w:rPr>
              <w:t>Institution nationale des droits humains</w:t>
            </w:r>
            <w:r>
              <w:rPr>
                <w:spacing w:val="60"/>
                <w:sz w:val="17"/>
                <w:lang w:val="fr-FR"/>
              </w:rPr>
              <w:tab/>
            </w:r>
          </w:p>
        </w:tc>
        <w:tc>
          <w:tcPr>
            <w:tcW w:w="533" w:type="dxa"/>
            <w:shd w:val="clear" w:color="auto" w:fill="auto"/>
            <w:vAlign w:val="bottom"/>
          </w:tcPr>
          <w:p w14:paraId="3222164E" w14:textId="74D9CF87" w:rsidR="00CE00A4" w:rsidRPr="00DA3C54" w:rsidRDefault="001959B3" w:rsidP="00CE00A4">
            <w:pPr>
              <w:spacing w:after="120"/>
              <w:ind w:right="40"/>
              <w:jc w:val="right"/>
            </w:pPr>
            <w:r>
              <w:t>10</w:t>
            </w:r>
          </w:p>
        </w:tc>
      </w:tr>
      <w:tr w:rsidR="00CE00A4" w:rsidRPr="00DA3C54" w14:paraId="3C3A78EA" w14:textId="77777777" w:rsidTr="00CE00A4">
        <w:tc>
          <w:tcPr>
            <w:tcW w:w="9369" w:type="dxa"/>
            <w:gridSpan w:val="3"/>
            <w:shd w:val="clear" w:color="auto" w:fill="auto"/>
          </w:tcPr>
          <w:p w14:paraId="53C8FB6D" w14:textId="400F95A8" w:rsidR="00CE00A4" w:rsidRPr="001959B3" w:rsidRDefault="001959B3" w:rsidP="001959B3">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1959B3">
              <w:rPr>
                <w:lang w:val="fr-FR"/>
              </w:rPr>
              <w:t>Mesures temporaires spéciales</w:t>
            </w:r>
            <w:r>
              <w:rPr>
                <w:spacing w:val="60"/>
                <w:sz w:val="17"/>
                <w:lang w:val="fr-FR"/>
              </w:rPr>
              <w:tab/>
            </w:r>
          </w:p>
        </w:tc>
        <w:tc>
          <w:tcPr>
            <w:tcW w:w="533" w:type="dxa"/>
            <w:shd w:val="clear" w:color="auto" w:fill="auto"/>
            <w:vAlign w:val="bottom"/>
          </w:tcPr>
          <w:p w14:paraId="6062754A" w14:textId="13731AF5" w:rsidR="00CE00A4" w:rsidRPr="00DA3C54" w:rsidRDefault="001959B3" w:rsidP="00CE00A4">
            <w:pPr>
              <w:spacing w:after="120"/>
              <w:ind w:right="40"/>
              <w:jc w:val="right"/>
            </w:pPr>
            <w:r>
              <w:t>10</w:t>
            </w:r>
          </w:p>
        </w:tc>
      </w:tr>
      <w:tr w:rsidR="00CE00A4" w:rsidRPr="00DA3C54" w14:paraId="7612304A" w14:textId="77777777" w:rsidTr="00CE00A4">
        <w:tc>
          <w:tcPr>
            <w:tcW w:w="9369" w:type="dxa"/>
            <w:gridSpan w:val="3"/>
            <w:shd w:val="clear" w:color="auto" w:fill="auto"/>
          </w:tcPr>
          <w:p w14:paraId="50430FAE" w14:textId="12BA4A02" w:rsidR="00CE00A4" w:rsidRPr="001959B3" w:rsidRDefault="001959B3" w:rsidP="001959B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1959B3">
              <w:rPr>
                <w:lang w:val="fr-FR"/>
              </w:rPr>
              <w:t>Stéréotypes fondés sur le genre et pratiques préjudiciables</w:t>
            </w:r>
            <w:r>
              <w:rPr>
                <w:spacing w:val="60"/>
                <w:sz w:val="17"/>
                <w:lang w:val="fr-FR"/>
              </w:rPr>
              <w:tab/>
            </w:r>
          </w:p>
        </w:tc>
        <w:tc>
          <w:tcPr>
            <w:tcW w:w="533" w:type="dxa"/>
            <w:shd w:val="clear" w:color="auto" w:fill="auto"/>
            <w:vAlign w:val="bottom"/>
          </w:tcPr>
          <w:p w14:paraId="37BD5928" w14:textId="4F12BDCE" w:rsidR="00CE00A4" w:rsidRPr="00DA3C54" w:rsidRDefault="001959B3" w:rsidP="00CE00A4">
            <w:pPr>
              <w:spacing w:after="120"/>
              <w:ind w:right="40"/>
              <w:jc w:val="right"/>
            </w:pPr>
            <w:r>
              <w:t>11</w:t>
            </w:r>
          </w:p>
        </w:tc>
      </w:tr>
      <w:tr w:rsidR="00CE00A4" w:rsidRPr="00DA3C54" w14:paraId="05F43B83" w14:textId="77777777" w:rsidTr="00CE00A4">
        <w:tc>
          <w:tcPr>
            <w:tcW w:w="9369" w:type="dxa"/>
            <w:gridSpan w:val="3"/>
            <w:shd w:val="clear" w:color="auto" w:fill="auto"/>
          </w:tcPr>
          <w:p w14:paraId="31EA6E3C" w14:textId="4741B3B8" w:rsidR="00CE00A4" w:rsidRPr="001959B3" w:rsidRDefault="001959B3" w:rsidP="001959B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1959B3">
              <w:rPr>
                <w:lang w:val="fr-FR"/>
              </w:rPr>
              <w:t>Violence à l’égard des femmes et des filles fondée sur le genre</w:t>
            </w:r>
            <w:r>
              <w:rPr>
                <w:spacing w:val="60"/>
                <w:sz w:val="17"/>
                <w:lang w:val="fr-FR"/>
              </w:rPr>
              <w:tab/>
            </w:r>
          </w:p>
        </w:tc>
        <w:tc>
          <w:tcPr>
            <w:tcW w:w="533" w:type="dxa"/>
            <w:shd w:val="clear" w:color="auto" w:fill="auto"/>
            <w:vAlign w:val="bottom"/>
          </w:tcPr>
          <w:p w14:paraId="0993CB8B" w14:textId="79FC8DD9" w:rsidR="00CE00A4" w:rsidRPr="00DA3C54" w:rsidRDefault="001959B3" w:rsidP="00CE00A4">
            <w:pPr>
              <w:spacing w:after="120"/>
              <w:ind w:right="40"/>
              <w:jc w:val="right"/>
            </w:pPr>
            <w:r>
              <w:t>12</w:t>
            </w:r>
          </w:p>
        </w:tc>
      </w:tr>
      <w:tr w:rsidR="00CE00A4" w:rsidRPr="00DA3C54" w14:paraId="75C088FC" w14:textId="77777777" w:rsidTr="00CE00A4">
        <w:tc>
          <w:tcPr>
            <w:tcW w:w="9369" w:type="dxa"/>
            <w:gridSpan w:val="3"/>
            <w:shd w:val="clear" w:color="auto" w:fill="auto"/>
          </w:tcPr>
          <w:p w14:paraId="7E043770" w14:textId="655A7A84" w:rsidR="00CE00A4" w:rsidRPr="001959B3" w:rsidRDefault="001959B3" w:rsidP="001959B3">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1959B3">
              <w:rPr>
                <w:lang w:val="fr-FR"/>
              </w:rPr>
              <w:t>Traite et exploitation de la prostitution</w:t>
            </w:r>
            <w:r>
              <w:rPr>
                <w:spacing w:val="60"/>
                <w:sz w:val="17"/>
                <w:lang w:val="fr-FR"/>
              </w:rPr>
              <w:tab/>
            </w:r>
          </w:p>
        </w:tc>
        <w:tc>
          <w:tcPr>
            <w:tcW w:w="533" w:type="dxa"/>
            <w:shd w:val="clear" w:color="auto" w:fill="auto"/>
            <w:vAlign w:val="bottom"/>
          </w:tcPr>
          <w:p w14:paraId="02CFB788" w14:textId="3449A172" w:rsidR="00CE00A4" w:rsidRPr="00DA3C54" w:rsidRDefault="001959B3" w:rsidP="00CE00A4">
            <w:pPr>
              <w:spacing w:after="120"/>
              <w:ind w:right="40"/>
              <w:jc w:val="right"/>
            </w:pPr>
            <w:r>
              <w:t>14</w:t>
            </w:r>
          </w:p>
        </w:tc>
      </w:tr>
      <w:tr w:rsidR="00CE00A4" w:rsidRPr="00DA3C54" w14:paraId="593DFE2E" w14:textId="77777777" w:rsidTr="00CE00A4">
        <w:tc>
          <w:tcPr>
            <w:tcW w:w="9369" w:type="dxa"/>
            <w:gridSpan w:val="3"/>
            <w:shd w:val="clear" w:color="auto" w:fill="auto"/>
          </w:tcPr>
          <w:p w14:paraId="16A7209B" w14:textId="27D72F13" w:rsidR="00CE00A4" w:rsidRPr="001959B3" w:rsidRDefault="001959B3" w:rsidP="001959B3">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1959B3">
              <w:rPr>
                <w:lang w:val="fr-FR"/>
              </w:rPr>
              <w:t>Participation à la vie politique et à la vie publique</w:t>
            </w:r>
            <w:r>
              <w:rPr>
                <w:spacing w:val="60"/>
                <w:sz w:val="17"/>
                <w:lang w:val="fr-FR"/>
              </w:rPr>
              <w:tab/>
            </w:r>
          </w:p>
        </w:tc>
        <w:tc>
          <w:tcPr>
            <w:tcW w:w="533" w:type="dxa"/>
            <w:shd w:val="clear" w:color="auto" w:fill="auto"/>
            <w:vAlign w:val="bottom"/>
          </w:tcPr>
          <w:p w14:paraId="249A9474" w14:textId="7604D456" w:rsidR="00CE00A4" w:rsidRPr="00DA3C54" w:rsidRDefault="001959B3" w:rsidP="00CE00A4">
            <w:pPr>
              <w:spacing w:after="120"/>
              <w:ind w:right="40"/>
              <w:jc w:val="right"/>
            </w:pPr>
            <w:r>
              <w:t>15</w:t>
            </w:r>
          </w:p>
        </w:tc>
      </w:tr>
      <w:tr w:rsidR="00CE00A4" w:rsidRPr="00DA3C54" w14:paraId="71C1FEB2" w14:textId="77777777" w:rsidTr="00CE00A4">
        <w:tc>
          <w:tcPr>
            <w:tcW w:w="9369" w:type="dxa"/>
            <w:gridSpan w:val="3"/>
            <w:shd w:val="clear" w:color="auto" w:fill="auto"/>
          </w:tcPr>
          <w:p w14:paraId="7518CEA2" w14:textId="462E030B" w:rsidR="00CE00A4" w:rsidRPr="001959B3" w:rsidRDefault="001959B3" w:rsidP="001959B3">
            <w:pPr>
              <w:pStyle w:val="ListParagraph"/>
              <w:tabs>
                <w:tab w:val="left" w:pos="1296"/>
                <w:tab w:val="left" w:pos="1728"/>
                <w:tab w:val="left" w:pos="2160"/>
                <w:tab w:val="right" w:leader="dot" w:pos="9360"/>
              </w:tabs>
              <w:spacing w:after="120"/>
              <w:ind w:left="1296"/>
              <w:rPr>
                <w:spacing w:val="60"/>
                <w:sz w:val="17"/>
              </w:rPr>
            </w:pPr>
            <w:r w:rsidRPr="001959B3">
              <w:rPr>
                <w:lang w:val="fr-FR"/>
              </w:rPr>
              <w:t>Éducation</w:t>
            </w:r>
            <w:r>
              <w:rPr>
                <w:spacing w:val="60"/>
                <w:sz w:val="17"/>
                <w:lang w:val="fr-FR"/>
              </w:rPr>
              <w:tab/>
            </w:r>
          </w:p>
        </w:tc>
        <w:tc>
          <w:tcPr>
            <w:tcW w:w="533" w:type="dxa"/>
            <w:shd w:val="clear" w:color="auto" w:fill="auto"/>
            <w:vAlign w:val="bottom"/>
          </w:tcPr>
          <w:p w14:paraId="53BC16C2" w14:textId="637A7A3E" w:rsidR="00CE00A4" w:rsidRPr="00DA3C54" w:rsidRDefault="001959B3" w:rsidP="00CE00A4">
            <w:pPr>
              <w:spacing w:after="120"/>
              <w:ind w:right="40"/>
              <w:jc w:val="right"/>
            </w:pPr>
            <w:r>
              <w:t>16</w:t>
            </w:r>
          </w:p>
        </w:tc>
      </w:tr>
      <w:tr w:rsidR="00CE00A4" w:rsidRPr="00DA3C54" w14:paraId="5D431506" w14:textId="77777777" w:rsidTr="00CE00A4">
        <w:tc>
          <w:tcPr>
            <w:tcW w:w="9369" w:type="dxa"/>
            <w:gridSpan w:val="3"/>
            <w:shd w:val="clear" w:color="auto" w:fill="auto"/>
          </w:tcPr>
          <w:p w14:paraId="7BE40E13" w14:textId="08AF0BF2" w:rsidR="00CE00A4" w:rsidRPr="001959B3" w:rsidRDefault="001959B3" w:rsidP="001959B3">
            <w:pPr>
              <w:pStyle w:val="ListParagraph"/>
              <w:tabs>
                <w:tab w:val="left" w:pos="1296"/>
                <w:tab w:val="left" w:pos="1728"/>
                <w:tab w:val="right" w:leader="dot" w:pos="9360"/>
              </w:tabs>
              <w:spacing w:after="120"/>
              <w:ind w:left="1296"/>
              <w:rPr>
                <w:spacing w:val="60"/>
                <w:sz w:val="17"/>
              </w:rPr>
            </w:pPr>
            <w:r w:rsidRPr="001959B3">
              <w:rPr>
                <w:lang w:val="fr-FR"/>
              </w:rPr>
              <w:t>Emploi</w:t>
            </w:r>
            <w:r>
              <w:rPr>
                <w:spacing w:val="60"/>
                <w:sz w:val="17"/>
                <w:lang w:val="fr-FR"/>
              </w:rPr>
              <w:tab/>
            </w:r>
          </w:p>
        </w:tc>
        <w:tc>
          <w:tcPr>
            <w:tcW w:w="533" w:type="dxa"/>
            <w:shd w:val="clear" w:color="auto" w:fill="auto"/>
            <w:vAlign w:val="bottom"/>
          </w:tcPr>
          <w:p w14:paraId="76FCD9F9" w14:textId="04968F8D" w:rsidR="00CE00A4" w:rsidRPr="00DA3C54" w:rsidRDefault="001959B3" w:rsidP="00CE00A4">
            <w:pPr>
              <w:spacing w:after="120"/>
              <w:ind w:right="40"/>
              <w:jc w:val="right"/>
            </w:pPr>
            <w:r>
              <w:t>18</w:t>
            </w:r>
          </w:p>
        </w:tc>
      </w:tr>
      <w:tr w:rsidR="00CE00A4" w:rsidRPr="00DA3C54" w14:paraId="43FEC09A" w14:textId="77777777" w:rsidTr="00CE00A4">
        <w:tc>
          <w:tcPr>
            <w:tcW w:w="9369" w:type="dxa"/>
            <w:gridSpan w:val="3"/>
            <w:shd w:val="clear" w:color="auto" w:fill="auto"/>
          </w:tcPr>
          <w:p w14:paraId="264CDCC8" w14:textId="51694495" w:rsidR="00CE00A4" w:rsidRPr="001959B3" w:rsidRDefault="001959B3" w:rsidP="001959B3">
            <w:pPr>
              <w:pStyle w:val="ListParagraph"/>
              <w:tabs>
                <w:tab w:val="left" w:pos="1296"/>
                <w:tab w:val="left" w:pos="1728"/>
                <w:tab w:val="right" w:leader="dot" w:pos="9360"/>
              </w:tabs>
              <w:spacing w:after="120"/>
              <w:ind w:left="1296"/>
              <w:rPr>
                <w:spacing w:val="60"/>
                <w:sz w:val="17"/>
              </w:rPr>
            </w:pPr>
            <w:r w:rsidRPr="001959B3">
              <w:rPr>
                <w:lang w:val="fr-FR"/>
              </w:rPr>
              <w:t>Santé</w:t>
            </w:r>
            <w:r>
              <w:rPr>
                <w:spacing w:val="60"/>
                <w:sz w:val="17"/>
                <w:lang w:val="fr-FR"/>
              </w:rPr>
              <w:tab/>
            </w:r>
          </w:p>
        </w:tc>
        <w:tc>
          <w:tcPr>
            <w:tcW w:w="533" w:type="dxa"/>
            <w:shd w:val="clear" w:color="auto" w:fill="auto"/>
            <w:vAlign w:val="bottom"/>
          </w:tcPr>
          <w:p w14:paraId="6DBE98F4" w14:textId="0EF79377" w:rsidR="00CE00A4" w:rsidRPr="00DA3C54" w:rsidRDefault="001959B3" w:rsidP="00CE00A4">
            <w:pPr>
              <w:spacing w:after="120"/>
              <w:ind w:right="40"/>
              <w:jc w:val="right"/>
            </w:pPr>
            <w:r>
              <w:t>19</w:t>
            </w:r>
          </w:p>
        </w:tc>
      </w:tr>
      <w:tr w:rsidR="00CE00A4" w:rsidRPr="00DA3C54" w14:paraId="313AB3A3" w14:textId="77777777" w:rsidTr="00CE00A4">
        <w:tc>
          <w:tcPr>
            <w:tcW w:w="9369" w:type="dxa"/>
            <w:gridSpan w:val="3"/>
            <w:shd w:val="clear" w:color="auto" w:fill="auto"/>
          </w:tcPr>
          <w:p w14:paraId="6493DB67" w14:textId="5118F0BF" w:rsidR="00CE00A4" w:rsidRPr="001959B3" w:rsidRDefault="001959B3" w:rsidP="001959B3">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1959B3">
              <w:rPr>
                <w:lang w:val="fr-FR"/>
              </w:rPr>
              <w:t>Avancement économique des femmes</w:t>
            </w:r>
            <w:r>
              <w:rPr>
                <w:spacing w:val="60"/>
                <w:sz w:val="17"/>
                <w:lang w:val="fr-FR"/>
              </w:rPr>
              <w:tab/>
            </w:r>
          </w:p>
        </w:tc>
        <w:tc>
          <w:tcPr>
            <w:tcW w:w="533" w:type="dxa"/>
            <w:shd w:val="clear" w:color="auto" w:fill="auto"/>
            <w:vAlign w:val="bottom"/>
          </w:tcPr>
          <w:p w14:paraId="1754F4A9" w14:textId="26ABE5BA" w:rsidR="00CE00A4" w:rsidRPr="00DA3C54" w:rsidRDefault="001959B3" w:rsidP="00CE00A4">
            <w:pPr>
              <w:spacing w:after="120"/>
              <w:ind w:right="40"/>
              <w:jc w:val="right"/>
            </w:pPr>
            <w:r>
              <w:t>20</w:t>
            </w:r>
          </w:p>
        </w:tc>
      </w:tr>
      <w:tr w:rsidR="00CE00A4" w:rsidRPr="00DA3C54" w14:paraId="5F767D81" w14:textId="77777777" w:rsidTr="00CE00A4">
        <w:tc>
          <w:tcPr>
            <w:tcW w:w="9369" w:type="dxa"/>
            <w:gridSpan w:val="3"/>
            <w:shd w:val="clear" w:color="auto" w:fill="auto"/>
          </w:tcPr>
          <w:p w14:paraId="6D7E71AD" w14:textId="2E9DD516" w:rsidR="00CE00A4" w:rsidRPr="001959B3" w:rsidRDefault="001959B3" w:rsidP="001959B3">
            <w:pPr>
              <w:pStyle w:val="ListParagraph"/>
              <w:tabs>
                <w:tab w:val="left" w:pos="1296"/>
                <w:tab w:val="left" w:pos="1728"/>
                <w:tab w:val="left" w:pos="2160"/>
                <w:tab w:val="left" w:pos="2592"/>
                <w:tab w:val="right" w:leader="dot" w:pos="9360"/>
              </w:tabs>
              <w:spacing w:after="120"/>
              <w:ind w:left="1296"/>
              <w:rPr>
                <w:spacing w:val="60"/>
                <w:sz w:val="17"/>
              </w:rPr>
            </w:pPr>
            <w:r w:rsidRPr="001959B3">
              <w:rPr>
                <w:lang w:val="fr-FR"/>
              </w:rPr>
              <w:t>Femmes rurales</w:t>
            </w:r>
            <w:r>
              <w:rPr>
                <w:spacing w:val="60"/>
                <w:sz w:val="17"/>
                <w:lang w:val="fr-FR"/>
              </w:rPr>
              <w:tab/>
            </w:r>
          </w:p>
        </w:tc>
        <w:tc>
          <w:tcPr>
            <w:tcW w:w="533" w:type="dxa"/>
            <w:shd w:val="clear" w:color="auto" w:fill="auto"/>
            <w:vAlign w:val="bottom"/>
          </w:tcPr>
          <w:p w14:paraId="26DBF5EE" w14:textId="611CE665" w:rsidR="00CE00A4" w:rsidRPr="00DA3C54" w:rsidRDefault="001959B3" w:rsidP="00CE00A4">
            <w:pPr>
              <w:spacing w:after="120"/>
              <w:ind w:right="40"/>
              <w:jc w:val="right"/>
            </w:pPr>
            <w:r>
              <w:t>21</w:t>
            </w:r>
          </w:p>
        </w:tc>
      </w:tr>
      <w:tr w:rsidR="00CE00A4" w:rsidRPr="00DA3C54" w14:paraId="05C4BB19" w14:textId="77777777" w:rsidTr="00CE00A4">
        <w:tc>
          <w:tcPr>
            <w:tcW w:w="9369" w:type="dxa"/>
            <w:gridSpan w:val="3"/>
            <w:shd w:val="clear" w:color="auto" w:fill="auto"/>
          </w:tcPr>
          <w:p w14:paraId="6F186904" w14:textId="3E6BCEEC" w:rsidR="00CE00A4" w:rsidRPr="001959B3" w:rsidRDefault="001959B3" w:rsidP="001959B3">
            <w:pPr>
              <w:pStyle w:val="ListParagraph"/>
              <w:tabs>
                <w:tab w:val="left" w:pos="1296"/>
                <w:tab w:val="left" w:pos="1728"/>
                <w:tab w:val="left" w:pos="2160"/>
                <w:tab w:val="left" w:pos="2592"/>
                <w:tab w:val="left" w:pos="3024"/>
                <w:tab w:val="right" w:leader="dot" w:pos="9360"/>
              </w:tabs>
              <w:spacing w:after="120"/>
              <w:ind w:left="1296"/>
              <w:rPr>
                <w:spacing w:val="60"/>
                <w:sz w:val="17"/>
              </w:rPr>
            </w:pPr>
            <w:r w:rsidRPr="001959B3">
              <w:rPr>
                <w:lang w:val="fr-FR"/>
              </w:rPr>
              <w:t>Femmes autochtones</w:t>
            </w:r>
            <w:r>
              <w:rPr>
                <w:spacing w:val="60"/>
                <w:sz w:val="17"/>
                <w:lang w:val="fr-FR"/>
              </w:rPr>
              <w:tab/>
            </w:r>
          </w:p>
        </w:tc>
        <w:tc>
          <w:tcPr>
            <w:tcW w:w="533" w:type="dxa"/>
            <w:shd w:val="clear" w:color="auto" w:fill="auto"/>
            <w:vAlign w:val="bottom"/>
          </w:tcPr>
          <w:p w14:paraId="16819F30" w14:textId="7151BDA3" w:rsidR="00CE00A4" w:rsidRPr="00DA3C54" w:rsidRDefault="001959B3" w:rsidP="00CE00A4">
            <w:pPr>
              <w:spacing w:after="120"/>
              <w:ind w:right="40"/>
              <w:jc w:val="right"/>
            </w:pPr>
            <w:r>
              <w:t>21</w:t>
            </w:r>
          </w:p>
        </w:tc>
      </w:tr>
      <w:tr w:rsidR="00CE00A4" w:rsidRPr="00DA3C54" w14:paraId="110A28B1" w14:textId="77777777" w:rsidTr="00CE00A4">
        <w:tc>
          <w:tcPr>
            <w:tcW w:w="9369" w:type="dxa"/>
            <w:gridSpan w:val="3"/>
            <w:shd w:val="clear" w:color="auto" w:fill="auto"/>
          </w:tcPr>
          <w:p w14:paraId="40618714" w14:textId="7A7538AE" w:rsidR="00CE00A4" w:rsidRPr="001959B3" w:rsidRDefault="001959B3" w:rsidP="001959B3">
            <w:pPr>
              <w:pStyle w:val="ListParagraph"/>
              <w:tabs>
                <w:tab w:val="left" w:pos="1296"/>
                <w:tab w:val="left" w:pos="1728"/>
                <w:tab w:val="left" w:pos="2160"/>
                <w:tab w:val="left" w:pos="2592"/>
                <w:tab w:val="left" w:pos="3024"/>
                <w:tab w:val="right" w:leader="dot" w:pos="9360"/>
              </w:tabs>
              <w:spacing w:after="120"/>
              <w:ind w:left="1296"/>
              <w:rPr>
                <w:spacing w:val="60"/>
                <w:sz w:val="17"/>
              </w:rPr>
            </w:pPr>
            <w:r w:rsidRPr="001959B3">
              <w:rPr>
                <w:lang w:val="fr-FR"/>
              </w:rPr>
              <w:t>Femmes handicapées</w:t>
            </w:r>
            <w:r>
              <w:rPr>
                <w:spacing w:val="60"/>
                <w:sz w:val="17"/>
                <w:lang w:val="fr-FR"/>
              </w:rPr>
              <w:tab/>
            </w:r>
          </w:p>
        </w:tc>
        <w:tc>
          <w:tcPr>
            <w:tcW w:w="533" w:type="dxa"/>
            <w:shd w:val="clear" w:color="auto" w:fill="auto"/>
            <w:vAlign w:val="bottom"/>
          </w:tcPr>
          <w:p w14:paraId="7887E932" w14:textId="3DB830DF" w:rsidR="00CE00A4" w:rsidRPr="00DA3C54" w:rsidRDefault="001959B3" w:rsidP="00CE00A4">
            <w:pPr>
              <w:spacing w:after="120"/>
              <w:ind w:right="40"/>
              <w:jc w:val="right"/>
            </w:pPr>
            <w:r>
              <w:t>22</w:t>
            </w:r>
          </w:p>
        </w:tc>
      </w:tr>
      <w:tr w:rsidR="00CE00A4" w:rsidRPr="00DA3C54" w14:paraId="1F3A03AA" w14:textId="77777777" w:rsidTr="00CE00A4">
        <w:tc>
          <w:tcPr>
            <w:tcW w:w="9369" w:type="dxa"/>
            <w:gridSpan w:val="3"/>
            <w:shd w:val="clear" w:color="auto" w:fill="auto"/>
          </w:tcPr>
          <w:p w14:paraId="6C326E9D" w14:textId="05D44BDC" w:rsidR="00CE00A4" w:rsidRPr="001959B3" w:rsidRDefault="001959B3" w:rsidP="001959B3">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1959B3">
              <w:rPr>
                <w:lang w:val="fr-FR"/>
              </w:rPr>
              <w:t>Défenseuses des droits humains</w:t>
            </w:r>
            <w:r>
              <w:rPr>
                <w:spacing w:val="60"/>
                <w:sz w:val="17"/>
                <w:lang w:val="fr-FR"/>
              </w:rPr>
              <w:tab/>
            </w:r>
          </w:p>
        </w:tc>
        <w:tc>
          <w:tcPr>
            <w:tcW w:w="533" w:type="dxa"/>
            <w:shd w:val="clear" w:color="auto" w:fill="auto"/>
            <w:vAlign w:val="bottom"/>
          </w:tcPr>
          <w:p w14:paraId="65CA5C0B" w14:textId="061D5CFD" w:rsidR="00CE00A4" w:rsidRPr="00DA3C54" w:rsidRDefault="001959B3" w:rsidP="00CE00A4">
            <w:pPr>
              <w:spacing w:after="120"/>
              <w:ind w:right="40"/>
              <w:jc w:val="right"/>
            </w:pPr>
            <w:r>
              <w:t>22</w:t>
            </w:r>
          </w:p>
        </w:tc>
      </w:tr>
      <w:tr w:rsidR="00CE00A4" w:rsidRPr="00DA3C54" w14:paraId="5FA78E5E" w14:textId="77777777" w:rsidTr="00CE00A4">
        <w:tc>
          <w:tcPr>
            <w:tcW w:w="9369" w:type="dxa"/>
            <w:gridSpan w:val="3"/>
            <w:shd w:val="clear" w:color="auto" w:fill="auto"/>
          </w:tcPr>
          <w:p w14:paraId="34BBA743" w14:textId="7C3F87EC" w:rsidR="00CE00A4" w:rsidRPr="001959B3" w:rsidRDefault="001959B3" w:rsidP="001959B3">
            <w:pPr>
              <w:pStyle w:val="ListParagraph"/>
              <w:tabs>
                <w:tab w:val="left" w:pos="1296"/>
                <w:tab w:val="left" w:pos="1728"/>
                <w:tab w:val="left" w:pos="2160"/>
                <w:tab w:val="left" w:pos="2592"/>
                <w:tab w:val="left" w:pos="3024"/>
                <w:tab w:val="right" w:leader="dot" w:pos="9360"/>
              </w:tabs>
              <w:spacing w:after="120"/>
              <w:ind w:left="1296"/>
              <w:rPr>
                <w:spacing w:val="60"/>
                <w:sz w:val="17"/>
              </w:rPr>
            </w:pPr>
            <w:r w:rsidRPr="001959B3">
              <w:rPr>
                <w:lang w:val="fr-FR"/>
              </w:rPr>
              <w:t>Femmes en détention</w:t>
            </w:r>
            <w:r>
              <w:rPr>
                <w:spacing w:val="60"/>
                <w:sz w:val="17"/>
                <w:lang w:val="fr-FR"/>
              </w:rPr>
              <w:tab/>
            </w:r>
          </w:p>
        </w:tc>
        <w:tc>
          <w:tcPr>
            <w:tcW w:w="533" w:type="dxa"/>
            <w:shd w:val="clear" w:color="auto" w:fill="auto"/>
            <w:vAlign w:val="bottom"/>
          </w:tcPr>
          <w:p w14:paraId="1E0C79C0" w14:textId="589DBF9A" w:rsidR="00CE00A4" w:rsidRPr="00DA3C54" w:rsidRDefault="001959B3" w:rsidP="00CE00A4">
            <w:pPr>
              <w:spacing w:after="120"/>
              <w:ind w:right="40"/>
              <w:jc w:val="right"/>
            </w:pPr>
            <w:r>
              <w:t>22</w:t>
            </w:r>
          </w:p>
        </w:tc>
      </w:tr>
      <w:tr w:rsidR="00CE00A4" w:rsidRPr="00DA3C54" w14:paraId="5919B790" w14:textId="77777777" w:rsidTr="00CE00A4">
        <w:tc>
          <w:tcPr>
            <w:tcW w:w="9369" w:type="dxa"/>
            <w:gridSpan w:val="3"/>
            <w:shd w:val="clear" w:color="auto" w:fill="auto"/>
          </w:tcPr>
          <w:p w14:paraId="1B4019B9" w14:textId="55FB57AC" w:rsidR="00CE00A4" w:rsidRPr="008D1FDB" w:rsidRDefault="008D1FDB" w:rsidP="008D1FDB">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8D1FDB">
              <w:rPr>
                <w:lang w:val="fr-FR"/>
              </w:rPr>
              <w:t>Femmes lesbiennes, bisexuelles, transgenres et intersexes</w:t>
            </w:r>
            <w:r>
              <w:rPr>
                <w:spacing w:val="60"/>
                <w:sz w:val="17"/>
                <w:lang w:val="fr-FR"/>
              </w:rPr>
              <w:tab/>
            </w:r>
          </w:p>
        </w:tc>
        <w:tc>
          <w:tcPr>
            <w:tcW w:w="533" w:type="dxa"/>
            <w:shd w:val="clear" w:color="auto" w:fill="auto"/>
            <w:vAlign w:val="bottom"/>
          </w:tcPr>
          <w:p w14:paraId="05278B5A" w14:textId="2F3A07E7" w:rsidR="00CE00A4" w:rsidRPr="00DA3C54" w:rsidRDefault="008D1FDB" w:rsidP="00CE00A4">
            <w:pPr>
              <w:spacing w:after="120"/>
              <w:ind w:right="40"/>
              <w:jc w:val="right"/>
            </w:pPr>
            <w:r>
              <w:t>23</w:t>
            </w:r>
          </w:p>
        </w:tc>
      </w:tr>
      <w:tr w:rsidR="00CE00A4" w:rsidRPr="00DA3C54" w14:paraId="1F6CB643" w14:textId="77777777" w:rsidTr="00CE00A4">
        <w:tc>
          <w:tcPr>
            <w:tcW w:w="9369" w:type="dxa"/>
            <w:gridSpan w:val="3"/>
            <w:shd w:val="clear" w:color="auto" w:fill="auto"/>
          </w:tcPr>
          <w:p w14:paraId="072F1E2C" w14:textId="12C843E9" w:rsidR="00CE00A4" w:rsidRPr="008D1FDB" w:rsidRDefault="008D1FDB" w:rsidP="008D1FDB">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8D1FDB">
              <w:rPr>
                <w:lang w:val="fr-FR"/>
              </w:rPr>
              <w:t>Changements climatiques et réduction des risques de catastrophe</w:t>
            </w:r>
            <w:r>
              <w:rPr>
                <w:spacing w:val="60"/>
                <w:sz w:val="17"/>
                <w:lang w:val="fr-FR"/>
              </w:rPr>
              <w:tab/>
            </w:r>
          </w:p>
        </w:tc>
        <w:tc>
          <w:tcPr>
            <w:tcW w:w="533" w:type="dxa"/>
            <w:shd w:val="clear" w:color="auto" w:fill="auto"/>
            <w:vAlign w:val="bottom"/>
          </w:tcPr>
          <w:p w14:paraId="35A53EF3" w14:textId="25E990E1" w:rsidR="00CE00A4" w:rsidRPr="00DA3C54" w:rsidRDefault="008D1FDB" w:rsidP="00CE00A4">
            <w:pPr>
              <w:spacing w:after="120"/>
              <w:ind w:right="40"/>
              <w:jc w:val="right"/>
            </w:pPr>
            <w:r>
              <w:t>23</w:t>
            </w:r>
          </w:p>
        </w:tc>
      </w:tr>
      <w:tr w:rsidR="00CE00A4" w:rsidRPr="00DA3C54" w14:paraId="6609D892" w14:textId="77777777" w:rsidTr="00CE00A4">
        <w:tc>
          <w:tcPr>
            <w:tcW w:w="9369" w:type="dxa"/>
            <w:gridSpan w:val="3"/>
            <w:shd w:val="clear" w:color="auto" w:fill="auto"/>
          </w:tcPr>
          <w:p w14:paraId="05EF9875" w14:textId="6D1BD8B9" w:rsidR="00CE00A4" w:rsidRPr="008D1FDB" w:rsidRDefault="008D1FDB" w:rsidP="008D1FDB">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8D1FDB">
              <w:rPr>
                <w:lang w:val="fr-FR"/>
              </w:rPr>
              <w:t>Mariage et relations familiales</w:t>
            </w:r>
            <w:r>
              <w:rPr>
                <w:spacing w:val="60"/>
                <w:sz w:val="17"/>
                <w:lang w:val="fr-FR"/>
              </w:rPr>
              <w:tab/>
            </w:r>
          </w:p>
        </w:tc>
        <w:tc>
          <w:tcPr>
            <w:tcW w:w="533" w:type="dxa"/>
            <w:shd w:val="clear" w:color="auto" w:fill="auto"/>
            <w:vAlign w:val="bottom"/>
          </w:tcPr>
          <w:p w14:paraId="53B87268" w14:textId="64DDA476" w:rsidR="00CE00A4" w:rsidRPr="00DA3C54" w:rsidRDefault="008D1FDB" w:rsidP="00CE00A4">
            <w:pPr>
              <w:spacing w:after="120"/>
              <w:ind w:right="40"/>
              <w:jc w:val="right"/>
            </w:pPr>
            <w:r>
              <w:t>23</w:t>
            </w:r>
          </w:p>
        </w:tc>
      </w:tr>
    </w:tbl>
    <w:p w14:paraId="6B584B7D" w14:textId="2A4350DE" w:rsidR="00CE00A4" w:rsidRPr="00DA3C54" w:rsidRDefault="00CE00A4" w:rsidP="00CE00A4"/>
    <w:p w14:paraId="73822B56" w14:textId="77777777" w:rsidR="00CE00A4" w:rsidRPr="00DA3C54" w:rsidRDefault="00CE00A4">
      <w:pPr>
        <w:suppressAutoHyphens w:val="0"/>
        <w:spacing w:after="160" w:line="259" w:lineRule="auto"/>
      </w:pPr>
      <w:r w:rsidRPr="00DA3C54">
        <w:br w:type="page"/>
      </w:r>
    </w:p>
    <w:p w14:paraId="4077FD4A" w14:textId="77777777" w:rsidR="00CE00A4" w:rsidRDefault="00CE00A4" w:rsidP="00DA3C54">
      <w:pPr>
        <w:pStyle w:val="HCh"/>
        <w:ind w:left="1267" w:right="1260" w:hanging="1267"/>
        <w:rPr>
          <w:lang w:val="fr-FR"/>
        </w:rPr>
      </w:pPr>
      <w:r w:rsidRPr="00CE00A4">
        <w:rPr>
          <w:lang w:val="fr-FR"/>
        </w:rPr>
        <w:lastRenderedPageBreak/>
        <w:tab/>
      </w:r>
      <w:r w:rsidRPr="00CE00A4">
        <w:rPr>
          <w:lang w:val="fr-FR"/>
        </w:rPr>
        <w:tab/>
        <w:t>Contexte : femmes et paix et sécurité</w:t>
      </w:r>
    </w:p>
    <w:p w14:paraId="3C86A2DB" w14:textId="77777777" w:rsidR="00DA3C54" w:rsidRPr="00DA3C54" w:rsidRDefault="00DA3C54" w:rsidP="00DA3C54">
      <w:pPr>
        <w:pStyle w:val="SingleTxt"/>
        <w:spacing w:after="0" w:line="120" w:lineRule="exact"/>
        <w:rPr>
          <w:sz w:val="10"/>
          <w:lang w:val="fr-FR"/>
        </w:rPr>
      </w:pPr>
    </w:p>
    <w:p w14:paraId="0BCBE713" w14:textId="77777777" w:rsidR="00DA3C54" w:rsidRPr="00DA3C54" w:rsidRDefault="00DA3C54" w:rsidP="00DA3C54">
      <w:pPr>
        <w:pStyle w:val="SingleTxt"/>
        <w:spacing w:after="0" w:line="120" w:lineRule="exact"/>
        <w:rPr>
          <w:sz w:val="10"/>
          <w:lang w:val="fr-FR"/>
        </w:rPr>
      </w:pPr>
    </w:p>
    <w:p w14:paraId="563CD2AD"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El Salvador se heurte de longue date à de nombreuses difficultés : conflits armés, insécurité, inégalités structurelles, violence et exclusion sociale, qui touchent de manière disproportionnée les femmes et les filles depuis des décennies. Face à cette situation, et compte tenu des besoins particuliers des femmes et de la Convention sur l’élimination de toutes les formes de discrimination à l’égard des femmes, le pays s’est doté d’un plan de contrôle territorial, qui mobilise l’ensemble des institutions de l’État. Cette stratégie de sécurité globale vise à rétablir la paix et l’espoir en combattant de front les groupes criminels violents qui tourmentent la population salvadorienne depuis plus de trois décennies. On trouvera ci-après quelques exemples des mesures engagées à ce titre : </w:t>
      </w:r>
    </w:p>
    <w:p w14:paraId="766B2C08" w14:textId="3EBF4775" w:rsidR="00CE00A4" w:rsidRPr="00CE00A4" w:rsidRDefault="00DA3C54" w:rsidP="00DA3C54">
      <w:pPr>
        <w:pStyle w:val="SingleTxt"/>
        <w:tabs>
          <w:tab w:val="right" w:pos="1685"/>
        </w:tabs>
        <w:spacing w:line="240" w:lineRule="exact"/>
        <w:ind w:left="1742" w:hanging="475"/>
        <w:rPr>
          <w:lang w:val="fr-FR"/>
        </w:rPr>
      </w:pPr>
      <w:r>
        <w:rPr>
          <w:lang w:val="fr-FR"/>
        </w:rPr>
        <w:tab/>
        <w:t>•</w:t>
      </w:r>
      <w:r>
        <w:rPr>
          <w:lang w:val="fr-FR"/>
        </w:rPr>
        <w:tab/>
      </w:r>
      <w:r w:rsidR="00CE00A4" w:rsidRPr="00CE00A4">
        <w:rPr>
          <w:lang w:val="fr-FR"/>
        </w:rPr>
        <w:t>En 2019, le plan de contrôle territorial est entré dans sa deuxième phase, baptisée « Opportunités », dont le but est d’améliorer les conditions de vie des jeunes, des femmes et des filles et de prévenir les violations des droits humains. Il s’agit concrètement de proposer un programme de bourses et de construire des écoles, des établissements sportifs et des centres urbains de bien-être et d’opportunités ; ces derniers sont des espaces dynamiques et de proximité, propices à l’apprentissage, aux loisirs et à l’entraide, et sont destinés à renforcer les compétences et les capacités des jeunes et des femmes ;</w:t>
      </w:r>
    </w:p>
    <w:p w14:paraId="08853269" w14:textId="4B252C12" w:rsidR="00CE00A4" w:rsidRPr="00CE00A4" w:rsidRDefault="00DA3C54" w:rsidP="00DA3C54">
      <w:pPr>
        <w:pStyle w:val="SingleTxt"/>
        <w:tabs>
          <w:tab w:val="right" w:pos="1685"/>
        </w:tabs>
        <w:spacing w:line="240" w:lineRule="exact"/>
        <w:ind w:left="1742" w:hanging="475"/>
        <w:rPr>
          <w:lang w:val="fr-FR"/>
        </w:rPr>
      </w:pPr>
      <w:r>
        <w:rPr>
          <w:lang w:val="fr-FR"/>
        </w:rPr>
        <w:tab/>
        <w:t>•</w:t>
      </w:r>
      <w:r>
        <w:rPr>
          <w:lang w:val="fr-FR"/>
        </w:rPr>
        <w:tab/>
      </w:r>
      <w:r w:rsidR="00CE00A4" w:rsidRPr="00CE00A4">
        <w:rPr>
          <w:lang w:val="fr-FR"/>
        </w:rPr>
        <w:t>La stratégie d’activation territoriale prévoit notamment la prestation de services de soutien psychologique, de santé et d’aide juridique et la mise en place de mécanismes de signalement. Le but est d’apporter un soutien émotionnel, de garantir l’accès à la justice et d’offrir un environnement digne et sûr aux familles vivant dans des localités assiégées par des gangs depuis des années ;</w:t>
      </w:r>
    </w:p>
    <w:p w14:paraId="78EB913A" w14:textId="6C187CD6" w:rsidR="00CE00A4" w:rsidRPr="00CE00A4" w:rsidRDefault="00DA3C54" w:rsidP="00DA3C54">
      <w:pPr>
        <w:pStyle w:val="SingleTxt"/>
        <w:tabs>
          <w:tab w:val="right" w:pos="1685"/>
        </w:tabs>
        <w:spacing w:line="240" w:lineRule="exact"/>
        <w:ind w:left="1742" w:hanging="475"/>
        <w:rPr>
          <w:lang w:val="fr-FR"/>
        </w:rPr>
      </w:pPr>
      <w:r>
        <w:rPr>
          <w:lang w:val="fr-FR"/>
        </w:rPr>
        <w:tab/>
        <w:t>•</w:t>
      </w:r>
      <w:r>
        <w:rPr>
          <w:lang w:val="fr-FR"/>
        </w:rPr>
        <w:tab/>
      </w:r>
      <w:r w:rsidR="00CE00A4" w:rsidRPr="00CE00A4">
        <w:rPr>
          <w:lang w:val="fr-FR"/>
        </w:rPr>
        <w:t>Au cours de la phase Intégration, la loi relative au système national d’intégration a été approuvée et la Direction de l’intégration a été instituée pour mettre en œuvre des programmes et des projets devant contribuer à la réduction de la pauvreté et à l’amélioration de la qualité de vie de la population, y compris des initiatives inclusives axées sur la formation, la culture, l’art et le sport.</w:t>
      </w:r>
    </w:p>
    <w:p w14:paraId="002F48EC" w14:textId="4EA816FD"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El Salvador réaffirme son engagement en faveur de la paix et de la sécurité et souligne le rôle fondamental que jouent les femmes dans la consolidation de ces deux piliers. À cet égard, il a mis sur pied le Comité national pour l’application de la résolution </w:t>
      </w:r>
      <w:hyperlink r:id="rId20" w:history="1">
        <w:r w:rsidRPr="00CE00A4">
          <w:rPr>
            <w:rStyle w:val="Hyperlink"/>
            <w:lang w:val="fr-FR"/>
          </w:rPr>
          <w:t>1325</w:t>
        </w:r>
        <w:r w:rsidR="00F5780D">
          <w:rPr>
            <w:rStyle w:val="Hyperlink"/>
            <w:lang w:val="fr-FR"/>
          </w:rPr>
          <w:t> </w:t>
        </w:r>
        <w:r w:rsidRPr="00CE00A4">
          <w:rPr>
            <w:rStyle w:val="Hyperlink"/>
            <w:lang w:val="fr-FR"/>
          </w:rPr>
          <w:t>(2000)</w:t>
        </w:r>
      </w:hyperlink>
      <w:r w:rsidRPr="00CE00A4">
        <w:rPr>
          <w:lang w:val="fr-FR"/>
        </w:rPr>
        <w:t xml:space="preserve"> du Conseil de sécurité, composé de représentants d’institutions publiques et d’organisations de la société civile. Dans le cadre du deuxième plan d’action relatif à l’application de cette résolution, il met en œuvre le projet Gardiennes de la paix, qui vise à renforcer l’influence des femmes dans les processus de justice transitionnelle et de consolidation de la paix au moyen d’activités de développement des capacités et des moyens d’action. Parmi les initiatives organisées, citons la rencontre des générations pour la paix, l’inauguration du jardin commémoratif en hommage aux enfants disparus lors du conflit armé en El</w:t>
      </w:r>
      <w:r w:rsidR="00F5780D">
        <w:rPr>
          <w:lang w:val="fr-FR"/>
        </w:rPr>
        <w:t xml:space="preserve"> </w:t>
      </w:r>
      <w:r w:rsidRPr="00CE00A4">
        <w:rPr>
          <w:lang w:val="fr-FR"/>
        </w:rPr>
        <w:t xml:space="preserve">Salvador et les cercles de guérison. </w:t>
      </w:r>
    </w:p>
    <w:p w14:paraId="310D3A1C" w14:textId="4CCEB160"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Une formation consacrée au programme pour les femmes et la paix et la sécurité a été mise au point avec le concours de l’Entité des Nations Unies pour l’égalité des sexes et l’autonomisation des femmes (ONU-Femmes). Elle met l’accent non seulement sur les ressorts de ce programme mondial, mais aussi sur le plan d’action national relatif à l’application de la résolution </w:t>
      </w:r>
      <w:hyperlink r:id="rId21" w:history="1">
        <w:r w:rsidRPr="00CE00A4">
          <w:rPr>
            <w:rStyle w:val="Hyperlink"/>
            <w:lang w:val="fr-FR"/>
          </w:rPr>
          <w:t>1325 (2000)</w:t>
        </w:r>
      </w:hyperlink>
      <w:r w:rsidRPr="00CE00A4">
        <w:rPr>
          <w:lang w:val="fr-FR"/>
        </w:rPr>
        <w:t xml:space="preserve"> du Conseil de sécurité. Parallèlement, le deuxième plan d’action est en cours d’évaluation ; les conclusions qui en découleront guideront l’établissement du troisième plan, qui s’articulera autour des quatre piliers du programme pour les femmes et la paix et la sécurité.</w:t>
      </w:r>
    </w:p>
    <w:p w14:paraId="637B1CBD"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lastRenderedPageBreak/>
        <w:t>En outre, le Bureau du Défenseur public de la République a mis en œuvre le programme des artisanes de la paix, qui forme des femmes de premier plan aux techniques de médiation communautaire et de défense des droits humains et les incite à participer activement à l’instauration d’une culture du respect et à la prévention des conflits.</w:t>
      </w:r>
    </w:p>
    <w:p w14:paraId="050A5B5A"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L’Institut salvadorien pour la promotion de la femme a lancé le projet Altares (Autels), qui vise à préserver la mémoire historique à travers des initiatives thérapeutiques individuelles ou collectives, comme la chanson </w:t>
      </w:r>
      <w:r w:rsidRPr="00CE00A4">
        <w:rPr>
          <w:i/>
          <w:iCs/>
          <w:lang w:val="fr-FR"/>
        </w:rPr>
        <w:t>Manos de Mujer</w:t>
      </w:r>
      <w:r w:rsidRPr="00CE00A4">
        <w:rPr>
          <w:lang w:val="fr-FR"/>
        </w:rPr>
        <w:t xml:space="preserve">, écrite et composée par des survivantes. Par ailleurs, il a conçu quatre courts métrages : </w:t>
      </w:r>
      <w:r w:rsidRPr="00CE00A4">
        <w:rPr>
          <w:i/>
          <w:iCs/>
          <w:lang w:val="fr-FR"/>
        </w:rPr>
        <w:t>Voces en el silencio</w:t>
      </w:r>
      <w:r w:rsidRPr="00CE00A4">
        <w:rPr>
          <w:lang w:val="fr-FR"/>
        </w:rPr>
        <w:t xml:space="preserve">, </w:t>
      </w:r>
      <w:r w:rsidRPr="00CE00A4">
        <w:rPr>
          <w:i/>
          <w:iCs/>
          <w:lang w:val="fr-FR"/>
        </w:rPr>
        <w:t>Después del fuego</w:t>
      </w:r>
      <w:r w:rsidRPr="00CE00A4">
        <w:rPr>
          <w:lang w:val="fr-FR"/>
        </w:rPr>
        <w:t xml:space="preserve">, </w:t>
      </w:r>
      <w:r w:rsidRPr="00CE00A4">
        <w:rPr>
          <w:i/>
          <w:iCs/>
          <w:lang w:val="fr-FR"/>
        </w:rPr>
        <w:t>Remembranzas</w:t>
      </w:r>
      <w:r w:rsidRPr="00CE00A4">
        <w:rPr>
          <w:lang w:val="fr-FR"/>
        </w:rPr>
        <w:t xml:space="preserve"> et </w:t>
      </w:r>
      <w:r w:rsidRPr="00CE00A4">
        <w:rPr>
          <w:i/>
          <w:iCs/>
          <w:lang w:val="fr-FR"/>
        </w:rPr>
        <w:t>La última vez que la vi</w:t>
      </w:r>
      <w:r w:rsidRPr="00CE00A4">
        <w:rPr>
          <w:lang w:val="fr-FR"/>
        </w:rPr>
        <w:t xml:space="preserve">. Il a également produit le livre et le documentaire </w:t>
      </w:r>
      <w:r w:rsidRPr="00CE00A4">
        <w:rPr>
          <w:i/>
          <w:iCs/>
          <w:lang w:val="fr-FR"/>
        </w:rPr>
        <w:t>Altares.</w:t>
      </w:r>
      <w:r w:rsidRPr="00CE00A4">
        <w:rPr>
          <w:lang w:val="fr-FR"/>
        </w:rPr>
        <w:t xml:space="preserve"> </w:t>
      </w:r>
      <w:r w:rsidRPr="00CE00A4">
        <w:rPr>
          <w:i/>
          <w:iCs/>
          <w:lang w:val="es-ES"/>
        </w:rPr>
        <w:t>Historias de vida de mujeres que fueron asesinadas en la masacre de El Mozote y Lugares Aledaños.</w:t>
      </w:r>
      <w:r w:rsidRPr="00CE00A4">
        <w:rPr>
          <w:lang w:val="es-ES"/>
        </w:rPr>
        <w:t xml:space="preserve"> </w:t>
      </w:r>
      <w:r w:rsidRPr="00CE00A4">
        <w:rPr>
          <w:i/>
          <w:iCs/>
          <w:lang w:val="fr-FR"/>
        </w:rPr>
        <w:t>Reconstruyendo la vida de 15 mujeres que fueron masacradas en 1981</w:t>
      </w:r>
      <w:r w:rsidRPr="00CE00A4">
        <w:rPr>
          <w:lang w:val="fr-FR"/>
        </w:rPr>
        <w:t>, qui retracent le parcours des 15 femmes tuées en 1981 lors des massacres d’El Mozote et des environs, en redonnant à ces femmes la dignité qu’elles méritent.</w:t>
      </w:r>
    </w:p>
    <w:p w14:paraId="20CA8AE0" w14:textId="77777777" w:rsidR="00DA3C54" w:rsidRPr="00DA3C54" w:rsidRDefault="00DA3C54" w:rsidP="00DA3C54">
      <w:pPr>
        <w:pStyle w:val="SingleTxt"/>
        <w:spacing w:after="0" w:line="120" w:lineRule="exact"/>
        <w:rPr>
          <w:b/>
          <w:sz w:val="10"/>
          <w:lang w:val="fr-FR"/>
        </w:rPr>
      </w:pPr>
      <w:bookmarkStart w:id="1" w:name="_Toc191882138"/>
    </w:p>
    <w:p w14:paraId="17193512" w14:textId="77777777" w:rsidR="00DA3C54" w:rsidRPr="00DA3C54" w:rsidRDefault="00DA3C54" w:rsidP="00DA3C54">
      <w:pPr>
        <w:pStyle w:val="SingleTxt"/>
        <w:spacing w:after="0" w:line="120" w:lineRule="exact"/>
        <w:rPr>
          <w:b/>
          <w:sz w:val="10"/>
          <w:lang w:val="fr-FR"/>
        </w:rPr>
      </w:pPr>
    </w:p>
    <w:p w14:paraId="795F3341" w14:textId="153E6E46" w:rsidR="00CE00A4" w:rsidRDefault="00CE00A4" w:rsidP="00DA3C54">
      <w:pPr>
        <w:pStyle w:val="HCh"/>
        <w:ind w:left="1267" w:right="1260" w:hanging="1267"/>
        <w:rPr>
          <w:lang w:val="fr-FR"/>
        </w:rPr>
      </w:pPr>
      <w:r w:rsidRPr="00CE00A4">
        <w:rPr>
          <w:lang w:val="fr-FR"/>
        </w:rPr>
        <w:tab/>
      </w:r>
      <w:r w:rsidRPr="00CE00A4">
        <w:rPr>
          <w:lang w:val="fr-FR"/>
        </w:rPr>
        <w:tab/>
        <w:t>Visibilité de la Convention</w:t>
      </w:r>
      <w:bookmarkEnd w:id="1"/>
    </w:p>
    <w:p w14:paraId="16C6C042" w14:textId="77777777" w:rsidR="00DA3C54" w:rsidRPr="00DA3C54" w:rsidRDefault="00DA3C54" w:rsidP="00DA3C54">
      <w:pPr>
        <w:pStyle w:val="SingleTxt"/>
        <w:spacing w:after="0" w:line="120" w:lineRule="exact"/>
        <w:rPr>
          <w:sz w:val="10"/>
          <w:lang w:val="fr-FR"/>
        </w:rPr>
      </w:pPr>
    </w:p>
    <w:p w14:paraId="2CB495DB" w14:textId="77777777" w:rsidR="00DA3C54" w:rsidRPr="00DA3C54" w:rsidRDefault="00DA3C54" w:rsidP="00DA3C54">
      <w:pPr>
        <w:pStyle w:val="SingleTxt"/>
        <w:spacing w:after="0" w:line="120" w:lineRule="exact"/>
        <w:rPr>
          <w:sz w:val="10"/>
          <w:lang w:val="fr-FR"/>
        </w:rPr>
      </w:pPr>
    </w:p>
    <w:p w14:paraId="543E4138" w14:textId="010E38ED"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Dans le cadre de la responsabilité qui lui incombe de protéger et de garantir les droits des femmes, l’État a fait de grands progrès dans le renforcement de son arsenal juridique en adoptant des lois d’avant-garde alignées sur la Convention. Parmi elles, la loi sur l’égalité, l’équité et l’élimination de la discrimination à l’égard des femmes et la loi intitulée </w:t>
      </w:r>
      <w:r w:rsidR="006474D4">
        <w:rPr>
          <w:lang w:val="fr-FR"/>
        </w:rPr>
        <w:t>« </w:t>
      </w:r>
      <w:r w:rsidRPr="006474D4">
        <w:rPr>
          <w:lang w:val="fr-FR"/>
        </w:rPr>
        <w:t>Ley Especial Integral para una Vida Libre de Violencia para las Mujeres</w:t>
      </w:r>
      <w:r w:rsidR="006474D4">
        <w:rPr>
          <w:lang w:val="fr-FR"/>
        </w:rPr>
        <w:t> »</w:t>
      </w:r>
      <w:r w:rsidRPr="00CE00A4">
        <w:rPr>
          <w:lang w:val="fr-FR"/>
        </w:rPr>
        <w:t xml:space="preserve"> (loi-cadre spéciale visant à garantir aux femmes une vie sans violence) servent de cadre à la mise au point et à la consolidation des initiatives menées à l’échelle nationale pour protéger les droits des femmes.</w:t>
      </w:r>
    </w:p>
    <w:p w14:paraId="7358DDE1"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DA3C54">
        <w:rPr>
          <w:lang w:val="fr-FR"/>
        </w:rPr>
        <w:t>Pour</w:t>
      </w:r>
      <w:r w:rsidRPr="00CE00A4">
        <w:rPr>
          <w:lang w:val="fr-FR"/>
        </w:rPr>
        <w:t xml:space="preserve"> donner un plus grand retentissement à la Convention, l’État a organisé des activités de formation à la prévention des violences faites aux femmes à l’intention des juges et des acteurs de la justice, notamment des ateliers destinés à renforcer les capacités en matière de signalement et de répression des cas de violence et d’accompagnement des victimes, conformément aux engagements internationaux pris en la matière. </w:t>
      </w:r>
    </w:p>
    <w:p w14:paraId="3344E717"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Aux fins de l’établissement des politiques et des programmes publics, El Salvador se fonde sur les </w:t>
      </w:r>
      <w:r w:rsidRPr="00DA3C54">
        <w:rPr>
          <w:lang w:val="fr-FR"/>
        </w:rPr>
        <w:t>obligations</w:t>
      </w:r>
      <w:r w:rsidRPr="00CE00A4">
        <w:rPr>
          <w:lang w:val="fr-FR"/>
        </w:rPr>
        <w:t xml:space="preserve"> découlant de la Convention et sur les recommandations du Comité, qui transparaissent notamment dans les initiatives et dispositifs suivants :</w:t>
      </w:r>
    </w:p>
    <w:p w14:paraId="75623BFD" w14:textId="21CD9997" w:rsidR="00CE00A4" w:rsidRPr="00CE00A4" w:rsidRDefault="00DA3C54" w:rsidP="00DA3C54">
      <w:pPr>
        <w:pStyle w:val="SingleTxt"/>
        <w:tabs>
          <w:tab w:val="right" w:pos="1685"/>
        </w:tabs>
        <w:ind w:left="1742" w:hanging="475"/>
        <w:rPr>
          <w:lang w:val="fr-FR"/>
        </w:rPr>
      </w:pPr>
      <w:r>
        <w:rPr>
          <w:lang w:val="fr-FR"/>
        </w:rPr>
        <w:tab/>
        <w:t>•</w:t>
      </w:r>
      <w:r>
        <w:rPr>
          <w:lang w:val="fr-FR"/>
        </w:rPr>
        <w:tab/>
      </w:r>
      <w:r w:rsidR="00CE00A4" w:rsidRPr="00CE00A4">
        <w:rPr>
          <w:lang w:val="fr-FR"/>
        </w:rPr>
        <w:t xml:space="preserve">les lois intitulées </w:t>
      </w:r>
      <w:r w:rsidR="006474D4">
        <w:rPr>
          <w:lang w:val="fr-FR"/>
        </w:rPr>
        <w:t>« </w:t>
      </w:r>
      <w:r w:rsidR="00CE00A4" w:rsidRPr="00CE00A4">
        <w:rPr>
          <w:lang w:val="fr-FR"/>
        </w:rPr>
        <w:t>Nacer con Cariño</w:t>
      </w:r>
      <w:r w:rsidR="006474D4">
        <w:rPr>
          <w:lang w:val="fr-FR"/>
        </w:rPr>
        <w:t> »</w:t>
      </w:r>
      <w:r w:rsidR="00CE00A4" w:rsidRPr="00CE00A4">
        <w:rPr>
          <w:lang w:val="fr-FR"/>
        </w:rPr>
        <w:t xml:space="preserve"> (Naître dans l’amour), </w:t>
      </w:r>
      <w:r w:rsidR="006474D4">
        <w:rPr>
          <w:lang w:val="fr-FR"/>
        </w:rPr>
        <w:t>« </w:t>
      </w:r>
      <w:r w:rsidR="00CE00A4" w:rsidRPr="00CE00A4">
        <w:rPr>
          <w:lang w:val="fr-FR"/>
        </w:rPr>
        <w:t>Crecer Juntos</w:t>
      </w:r>
      <w:r w:rsidR="006474D4">
        <w:rPr>
          <w:lang w:val="fr-FR"/>
        </w:rPr>
        <w:t> »</w:t>
      </w:r>
      <w:r w:rsidR="00CE00A4" w:rsidRPr="00CE00A4">
        <w:rPr>
          <w:lang w:val="fr-FR"/>
        </w:rPr>
        <w:t xml:space="preserve"> (Grandir ensemble) et </w:t>
      </w:r>
      <w:r w:rsidR="006474D4">
        <w:rPr>
          <w:lang w:val="fr-FR"/>
        </w:rPr>
        <w:t>« </w:t>
      </w:r>
      <w:r w:rsidR="00CE00A4" w:rsidRPr="00CE00A4">
        <w:rPr>
          <w:lang w:val="fr-FR"/>
        </w:rPr>
        <w:t>Amor Convertido en Alimento</w:t>
      </w:r>
      <w:r w:rsidR="006474D4">
        <w:rPr>
          <w:lang w:val="fr-FR"/>
        </w:rPr>
        <w:t> »</w:t>
      </w:r>
      <w:r w:rsidR="00CE00A4" w:rsidRPr="00CE00A4">
        <w:rPr>
          <w:lang w:val="fr-FR"/>
        </w:rPr>
        <w:t xml:space="preserve"> (Nourrir avec de l’amour), qui transforment l’expérience de la maternité grâce à des services modernes et de qualité permettant aux mères et aux enfants de bénéficier de soins dans le respect de leur dignité ;</w:t>
      </w:r>
    </w:p>
    <w:p w14:paraId="54A4428F" w14:textId="118F3A31" w:rsidR="00CE00A4" w:rsidRPr="00CE00A4" w:rsidRDefault="00DA3C54" w:rsidP="00DA3C54">
      <w:pPr>
        <w:pStyle w:val="SingleTxt"/>
        <w:tabs>
          <w:tab w:val="right" w:pos="1685"/>
        </w:tabs>
        <w:ind w:left="1742" w:hanging="475"/>
        <w:rPr>
          <w:lang w:val="fr-FR"/>
        </w:rPr>
      </w:pPr>
      <w:r>
        <w:rPr>
          <w:lang w:val="fr-FR"/>
        </w:rPr>
        <w:tab/>
        <w:t>•</w:t>
      </w:r>
      <w:r>
        <w:rPr>
          <w:lang w:val="fr-FR"/>
        </w:rPr>
        <w:tab/>
      </w:r>
      <w:r w:rsidR="00CE00A4" w:rsidRPr="00CE00A4">
        <w:rPr>
          <w:lang w:val="fr-FR"/>
        </w:rPr>
        <w:t>le plan de développement et de protection sociale et la stratégie d’élimination de la pauvreté, qui ont notamment abouti à la réduction des inégalités de 6,7 % en 2022 et à une croissance économique de 3 % en 2024 ;</w:t>
      </w:r>
    </w:p>
    <w:p w14:paraId="3C9A4649" w14:textId="3CF9F49F" w:rsidR="00CE00A4" w:rsidRPr="00CE00A4" w:rsidRDefault="00DA3C54" w:rsidP="00DA3C54">
      <w:pPr>
        <w:pStyle w:val="SingleTxt"/>
        <w:tabs>
          <w:tab w:val="right" w:pos="1685"/>
        </w:tabs>
        <w:ind w:left="1742" w:hanging="475"/>
        <w:rPr>
          <w:lang w:val="fr-FR"/>
        </w:rPr>
      </w:pPr>
      <w:r>
        <w:rPr>
          <w:lang w:val="fr-FR"/>
        </w:rPr>
        <w:tab/>
        <w:t>•</w:t>
      </w:r>
      <w:r>
        <w:rPr>
          <w:lang w:val="fr-FR"/>
        </w:rPr>
        <w:tab/>
      </w:r>
      <w:r w:rsidR="00CE00A4" w:rsidRPr="00CE00A4">
        <w:rPr>
          <w:lang w:val="fr-FR"/>
        </w:rPr>
        <w:t>des ateliers en ligne consacrés à la culture de l’égalité et au droit des femmes à une vie exempte de discrimination et de violence ;</w:t>
      </w:r>
    </w:p>
    <w:p w14:paraId="05872C4D" w14:textId="109133BD" w:rsidR="00CE00A4" w:rsidRPr="00CE00A4" w:rsidRDefault="00DA3C54" w:rsidP="00DA3C54">
      <w:pPr>
        <w:pStyle w:val="SingleTxt"/>
        <w:tabs>
          <w:tab w:val="right" w:pos="1685"/>
        </w:tabs>
        <w:ind w:left="1742" w:hanging="475"/>
        <w:rPr>
          <w:lang w:val="fr-FR"/>
        </w:rPr>
      </w:pPr>
      <w:r>
        <w:rPr>
          <w:lang w:val="fr-FR"/>
        </w:rPr>
        <w:tab/>
        <w:t>•</w:t>
      </w:r>
      <w:r>
        <w:rPr>
          <w:lang w:val="fr-FR"/>
        </w:rPr>
        <w:tab/>
      </w:r>
      <w:r w:rsidR="00CE00A4" w:rsidRPr="00CE00A4">
        <w:rPr>
          <w:lang w:val="fr-FR"/>
        </w:rPr>
        <w:t>un cours sur les grands principes de l’égalité réelle, dans lequel sont abordées les normes internationales relatives aux droits humains des femmes et la Convention ;</w:t>
      </w:r>
    </w:p>
    <w:p w14:paraId="2DBB27EB" w14:textId="7F381613" w:rsidR="00CE00A4" w:rsidRPr="00CE00A4" w:rsidRDefault="00DA3C54" w:rsidP="00DA3C54">
      <w:pPr>
        <w:pStyle w:val="SingleTxt"/>
        <w:tabs>
          <w:tab w:val="right" w:pos="1685"/>
        </w:tabs>
        <w:ind w:left="1742" w:hanging="475"/>
        <w:rPr>
          <w:lang w:val="fr-FR"/>
        </w:rPr>
      </w:pPr>
      <w:r>
        <w:rPr>
          <w:lang w:val="fr-FR"/>
        </w:rPr>
        <w:lastRenderedPageBreak/>
        <w:tab/>
        <w:t>•</w:t>
      </w:r>
      <w:r>
        <w:rPr>
          <w:lang w:val="fr-FR"/>
        </w:rPr>
        <w:tab/>
      </w:r>
      <w:r w:rsidR="00CE00A4" w:rsidRPr="00CE00A4">
        <w:rPr>
          <w:lang w:val="fr-FR"/>
        </w:rPr>
        <w:t>un cours sur les services essentiels destinés aux femmes et aux filles victimes de violence, dont l’objectif est de renforcer la capacité des acteurs de la justice à apporter l’accompagnement nécessaire et à lutter contre la violence faite aux femmes ;</w:t>
      </w:r>
    </w:p>
    <w:p w14:paraId="7FF720B5" w14:textId="5DD2A35A" w:rsidR="00CE00A4" w:rsidRPr="00CE00A4" w:rsidRDefault="00DA3C54" w:rsidP="00DA3C54">
      <w:pPr>
        <w:pStyle w:val="SingleTxt"/>
        <w:tabs>
          <w:tab w:val="right" w:pos="1685"/>
        </w:tabs>
        <w:ind w:left="1742" w:hanging="475"/>
        <w:rPr>
          <w:lang w:val="fr-FR"/>
        </w:rPr>
      </w:pPr>
      <w:r>
        <w:rPr>
          <w:lang w:val="fr-FR"/>
        </w:rPr>
        <w:tab/>
        <w:t>•</w:t>
      </w:r>
      <w:r>
        <w:rPr>
          <w:lang w:val="fr-FR"/>
        </w:rPr>
        <w:tab/>
      </w:r>
      <w:r w:rsidR="00CE00A4" w:rsidRPr="00CE00A4">
        <w:rPr>
          <w:lang w:val="fr-FR"/>
        </w:rPr>
        <w:t>un cours spécialisé sur les droits humains des femmes à l’intention des fonctionnaires du Bureau du Défenseur public.</w:t>
      </w:r>
    </w:p>
    <w:p w14:paraId="46AEC4C0"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DA3C54">
        <w:rPr>
          <w:lang w:val="fr-FR"/>
        </w:rPr>
        <w:t>Dans</w:t>
      </w:r>
      <w:r w:rsidRPr="00CE00A4">
        <w:rPr>
          <w:lang w:val="fr-FR"/>
        </w:rPr>
        <w:t xml:space="preserve"> le domaine des migrations, l’État collabore avec les administrations locales et d’autres acteurs dans des zones prioritaires afin de promouvoir le droit à la migration et de garantir des migrations sûres, ordonnées et régulières. À cet égard, il apporte une assistance aux femmes migrantes, en particulier à celles dont les droits ont été bafoués, conformément aux dispositions de la législation nationale. </w:t>
      </w:r>
    </w:p>
    <w:p w14:paraId="39BEE379"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Dans le domaine du handicap, le Conseil national pour l’inclusion des personnes </w:t>
      </w:r>
      <w:r w:rsidRPr="00DA3C54">
        <w:rPr>
          <w:lang w:val="fr-FR"/>
        </w:rPr>
        <w:t>handicapées</w:t>
      </w:r>
      <w:r w:rsidRPr="00CE00A4">
        <w:rPr>
          <w:lang w:val="fr-FR"/>
        </w:rPr>
        <w:t xml:space="preserve"> a mis en œuvre un plan stratégique pour l’élimination des obstacles, qui s’articule autour de plusieurs axes : renforcer les institutions, moderniser l’offre de services et élargir la gamme de soins complets destinés aux personnes en situation de handicap. Le plan a pour but de garantir la pleine participation de ces personnes à la société en agissant sur les domaines de la santé, de l’éducation, de la justice et de l’accessibilité. </w:t>
      </w:r>
    </w:p>
    <w:p w14:paraId="6B297E1C"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application des décisions rendues par les tribunaux salvadoriens, il a été créé des </w:t>
      </w:r>
      <w:r w:rsidRPr="00DA3C54">
        <w:rPr>
          <w:lang w:val="fr-FR"/>
        </w:rPr>
        <w:t>juridictions</w:t>
      </w:r>
      <w:r w:rsidRPr="00CE00A4">
        <w:rPr>
          <w:lang w:val="fr-FR"/>
        </w:rPr>
        <w:t xml:space="preserve"> spécialisées dans les affaires de violence et de discrimination à l’égard des femmes, dans le respect des principes et des responsabilités prévus dans la Convention. Ces structures ont pour mission de concourir à la prestation de services complets et spécialisés et de garantir des recours simples et efficaces afin de protéger les femmes contre les atteintes à leurs droits. Qui plus est, les normes internationales sont appliquées dans les tribunaux compétents en matière pénale ainsi que dans les juridictions du travail, de la famille et de protection de l’enfance et de l’adolescence. </w:t>
      </w:r>
    </w:p>
    <w:p w14:paraId="31D7DA41"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pouvoir judiciaire a publié un recueil de décisions de justice tenant compte des questions de genre et de droits humains, intitulé « Compilación y análisis de criterios jurisprudenciales sobre </w:t>
      </w:r>
      <w:r w:rsidRPr="00DA3C54">
        <w:rPr>
          <w:lang w:val="fr-FR"/>
        </w:rPr>
        <w:t>vida</w:t>
      </w:r>
      <w:r w:rsidRPr="00CE00A4">
        <w:rPr>
          <w:lang w:val="fr-FR"/>
        </w:rPr>
        <w:t xml:space="preserve"> libre de violencia para mujeres y niñas » (Compilation et analyse des critères jurisprudentiels sur le droit des femmes et des filles à une vie sans violence). De même, le Conseil national de la magistrature assure la formation professionnelle des magistrats et des responsables de l’application des lois au moyen de programmes de</w:t>
      </w:r>
      <w:r w:rsidRPr="00F06A43">
        <w:rPr>
          <w:b/>
          <w:bCs/>
          <w:lang w:val="fr-FR"/>
        </w:rPr>
        <w:t xml:space="preserve"> </w:t>
      </w:r>
      <w:r w:rsidRPr="001F6745">
        <w:rPr>
          <w:lang w:val="fr-FR"/>
        </w:rPr>
        <w:t>formation continue et de renforcement des capacités sur les droits humains des</w:t>
      </w:r>
      <w:r w:rsidRPr="00CE00A4">
        <w:rPr>
          <w:lang w:val="fr-FR"/>
        </w:rPr>
        <w:t xml:space="preserve"> femmes. </w:t>
      </w:r>
    </w:p>
    <w:p w14:paraId="2081882C" w14:textId="77777777" w:rsidR="00DA3C54" w:rsidRPr="00DA3C54" w:rsidRDefault="00DA3C54" w:rsidP="00DA3C54">
      <w:pPr>
        <w:pStyle w:val="SingleTxt"/>
        <w:spacing w:after="0" w:line="120" w:lineRule="exact"/>
        <w:rPr>
          <w:b/>
          <w:sz w:val="10"/>
          <w:lang w:val="fr-FR"/>
        </w:rPr>
      </w:pPr>
      <w:bookmarkStart w:id="2" w:name="_Toc191882139"/>
    </w:p>
    <w:p w14:paraId="6F63F042" w14:textId="77777777" w:rsidR="00DA3C54" w:rsidRPr="00DA3C54" w:rsidRDefault="00DA3C54" w:rsidP="00DA3C54">
      <w:pPr>
        <w:pStyle w:val="SingleTxt"/>
        <w:spacing w:after="0" w:line="120" w:lineRule="exact"/>
        <w:rPr>
          <w:b/>
          <w:sz w:val="10"/>
          <w:lang w:val="fr-FR"/>
        </w:rPr>
      </w:pPr>
    </w:p>
    <w:p w14:paraId="40DCC09C" w14:textId="2451C0F3" w:rsidR="00CE00A4" w:rsidRDefault="00CE00A4" w:rsidP="00DA3C54">
      <w:pPr>
        <w:pStyle w:val="HCh"/>
        <w:ind w:left="1267" w:right="1260" w:hanging="1267"/>
        <w:rPr>
          <w:lang w:val="fr-FR"/>
        </w:rPr>
      </w:pPr>
      <w:r w:rsidRPr="00CE00A4">
        <w:rPr>
          <w:lang w:val="fr-FR"/>
        </w:rPr>
        <w:tab/>
      </w:r>
      <w:r w:rsidRPr="00CE00A4">
        <w:rPr>
          <w:lang w:val="fr-FR"/>
        </w:rPr>
        <w:tab/>
        <w:t>Cadre juridique et définition de la discrimination</w:t>
      </w:r>
      <w:bookmarkEnd w:id="2"/>
    </w:p>
    <w:p w14:paraId="1674F9DD" w14:textId="77777777" w:rsidR="00DA3C54" w:rsidRPr="00DA3C54" w:rsidRDefault="00DA3C54" w:rsidP="00DA3C54">
      <w:pPr>
        <w:pStyle w:val="SingleTxt"/>
        <w:spacing w:after="0" w:line="120" w:lineRule="exact"/>
        <w:rPr>
          <w:sz w:val="10"/>
          <w:lang w:val="fr-FR"/>
        </w:rPr>
      </w:pPr>
    </w:p>
    <w:p w14:paraId="10D146DB" w14:textId="77777777" w:rsidR="00DA3C54" w:rsidRPr="00DA3C54" w:rsidRDefault="00DA3C54" w:rsidP="00DA3C54">
      <w:pPr>
        <w:pStyle w:val="SingleTxt"/>
        <w:spacing w:after="0" w:line="120" w:lineRule="exact"/>
        <w:rPr>
          <w:sz w:val="10"/>
          <w:lang w:val="fr-FR"/>
        </w:rPr>
      </w:pPr>
    </w:p>
    <w:p w14:paraId="6FD60812"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Comme le prévoit l’article 3 de la Constitution, l’État veille à ce que nul ne fasse l’objet de discrimination et assure à tous l’égalité devant la loi. En outre, conformément à ses engagements internationaux, il a établi un cadre juridique solide pour garantir l’égalité des chances. </w:t>
      </w:r>
    </w:p>
    <w:p w14:paraId="01008DDC"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Par la loi sur l’égalité, l’équité et l’élimination de la discrimination à l’égard des femmes</w:t>
      </w:r>
      <w:r w:rsidRPr="009749C7">
        <w:rPr>
          <w:vertAlign w:val="superscript"/>
          <w:lang w:val="fr-FR"/>
        </w:rPr>
        <w:footnoteReference w:id="1"/>
      </w:r>
      <w:r w:rsidRPr="00CE00A4">
        <w:rPr>
          <w:lang w:val="fr-FR"/>
        </w:rPr>
        <w:t xml:space="preserve">, l’État a réaffirmé son attachement au principe constitutionnel d’égalité et au respect des obligations qui en découlent et qui s’imposent à toutes les institutions publiques. Inspirée de la Convention, cette loi interdit toute forme de traitement inégal, implicite ou explicite, qui empêcherait les femmes d’exercer pleinement leurs droits. </w:t>
      </w:r>
    </w:p>
    <w:p w14:paraId="0D4ED305"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lastRenderedPageBreak/>
        <w:t>Dans son article 4, la loi-cadre spéciale visant à garantir aux femmes une vie sans violence</w:t>
      </w:r>
      <w:r w:rsidRPr="009749C7">
        <w:rPr>
          <w:vertAlign w:val="superscript"/>
          <w:lang w:val="fr-FR"/>
        </w:rPr>
        <w:footnoteReference w:id="2"/>
      </w:r>
      <w:r w:rsidRPr="00CE00A4">
        <w:rPr>
          <w:lang w:val="fr-FR"/>
        </w:rPr>
        <w:t xml:space="preserve"> érige en principe directeur la coordination intersectorielle, à savoir le fait d’harmoniser les programmes, les initiatives et les ressources de différents secteurs et acteurs au niveau national et local aux fins de la prévention, de la détection, de la prise en charge et de la répression des actes répréhensibles, de la protection des victimes et de la réparation des préjudices subis. </w:t>
      </w:r>
    </w:p>
    <w:p w14:paraId="24020CBC"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Par ailleurs, l’État a adopté le plan national pour l’égalité (2021-2025), qui établit les engagements et les grandes orientations et mesures stratégiques dans les domaines de l’égalité et de la lutte contre toutes les formes de discrimination à l’égard des femmes. Ce cadre d’action guide les activités des institutions de l’État sur l’ensemble du territoire. </w:t>
      </w:r>
    </w:p>
    <w:p w14:paraId="7DAF43D3"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La politique nationale pour l’accès des femmes à une vie sans violence et le plan d’action correspondant pour la période 2021-2025 ont pour but de transformer les modèles socioculturels qui reproduisent la violence et la discrimination à l’égard des femmes. Ils prévoient la mise en œuvre de politiques publiques de prévention qui s’attaquent aux causes profondes des </w:t>
      </w:r>
      <w:r w:rsidRPr="00DA3C54">
        <w:rPr>
          <w:lang w:val="fr-FR"/>
        </w:rPr>
        <w:t>différents</w:t>
      </w:r>
      <w:r w:rsidRPr="00CE00A4">
        <w:rPr>
          <w:lang w:val="fr-FR"/>
        </w:rPr>
        <w:t xml:space="preserve"> types et modalités de violence.</w:t>
      </w:r>
    </w:p>
    <w:p w14:paraId="47C9EEB3" w14:textId="3302E74C"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Résolu à respecter les normes internationales établies par l’Organisation internationale du Travail (OIT), l’État a ratifié des instruments internationaux qui garantissent et protègent les droits des femmes en matière de travail, dont la Convention sur la protection de la maternité</w:t>
      </w:r>
      <w:r w:rsidR="00C86348">
        <w:rPr>
          <w:lang w:val="fr-FR"/>
        </w:rPr>
        <w:t xml:space="preserve"> </w:t>
      </w:r>
      <w:r w:rsidR="00C86348" w:rsidRPr="00CE00A4">
        <w:rPr>
          <w:lang w:val="fr-FR"/>
        </w:rPr>
        <w:t>(n</w:t>
      </w:r>
      <w:r w:rsidR="00C86348" w:rsidRPr="00CE00A4">
        <w:rPr>
          <w:vertAlign w:val="superscript"/>
          <w:lang w:val="fr-FR"/>
        </w:rPr>
        <w:t>o</w:t>
      </w:r>
      <w:r w:rsidR="00C86348" w:rsidRPr="00CE00A4">
        <w:rPr>
          <w:lang w:val="fr-FR"/>
        </w:rPr>
        <w:t> 183)</w:t>
      </w:r>
      <w:r w:rsidRPr="00CE00A4">
        <w:rPr>
          <w:lang w:val="fr-FR"/>
        </w:rPr>
        <w:t>, 2000, et la Convention sur la violence et le harcèlement</w:t>
      </w:r>
      <w:r w:rsidR="00C86348">
        <w:rPr>
          <w:lang w:val="fr-FR"/>
        </w:rPr>
        <w:t xml:space="preserve"> </w:t>
      </w:r>
      <w:r w:rsidR="00C86348" w:rsidRPr="00CE00A4">
        <w:rPr>
          <w:lang w:val="fr-FR"/>
        </w:rPr>
        <w:t>(n</w:t>
      </w:r>
      <w:r w:rsidR="00C86348" w:rsidRPr="00CE00A4">
        <w:rPr>
          <w:vertAlign w:val="superscript"/>
          <w:lang w:val="fr-FR"/>
        </w:rPr>
        <w:t>o</w:t>
      </w:r>
      <w:r w:rsidR="00C86348" w:rsidRPr="00CE00A4">
        <w:rPr>
          <w:lang w:val="fr-FR"/>
        </w:rPr>
        <w:t> 190)</w:t>
      </w:r>
      <w:r w:rsidRPr="00CE00A4">
        <w:rPr>
          <w:lang w:val="fr-FR"/>
        </w:rPr>
        <w:t xml:space="preserve">, 2019. </w:t>
      </w:r>
    </w:p>
    <w:p w14:paraId="28D7209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Dans le domaine de l’éducation, l’État a ratifié la Convention de l’Organisation des Nations Unies pour l’éducation, la science et la culture (UNESCO) concernant la lutte contre la discrimination </w:t>
      </w:r>
      <w:r w:rsidRPr="00DA3C54">
        <w:rPr>
          <w:lang w:val="fr-FR"/>
        </w:rPr>
        <w:t>dans</w:t>
      </w:r>
      <w:r w:rsidRPr="00CE00A4">
        <w:rPr>
          <w:lang w:val="fr-FR"/>
        </w:rPr>
        <w:t xml:space="preserve"> le domaine de l’enseignement, qui réaffirme que l’éducation est un droit humain fondamental et souligne l’obligation qui incombe aux États de rendre l’éducation gratuite et obligatoire et de promouvoir l’égalité des chances.</w:t>
      </w:r>
    </w:p>
    <w:p w14:paraId="600B3433"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Pour garantir un accès effectif à la justice aux femmes dont les droits ont été bafoués, le pays a mis en place des tribunaux spécialisés dans les affaires de violence et de discrimination à l’égard des femmes. Ces tribunaux sont dotés d’équipes d’appui </w:t>
      </w:r>
      <w:r w:rsidRPr="00DA3C54">
        <w:rPr>
          <w:lang w:val="fr-FR"/>
        </w:rPr>
        <w:t>multidisciplinaires</w:t>
      </w:r>
      <w:r w:rsidRPr="00CE00A4">
        <w:rPr>
          <w:lang w:val="fr-FR"/>
        </w:rPr>
        <w:t xml:space="preserve">, qui conduisent des enquêtes sous le prisme des questions de genre et formulent des recommandations portant notamment sur la restructuration du parcours de vie, les mesures susceptibles de donner satisfaction et la non-répétition des faits. </w:t>
      </w:r>
    </w:p>
    <w:p w14:paraId="28DE6A76"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L’Institut salvadorien pour la promotion de la femme a piloté la mise en œuvre de deux cadres d’action : la stratégie pour l’intégration systématique des principes d’égalité, d’équité et de </w:t>
      </w:r>
      <w:r w:rsidRPr="00DA3C54">
        <w:rPr>
          <w:lang w:val="fr-FR"/>
        </w:rPr>
        <w:t>non</w:t>
      </w:r>
      <w:r w:rsidRPr="00CE00A4">
        <w:rPr>
          <w:lang w:val="fr-FR"/>
        </w:rPr>
        <w:t>-discrimination à l’égard des femmes et pour le droit des femmes à une vie sans violence dans l’administration publique ; les directives institutionnelles pour la prise en compte systématique de l’égalité, de la non-discrimination et du droit des femmes à une vie sans violence dans les institutions publiques (2022). Il a ainsi coordonné de manière progressive la conception, l’application, le suivi et l’évaluation des procédures, des mécanismes et des normes à tous les niveaux de l’administration publique.</w:t>
      </w:r>
    </w:p>
    <w:p w14:paraId="2CAF9884" w14:textId="77777777" w:rsidR="00DA3C54" w:rsidRPr="00DA3C54" w:rsidRDefault="00DA3C54" w:rsidP="00DA3C54">
      <w:pPr>
        <w:pStyle w:val="SingleTxt"/>
        <w:spacing w:after="0" w:line="120" w:lineRule="exact"/>
        <w:rPr>
          <w:b/>
          <w:sz w:val="10"/>
          <w:lang w:val="fr-FR"/>
        </w:rPr>
      </w:pPr>
      <w:bookmarkStart w:id="3" w:name="_Toc191882140"/>
    </w:p>
    <w:p w14:paraId="6D6704E9" w14:textId="77777777" w:rsidR="00DA3C54" w:rsidRPr="00DA3C54" w:rsidRDefault="00DA3C54" w:rsidP="00DA3C54">
      <w:pPr>
        <w:pStyle w:val="SingleTxt"/>
        <w:spacing w:after="0" w:line="120" w:lineRule="exact"/>
        <w:rPr>
          <w:b/>
          <w:sz w:val="10"/>
          <w:lang w:val="fr-FR"/>
        </w:rPr>
      </w:pPr>
    </w:p>
    <w:p w14:paraId="77A6F3DA" w14:textId="677ACF13" w:rsidR="00CE00A4" w:rsidRDefault="00CE00A4" w:rsidP="00DA3C54">
      <w:pPr>
        <w:pStyle w:val="HCh"/>
        <w:ind w:left="1267" w:right="1260" w:hanging="1267"/>
        <w:rPr>
          <w:lang w:val="fr-FR"/>
        </w:rPr>
      </w:pPr>
      <w:r w:rsidRPr="00CE00A4">
        <w:rPr>
          <w:lang w:val="fr-FR"/>
        </w:rPr>
        <w:tab/>
      </w:r>
      <w:r w:rsidRPr="00CE00A4">
        <w:rPr>
          <w:lang w:val="fr-FR"/>
        </w:rPr>
        <w:tab/>
        <w:t>Accès à la justice et à des mécanismes juridiques de plainte</w:t>
      </w:r>
      <w:bookmarkEnd w:id="3"/>
    </w:p>
    <w:p w14:paraId="1C4A27A8" w14:textId="77777777" w:rsidR="008F24CF" w:rsidRPr="008F24CF" w:rsidRDefault="008F24CF" w:rsidP="008F24CF">
      <w:pPr>
        <w:pStyle w:val="SingleTxt"/>
        <w:spacing w:after="0" w:line="120" w:lineRule="exact"/>
        <w:rPr>
          <w:sz w:val="10"/>
          <w:lang w:val="fr-FR"/>
        </w:rPr>
      </w:pPr>
    </w:p>
    <w:p w14:paraId="282009A1" w14:textId="77777777" w:rsidR="008F24CF" w:rsidRPr="008F24CF" w:rsidRDefault="008F24CF" w:rsidP="008F24CF">
      <w:pPr>
        <w:pStyle w:val="SingleTxt"/>
        <w:spacing w:after="0" w:line="120" w:lineRule="exact"/>
        <w:rPr>
          <w:sz w:val="10"/>
          <w:lang w:val="fr-FR"/>
        </w:rPr>
      </w:pPr>
    </w:p>
    <w:p w14:paraId="5AE5DADE"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Pour combattre la violence liée aux groupes criminels organisés, El Salvador a instauré un régime d’exception, conformément au paragraphe 2 de l’article 29 de la </w:t>
      </w:r>
      <w:r w:rsidRPr="00CE00A4">
        <w:rPr>
          <w:lang w:val="fr-FR"/>
        </w:rPr>
        <w:lastRenderedPageBreak/>
        <w:t>Constitution et dans les conditions prévues à l’article 30 de cette dernière. Loin d’avoir restreint les droits dont bénéficie la population, en particulier les femmes, cette mesure en a favorisé la pleine jouissance grâce à des environnements sûrs et à des programmes propices au bien-être général.</w:t>
      </w:r>
    </w:p>
    <w:p w14:paraId="3F0A6D69"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Bien </w:t>
      </w:r>
      <w:r w:rsidRPr="008F24CF">
        <w:rPr>
          <w:lang w:val="fr-FR"/>
        </w:rPr>
        <w:t>que</w:t>
      </w:r>
      <w:r w:rsidRPr="00CE00A4">
        <w:rPr>
          <w:lang w:val="fr-FR"/>
        </w:rPr>
        <w:t xml:space="preserve"> la Constitution autorise la suspension de certaines garanties en cas de régime d’exception, la liberté de circulation (consacrée à l’article 5 de la Constitution) et la liberté d’expression et d’information (article 6) sont restées pleinement effectives, tout comme le droit de réunion pacifique, à la faveur du décret législatif n</w:t>
      </w:r>
      <w:r w:rsidRPr="00CE00A4">
        <w:rPr>
          <w:vertAlign w:val="superscript"/>
          <w:lang w:val="fr-FR"/>
        </w:rPr>
        <w:t>o</w:t>
      </w:r>
      <w:r w:rsidRPr="00CE00A4">
        <w:rPr>
          <w:lang w:val="fr-FR"/>
        </w:rPr>
        <w:t xml:space="preserve"> 476 du 17 août 2022.</w:t>
      </w:r>
    </w:p>
    <w:p w14:paraId="0E142B2A"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Outre ces initiatives, l’État a engagé des politiques publiques qui garantissent les droits humains de la population, notamment ceux des femmes, à toutes les étapes de la vie, en particulier durant la petite enfance, mis en œuvre une réforme globale de l’enseignement et un système de santé intégré et appliqué la politique nationale sur la responsabilité partagée des soins à la personne. Toutes ces mesures, conjuguées aux stratégies de prévention, de contrôle territorial et de développement social et aux dispositifs de politique publique propres à d’autres domaines, concourent à la transformation d’El Salvador. </w:t>
      </w:r>
    </w:p>
    <w:p w14:paraId="36C8B1D1"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L’Institut salvadorien pour la promotion de la femme a déployé un mécanisme baptisé « Comunitarias », qui consiste à fournir aux femmes des services spécialisés tels que des conseils juridiques, psychologiques et sociaux et des soins de santé dans des zones qui étaient auparavant inaccessibles en raison du niveau élevé de la criminalité. Des parties prenantes nationales se sont également mobilisées pour promouvoir l’autonomie économique des femmes.</w:t>
      </w:r>
    </w:p>
    <w:p w14:paraId="4C5A644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Conformément à l’article 25 de la loi-cadre spéciale visant à garantir aux femmes une vie sans violence, il a été mis en place des unités de prise en charge spécialisée des femmes. Ces unités ont pour but d’offrir aux femmes des services complets, bienveillants et de bonne qualité, dans le respect des règles d’hygiène et de confidentialité, notamment en cas de crise, de leur fournir des conseils sur leurs droits, de les informer des mesures de protection et de sécurité et des services d’urgence et d’accueil à leur disposition, y compris des modalités d’accès à ces services, et de les accompagner au cours des procédures judiciaires ou administratives engagées après le dépôt d’une plainte. </w:t>
      </w:r>
    </w:p>
    <w:p w14:paraId="42C70C2E" w14:textId="154DC6F4"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Par l’intermédiaire des unités de prise en charge spécialisée des femmes, la cellule du Bureau du Défenseur public chargée des questions relatives aux femmes met en œuvre une procédure de </w:t>
      </w:r>
      <w:r w:rsidRPr="008F24CF">
        <w:rPr>
          <w:lang w:val="fr-FR"/>
        </w:rPr>
        <w:t>prise</w:t>
      </w:r>
      <w:r w:rsidRPr="00CE00A4">
        <w:rPr>
          <w:lang w:val="fr-FR"/>
        </w:rPr>
        <w:t xml:space="preserve"> en charge des cas de discrimination à l’égard des femmes, qui consiste à pratiquer une écoute active pour recueillir un compte rendu précis du récit de la victime (type de discrimination subie, contexte des faits, évaluation des risques, date du dernier incident) et, au besoin, à demander des mesures de protection et à assurer un suivi psychologique et social. En 2024, grâce à ces unités de prise en charge, le Bureau du Défenseur public a fourni en tout plus de 60</w:t>
      </w:r>
      <w:r w:rsidR="003F4BC5">
        <w:rPr>
          <w:lang w:val="fr-FR"/>
        </w:rPr>
        <w:t> </w:t>
      </w:r>
      <w:r w:rsidRPr="00CE00A4">
        <w:rPr>
          <w:lang w:val="fr-FR"/>
        </w:rPr>
        <w:t>000 services à des femmes victimes de violence et de discrimination, en application des lois relatives à la protection des personnes.</w:t>
      </w:r>
    </w:p>
    <w:p w14:paraId="692B269C"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Bureau du Procureur général de la République a créé une unité d’assistance aux femmes, aux enfants, aux adolescents et aux membres d’autres groupes vulnérables victimes de violences </w:t>
      </w:r>
      <w:r w:rsidRPr="008F24CF">
        <w:rPr>
          <w:lang w:val="fr-FR"/>
        </w:rPr>
        <w:t>criminelles</w:t>
      </w:r>
      <w:r w:rsidRPr="00CE00A4">
        <w:rPr>
          <w:lang w:val="fr-FR"/>
        </w:rPr>
        <w:t xml:space="preserve"> et sexuelles commises dans le pays. L’unité a pour mission d’harmoniser les normes d’intervention afin d’améliorer la prise en charge des victimes et d’optimiser le déroulement des procédures judiciaires.</w:t>
      </w:r>
    </w:p>
    <w:p w14:paraId="37753013"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De même, par l’intermédiaire des équipes d’appui multidisciplinaires des juridictions spécialisées dans les affaires de violence et de discrimination à l’égard des femmes, il est procédé à un suivi </w:t>
      </w:r>
      <w:r w:rsidRPr="008F24CF">
        <w:rPr>
          <w:lang w:val="fr-FR"/>
        </w:rPr>
        <w:t>des</w:t>
      </w:r>
      <w:r w:rsidRPr="00CE00A4">
        <w:rPr>
          <w:lang w:val="fr-FR"/>
        </w:rPr>
        <w:t xml:space="preserve"> mesures de réparation devant permettre aux victimes et à leur famille de reprendre leur destin en main. </w:t>
      </w:r>
    </w:p>
    <w:p w14:paraId="25C216FB"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lastRenderedPageBreak/>
        <w:t xml:space="preserve">Dans le cadre de sa stratégie de proximité, l’Institut salvadorien pour la promotion de la femme a installé des guichets d’accueil pour faire connaître les directives relatives aux droits humains des femmes et promouvoir la protection de ces droits, faciliter l’accès à des services </w:t>
      </w:r>
      <w:r w:rsidRPr="008F24CF">
        <w:rPr>
          <w:lang w:val="fr-FR"/>
        </w:rPr>
        <w:t>spécialisés</w:t>
      </w:r>
      <w:r w:rsidRPr="00CE00A4">
        <w:rPr>
          <w:lang w:val="fr-FR"/>
        </w:rPr>
        <w:t xml:space="preserve"> (conseils juridiques, services de santé complets, aide à l’autonomie économique et au renforcement des moyens d’action) et repérer les cas pour lesquels il y a lieu d’adopter une approche globale faisant intervenir des équipes multidisciplinaires. </w:t>
      </w:r>
    </w:p>
    <w:p w14:paraId="21F85900"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Bureau du Défenseur public a mis en œuvre les instructions relatives à l’organisation de groupes d’entraide, qui sont destinées aux fonctionnaires venant en aide aux femmes en situation de </w:t>
      </w:r>
      <w:r w:rsidRPr="008F24CF">
        <w:rPr>
          <w:lang w:val="fr-FR"/>
        </w:rPr>
        <w:t>vulnérabilité</w:t>
      </w:r>
      <w:r w:rsidRPr="00CE00A4">
        <w:rPr>
          <w:lang w:val="fr-FR"/>
        </w:rPr>
        <w:t xml:space="preserve"> et dont le but est d’uniformiser les procédures de prise en charge au niveau national.</w:t>
      </w:r>
    </w:p>
    <w:p w14:paraId="4F7B2938"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Par l’intermédiaire de l’École de formation des procureurs, le Bureau du Procureur général propose un programme d’études axé sur la violence faite aux femmes et la violence féminicide ainsi que des programmes de formation initiale, continue et spécialisée s’adressant au personnel chargé des enquêtes et des poursuites concernant des affaires d’actes répréhensibles commis contre des femmes et d’autres personnes vulnérables.</w:t>
      </w:r>
    </w:p>
    <w:p w14:paraId="42E9297A"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La chambre criminelle de la Cour suprême assure une coordination spécialisée des affaires relatives aux </w:t>
      </w:r>
      <w:r w:rsidRPr="008F24CF">
        <w:rPr>
          <w:lang w:val="fr-FR"/>
        </w:rPr>
        <w:t>infractions</w:t>
      </w:r>
      <w:r w:rsidRPr="00CE00A4">
        <w:rPr>
          <w:lang w:val="fr-FR"/>
        </w:rPr>
        <w:t xml:space="preserve"> commises contre des groupes vulnérables et aux crimes de haine, établit une jurisprudence sur la protection des droits humains des femmes et surveille l’application des décisions et l’exécution des peines dans les principales juridictions afin de veiller à l’intégration d’une approche fondée sur les droits humains et le droit à l’égalité. </w:t>
      </w:r>
    </w:p>
    <w:p w14:paraId="05E908E3"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Des modifications ont été apportées au cadre normatif national pour harmoniser la législation relative à la protection contre les violences faites aux femmes, comme le féminicide, la violence politique et les programmes discriminatoires. Fait marquant, le protocole relatif aux enquêtes et aux poursuites pénales dans les affaires de mort violente de femmes, de féminicides et d’incitation ou d’aide au suicide de femmes a été approuvé, et le protocole de prise en charge des affaires de féminicide établie par le Service du Procureur national chargé de la défense des droits de l’homme a été adopté et mis en œuvre. </w:t>
      </w:r>
    </w:p>
    <w:p w14:paraId="58069E97"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Par la modification de l’article 63 de la Constitution, l’État a reconnu officiellement l’existence des peuples autochtones sur le territoire national, ce qui a permis de mettre au point des normes, des plans et des politiques publiques visant à garantir les droits des Autochtones, notamment le plein accès à la justice. De même, dans ses articles 2 et 5, la loi-cadre spéciale </w:t>
      </w:r>
      <w:r w:rsidRPr="008F24CF">
        <w:rPr>
          <w:lang w:val="fr-FR"/>
        </w:rPr>
        <w:t>visant</w:t>
      </w:r>
      <w:r w:rsidRPr="00CE00A4">
        <w:rPr>
          <w:lang w:val="fr-FR"/>
        </w:rPr>
        <w:t xml:space="preserve"> à garantir aux femmes une vie sans violence assure à toutes les femmes la protection de leurs droits, sans distinction d’aucune sorte, y compris fondée sur l’origine ethnique. </w:t>
      </w:r>
    </w:p>
    <w:p w14:paraId="10FEF48E"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La politique nationale sur les peuples autochtones est un cadre stratégique conçu pour garantir les droits, l’inclusion et le développement des communautés autochtones dans le pays. L’un de ses grands axes d’action concerne l’aide aux femmes issues de communautés autochtones qui sont victimes de violence dans un cadre interculturel. </w:t>
      </w:r>
    </w:p>
    <w:p w14:paraId="1FF89C11"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parallèle, des arrêtés municipaux relatifs aux droits des Autochtones ont été pris dans les 12 villes </w:t>
      </w:r>
      <w:r w:rsidRPr="008F24CF">
        <w:rPr>
          <w:lang w:val="fr-FR"/>
        </w:rPr>
        <w:t>suivantes</w:t>
      </w:r>
      <w:r w:rsidRPr="00CE00A4">
        <w:rPr>
          <w:lang w:val="fr-FR"/>
        </w:rPr>
        <w:t> : Nahuizalco, Izalco, Panchimalco, Cuisnahuat, Conchagua, Santo Domingo de Guzmán, Cacaopera, Yucuaiquín, San Antonio del Monte, San Juan Nonualco, Chalchuapa et Tacuba. Ils visent à garantir l’exercice des droits civils et politiques des membres des communautés autochtones.</w:t>
      </w:r>
    </w:p>
    <w:p w14:paraId="1F87FFA9"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Au chapitre de l’inclusion, El Salvador s’attache à renforcer la loi spéciale sur l’inclusion des personnes en situation de handicap. Une réforme a été engagée en ce sens pour moderniser </w:t>
      </w:r>
      <w:r w:rsidRPr="008F24CF">
        <w:rPr>
          <w:lang w:val="fr-FR"/>
        </w:rPr>
        <w:t>l’application</w:t>
      </w:r>
      <w:r w:rsidRPr="00CE00A4">
        <w:rPr>
          <w:lang w:val="fr-FR"/>
        </w:rPr>
        <w:t xml:space="preserve"> de la loi, favoriser la bonne mise en œuvre du </w:t>
      </w:r>
      <w:r w:rsidRPr="00CE00A4">
        <w:rPr>
          <w:lang w:val="fr-FR"/>
        </w:rPr>
        <w:lastRenderedPageBreak/>
        <w:t>système national d’inclusion et de protection des personnes en situation de handicap et assurer l’accès à la justice, droit fondamental qu’il convient de garantir par la mise en place d’aménagements raisonnables et la prise en compte des questions de genre et du handicap.</w:t>
      </w:r>
    </w:p>
    <w:p w14:paraId="3F67B4C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ce qui concerne les droits des personnes âgées, la loi spéciale relative à la protection des droits des </w:t>
      </w:r>
      <w:r w:rsidRPr="008F24CF">
        <w:rPr>
          <w:lang w:val="fr-FR"/>
        </w:rPr>
        <w:t>personnes</w:t>
      </w:r>
      <w:r w:rsidRPr="00CE00A4">
        <w:rPr>
          <w:lang w:val="fr-FR"/>
        </w:rPr>
        <w:t xml:space="preserve"> âgées a été adoptée et le Conseil national des personnes âgées a été mis sur pied pour garantir le bien-être de ces personnes dans les domaines de la santé, de l’éducation, de la sécurité sociale, de l’accès aux services publics et pour servir d’intermédiaire dans les procédures d’accès à la justice.</w:t>
      </w:r>
    </w:p>
    <w:p w14:paraId="271E5D06" w14:textId="77777777" w:rsidR="008F24CF" w:rsidRPr="008F24CF" w:rsidRDefault="008F24CF" w:rsidP="008F24CF">
      <w:pPr>
        <w:pStyle w:val="SingleTxt"/>
        <w:spacing w:after="0" w:line="120" w:lineRule="exact"/>
        <w:rPr>
          <w:b/>
          <w:sz w:val="10"/>
          <w:lang w:val="fr-FR"/>
        </w:rPr>
      </w:pPr>
      <w:bookmarkStart w:id="4" w:name="_Toc191882141"/>
    </w:p>
    <w:p w14:paraId="7CB08622" w14:textId="77777777" w:rsidR="008F24CF" w:rsidRPr="008F24CF" w:rsidRDefault="008F24CF" w:rsidP="008F24CF">
      <w:pPr>
        <w:pStyle w:val="SingleTxt"/>
        <w:spacing w:after="0" w:line="120" w:lineRule="exact"/>
        <w:rPr>
          <w:b/>
          <w:sz w:val="10"/>
          <w:lang w:val="fr-FR"/>
        </w:rPr>
      </w:pPr>
    </w:p>
    <w:p w14:paraId="08904ECE" w14:textId="52E37FF4" w:rsidR="00CE00A4" w:rsidRDefault="00CE00A4" w:rsidP="008F24CF">
      <w:pPr>
        <w:pStyle w:val="HCh"/>
        <w:ind w:left="1267" w:right="1260" w:hanging="1267"/>
        <w:rPr>
          <w:lang w:val="fr-FR"/>
        </w:rPr>
      </w:pPr>
      <w:r w:rsidRPr="00CE00A4">
        <w:rPr>
          <w:lang w:val="fr-FR"/>
        </w:rPr>
        <w:tab/>
      </w:r>
      <w:r w:rsidRPr="00CE00A4">
        <w:rPr>
          <w:lang w:val="fr-FR"/>
        </w:rPr>
        <w:tab/>
        <w:t>Mécanisme national de promotion des femmes</w:t>
      </w:r>
      <w:bookmarkEnd w:id="4"/>
    </w:p>
    <w:p w14:paraId="7EA602E5" w14:textId="77777777" w:rsidR="008F24CF" w:rsidRPr="008F24CF" w:rsidRDefault="008F24CF" w:rsidP="008F24CF">
      <w:pPr>
        <w:pStyle w:val="SingleTxt"/>
        <w:spacing w:after="0" w:line="120" w:lineRule="exact"/>
        <w:rPr>
          <w:sz w:val="10"/>
          <w:lang w:val="fr-FR"/>
        </w:rPr>
      </w:pPr>
    </w:p>
    <w:p w14:paraId="7F6EB012" w14:textId="77777777" w:rsidR="008F24CF" w:rsidRPr="008F24CF" w:rsidRDefault="008F24CF" w:rsidP="008F24CF">
      <w:pPr>
        <w:pStyle w:val="SingleTxt"/>
        <w:spacing w:after="0" w:line="120" w:lineRule="exact"/>
        <w:rPr>
          <w:sz w:val="10"/>
          <w:lang w:val="fr-FR"/>
        </w:rPr>
      </w:pPr>
    </w:p>
    <w:p w14:paraId="232BF401"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sa qualité d’organisme chef de file, l’Institut salvadorien pour la promotion de la femme met au point des politiques publiques visant à garantir les droits des femmes tout au long de leur vie afin de promouvoir leur avancement économique et leur participation sociale, politique, culturelle et technologique, tant dans la sphère publique que dans la sphère privée. </w:t>
      </w:r>
    </w:p>
    <w:p w14:paraId="683C828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L’Institut fournit aussi aux institutions publiques des conseils spécialisés sur les moyens d’intégrer les principes d’égalité, de non-discrimination et de lutte contre la violence faite aux femmes dans toutes les politiques, normes, procédures et initiatives mises en œuvre dans l’exercice de leurs compétences. Il donne également des conseils aux administrations locales en ce qui </w:t>
      </w:r>
      <w:r w:rsidRPr="008F24CF">
        <w:rPr>
          <w:lang w:val="fr-FR"/>
        </w:rPr>
        <w:t>concerne</w:t>
      </w:r>
      <w:r w:rsidRPr="00CE00A4">
        <w:rPr>
          <w:lang w:val="fr-FR"/>
        </w:rPr>
        <w:t xml:space="preserve"> l’établissement de plans municipaux pour l’égalité et la prévention de la violence faite aux femmes. Le pays s’est doté par ailleurs d’un système national de coordination et de suivi des droits des femmes. </w:t>
      </w:r>
    </w:p>
    <w:p w14:paraId="74698AA0"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Lorsque des femmes voient leurs droits bafoués, une assistance spécialisée leur est apportée, non seulement sous la forme de conseils et de services d’accompagnement sur les plans </w:t>
      </w:r>
      <w:r w:rsidRPr="008F24CF">
        <w:rPr>
          <w:lang w:val="fr-FR"/>
        </w:rPr>
        <w:t>psychologique</w:t>
      </w:r>
      <w:r w:rsidRPr="00CE00A4">
        <w:rPr>
          <w:lang w:val="fr-FR"/>
        </w:rPr>
        <w:t>, juridique, social et médical, mais aussi d’activités basées sur le jeu pour leurs enfants. Il s’agit de leur offrir des services respectueux et de qualité, de leur donner les moyens de faire valoir leurs droits et de les doter des outils nécessaires pour sortir de situations de vulnérabilité.</w:t>
      </w:r>
    </w:p>
    <w:p w14:paraId="0FF824CC"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El Salvador adopte une approche globale en matière d’établissement des politiques budgétaires, comme en témoigne la prise en compte systématique des droits humains, des questions de genre et de toutes les étapes de l’existence dans les programmes et les projets institutionnels. Entre 2019 et 2022, les institutions publiques ont investi plus de 245 477 098 dollars des États-Unis dans des stratégies visant à promouvoir l’égalité des genres et à combattre les violences faites aux femmes, les dépenses engagées en 2022 ayant été 40,4 % supérieures à celles de 2019. </w:t>
      </w:r>
    </w:p>
    <w:p w14:paraId="3DA86593"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Créé par la loi-cadre spéciale visant à garantir aux femmes une vie sans violence (article 35), le Fonds spécial pour les femmes victimes de violence est alimenté par les sanctions financières </w:t>
      </w:r>
      <w:r w:rsidRPr="008F24CF">
        <w:rPr>
          <w:lang w:val="fr-FR"/>
        </w:rPr>
        <w:t>infligées</w:t>
      </w:r>
      <w:r w:rsidRPr="00CE00A4">
        <w:rPr>
          <w:lang w:val="fr-FR"/>
        </w:rPr>
        <w:t xml:space="preserve"> aux auteurs des faits et sert à financer des projets contribuant au rétablissement des droits des femmes.</w:t>
      </w:r>
    </w:p>
    <w:p w14:paraId="004D8C7A"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La stratégie nationale en matière de statistiques genrées a donné lieu aux résultats suivantes : élaboration, en 2020, d’un document d’évaluation des lacunes en matière de données et des capacités aux fins de l’amélioration des statistiques genrées, lequel doit orienter les travaux à mener dans le cadre de la stratégie ; mise en place du module relatif à l’enquête nationale sur les budgets-temps de 2022 ; établissement, en 2022, du projet de guide relatif à la prise en compte des questions de genre lors des recensements de la population et des logements. </w:t>
      </w:r>
    </w:p>
    <w:p w14:paraId="3A12D027" w14:textId="0BCAF66A"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Conformément aux engagements stratégiques pris par le Gouvernement, la loi sur l’Institut salvadorien pour la </w:t>
      </w:r>
      <w:r w:rsidRPr="008F24CF">
        <w:rPr>
          <w:lang w:val="fr-FR"/>
        </w:rPr>
        <w:t>promotion</w:t>
      </w:r>
      <w:r w:rsidRPr="00CE00A4">
        <w:rPr>
          <w:lang w:val="fr-FR"/>
        </w:rPr>
        <w:t xml:space="preserve"> de la femme a été modifiée par le décret </w:t>
      </w:r>
      <w:r w:rsidRPr="00CE00A4">
        <w:rPr>
          <w:lang w:val="fr-FR"/>
        </w:rPr>
        <w:lastRenderedPageBreak/>
        <w:t>législatif n</w:t>
      </w:r>
      <w:r w:rsidRPr="00CE00A4">
        <w:rPr>
          <w:vertAlign w:val="superscript"/>
          <w:lang w:val="fr-FR"/>
        </w:rPr>
        <w:t>o</w:t>
      </w:r>
      <w:r w:rsidRPr="00CE00A4">
        <w:rPr>
          <w:lang w:val="fr-FR"/>
        </w:rPr>
        <w:t> 472 du 16 août 2022, qui confie à l’Institut des attributions plus larges, dans le respect des normes nationales en matière d’égalité, et lui confie l’exécution du programme Ciudad Mujer (Ville pour les femmes), auparavant rattaché au Ministère du développement local. Les centres de ce programme, désormais baptisés « centres spécialisés pour les femmes », reposent sur un modèle de gestion publique axé sur l’action positive et proposent différents services</w:t>
      </w:r>
      <w:r w:rsidR="002B40AA">
        <w:rPr>
          <w:lang w:val="fr-FR"/>
        </w:rPr>
        <w:t xml:space="preserve"> </w:t>
      </w:r>
      <w:r w:rsidRPr="00CE00A4">
        <w:rPr>
          <w:lang w:val="fr-FR"/>
        </w:rPr>
        <w:t>destinés à améliorer la qualité de vie des femmes : prise en charge initiale, soins en cas de violence, soins de santé globale, aide à l’autonomie économique, garde d’enfants et gestion territoriale.</w:t>
      </w:r>
    </w:p>
    <w:p w14:paraId="7EC84BF8"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outre, la loi </w:t>
      </w:r>
      <w:r w:rsidRPr="008F24CF">
        <w:rPr>
          <w:lang w:val="fr-FR"/>
        </w:rPr>
        <w:t>prévoit</w:t>
      </w:r>
      <w:r w:rsidRPr="00CE00A4">
        <w:rPr>
          <w:lang w:val="fr-FR"/>
        </w:rPr>
        <w:t xml:space="preserve"> la création d’un réseau d’assistance et de protection des femmes, composé d’un groupe d’organisations et de fondations à but non lucratif.</w:t>
      </w:r>
    </w:p>
    <w:p w14:paraId="65177595"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L’Institut salvadorien pour la promotion de la femme a mis à jour le plan national pour l’égalité (2021-2025)</w:t>
      </w:r>
      <w:r w:rsidRPr="009749C7">
        <w:rPr>
          <w:vertAlign w:val="superscript"/>
          <w:lang w:val="fr-FR"/>
        </w:rPr>
        <w:footnoteReference w:id="3"/>
      </w:r>
      <w:r w:rsidRPr="00CE00A4">
        <w:rPr>
          <w:lang w:val="fr-FR"/>
        </w:rPr>
        <w:t xml:space="preserve">, dans lequel sont détaillées les grandes orientations de politique publique et la stratégie d’ensemble concernant la promotion du respect des droits humains des femmes et la lutte </w:t>
      </w:r>
      <w:r w:rsidRPr="008F24CF">
        <w:rPr>
          <w:lang w:val="fr-FR"/>
        </w:rPr>
        <w:t>contre</w:t>
      </w:r>
      <w:r w:rsidRPr="00CE00A4">
        <w:rPr>
          <w:lang w:val="fr-FR"/>
        </w:rPr>
        <w:t xml:space="preserve"> les discriminations. Y sont également définies les mesures que les institutions publiques sont appelées à prendre pour remédier aux obstacles qui entravent le plein exercice de ces droits. </w:t>
      </w:r>
    </w:p>
    <w:p w14:paraId="5006C525"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Par ailleurs, la politique nationale pour l’accès des femmes à une vie sans violence et le plan d’action </w:t>
      </w:r>
      <w:r w:rsidRPr="008F24CF">
        <w:rPr>
          <w:lang w:val="fr-FR"/>
        </w:rPr>
        <w:t>correspondant</w:t>
      </w:r>
      <w:r w:rsidRPr="00CE00A4">
        <w:rPr>
          <w:lang w:val="fr-FR"/>
        </w:rPr>
        <w:t xml:space="preserve"> pour 2021-2025 ont été actualisés afin de garantir le droit des femmes à une existence digne, exempte de toute atteinte à leur bien-être, et ce, tout au long de leur vie. Ils regroupent un ensemble de lignes directrices, d’objectifs, de stratégies et de mécanismes de coopération et de coordination interinstitutionnelle et intersectorielle entre les acteurs publics. </w:t>
      </w:r>
    </w:p>
    <w:p w14:paraId="73FA2FB7" w14:textId="77777777" w:rsidR="008F24CF" w:rsidRPr="008F24CF" w:rsidRDefault="008F24CF" w:rsidP="008F24CF">
      <w:pPr>
        <w:pStyle w:val="SingleTxt"/>
        <w:spacing w:after="0" w:line="120" w:lineRule="exact"/>
        <w:rPr>
          <w:b/>
          <w:sz w:val="10"/>
          <w:lang w:val="fr-FR"/>
        </w:rPr>
      </w:pPr>
      <w:bookmarkStart w:id="5" w:name="_Toc191882142"/>
    </w:p>
    <w:p w14:paraId="4E7EA8A1" w14:textId="77777777" w:rsidR="008F24CF" w:rsidRPr="008F24CF" w:rsidRDefault="008F24CF" w:rsidP="008F24CF">
      <w:pPr>
        <w:pStyle w:val="SingleTxt"/>
        <w:spacing w:after="0" w:line="120" w:lineRule="exact"/>
        <w:rPr>
          <w:b/>
          <w:sz w:val="10"/>
          <w:lang w:val="fr-FR"/>
        </w:rPr>
      </w:pPr>
    </w:p>
    <w:p w14:paraId="2EC60B7D" w14:textId="600582FA" w:rsidR="00CE00A4" w:rsidRDefault="00CE00A4" w:rsidP="008F24CF">
      <w:pPr>
        <w:pStyle w:val="HCh"/>
        <w:ind w:left="1267" w:right="1260" w:hanging="1267"/>
        <w:rPr>
          <w:lang w:val="fr-FR"/>
        </w:rPr>
      </w:pPr>
      <w:r w:rsidRPr="00CE00A4">
        <w:rPr>
          <w:lang w:val="fr-FR"/>
        </w:rPr>
        <w:tab/>
      </w:r>
      <w:r w:rsidRPr="00CE00A4">
        <w:rPr>
          <w:lang w:val="fr-FR"/>
        </w:rPr>
        <w:tab/>
        <w:t>Institution nationale des droits humains</w:t>
      </w:r>
      <w:bookmarkEnd w:id="5"/>
    </w:p>
    <w:p w14:paraId="2CCE64DB" w14:textId="77777777" w:rsidR="008F24CF" w:rsidRPr="008F24CF" w:rsidRDefault="008F24CF" w:rsidP="008F24CF">
      <w:pPr>
        <w:pStyle w:val="SingleTxt"/>
        <w:spacing w:after="0" w:line="120" w:lineRule="exact"/>
        <w:rPr>
          <w:sz w:val="10"/>
          <w:lang w:val="fr-FR"/>
        </w:rPr>
      </w:pPr>
    </w:p>
    <w:p w14:paraId="6988D9A9" w14:textId="77777777" w:rsidR="008F24CF" w:rsidRPr="008F24CF" w:rsidRDefault="008F24CF" w:rsidP="008F24CF">
      <w:pPr>
        <w:pStyle w:val="SingleTxt"/>
        <w:spacing w:after="0" w:line="120" w:lineRule="exact"/>
        <w:rPr>
          <w:sz w:val="10"/>
          <w:lang w:val="fr-FR"/>
        </w:rPr>
      </w:pPr>
    </w:p>
    <w:p w14:paraId="7EB3753A"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ce qui concerne le pluralisme et la diversité, le Service du Procureur national chargé de la défense des droits de l’homme a adopté une politique institutionnelle en matière d’égalité et de non-discrimination pour la période 2025-2029 (la quatrième depuis 2009). Cette politique a pour objectif de guider les travaux institutionnels concernant le respect et la garantie des principes d’égalité femmes-hommes et de non-discrimination, de contribuer à la consolidation de l’égalité réelle et à l’élimination de la violence faite aux femmes et de favoriser le plein respect des droits humains des femmes et des groupes et populations en situation de vulnérabilité. </w:t>
      </w:r>
    </w:p>
    <w:p w14:paraId="60DD643D" w14:textId="77777777" w:rsidR="008F24CF" w:rsidRPr="008F24CF" w:rsidRDefault="008F24CF" w:rsidP="008F24CF">
      <w:pPr>
        <w:pStyle w:val="SingleTxt"/>
        <w:spacing w:after="0" w:line="120" w:lineRule="exact"/>
        <w:rPr>
          <w:b/>
          <w:sz w:val="10"/>
          <w:lang w:val="fr-FR"/>
        </w:rPr>
      </w:pPr>
      <w:bookmarkStart w:id="6" w:name="_Toc191882143"/>
    </w:p>
    <w:p w14:paraId="54B0014A" w14:textId="77777777" w:rsidR="008F24CF" w:rsidRPr="008F24CF" w:rsidRDefault="008F24CF" w:rsidP="008F24CF">
      <w:pPr>
        <w:pStyle w:val="SingleTxt"/>
        <w:spacing w:after="0" w:line="120" w:lineRule="exact"/>
        <w:rPr>
          <w:b/>
          <w:sz w:val="10"/>
          <w:lang w:val="fr-FR"/>
        </w:rPr>
      </w:pPr>
    </w:p>
    <w:p w14:paraId="45A52276" w14:textId="285B6149" w:rsidR="00CE00A4" w:rsidRDefault="00CE00A4" w:rsidP="008F24CF">
      <w:pPr>
        <w:pStyle w:val="HCh"/>
        <w:ind w:left="1267" w:right="1260" w:hanging="1267"/>
        <w:rPr>
          <w:lang w:val="fr-FR"/>
        </w:rPr>
      </w:pPr>
      <w:r w:rsidRPr="00CE00A4">
        <w:rPr>
          <w:lang w:val="fr-FR"/>
        </w:rPr>
        <w:tab/>
      </w:r>
      <w:r w:rsidRPr="00CE00A4">
        <w:rPr>
          <w:lang w:val="fr-FR"/>
        </w:rPr>
        <w:tab/>
        <w:t>Mesures temporaires spéciales</w:t>
      </w:r>
      <w:bookmarkEnd w:id="6"/>
    </w:p>
    <w:p w14:paraId="1F569520" w14:textId="77777777" w:rsidR="008F24CF" w:rsidRPr="008F24CF" w:rsidRDefault="008F24CF" w:rsidP="008F24CF">
      <w:pPr>
        <w:pStyle w:val="SingleTxt"/>
        <w:spacing w:after="0" w:line="120" w:lineRule="exact"/>
        <w:rPr>
          <w:sz w:val="10"/>
          <w:lang w:val="fr-FR"/>
        </w:rPr>
      </w:pPr>
    </w:p>
    <w:p w14:paraId="3BBD718F" w14:textId="77777777" w:rsidR="008F24CF" w:rsidRPr="008F24CF" w:rsidRDefault="008F24CF" w:rsidP="008F24CF">
      <w:pPr>
        <w:pStyle w:val="SingleTxt"/>
        <w:spacing w:after="0" w:line="120" w:lineRule="exact"/>
        <w:rPr>
          <w:sz w:val="10"/>
          <w:lang w:val="fr-FR"/>
        </w:rPr>
      </w:pPr>
    </w:p>
    <w:p w14:paraId="6B27F463"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El Salvador a accompli des progrès sur le plan de l’égalité femmes-hommes et de l’avancement des femmes. En 2022, son indice d’inégalité de genre est passé de 0,342 à 0,319, soit une diminution de 6,7 %, à la faveur des améliorations enregistrées dans les domaines de la santé (mortalité maternelle et natalité chez les adolescentes), de l’éducation (achèvement de la 9</w:t>
      </w:r>
      <w:r w:rsidRPr="00CE00A4">
        <w:rPr>
          <w:vertAlign w:val="superscript"/>
          <w:lang w:val="fr-FR"/>
        </w:rPr>
        <w:t>e</w:t>
      </w:r>
      <w:r w:rsidRPr="00CE00A4">
        <w:rPr>
          <w:lang w:val="fr-FR"/>
        </w:rPr>
        <w:t xml:space="preserve"> année de l’enseignement élémentaire au minimum) et de la participation à la vie politique et au monde du travail (nombre de sièges à l’Assemblée législative).</w:t>
      </w:r>
    </w:p>
    <w:p w14:paraId="76D76CE7" w14:textId="201592AA"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w:t>
      </w:r>
      <w:r w:rsidRPr="008F24CF">
        <w:rPr>
          <w:lang w:val="fr-FR"/>
        </w:rPr>
        <w:t>application</w:t>
      </w:r>
      <w:r w:rsidRPr="00CE00A4">
        <w:rPr>
          <w:lang w:val="fr-FR"/>
        </w:rPr>
        <w:t xml:space="preserve"> des modifications apportées à la loi sur l’égalité, l’équité et l’élimination de la discrimination à l’égard des femmes (décret législatif n</w:t>
      </w:r>
      <w:r w:rsidRPr="00CE00A4">
        <w:rPr>
          <w:vertAlign w:val="superscript"/>
          <w:lang w:val="fr-FR"/>
        </w:rPr>
        <w:t>o</w:t>
      </w:r>
      <w:r w:rsidR="00C86348">
        <w:rPr>
          <w:lang w:val="fr-FR"/>
        </w:rPr>
        <w:t> </w:t>
      </w:r>
      <w:r w:rsidRPr="00CE00A4">
        <w:rPr>
          <w:lang w:val="fr-FR"/>
        </w:rPr>
        <w:t>553, février 2020)</w:t>
      </w:r>
      <w:r w:rsidRPr="009749C7">
        <w:rPr>
          <w:vertAlign w:val="superscript"/>
          <w:lang w:val="fr-FR"/>
        </w:rPr>
        <w:footnoteReference w:id="4"/>
      </w:r>
      <w:r w:rsidRPr="00CE00A4">
        <w:rPr>
          <w:lang w:val="fr-FR"/>
        </w:rPr>
        <w:t xml:space="preserve">, il a été créé des unités institutionnelles chargées des questions de genre </w:t>
      </w:r>
      <w:r w:rsidRPr="00CE00A4">
        <w:rPr>
          <w:lang w:val="fr-FR"/>
        </w:rPr>
        <w:lastRenderedPageBreak/>
        <w:t>dans les institutions publiques. En 2021, 52</w:t>
      </w:r>
      <w:r w:rsidR="00C86348">
        <w:rPr>
          <w:lang w:val="fr-FR"/>
        </w:rPr>
        <w:t xml:space="preserve"> </w:t>
      </w:r>
      <w:r w:rsidRPr="00CE00A4">
        <w:rPr>
          <w:lang w:val="fr-FR"/>
        </w:rPr>
        <w:t>institutions publiques avaient adopté au moins deux instruments visant à assurer l’égalité et à éliminer la discrimination.</w:t>
      </w:r>
    </w:p>
    <w:p w14:paraId="4179CC55"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L’Institut salvadorien pour la promotion de la femme s’est doté d’une stratégie de promotion de l’autonomie et de l’autonomisation économique des femmes pour la période 2022-2024. Cette stratégie vise l’élimination progressive des inégalités et la restauration des droits économiques, notamment pour les femmes dont les droits ont été bafoués, et entend instaurer les conditions matérielles nécessaires pour briser le cycle de la violence.</w:t>
      </w:r>
    </w:p>
    <w:p w14:paraId="78A0C0CD"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Notons également la mise en place de stratégies, d’instruments et d’espaces de </w:t>
      </w:r>
      <w:r w:rsidRPr="008F24CF">
        <w:rPr>
          <w:lang w:val="fr-FR"/>
        </w:rPr>
        <w:t>commercialisation</w:t>
      </w:r>
      <w:r w:rsidRPr="00CE00A4">
        <w:rPr>
          <w:lang w:val="fr-FR"/>
        </w:rPr>
        <w:t xml:space="preserve"> innovants, tels que l’initiative MercaMujer, qui promeut des lieux de vente exempts de violence et de discrimination afin de favoriser la diversification et l’expansion du marché des produits et services conçus par des entrepreneuses ou des femmes chefs d’entreprise. </w:t>
      </w:r>
    </w:p>
    <w:p w14:paraId="4A117634"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Enfin, la Commission nationale des microentreprises et des petites entreprises a pour mission de </w:t>
      </w:r>
      <w:r w:rsidRPr="008F24CF">
        <w:rPr>
          <w:lang w:val="fr-FR"/>
        </w:rPr>
        <w:t>promouvoir</w:t>
      </w:r>
      <w:r w:rsidRPr="00CE00A4">
        <w:rPr>
          <w:lang w:val="fr-FR"/>
        </w:rPr>
        <w:t xml:space="preserve"> la création, la protection, le développement et le renforcement des microentreprises et des petites entreprises afin d’améliorer la compétitivité et la capacité à créer des emplois. Elle propose la formation Mujer y Negocios (Femmes et entreprises) et le programme Acelera Empresaria (Accélération pour entrepreneuses), qui offrent aux participantes un accompagnement personnalisé pour les aider à concevoir et à valider leurs modèles d’entreprise en tenant compte des besoins du marché actuel.</w:t>
      </w:r>
    </w:p>
    <w:p w14:paraId="07CAA05C" w14:textId="77777777" w:rsidR="008F24CF" w:rsidRPr="008F24CF" w:rsidRDefault="008F24CF" w:rsidP="008F24CF">
      <w:pPr>
        <w:pStyle w:val="SingleTxt"/>
        <w:spacing w:after="0" w:line="120" w:lineRule="exact"/>
        <w:rPr>
          <w:b/>
          <w:sz w:val="10"/>
          <w:lang w:val="fr-FR"/>
        </w:rPr>
      </w:pPr>
      <w:bookmarkStart w:id="7" w:name="_Toc191882144"/>
    </w:p>
    <w:p w14:paraId="76B62903" w14:textId="77777777" w:rsidR="008F24CF" w:rsidRPr="008F24CF" w:rsidRDefault="008F24CF" w:rsidP="008F24CF">
      <w:pPr>
        <w:pStyle w:val="SingleTxt"/>
        <w:spacing w:after="0" w:line="120" w:lineRule="exact"/>
        <w:rPr>
          <w:b/>
          <w:sz w:val="10"/>
          <w:lang w:val="fr-FR"/>
        </w:rPr>
      </w:pPr>
    </w:p>
    <w:p w14:paraId="1AF07AF1" w14:textId="03769170" w:rsidR="00CE00A4" w:rsidRDefault="00CE00A4" w:rsidP="008F24CF">
      <w:pPr>
        <w:pStyle w:val="HCh"/>
        <w:ind w:left="1267" w:right="1260" w:hanging="1267"/>
        <w:rPr>
          <w:lang w:val="fr-FR"/>
        </w:rPr>
      </w:pPr>
      <w:r w:rsidRPr="00CE00A4">
        <w:rPr>
          <w:lang w:val="fr-FR"/>
        </w:rPr>
        <w:tab/>
      </w:r>
      <w:r w:rsidRPr="00CE00A4">
        <w:rPr>
          <w:lang w:val="fr-FR"/>
        </w:rPr>
        <w:tab/>
        <w:t>Stéréotypes fondés sur le genre et pratiques préjudiciables</w:t>
      </w:r>
      <w:bookmarkEnd w:id="7"/>
    </w:p>
    <w:p w14:paraId="547532CD" w14:textId="77777777" w:rsidR="008F24CF" w:rsidRPr="008F24CF" w:rsidRDefault="008F24CF" w:rsidP="008F24CF">
      <w:pPr>
        <w:pStyle w:val="SingleTxt"/>
        <w:spacing w:after="0" w:line="120" w:lineRule="exact"/>
        <w:rPr>
          <w:sz w:val="10"/>
          <w:lang w:val="fr-FR"/>
        </w:rPr>
      </w:pPr>
    </w:p>
    <w:p w14:paraId="19A60B46" w14:textId="77777777" w:rsidR="008F24CF" w:rsidRPr="008F24CF" w:rsidRDefault="008F24CF" w:rsidP="008F24CF">
      <w:pPr>
        <w:pStyle w:val="SingleTxt"/>
        <w:spacing w:after="0" w:line="120" w:lineRule="exact"/>
        <w:rPr>
          <w:sz w:val="10"/>
          <w:lang w:val="fr-FR"/>
        </w:rPr>
      </w:pPr>
    </w:p>
    <w:p w14:paraId="16A91F0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Au nombre des mesures prises par l’État pour promouvoir une représentation équitable dans les médias, il convient de noter que la Direction des spectacles publics, de la radio et de la télévision (rattachée au Ministère de l’intérieur et du développement territorial) procède à l’évaluation, à la supervision et à la classification des contenus diffusés sur les chaînes de télévision à signal ouvert, à la radio, au cinéma, dans la publicité et dans la presse écrite, que les médias soient publics ou privés. Entre janvier 2022 et décembre 2024, aucun contenu portant atteinte à l’image et à l’intégrité des femmes n’a été répertorié.</w:t>
      </w:r>
    </w:p>
    <w:p w14:paraId="71193C11" w14:textId="5F37AED5"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Ces mesures témoignent de l’engagement de l’État à promouvoir une communication sur l’égalité et le respect de la </w:t>
      </w:r>
      <w:r w:rsidRPr="008F24CF">
        <w:rPr>
          <w:lang w:val="fr-FR"/>
        </w:rPr>
        <w:t>dignité</w:t>
      </w:r>
      <w:r w:rsidRPr="00CE00A4">
        <w:rPr>
          <w:lang w:val="fr-FR"/>
        </w:rPr>
        <w:t xml:space="preserve"> des personnes dans les médias, conformément à la Constitution (articles 6, 32 et 35), à la loi sur l’égalité, l’équité et l’élimination de la discrimination à l’égard des femmes, à la loi-cadre spéciale visant à garantir aux femmes une vie sans violence, à la loi </w:t>
      </w:r>
      <w:r w:rsidR="00C86348">
        <w:rPr>
          <w:lang w:val="fr-FR"/>
        </w:rPr>
        <w:t>« </w:t>
      </w:r>
      <w:r w:rsidRPr="00C86348">
        <w:rPr>
          <w:lang w:val="fr-FR"/>
        </w:rPr>
        <w:t>Crecer Juntos</w:t>
      </w:r>
      <w:r w:rsidR="00C86348">
        <w:rPr>
          <w:lang w:val="fr-FR"/>
        </w:rPr>
        <w:t> »</w:t>
      </w:r>
      <w:r w:rsidRPr="00C86348">
        <w:rPr>
          <w:lang w:val="fr-FR"/>
        </w:rPr>
        <w:t xml:space="preserve"> </w:t>
      </w:r>
      <w:r w:rsidRPr="00CE00A4">
        <w:rPr>
          <w:lang w:val="fr-FR"/>
        </w:rPr>
        <w:t xml:space="preserve">et à la loi sur la protection des consommateurs [articles 31 a) et 43 g)]. </w:t>
      </w:r>
    </w:p>
    <w:p w14:paraId="70224C2A"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Par ailleurs, la Police nationale civile a organisé, à l’intention de ses agents sur le terrain et de son personnel administratif, des activités de formation au leadership et au principe de responsabilité partagée des hommes. Ces ateliers avaient pour but de modifier les </w:t>
      </w:r>
      <w:r w:rsidRPr="008F24CF">
        <w:rPr>
          <w:lang w:val="fr-FR"/>
        </w:rPr>
        <w:t>comportements</w:t>
      </w:r>
      <w:r w:rsidRPr="00CE00A4">
        <w:rPr>
          <w:lang w:val="fr-FR"/>
        </w:rPr>
        <w:t xml:space="preserve">, d’éliminer les stéréotypes de genre, d’apporter un accompagnement efficace pour prévenir la revictimisation et de lutter contre la violence faite aux femmes et aux filles. </w:t>
      </w:r>
    </w:p>
    <w:p w14:paraId="6ED0C7FD" w14:textId="0D8214EA"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La loi générale relative à l’éducation établit les grandes orientations de l’enseignement dans le pays et s’applique à tous les niveaux d’instruction. C’est dans ce cadre qu’a été adoptée la loi </w:t>
      </w:r>
      <w:r w:rsidR="00C86348">
        <w:rPr>
          <w:lang w:val="fr-FR"/>
        </w:rPr>
        <w:t>« </w:t>
      </w:r>
      <w:r w:rsidRPr="00C86348">
        <w:rPr>
          <w:lang w:val="fr-FR"/>
        </w:rPr>
        <w:t>Crecer Juntos</w:t>
      </w:r>
      <w:r w:rsidR="00C86348">
        <w:rPr>
          <w:lang w:val="fr-FR"/>
        </w:rPr>
        <w:t> »</w:t>
      </w:r>
      <w:r w:rsidRPr="00CE00A4">
        <w:rPr>
          <w:lang w:val="fr-FR"/>
        </w:rPr>
        <w:t xml:space="preserve">, qui renforce le développement éducatif et souligne le principe d’une éducation gratuite et universelle. Elle fait également des activités artistiques et sportives des piliers des programmes de formation, dans la mesure où ces disciplines encouragent la participation active de tous les élèves, quelle que soit leur situation. </w:t>
      </w:r>
    </w:p>
    <w:p w14:paraId="5A9521EE"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lastRenderedPageBreak/>
        <w:t xml:space="preserve">Dans le droit fil de ces dispositions, l’État salvadorien garantit la gratuité de l’éducation à tous les niveaux du système public national et a lancé une réforme globale de l’enseignement baptisée « Mi Nueva Escuela » (Ma nouvelle école), qui vise à promouvoir une éducation de premier ordre </w:t>
      </w:r>
      <w:r w:rsidRPr="008F24CF">
        <w:rPr>
          <w:lang w:val="fr-FR"/>
        </w:rPr>
        <w:t>reposant</w:t>
      </w:r>
      <w:r w:rsidRPr="00CE00A4">
        <w:rPr>
          <w:lang w:val="fr-FR"/>
        </w:rPr>
        <w:t xml:space="preserve"> sur six piliers (amélioration des infrastructures, petite enfance, formation du personnel enseignant, renouvellement des programmes d’études, technologie, santé et nutrition) et met tout particulièrement l’accent sur le principe de l’égalité des chances pour les filles.</w:t>
      </w:r>
    </w:p>
    <w:p w14:paraId="26438C64"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Le programme de modalités d’enseignement souples a eu un effet notable sur les taux d’achèvement des études secondaires, en particulier pour les femmes. De plus, entre 2022 et 2024, 7 971 membres du corps enseignant (5 256 femmes et 2 715 hommes) ont bénéficié d’une formation sur l’égalité des chances dans le domaine de l’éducation et sur la prévention de la violence sexuelle.</w:t>
      </w:r>
    </w:p>
    <w:p w14:paraId="086DA582"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S’agissant de la lutte contre la cyberviolence, la violence faite aux femmes et aux filles dans l’espace numérique a </w:t>
      </w:r>
      <w:r w:rsidRPr="008F24CF">
        <w:rPr>
          <w:lang w:val="fr-FR"/>
        </w:rPr>
        <w:t>été</w:t>
      </w:r>
      <w:r w:rsidRPr="00CE00A4">
        <w:rPr>
          <w:lang w:val="fr-FR"/>
        </w:rPr>
        <w:t xml:space="preserve"> érigée en infraction. En septembre 2021, par le décret législatif n</w:t>
      </w:r>
      <w:r w:rsidRPr="00CE00A4">
        <w:rPr>
          <w:vertAlign w:val="superscript"/>
          <w:lang w:val="fr-FR"/>
        </w:rPr>
        <w:t>o</w:t>
      </w:r>
      <w:r w:rsidRPr="00CE00A4">
        <w:rPr>
          <w:lang w:val="fr-FR"/>
        </w:rPr>
        <w:t> 149, l’Assemblée législative a modifié les articles 50 et 51 de la loi-cadre spéciale visant à garantir aux femmes une vie sans violence</w:t>
      </w:r>
      <w:r w:rsidRPr="009749C7">
        <w:rPr>
          <w:vertAlign w:val="superscript"/>
          <w:lang w:val="fr-FR"/>
        </w:rPr>
        <w:footnoteReference w:id="5"/>
      </w:r>
      <w:r w:rsidRPr="00CE00A4">
        <w:rPr>
          <w:lang w:val="fr-FR"/>
        </w:rPr>
        <w:t xml:space="preserve"> afin d’alourdir les peines et d’élargir la portée des infractions. </w:t>
      </w:r>
    </w:p>
    <w:p w14:paraId="71732325"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En décembre 2021, en vertu du décret législatif n</w:t>
      </w:r>
      <w:r w:rsidRPr="00CE00A4">
        <w:rPr>
          <w:vertAlign w:val="superscript"/>
          <w:lang w:val="fr-FR"/>
        </w:rPr>
        <w:t>o</w:t>
      </w:r>
      <w:r w:rsidRPr="00CE00A4">
        <w:rPr>
          <w:lang w:val="fr-FR"/>
        </w:rPr>
        <w:t> 236, des modifications ont été apportées à la loi spéciale contre la cybercriminalité et les infractions connexes</w:t>
      </w:r>
      <w:r w:rsidRPr="009749C7">
        <w:rPr>
          <w:vertAlign w:val="superscript"/>
          <w:lang w:val="fr-FR"/>
        </w:rPr>
        <w:footnoteReference w:id="6"/>
      </w:r>
      <w:r w:rsidRPr="00CE00A4">
        <w:rPr>
          <w:lang w:val="fr-FR"/>
        </w:rPr>
        <w:t xml:space="preserve">. Plusieurs articles de cette loi portent sur la </w:t>
      </w:r>
      <w:r w:rsidRPr="008F24CF">
        <w:rPr>
          <w:lang w:val="fr-FR"/>
        </w:rPr>
        <w:t>protection</w:t>
      </w:r>
      <w:r w:rsidRPr="00CE00A4">
        <w:rPr>
          <w:lang w:val="fr-FR"/>
        </w:rPr>
        <w:t xml:space="preserve"> des enfants, des adolescents et des personnes en situation de handicap contre les infractions à caractère sexuel, y compris le harcèlement en ligne. Des sanctions sévères sont prévues contre les auteurs de telles infractions. </w:t>
      </w:r>
    </w:p>
    <w:p w14:paraId="4B4B4742" w14:textId="77777777" w:rsidR="008F24CF" w:rsidRPr="008F24CF" w:rsidRDefault="008F24CF" w:rsidP="008F24CF">
      <w:pPr>
        <w:pStyle w:val="SingleTxt"/>
        <w:spacing w:after="0" w:line="120" w:lineRule="exact"/>
        <w:rPr>
          <w:b/>
          <w:sz w:val="10"/>
          <w:lang w:val="fr-FR"/>
        </w:rPr>
      </w:pPr>
      <w:bookmarkStart w:id="8" w:name="_Toc191882145"/>
    </w:p>
    <w:p w14:paraId="7FD12B43" w14:textId="77777777" w:rsidR="008F24CF" w:rsidRPr="008F24CF" w:rsidRDefault="008F24CF" w:rsidP="008F24CF">
      <w:pPr>
        <w:pStyle w:val="SingleTxt"/>
        <w:spacing w:after="0" w:line="120" w:lineRule="exact"/>
        <w:rPr>
          <w:b/>
          <w:sz w:val="10"/>
          <w:lang w:val="fr-FR"/>
        </w:rPr>
      </w:pPr>
    </w:p>
    <w:p w14:paraId="6918481C" w14:textId="2D0F077F" w:rsidR="00CE00A4" w:rsidRDefault="00CE00A4" w:rsidP="008F24CF">
      <w:pPr>
        <w:pStyle w:val="HCh"/>
        <w:ind w:left="1267" w:right="2460" w:hanging="1267"/>
        <w:rPr>
          <w:lang w:val="fr-FR"/>
        </w:rPr>
      </w:pPr>
      <w:r w:rsidRPr="00CE00A4">
        <w:rPr>
          <w:lang w:val="fr-FR"/>
        </w:rPr>
        <w:tab/>
      </w:r>
      <w:r w:rsidRPr="00CE00A4">
        <w:rPr>
          <w:lang w:val="fr-FR"/>
        </w:rPr>
        <w:tab/>
        <w:t>Violence à l’égard des femmes et des filles fondée sur le genre</w:t>
      </w:r>
      <w:bookmarkEnd w:id="8"/>
    </w:p>
    <w:p w14:paraId="5EB237B4" w14:textId="77777777" w:rsidR="008F24CF" w:rsidRPr="008F24CF" w:rsidRDefault="008F24CF" w:rsidP="008F24CF">
      <w:pPr>
        <w:pStyle w:val="SingleTxt"/>
        <w:spacing w:after="0" w:line="120" w:lineRule="exact"/>
        <w:rPr>
          <w:sz w:val="10"/>
          <w:lang w:val="fr-FR"/>
        </w:rPr>
      </w:pPr>
    </w:p>
    <w:p w14:paraId="5A6F9C30" w14:textId="77777777" w:rsidR="008F24CF" w:rsidRPr="008F24CF" w:rsidRDefault="008F24CF" w:rsidP="008F24CF">
      <w:pPr>
        <w:pStyle w:val="SingleTxt"/>
        <w:spacing w:after="0" w:line="120" w:lineRule="exact"/>
        <w:rPr>
          <w:sz w:val="10"/>
          <w:lang w:val="fr-FR"/>
        </w:rPr>
      </w:pPr>
    </w:p>
    <w:p w14:paraId="63935C2C"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L’Institut salvadorien pour la promotion de la femme a mis à jour la politique nationale pour l’accès des femmes à une vie sans violence et le plan d’action correspondant pour la période 2021-2025</w:t>
      </w:r>
      <w:r w:rsidRPr="009749C7">
        <w:rPr>
          <w:vertAlign w:val="superscript"/>
          <w:lang w:val="fr-FR"/>
        </w:rPr>
        <w:footnoteReference w:id="7"/>
      </w:r>
      <w:r w:rsidRPr="00CE00A4">
        <w:rPr>
          <w:lang w:val="fr-FR"/>
        </w:rPr>
        <w:t xml:space="preserve">, conformément aux dispositions de la loi-cadre spéciale visant à garantir aux femmes une vie sans violence et aux engagements internationaux pris par l’État en ce qui concerne les droits humains des femmes, notamment la Convention sur l’élimination de toutes les formes de discrimination à l’égard des femmes et la Convention interaméricaine pour la prévention, la sanction et l’élimination de la violence contre la femme (Convention de Belém do Pará). </w:t>
      </w:r>
    </w:p>
    <w:p w14:paraId="2743E372"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L’Institut salvadorien pour la promotion de la femme épaule les femmes dont les droits ont </w:t>
      </w:r>
      <w:r w:rsidRPr="008F24CF">
        <w:rPr>
          <w:lang w:val="fr-FR"/>
        </w:rPr>
        <w:t>été</w:t>
      </w:r>
      <w:r w:rsidRPr="00CE00A4">
        <w:rPr>
          <w:lang w:val="fr-FR"/>
        </w:rPr>
        <w:t xml:space="preserve"> bafoués, et ce, à toutes les étapes de leur vie. À cet égard, il a mis en place des mécanismes qui favorisent l’accès à un large éventail de services de proximité, complets et spécialisés, aussi bien en présentiel qu’à distance. Citons notamment la ligne d’assistance téléphonique 126 et la plateforme « 126 Te Orienta Sin Fronteras » (Orientation sans frontières), qui permettent aux femmes en situation de vulnérabilité d’obtenir des conseils juridiques, un accompagnement social et un soutien psychologique 24 heures sur 24. </w:t>
      </w:r>
    </w:p>
    <w:p w14:paraId="72794F9F" w14:textId="006C3A0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outre, la </w:t>
      </w:r>
      <w:r w:rsidRPr="008F24CF">
        <w:rPr>
          <w:lang w:val="fr-FR"/>
        </w:rPr>
        <w:t>Cour</w:t>
      </w:r>
      <w:r w:rsidRPr="00CE00A4">
        <w:rPr>
          <w:lang w:val="fr-FR"/>
        </w:rPr>
        <w:t xml:space="preserve"> suprême comprend des tribunaux spécialisés dans les affaires de violence et de discrimination à l’égard des femmes, à savoir cinq tribunaux </w:t>
      </w:r>
      <w:r w:rsidRPr="00CE00A4">
        <w:rPr>
          <w:lang w:val="fr-FR"/>
        </w:rPr>
        <w:lastRenderedPageBreak/>
        <w:t>d’instruction spécialisés, répartis dans tout le pays (deux à San Salvador, un à Cojutepeque, un à Santa</w:t>
      </w:r>
      <w:r w:rsidR="00EA6D46">
        <w:rPr>
          <w:lang w:val="fr-FR"/>
        </w:rPr>
        <w:t xml:space="preserve"> </w:t>
      </w:r>
      <w:r w:rsidRPr="00CE00A4">
        <w:rPr>
          <w:lang w:val="fr-FR"/>
        </w:rPr>
        <w:t>Ana et un à San Miguel), et trois tribunaux correctionnels spécialisés, situés à San Salvador, à Santa Ana et à San Miguel. Il existe également, à San Salvador, une chambre spécialisée investie d’une compétence nationale.</w:t>
      </w:r>
    </w:p>
    <w:p w14:paraId="32F08458" w14:textId="441F218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Ministère de </w:t>
      </w:r>
      <w:r w:rsidRPr="008F24CF">
        <w:rPr>
          <w:lang w:val="fr-FR"/>
        </w:rPr>
        <w:t>l’éducation</w:t>
      </w:r>
      <w:r w:rsidRPr="00CE00A4">
        <w:rPr>
          <w:lang w:val="fr-FR"/>
        </w:rPr>
        <w:t xml:space="preserve">, des sciences et de la technologie a conçu des mécanismes de prévention et de traitement des violations en milieu scolaire. Ainsi, dans le droit fil de la loi </w:t>
      </w:r>
      <w:r w:rsidR="00EA6D46">
        <w:rPr>
          <w:lang w:val="fr-FR"/>
        </w:rPr>
        <w:t>« </w:t>
      </w:r>
      <w:r w:rsidRPr="00EA6D46">
        <w:rPr>
          <w:lang w:val="fr-FR"/>
        </w:rPr>
        <w:t>Crecer Juntos</w:t>
      </w:r>
      <w:r w:rsidR="00EA6D46">
        <w:rPr>
          <w:lang w:val="fr-FR"/>
        </w:rPr>
        <w:t> »</w:t>
      </w:r>
      <w:r w:rsidRPr="00CE00A4">
        <w:rPr>
          <w:lang w:val="fr-FR"/>
        </w:rPr>
        <w:t>, qui oblige les établissements d’enseignement à signaler toute situation à risque aux autorités compétentes, un système d’alerte en cas de violence dans l’éducation a été mis sur pied.</w:t>
      </w:r>
    </w:p>
    <w:p w14:paraId="5011E7EE"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Dans le cadre du programme d’accompagnement en milieu scolaire, des outils ont été mis au point pour aider le </w:t>
      </w:r>
      <w:r w:rsidRPr="008F24CF">
        <w:rPr>
          <w:lang w:val="fr-FR"/>
        </w:rPr>
        <w:t>personnel</w:t>
      </w:r>
      <w:r w:rsidRPr="00CE00A4">
        <w:rPr>
          <w:lang w:val="fr-FR"/>
        </w:rPr>
        <w:t xml:space="preserve"> enseignant à mieux répondre aux besoins des élèves. Les initiatives menées ont permis d’améliorer le bien-être émotionnel des filles et des adolescentes, dans le respect des protocoles du système national de protection globale. </w:t>
      </w:r>
    </w:p>
    <w:p w14:paraId="59FB65A2"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février 2023, la loi-cadre spéciale visant à garantir aux femmes une vie sans violence a été modifiée par le décret </w:t>
      </w:r>
      <w:r w:rsidRPr="008F24CF">
        <w:rPr>
          <w:lang w:val="fr-FR"/>
        </w:rPr>
        <w:t>législatif</w:t>
      </w:r>
      <w:r w:rsidRPr="00CE00A4">
        <w:rPr>
          <w:lang w:val="fr-FR"/>
        </w:rPr>
        <w:t xml:space="preserve"> n</w:t>
      </w:r>
      <w:r w:rsidRPr="00CE00A4">
        <w:rPr>
          <w:vertAlign w:val="superscript"/>
          <w:lang w:val="fr-FR"/>
        </w:rPr>
        <w:t>o</w:t>
      </w:r>
      <w:r w:rsidRPr="00CE00A4">
        <w:rPr>
          <w:lang w:val="fr-FR"/>
        </w:rPr>
        <w:t xml:space="preserve"> 664, qui a supprimé le délai de prescription applicable aux poursuites pénales dans les cas de féminicide et de féminicide aggravé. </w:t>
      </w:r>
    </w:p>
    <w:p w14:paraId="1C76DF54"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En sa qualité d’organe chef de file du système de protection globale, le Conseil national de la petite enfance, de l’enfance et de l’adolescence agrée, accrédite et supervise les programmes de prise en charge des enfants et des adolescents mis en œuvre par des entités privées. Il s’agit de s’assurer que ces programmes sont conformes aux normes relatives aux droits humains, à l’amélioration continue et au principe d’égalité. Dans ce contexte, le Service du Procureur national chargé de la défense des droits de l’homme et le pouvoir judiciaire procèdent à des vérifications et à des contrôles dans les établissements concernés.</w:t>
      </w:r>
    </w:p>
    <w:p w14:paraId="17626D70"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pays compte également des centres d’accueil institutionnels, destinés aux personnes ayant subi des violations de leurs droits, et des centres d’intégration sociale, qui accueillent des adolescents responsables d’infractions pénales. Dotées d’un personnel spécialisé dans les domaines de la psychologie, du travail social et du droit, ces structures apportent un soutien immédiat et, au besoin, aiguillent les personnes vers d’autres organismes. </w:t>
      </w:r>
    </w:p>
    <w:p w14:paraId="360D25F3" w14:textId="72FC3F2C"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Le Bureau du Défenseur public a fourni à des femmes des services d’assistance juridique, psychologique et sociale (61 069 cas), de représentation juridique (1</w:t>
      </w:r>
      <w:r w:rsidR="00EA6D46">
        <w:rPr>
          <w:lang w:val="fr-FR"/>
        </w:rPr>
        <w:t> </w:t>
      </w:r>
      <w:r w:rsidRPr="00CE00A4">
        <w:rPr>
          <w:lang w:val="fr-FR"/>
        </w:rPr>
        <w:t xml:space="preserve">141 cas) et d’accompagnement lors de procédures judiciaires (2 276 cas). Son action a abouti à l’obtention de </w:t>
      </w:r>
      <w:r w:rsidRPr="008F24CF">
        <w:rPr>
          <w:lang w:val="fr-FR"/>
        </w:rPr>
        <w:t>dommages</w:t>
      </w:r>
      <w:r w:rsidRPr="00CE00A4">
        <w:rPr>
          <w:lang w:val="fr-FR"/>
        </w:rPr>
        <w:t>-intérêts d’un montant total de 155 452 dollars et à l’octroi de pensions alimentaires de 45 466 dollars.</w:t>
      </w:r>
    </w:p>
    <w:p w14:paraId="3175A0F6"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cadre juridique salvadorien punit les comportements qui portent atteinte à la liberté et à la sécurité des personnes. À cet égard, une distinction est faite entre la disparition de personnes et la disparition forcée de personnes, qui sont régies par les articles 148-A et 364 du Code pénal. Des mesures ont également été prises pour améliorer les méthodes professionnelles </w:t>
      </w:r>
      <w:r w:rsidRPr="008F24CF">
        <w:rPr>
          <w:lang w:val="fr-FR"/>
        </w:rPr>
        <w:t>de</w:t>
      </w:r>
      <w:r w:rsidRPr="00CE00A4">
        <w:rPr>
          <w:lang w:val="fr-FR"/>
        </w:rPr>
        <w:t xml:space="preserve"> prise en charge et d’enquête dans les cas de disparition, en garantissant la prise en compte des aspects technico-scientifiques et psychologiques concernant la victime et ses proches. Par ailleurs, le Bureau du Procureur général a adopté un protocole d’action urgente et une stratégie de recherche des personnes portées disparues, qui permettent aux autorités compétentes de prendre sans délai des mesures efficaces dans les affaires de disparition et favorisent la rapidité d’intervention et l’engagement de tous les acteurs publics concernés. </w:t>
      </w:r>
    </w:p>
    <w:p w14:paraId="08ACD45D" w14:textId="530FE9FA"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Conformément aux articles 30 et 31 de la loi-cadre spéciale visant à garantir aux femmes une vie sans </w:t>
      </w:r>
      <w:r w:rsidRPr="008F24CF">
        <w:rPr>
          <w:lang w:val="fr-FR"/>
        </w:rPr>
        <w:t>violence</w:t>
      </w:r>
      <w:r w:rsidRPr="00CE00A4">
        <w:rPr>
          <w:lang w:val="fr-FR"/>
        </w:rPr>
        <w:t xml:space="preserve">, le Ministère de la justice et de la sécurité publique et la Banque centrale de réserve tiennent à jour le système national de données, de </w:t>
      </w:r>
      <w:r w:rsidRPr="00CE00A4">
        <w:rPr>
          <w:lang w:val="fr-FR"/>
        </w:rPr>
        <w:lastRenderedPageBreak/>
        <w:t>statistiques et d’informations relatives aux violences faites aux femmes, qui favorise la prise de décisions éclairées et aide à concevoir et à mettre en œuvre des politiques publiques concernant le respect et la garantie des droits humains des femmes. En outre, pour garantir la production continue de données statistiques à jour, compte tenu du décret législatif n</w:t>
      </w:r>
      <w:r w:rsidRPr="00CE00A4">
        <w:rPr>
          <w:vertAlign w:val="superscript"/>
          <w:lang w:val="fr-FR"/>
        </w:rPr>
        <w:t>o</w:t>
      </w:r>
      <w:r w:rsidRPr="00CE00A4">
        <w:rPr>
          <w:lang w:val="fr-FR"/>
        </w:rPr>
        <w:t> 468 du 9</w:t>
      </w:r>
      <w:r w:rsidR="00570B94">
        <w:rPr>
          <w:lang w:val="fr-FR"/>
        </w:rPr>
        <w:t xml:space="preserve"> </w:t>
      </w:r>
      <w:r w:rsidRPr="00CE00A4">
        <w:rPr>
          <w:lang w:val="fr-FR"/>
        </w:rPr>
        <w:t>août 2022, sept rapports annuels sur les violences faites aux femmes ont été établis de 2015 à 2022 et cinq rapports semestriels l’ont été de 2018 à 2022</w:t>
      </w:r>
      <w:r w:rsidRPr="009749C7">
        <w:rPr>
          <w:vertAlign w:val="superscript"/>
          <w:lang w:val="fr-FR"/>
        </w:rPr>
        <w:footnoteReference w:id="8"/>
      </w:r>
      <w:r w:rsidRPr="00CE00A4">
        <w:rPr>
          <w:lang w:val="fr-FR"/>
        </w:rPr>
        <w:t>. Dans le prolongement du décret susmentionné, la loi spéciale relative aux statistiques et aux recensements, qui a été approuvée en vertu du décret législatif n</w:t>
      </w:r>
      <w:r w:rsidRPr="00CE00A4">
        <w:rPr>
          <w:vertAlign w:val="superscript"/>
          <w:lang w:val="fr-FR"/>
        </w:rPr>
        <w:t>o</w:t>
      </w:r>
      <w:r w:rsidRPr="00CE00A4">
        <w:rPr>
          <w:lang w:val="fr-FR"/>
        </w:rPr>
        <w:t xml:space="preserve"> 904 du 8 décembre 2023, renforce le rôle de la Banque centrale en tant qu’entité responsable du système statistique national. En parallèle, les rapports prévus aux articles 13, 30 et 31 de la loi-cadre spéciale visant à garantir aux femmes une vie sans violence ont été alignés sur le système d’indicateurs de progrès servant à mesurer l’application de la Convention de Belém do Pará.</w:t>
      </w:r>
    </w:p>
    <w:p w14:paraId="2F05DCB8" w14:textId="77777777" w:rsidR="008F24CF" w:rsidRPr="008F24CF" w:rsidRDefault="008F24CF" w:rsidP="008F24CF">
      <w:pPr>
        <w:pStyle w:val="SingleTxt"/>
        <w:spacing w:after="0" w:line="120" w:lineRule="exact"/>
        <w:rPr>
          <w:b/>
          <w:sz w:val="10"/>
          <w:lang w:val="fr-FR"/>
        </w:rPr>
      </w:pPr>
      <w:bookmarkStart w:id="9" w:name="_Toc191882146"/>
    </w:p>
    <w:p w14:paraId="5C797C85" w14:textId="77777777" w:rsidR="008F24CF" w:rsidRPr="008F24CF" w:rsidRDefault="008F24CF" w:rsidP="008F24CF">
      <w:pPr>
        <w:pStyle w:val="SingleTxt"/>
        <w:spacing w:after="0" w:line="120" w:lineRule="exact"/>
        <w:rPr>
          <w:b/>
          <w:sz w:val="10"/>
          <w:lang w:val="fr-FR"/>
        </w:rPr>
      </w:pPr>
    </w:p>
    <w:p w14:paraId="695BA2D7" w14:textId="0EF15C95" w:rsidR="00CE00A4" w:rsidRDefault="00CE00A4" w:rsidP="008F24CF">
      <w:pPr>
        <w:pStyle w:val="HCh"/>
        <w:ind w:left="1267" w:right="1260" w:hanging="1267"/>
        <w:rPr>
          <w:lang w:val="fr-FR"/>
        </w:rPr>
      </w:pPr>
      <w:r w:rsidRPr="00CE00A4">
        <w:rPr>
          <w:lang w:val="fr-FR"/>
        </w:rPr>
        <w:tab/>
      </w:r>
      <w:r w:rsidRPr="00CE00A4">
        <w:rPr>
          <w:lang w:val="fr-FR"/>
        </w:rPr>
        <w:tab/>
        <w:t>Traite et exploitation de la prostitution</w:t>
      </w:r>
      <w:bookmarkEnd w:id="9"/>
    </w:p>
    <w:p w14:paraId="276217A4" w14:textId="77777777" w:rsidR="008F24CF" w:rsidRPr="008F24CF" w:rsidRDefault="008F24CF" w:rsidP="008F24CF">
      <w:pPr>
        <w:pStyle w:val="SingleTxt"/>
        <w:spacing w:after="0" w:line="120" w:lineRule="exact"/>
        <w:rPr>
          <w:sz w:val="10"/>
          <w:lang w:val="fr-FR"/>
        </w:rPr>
      </w:pPr>
    </w:p>
    <w:p w14:paraId="027B89BC" w14:textId="77777777" w:rsidR="008F24CF" w:rsidRPr="008F24CF" w:rsidRDefault="008F24CF" w:rsidP="008F24CF">
      <w:pPr>
        <w:pStyle w:val="SingleTxt"/>
        <w:spacing w:after="0" w:line="120" w:lineRule="exact"/>
        <w:rPr>
          <w:sz w:val="10"/>
          <w:lang w:val="fr-FR"/>
        </w:rPr>
      </w:pPr>
    </w:p>
    <w:p w14:paraId="7B82EEA3"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L’article 54 de la loi spéciale contre la traite des personnes consacre l’engagement de l’État à protéger toutes les personnes contre la traite et les activités consistant à livrer, capturer, transférer, accueillir ou héberger des personnes, tant sur le territoire national qu’en dehors, et contre toute forme d’exploitation humaine. Le pays applique une définition globale de la traite des personnes qui repose sur la loi spéciale contre la traite des personnes, le Code pénal, le Code de procédure pénale et d’autres lois applicables.</w:t>
      </w:r>
    </w:p>
    <w:p w14:paraId="6909EFEE"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El Salvador continue d’appliquer pleinement les dispositions des instruments en vigueur en tenant </w:t>
      </w:r>
      <w:r w:rsidRPr="008F24CF">
        <w:rPr>
          <w:lang w:val="fr-FR"/>
        </w:rPr>
        <w:t>compte</w:t>
      </w:r>
      <w:r w:rsidRPr="00CE00A4">
        <w:rPr>
          <w:lang w:val="fr-FR"/>
        </w:rPr>
        <w:t xml:space="preserve"> des réalités nationales. À cet égard, il a ratifié le Protocole visant à prévenir, réprimer et punir la traite des personnes, en particulier des femmes et des enfants (Protocole de Palerme), qui établit comme circonstance aggravante le fait de recourir à la force, à la fraude ou à la coercition.</w:t>
      </w:r>
    </w:p>
    <w:p w14:paraId="3D465C19" w14:textId="4E975A13" w:rsidR="00CE00A4" w:rsidRPr="00CE00A4" w:rsidRDefault="00CE00A4" w:rsidP="004C75E8">
      <w:pPr>
        <w:pStyle w:val="SingleTxt"/>
        <w:numPr>
          <w:ilvl w:val="0"/>
          <w:numId w:val="22"/>
        </w:numPr>
        <w:spacing w:line="240" w:lineRule="exact"/>
        <w:ind w:left="1267"/>
        <w:rPr>
          <w:lang w:val="fr-FR"/>
        </w:rPr>
      </w:pPr>
      <w:r w:rsidRPr="00CE00A4">
        <w:rPr>
          <w:lang w:val="fr-FR"/>
        </w:rPr>
        <w:t xml:space="preserve">Des activités de formation et de sensibilisation au protocole de prise en charge des victimes de la traite des personnes ont été organisées à l’intention des fonctionnaires de première ligne pour les aider à mieux reconnaître les signes d’exploitation et d’atteintes, en particulier chez les filles et les femmes, et d’intervenir avec plus de rapidité et d’efficacité face à d’éventuels cas de traite des personnes. </w:t>
      </w:r>
    </w:p>
    <w:p w14:paraId="4F47EE5E"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parallèle, des dispositifs de protection et de réadaptation ont été mis en place par l’intermédiaire du </w:t>
      </w:r>
      <w:r w:rsidRPr="008F24CF">
        <w:rPr>
          <w:lang w:val="fr-FR"/>
        </w:rPr>
        <w:t>Réseau</w:t>
      </w:r>
      <w:r w:rsidRPr="00CE00A4">
        <w:rPr>
          <w:lang w:val="fr-FR"/>
        </w:rPr>
        <w:t xml:space="preserve"> national d’assistance aux victimes de la traite des personnes, qui aide les fonctionnaires à aiguiller les victimes vers des services spécialisés afin qu’elles bénéficient d’une protection immédiate et d’un accompagnement complet, notamment sur le plan médical, psychologique, juridique et social. </w:t>
      </w:r>
    </w:p>
    <w:p w14:paraId="15906A56"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C’est dans ce contexte que le Conseil national de la petite enfance, de l’enfance et de l’adolescence gère le Foyer régional des victimes de la traite, un centre spécialisé qui accueille des filles et des adolescentes en s’attachant à garantir leur sécurité, leur bien-être et leur rétablissement. Il veille au respect de protocoles rigoureux en matière de protection et collabore avec les conseils de protection et le Bureau du Procureur général pour garantir l’application de mesures de protection correspondant au plus haut niveau de garantie des droits.</w:t>
      </w:r>
    </w:p>
    <w:p w14:paraId="604C2514"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Les conseils de </w:t>
      </w:r>
      <w:r w:rsidRPr="008F24CF">
        <w:rPr>
          <w:lang w:val="fr-FR"/>
        </w:rPr>
        <w:t>protection</w:t>
      </w:r>
      <w:r w:rsidRPr="00CE00A4">
        <w:rPr>
          <w:lang w:val="fr-FR"/>
        </w:rPr>
        <w:t xml:space="preserve"> et le service d’assistance téléphonique 119, accessibles gratuitement, permettent aux victimes et aux plaignantes de parler en </w:t>
      </w:r>
      <w:r w:rsidRPr="00CE00A4">
        <w:rPr>
          <w:lang w:val="fr-FR"/>
        </w:rPr>
        <w:lastRenderedPageBreak/>
        <w:t>toute confiance et sans crainte de représailles ; ils garantissent ainsi leur sécurité et le respect de leurs droits tout au long de la procédure de prise en charge.</w:t>
      </w:r>
    </w:p>
    <w:p w14:paraId="6437672D"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L’État a renforcé ses moyens d’action contre la traite des personnes, en particulier des femmes migrantes, à la faveur d’activités de coopération internationale comprenant formation et assistance </w:t>
      </w:r>
      <w:r w:rsidRPr="008F24CF">
        <w:rPr>
          <w:lang w:val="fr-FR"/>
        </w:rPr>
        <w:t>technique</w:t>
      </w:r>
      <w:r w:rsidRPr="00CE00A4">
        <w:rPr>
          <w:lang w:val="fr-FR"/>
        </w:rPr>
        <w:t xml:space="preserve">. Au niveau national, les conseils de protection de l’enfance et de l’adolescence (qui relèvent du Conseil national de la petite enfance, de l’enfance et de l’adolescence) ont resserré leurs liens avec le Bureau du Procureur général et la Police nationale civile pour garantir la prestation de mesures de protection complètes et assurer un accès rapide à la justice. </w:t>
      </w:r>
    </w:p>
    <w:p w14:paraId="3C7E0D4D"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Dans le domaine du contrôle des migrations, la surveillance aux frontières, dans les ports et dans les aéroports a été renforcée, ce qui a permis d’identifier plus efficacement les ressortissants étrangers en situation irrégulière et ainsi contribué à la prévention des cas de trafic liés à la criminalité organisée. Ainsi, dans le cadre du Pacte mondial pour des migrations sûres, ordonnées et régulières, des mesures coordonnées ont été prises en coordination avec la Direction générale des migrations et des étrangers pour consolider les procédures afférentes au transit frontalier.</w:t>
      </w:r>
    </w:p>
    <w:p w14:paraId="4AD128A6" w14:textId="15FA40B2"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El Salvador a également participé à Liberterra II, la plus grande opération menée par l’Organisation internationale de police criminelle (INTERPOL) contre la traite des personnes et le trafic de migrants, à laquelle ont pris part 116 pays. Cette opération a permis de secourir 3 222 victimes potentielles, d’identifier 17</w:t>
      </w:r>
      <w:r w:rsidR="00BC315D">
        <w:rPr>
          <w:lang w:val="fr-FR"/>
        </w:rPr>
        <w:t> </w:t>
      </w:r>
      <w:r w:rsidRPr="00CE00A4">
        <w:rPr>
          <w:lang w:val="fr-FR"/>
        </w:rPr>
        <w:t>793 migrants en situation irrégulière et de mettre au jour de nouveaux schémas de trafic.</w:t>
      </w:r>
    </w:p>
    <w:p w14:paraId="551154CD"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L’École de formation judiciaire du Conseil national de la magistrature a organisé des ateliers visant à renforcer la </w:t>
      </w:r>
      <w:r w:rsidRPr="008F24CF">
        <w:rPr>
          <w:lang w:val="fr-FR"/>
        </w:rPr>
        <w:t>capacité</w:t>
      </w:r>
      <w:r w:rsidRPr="00CE00A4">
        <w:rPr>
          <w:lang w:val="fr-FR"/>
        </w:rPr>
        <w:t xml:space="preserve"> des greffiers et des agents judiciaires s’occupant d’affaires pénales à prévenir et à repérer les cas de traite des personnes et à orienter les victimes de manière à garantir un accès effectif à la justice. En outre, par l’intermédiaire de l’École de formation des procureurs, le Bureau du Procureur général a organisé des séances de formation à l’intention des procureurs adjoints, des coordonnateurs et des chefs de bureau dans tout le pays. Les thèmes abordés comprenaient les aspects pratiques de la traite des personnes, les mécanismes d’orientation, la prise en charge des victimes et l’adoption d’une approche fondée sur les droits humains et les questions de genre.</w:t>
      </w:r>
    </w:p>
    <w:p w14:paraId="14EF16EA"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L’Académie nationale de sécurité publique, qui propose des programmes de formation initiale, de perfectionnement et de spécialisation des policiers, a intégré la question de la traite des personnes </w:t>
      </w:r>
      <w:r w:rsidRPr="008F24CF">
        <w:rPr>
          <w:lang w:val="fr-FR"/>
        </w:rPr>
        <w:t>dans</w:t>
      </w:r>
      <w:r w:rsidRPr="00CE00A4">
        <w:rPr>
          <w:lang w:val="fr-FR"/>
        </w:rPr>
        <w:t xml:space="preserve"> divers cours destinés aux futurs policiers et aux membres actuels de la Police nationale civile (État et droit, droit appliqué, droits humains, intervention policière et doctrine policière). </w:t>
      </w:r>
    </w:p>
    <w:p w14:paraId="56858243" w14:textId="77777777" w:rsidR="008F24CF" w:rsidRPr="008F24CF" w:rsidRDefault="008F24CF" w:rsidP="008F24CF">
      <w:pPr>
        <w:pStyle w:val="SingleTxt"/>
        <w:spacing w:after="0" w:line="120" w:lineRule="exact"/>
        <w:rPr>
          <w:b/>
          <w:sz w:val="10"/>
          <w:lang w:val="fr-FR"/>
        </w:rPr>
      </w:pPr>
      <w:bookmarkStart w:id="10" w:name="_Toc191882147"/>
    </w:p>
    <w:p w14:paraId="591A5913" w14:textId="77777777" w:rsidR="008F24CF" w:rsidRPr="008F24CF" w:rsidRDefault="008F24CF" w:rsidP="008F24CF">
      <w:pPr>
        <w:pStyle w:val="SingleTxt"/>
        <w:spacing w:after="0" w:line="120" w:lineRule="exact"/>
        <w:rPr>
          <w:b/>
          <w:sz w:val="10"/>
          <w:lang w:val="fr-FR"/>
        </w:rPr>
      </w:pPr>
    </w:p>
    <w:p w14:paraId="334ECBB3" w14:textId="5AE332A2" w:rsidR="00CE00A4" w:rsidRDefault="00CE00A4" w:rsidP="008F24CF">
      <w:pPr>
        <w:pStyle w:val="HCh"/>
        <w:ind w:left="1267" w:right="1260" w:hanging="1267"/>
        <w:rPr>
          <w:lang w:val="fr-FR"/>
        </w:rPr>
      </w:pPr>
      <w:r w:rsidRPr="00CE00A4">
        <w:rPr>
          <w:lang w:val="fr-FR"/>
        </w:rPr>
        <w:tab/>
      </w:r>
      <w:r w:rsidRPr="00CE00A4">
        <w:rPr>
          <w:lang w:val="fr-FR"/>
        </w:rPr>
        <w:tab/>
        <w:t>Participation à la vie politique et à la vie publique</w:t>
      </w:r>
      <w:bookmarkEnd w:id="10"/>
    </w:p>
    <w:p w14:paraId="5BCFCE8A" w14:textId="77777777" w:rsidR="008F24CF" w:rsidRPr="008F24CF" w:rsidRDefault="008F24CF" w:rsidP="008F24CF">
      <w:pPr>
        <w:pStyle w:val="SingleTxt"/>
        <w:spacing w:after="0" w:line="120" w:lineRule="exact"/>
        <w:rPr>
          <w:sz w:val="10"/>
          <w:lang w:val="fr-FR"/>
        </w:rPr>
      </w:pPr>
    </w:p>
    <w:p w14:paraId="22D71492" w14:textId="77777777" w:rsidR="008F24CF" w:rsidRPr="008F24CF" w:rsidRDefault="008F24CF" w:rsidP="008F24CF">
      <w:pPr>
        <w:pStyle w:val="SingleTxt"/>
        <w:spacing w:after="0" w:line="120" w:lineRule="exact"/>
        <w:rPr>
          <w:sz w:val="10"/>
          <w:lang w:val="fr-FR"/>
        </w:rPr>
      </w:pPr>
    </w:p>
    <w:p w14:paraId="70E970CF" w14:textId="147EC0B2"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L’Institut salvadorien pour la promotion de la femme a mis en place une stratégie fondée sur des mécanismes municipaux de participation citoyenne, à savoir les conseils consultatifs pour les droits des femmes et les défenseurs des droits des femmes. Les objectifs sont les suivants : renforcer la pleine citoyenneté des femmes par la démocratisation de l’information et le respect des droits</w:t>
      </w:r>
      <w:r w:rsidR="00BC315D">
        <w:rPr>
          <w:lang w:val="fr-FR"/>
        </w:rPr>
        <w:t xml:space="preserve"> </w:t>
      </w:r>
      <w:r w:rsidRPr="00CE00A4">
        <w:rPr>
          <w:lang w:val="fr-FR"/>
        </w:rPr>
        <w:t xml:space="preserve">des femmes ; établir des mécanismes de consultation et formuler des propositions visant à renforcer la participation citoyenne, en facilitant la coordination entre l’Institut et d’autres entités dans les municipalités. </w:t>
      </w:r>
    </w:p>
    <w:p w14:paraId="4699ACC9"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Réseau des femmes salvadoriennes en diplomatie est une initiative lancée par le Ministère des affaires étrangères pour </w:t>
      </w:r>
      <w:r w:rsidRPr="008F24CF">
        <w:rPr>
          <w:lang w:val="fr-FR"/>
        </w:rPr>
        <w:t>renforcer</w:t>
      </w:r>
      <w:r w:rsidRPr="00CE00A4">
        <w:rPr>
          <w:lang w:val="fr-FR"/>
        </w:rPr>
        <w:t xml:space="preserve"> et promouvoir la participation des femmes dans les services diplomatiques. Il a pour but de garantir l’égalité et de </w:t>
      </w:r>
      <w:r w:rsidRPr="00CE00A4">
        <w:rPr>
          <w:lang w:val="fr-FR"/>
        </w:rPr>
        <w:lastRenderedPageBreak/>
        <w:t xml:space="preserve">contribuer à ce que les femmes aient les moyens de rejoindre le corps diplomatique salvadorien et d’y jouer un rôle moteur. </w:t>
      </w:r>
    </w:p>
    <w:p w14:paraId="108670F7"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L’État a également pris diverses mesures pour enquêter sur les cas de violence, de harcèlement et d’intimidation à l’égard des femmes participant à la vie politique, y compris la cyberviolence, poursuivre leurs auteurs et accorder réparation aux victimes. Ainsi, par l’intermédiaire de ses équipes chargées des enquêtes criminelles sur les violences faites aux femmes, la Police nationale civile exerce une diligence raisonnable dans toutes ses investigations.</w:t>
      </w:r>
    </w:p>
    <w:p w14:paraId="10A87452"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Par ailleurs, aux termes du décret législatif n</w:t>
      </w:r>
      <w:r w:rsidRPr="00CE00A4">
        <w:rPr>
          <w:vertAlign w:val="superscript"/>
          <w:lang w:val="fr-FR"/>
        </w:rPr>
        <w:t>o</w:t>
      </w:r>
      <w:r w:rsidRPr="00CE00A4">
        <w:rPr>
          <w:lang w:val="fr-FR"/>
        </w:rPr>
        <w:t xml:space="preserve"> 829, l’article 10 de la loi-cadre spéciale visant à garantir aux femmes une vie sans violence a été modifié par l’adjonction du paragraphe d), qui énonce les responsabilités institutionnelles s’agissant de remédier aux obstacles entravant la </w:t>
      </w:r>
      <w:r w:rsidRPr="008F24CF">
        <w:rPr>
          <w:lang w:val="fr-FR"/>
        </w:rPr>
        <w:t>participation</w:t>
      </w:r>
      <w:r w:rsidRPr="00CE00A4">
        <w:rPr>
          <w:lang w:val="fr-FR"/>
        </w:rPr>
        <w:t xml:space="preserve"> des femmes à la vie politique. Un protocole de prévention et de traitement des violences politiques faites aux femmes a également été mis en œuvre afin de garantir aux femmes le plein exercice de leurs droits.</w:t>
      </w:r>
    </w:p>
    <w:p w14:paraId="2983374C"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2024, le Tribunal suprême électoral a apporté son concours à des femmes actives dans la sphère </w:t>
      </w:r>
      <w:r w:rsidRPr="008F24CF">
        <w:rPr>
          <w:lang w:val="fr-FR"/>
        </w:rPr>
        <w:t>politique</w:t>
      </w:r>
      <w:r w:rsidRPr="00CE00A4">
        <w:rPr>
          <w:lang w:val="fr-FR"/>
        </w:rPr>
        <w:t xml:space="preserve"> en leur offrant un accompagnement non seulement au moment du dépôt de plainte, mais aussi tout au long du processus électoral. Des activités de formation portant sur des questions liées à l’égalité, à la sensibilisation et à l’inclusion des personnes en situation de handicap et des personnes âgées ont été organisées à l’intention des membres d’organes électoraux temporaires et des différents services du Tribunal. </w:t>
      </w:r>
    </w:p>
    <w:p w14:paraId="29ED195B" w14:textId="248D522B"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La loi </w:t>
      </w:r>
      <w:r w:rsidR="00BC315D">
        <w:rPr>
          <w:lang w:val="fr-FR"/>
        </w:rPr>
        <w:t>« </w:t>
      </w:r>
      <w:r w:rsidRPr="00BC315D">
        <w:rPr>
          <w:lang w:val="fr-FR"/>
        </w:rPr>
        <w:t>Crecer Juntos</w:t>
      </w:r>
      <w:r w:rsidR="00BC315D">
        <w:rPr>
          <w:lang w:val="fr-FR"/>
        </w:rPr>
        <w:t> »</w:t>
      </w:r>
      <w:r w:rsidRPr="00CE00A4">
        <w:rPr>
          <w:lang w:val="fr-FR"/>
        </w:rPr>
        <w:t xml:space="preserve"> a amélioré le système de garde d’enfants en formalisant et en uniformisant les normes de </w:t>
      </w:r>
      <w:r w:rsidRPr="008F24CF">
        <w:rPr>
          <w:lang w:val="fr-FR"/>
        </w:rPr>
        <w:t>services</w:t>
      </w:r>
      <w:r w:rsidRPr="00CE00A4">
        <w:rPr>
          <w:lang w:val="fr-FR"/>
        </w:rPr>
        <w:t xml:space="preserve"> applicables à la petite enfance. Elle fait des centres d’accueil de la petite enfance le principal mode de prise en charge des tout-petits, aidant ainsi les mères à intégrer le marché du travail sans difficulté. </w:t>
      </w:r>
    </w:p>
    <w:p w14:paraId="07F27B20" w14:textId="004A1504"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Par ailleurs, il existe aux quatre </w:t>
      </w:r>
      <w:r w:rsidRPr="008F24CF">
        <w:rPr>
          <w:lang w:val="fr-FR"/>
        </w:rPr>
        <w:t>coins</w:t>
      </w:r>
      <w:r w:rsidRPr="00CE00A4">
        <w:rPr>
          <w:lang w:val="fr-FR"/>
        </w:rPr>
        <w:t xml:space="preserve"> du pays des bibliothèques spécialement conçues pour les enfants de 0 à 7</w:t>
      </w:r>
      <w:r w:rsidR="00BC315D">
        <w:rPr>
          <w:lang w:val="fr-FR"/>
        </w:rPr>
        <w:t xml:space="preserve"> </w:t>
      </w:r>
      <w:r w:rsidRPr="00CE00A4">
        <w:rPr>
          <w:lang w:val="fr-FR"/>
        </w:rPr>
        <w:t xml:space="preserve">ans. Ces espaces d’éveil et de lecture contribuent au développement cognitif et social des enfants et viennent renforcer les connaissances acquises dans le système éducatif. </w:t>
      </w:r>
    </w:p>
    <w:p w14:paraId="7C6A1D8A"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coordination avec le Bureau de la première dame de la République, le Ministère des affaires étrangères a </w:t>
      </w:r>
      <w:r w:rsidRPr="008F24CF">
        <w:rPr>
          <w:lang w:val="fr-FR"/>
        </w:rPr>
        <w:t>inauguré</w:t>
      </w:r>
      <w:r w:rsidRPr="00CE00A4">
        <w:rPr>
          <w:lang w:val="fr-FR"/>
        </w:rPr>
        <w:t xml:space="preserve"> 37 salles d’allaitement dans le réseau diplomatique et consulaire salvadorien. Ces salles permettent aux mères d’allaiter leur enfant ou de tirer leur lait et concourent à un cadre de travail favorable.</w:t>
      </w:r>
    </w:p>
    <w:p w14:paraId="1CDF6853" w14:textId="77777777" w:rsidR="008F24CF" w:rsidRPr="008F24CF" w:rsidRDefault="008F24CF" w:rsidP="008F24CF">
      <w:pPr>
        <w:pStyle w:val="SingleTxt"/>
        <w:spacing w:after="0" w:line="120" w:lineRule="exact"/>
        <w:rPr>
          <w:b/>
          <w:sz w:val="10"/>
          <w:lang w:val="fr-FR"/>
        </w:rPr>
      </w:pPr>
      <w:bookmarkStart w:id="11" w:name="_Toc191882148"/>
    </w:p>
    <w:p w14:paraId="64ABAE80" w14:textId="77777777" w:rsidR="008F24CF" w:rsidRPr="008F24CF" w:rsidRDefault="008F24CF" w:rsidP="008F24CF">
      <w:pPr>
        <w:pStyle w:val="SingleTxt"/>
        <w:spacing w:after="0" w:line="120" w:lineRule="exact"/>
        <w:rPr>
          <w:b/>
          <w:sz w:val="10"/>
          <w:lang w:val="fr-FR"/>
        </w:rPr>
      </w:pPr>
    </w:p>
    <w:p w14:paraId="0DFC29B4" w14:textId="41B1FFB6" w:rsidR="00CE00A4" w:rsidRDefault="00CE00A4" w:rsidP="008F24CF">
      <w:pPr>
        <w:pStyle w:val="HCh"/>
        <w:ind w:left="1267" w:right="1260" w:hanging="1267"/>
        <w:rPr>
          <w:lang w:val="fr-FR"/>
        </w:rPr>
      </w:pPr>
      <w:r w:rsidRPr="00CE00A4">
        <w:rPr>
          <w:lang w:val="fr-FR"/>
        </w:rPr>
        <w:tab/>
      </w:r>
      <w:r w:rsidRPr="00CE00A4">
        <w:rPr>
          <w:lang w:val="fr-FR"/>
        </w:rPr>
        <w:tab/>
        <w:t>Éducation</w:t>
      </w:r>
      <w:bookmarkEnd w:id="11"/>
    </w:p>
    <w:p w14:paraId="6332BA38" w14:textId="77777777" w:rsidR="008F24CF" w:rsidRPr="008F24CF" w:rsidRDefault="008F24CF" w:rsidP="008F24CF">
      <w:pPr>
        <w:pStyle w:val="SingleTxt"/>
        <w:spacing w:after="0" w:line="120" w:lineRule="exact"/>
        <w:rPr>
          <w:sz w:val="10"/>
          <w:lang w:val="fr-FR"/>
        </w:rPr>
      </w:pPr>
    </w:p>
    <w:p w14:paraId="3519ED44" w14:textId="77777777" w:rsidR="008F24CF" w:rsidRPr="008F24CF" w:rsidRDefault="008F24CF" w:rsidP="008F24CF">
      <w:pPr>
        <w:pStyle w:val="SingleTxt"/>
        <w:spacing w:after="0" w:line="120" w:lineRule="exact"/>
        <w:rPr>
          <w:sz w:val="10"/>
          <w:lang w:val="fr-FR"/>
        </w:rPr>
      </w:pPr>
    </w:p>
    <w:p w14:paraId="1DD88787"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Pour favoriser la prestation de services de soins complets, El Salvador met en œuvre la stratégie nationale intersectorielle de prévention des grossesses chez les enfants et les adolescentes. C’est dans ce cadre qu’ont été organisés des salons consacrés à la question des droits, des rencontres avec des filles et des adolescentes, des journées d’information et des conférences axées sur les violences sexuelles, les droits à la protection, les institutions et les parcours de soins.</w:t>
      </w:r>
    </w:p>
    <w:p w14:paraId="16D4152C"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Ministère de l’éducation, des sciences et de la technologie promeut des valeurs citoyennes ancrées </w:t>
      </w:r>
      <w:r w:rsidRPr="008F24CF">
        <w:rPr>
          <w:lang w:val="fr-FR"/>
        </w:rPr>
        <w:t>dans</w:t>
      </w:r>
      <w:r w:rsidRPr="00CE00A4">
        <w:rPr>
          <w:lang w:val="fr-FR"/>
        </w:rPr>
        <w:t xml:space="preserve"> les droits humains, encourage l’apprentissage des compétences psychosociales et garantit aux femmes et aux hommes des chances égales en matière d’éducation, à l’appui de la formation complète des élèves et étudiants.</w:t>
      </w:r>
    </w:p>
    <w:p w14:paraId="613CE544"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pourcentage d’enfants inscrits dans un programme d’éducation préscolaire a progressivement </w:t>
      </w:r>
      <w:r w:rsidRPr="008F24CF">
        <w:rPr>
          <w:lang w:val="fr-FR"/>
        </w:rPr>
        <w:t>augmenté</w:t>
      </w:r>
      <w:r w:rsidRPr="00CE00A4">
        <w:rPr>
          <w:lang w:val="fr-FR"/>
        </w:rPr>
        <w:t xml:space="preserve"> entre 2022 et 2024 : il était de 9,2 % chez les filles et de </w:t>
      </w:r>
      <w:r w:rsidRPr="00CE00A4">
        <w:rPr>
          <w:lang w:val="fr-FR"/>
        </w:rPr>
        <w:lastRenderedPageBreak/>
        <w:t>8,7 % chez les garçons en 2024. En maternelle, les taux de scolarisation ont continué de croître (65,1 % chez les filles et 62,2 % chez les garçons). Dans l’enseignement élémentaire, les niveaux de scolarisation ont aussi augmenté, atteignant 86,4 % pour les filles et 85,0 % pour les garçons en 2024.</w:t>
      </w:r>
    </w:p>
    <w:p w14:paraId="783448F4"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Les niveaux de scolarisation ont continué d’augmenter dans l’enseignement préélémentaire, celui des </w:t>
      </w:r>
      <w:r w:rsidRPr="008F24CF">
        <w:rPr>
          <w:lang w:val="fr-FR"/>
        </w:rPr>
        <w:t>filles</w:t>
      </w:r>
      <w:r w:rsidRPr="00CE00A4">
        <w:rPr>
          <w:lang w:val="fr-FR"/>
        </w:rPr>
        <w:t xml:space="preserve"> étant plus élevé que celui des garçons en 2024 (65,1 % contre 62,2 %). De plus, la participation aux premier et deuxième cycles de l’enseignement élémentaire a nettement progressé pour les deux sexes (86,4 % pour les filles et 85,0 % pour les garçons en 2024). </w:t>
      </w:r>
    </w:p>
    <w:p w14:paraId="08DF9E06" w14:textId="1727F4E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On constate une hausse similaire dans le troisième cycle de l’enseignement élémentaire, où le niveau de </w:t>
      </w:r>
      <w:r w:rsidRPr="008F24CF">
        <w:rPr>
          <w:lang w:val="fr-FR"/>
        </w:rPr>
        <w:t>scolarisation</w:t>
      </w:r>
      <w:r w:rsidRPr="00CE00A4">
        <w:rPr>
          <w:lang w:val="fr-FR"/>
        </w:rPr>
        <w:t xml:space="preserve"> était de 70,5 % chez les filles et de 65,8 % chez les garçons en 2024. Le même constat se dégage en ce qui concerne l’enseignement secondaire, où le taux de scolarisation des filles (52,7</w:t>
      </w:r>
      <w:r w:rsidR="00DA3C54">
        <w:rPr>
          <w:lang w:val="fr-FR"/>
        </w:rPr>
        <w:t> </w:t>
      </w:r>
      <w:r w:rsidRPr="00CE00A4">
        <w:rPr>
          <w:lang w:val="fr-FR"/>
        </w:rPr>
        <w:t>%) est plus élevé que celui des garçons (45,5</w:t>
      </w:r>
      <w:r w:rsidR="00DA3C54">
        <w:rPr>
          <w:lang w:val="fr-FR"/>
        </w:rPr>
        <w:t> </w:t>
      </w:r>
      <w:r w:rsidRPr="00CE00A4">
        <w:rPr>
          <w:lang w:val="fr-FR"/>
        </w:rPr>
        <w:t xml:space="preserve">%). </w:t>
      </w:r>
    </w:p>
    <w:p w14:paraId="05BDF685"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Par ailleurs, le Ministère de l’éducation, des sciences et de la technologie a pris des mesures pour réduire le décrochage scolaire dû à une grossesse précoce et la stigmatisation qui y est associée. Il a ainsi établi un protocole sur la rétention scolaire des filles et des adolescentes enceintes ou déjà mères, qui a pour objectif de réduire l’abandon scolaire en cas de grossesse ou de maternité et de faire en sorte que les filles concernées restent scolarisées et mènent à bien leurs études. </w:t>
      </w:r>
    </w:p>
    <w:p w14:paraId="63A6F17B"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L’initiative Objectif zéro, lancée par le Fonds des Nations Unies pour la population (FNUAP) en partenariat avec les municipalités et l’État, vise à prévenir et à réduire fortement les cas de </w:t>
      </w:r>
      <w:r w:rsidRPr="008F24CF">
        <w:rPr>
          <w:lang w:val="fr-FR"/>
        </w:rPr>
        <w:t>grossesse</w:t>
      </w:r>
      <w:r w:rsidRPr="00CE00A4">
        <w:rPr>
          <w:lang w:val="fr-FR"/>
        </w:rPr>
        <w:t xml:space="preserve"> chez les filles et les adolescentes. Fondée sur une approche multisectorielle et participative, elle donne aux filles les moyens de prendre leur destin en main et contribue à un avenir plus juste et plus équitable. </w:t>
      </w:r>
    </w:p>
    <w:p w14:paraId="168AD91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Notons également le protocole d’intervention face à la violence sexuelle dans les milieux de l’enseignement, qui constitue un outil pratique et utile permettant de gérer certains cas de harcèlement sexuel, d’agression et de viol. </w:t>
      </w:r>
    </w:p>
    <w:p w14:paraId="67B84124" w14:textId="7221E26C"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Des mesures ont été prises pour promouvoir des espaces d’apprentissage sûrs et protecteurs de manière à favoriser la sécurité dans les établissements scolaires, à lutter contre le décrochage scolaire des victimes de violence et à protéger l’intégrité physique et psychologique. Ainsi, plus de 27</w:t>
      </w:r>
      <w:r w:rsidR="008462E7">
        <w:rPr>
          <w:lang w:val="fr-FR"/>
        </w:rPr>
        <w:t> </w:t>
      </w:r>
      <w:r w:rsidRPr="00CE00A4">
        <w:rPr>
          <w:lang w:val="fr-FR"/>
        </w:rPr>
        <w:t>477 membres de la communauté éducative ont reçu une formation sur les moyens de repérer, de prendre en charge et de prévenir les violations des droits.</w:t>
      </w:r>
    </w:p>
    <w:p w14:paraId="22A7FBD7" w14:textId="7FA6EDB5"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Il ressort des données sur la participation des femmes à des programmes de sciences, de technologie, d’ingénierie, d’arts et de mathématiques (STIAM) que, en 2022, les effectifs féminins étaient les plus nombreux dans les domaines de la technologie (5</w:t>
      </w:r>
      <w:r w:rsidR="008462E7">
        <w:rPr>
          <w:lang w:val="fr-FR"/>
        </w:rPr>
        <w:t> </w:t>
      </w:r>
      <w:r w:rsidRPr="00CE00A4">
        <w:rPr>
          <w:lang w:val="fr-FR"/>
        </w:rPr>
        <w:t>448 étudiantes inscrites aux niveaux technique, universitaire et postuniversitaire) et de l’ingénierie (3</w:t>
      </w:r>
      <w:r w:rsidR="008462E7">
        <w:rPr>
          <w:lang w:val="fr-FR"/>
        </w:rPr>
        <w:t> </w:t>
      </w:r>
      <w:r w:rsidRPr="00CE00A4">
        <w:rPr>
          <w:lang w:val="fr-FR"/>
        </w:rPr>
        <w:t xml:space="preserve">880 étudiantes). En 2023, les </w:t>
      </w:r>
      <w:r w:rsidRPr="008F24CF">
        <w:rPr>
          <w:lang w:val="fr-FR"/>
        </w:rPr>
        <w:t>disciplines</w:t>
      </w:r>
      <w:r w:rsidRPr="00CE00A4">
        <w:rPr>
          <w:lang w:val="fr-FR"/>
        </w:rPr>
        <w:t xml:space="preserve"> technologiques étaient toujours les plus demandées (5 524 étudiantes). C’est également dans les filières de l’ingénierie et de la technologie que les promotions de 2022 et de 2023 comptaient le plus grand nombre de diplômées. Les femmes sont en effet de plus en plus attirées par les filières STIAM, qui leur offrent de nombreuses perspectives professionnelles dans des secteurs traditionnellement réservés aux hommes. </w:t>
      </w:r>
    </w:p>
    <w:p w14:paraId="217520F4"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outre, dans le cadre de la stratégie qu’il mène pour promouvoir et garantir le droit à l’éducation des jeunes, </w:t>
      </w:r>
      <w:r w:rsidRPr="008F24CF">
        <w:rPr>
          <w:lang w:val="fr-FR"/>
        </w:rPr>
        <w:t>l’État</w:t>
      </w:r>
      <w:r w:rsidRPr="00CE00A4">
        <w:rPr>
          <w:lang w:val="fr-FR"/>
        </w:rPr>
        <w:t>, agissant par l’intermédiaire de la Direction de l’intégration, a octroyé plus de 8 000 bourses à des étudiants et étudiantes issues de zones rurales ou urbaines pour les aider à suivre une formation technique et universitaire.</w:t>
      </w:r>
    </w:p>
    <w:p w14:paraId="257DECC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lastRenderedPageBreak/>
        <w:t>Afin de lutter contre les stéréotypes qui reproduisent les inégalités entre les femmes et les hommes dans les programmes de formation, il a été procédé, de 2022 à 2024, à la révision de 219 supports pédagogiques pour y faire figurer le principe de l’égalité des chances.</w:t>
      </w:r>
    </w:p>
    <w:p w14:paraId="2F67DEC0" w14:textId="77777777" w:rsidR="008F24CF" w:rsidRPr="008F24CF" w:rsidRDefault="008F24CF" w:rsidP="008F24CF">
      <w:pPr>
        <w:pStyle w:val="SingleTxt"/>
        <w:spacing w:after="0" w:line="120" w:lineRule="exact"/>
        <w:rPr>
          <w:b/>
          <w:sz w:val="10"/>
          <w:lang w:val="fr-FR"/>
        </w:rPr>
      </w:pPr>
      <w:bookmarkStart w:id="12" w:name="_Toc191882149"/>
    </w:p>
    <w:p w14:paraId="2BC07809" w14:textId="77777777" w:rsidR="008F24CF" w:rsidRPr="008F24CF" w:rsidRDefault="008F24CF" w:rsidP="008F24CF">
      <w:pPr>
        <w:pStyle w:val="SingleTxt"/>
        <w:spacing w:after="0" w:line="120" w:lineRule="exact"/>
        <w:rPr>
          <w:b/>
          <w:sz w:val="10"/>
          <w:lang w:val="fr-FR"/>
        </w:rPr>
      </w:pPr>
    </w:p>
    <w:p w14:paraId="6AF29591" w14:textId="3ED9272B" w:rsidR="00CE00A4" w:rsidRDefault="00CE00A4" w:rsidP="008F24CF">
      <w:pPr>
        <w:pStyle w:val="HCh"/>
        <w:ind w:left="1267" w:right="1260" w:hanging="1267"/>
        <w:rPr>
          <w:lang w:val="fr-FR"/>
        </w:rPr>
      </w:pPr>
      <w:r w:rsidRPr="00CE00A4">
        <w:rPr>
          <w:lang w:val="fr-FR"/>
        </w:rPr>
        <w:tab/>
      </w:r>
      <w:r w:rsidRPr="00CE00A4">
        <w:rPr>
          <w:lang w:val="fr-FR"/>
        </w:rPr>
        <w:tab/>
        <w:t>Emploi</w:t>
      </w:r>
      <w:bookmarkEnd w:id="12"/>
    </w:p>
    <w:p w14:paraId="3F692337" w14:textId="77777777" w:rsidR="008F24CF" w:rsidRPr="008F24CF" w:rsidRDefault="008F24CF" w:rsidP="008F24CF">
      <w:pPr>
        <w:pStyle w:val="SingleTxt"/>
        <w:spacing w:after="0" w:line="120" w:lineRule="exact"/>
        <w:rPr>
          <w:sz w:val="10"/>
          <w:lang w:val="fr-FR"/>
        </w:rPr>
      </w:pPr>
    </w:p>
    <w:p w14:paraId="155EA599" w14:textId="77777777" w:rsidR="008F24CF" w:rsidRPr="008F24CF" w:rsidRDefault="008F24CF" w:rsidP="008F24CF">
      <w:pPr>
        <w:pStyle w:val="SingleTxt"/>
        <w:spacing w:after="0" w:line="120" w:lineRule="exact"/>
        <w:rPr>
          <w:sz w:val="10"/>
          <w:lang w:val="fr-FR"/>
        </w:rPr>
      </w:pPr>
    </w:p>
    <w:p w14:paraId="7760C9BE"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Dans le cadre des mesures visant à multiplier les débouchés offerts à la population, le Gouvernement a approuvé une réforme de la loi générale relative à la jeunesse, qui élargit la définition de la jeunesse à toute personne âgée de 15 à 35 ans. Cette modification vient considérablement étendre la portée des politiques publiques et permet à un plus grand nombre de femmes de bénéficier de programmes et de services destinés aux jeunes.</w:t>
      </w:r>
    </w:p>
    <w:p w14:paraId="572877C8"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À titre d’exemple, le Fonds social pour le logement a mis en place le programme Casa Joven (Maison pour les jeunes), qui propose aux jeunes des prêts permettant de financer une partie, voire la totalité d’un logement neuf ou ancien d’un montant maximal de 150 000 dollars.</w:t>
      </w:r>
    </w:p>
    <w:p w14:paraId="468813F0"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Pour garantir l’accès à un emploi décent, l’État a lancé un programme d’insertion des personnes en situation de handicap, qui offre notamment aux femmes des services de placement, facilite la mise en </w:t>
      </w:r>
      <w:r w:rsidRPr="008F24CF">
        <w:rPr>
          <w:lang w:val="fr-FR"/>
        </w:rPr>
        <w:t>relation</w:t>
      </w:r>
      <w:r w:rsidRPr="00CE00A4">
        <w:rPr>
          <w:lang w:val="fr-FR"/>
        </w:rPr>
        <w:t xml:space="preserve"> avec les employeurs et propose une certification par l’intermédiaire de l’Institut salvadorien de réadaptation globale et d’autres établissements. </w:t>
      </w:r>
    </w:p>
    <w:p w14:paraId="6D71C7A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L’initiative Gira por el Empleo (Tournée de l’emploi) a directement aidé des femmes sans emploi, en particulier des femmes vivant en milieu rural, des femmes en situation de handicap, des femmes </w:t>
      </w:r>
      <w:r w:rsidRPr="008F24CF">
        <w:rPr>
          <w:lang w:val="fr-FR"/>
        </w:rPr>
        <w:t>autochtones</w:t>
      </w:r>
      <w:r w:rsidRPr="00CE00A4">
        <w:rPr>
          <w:lang w:val="fr-FR"/>
        </w:rPr>
        <w:t xml:space="preserve"> et des femmes d’ascendance africaine, à trouver un travail décent dans divers secteurs aux quatre coins du pays.</w:t>
      </w:r>
    </w:p>
    <w:p w14:paraId="41067B30"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programme de migration de la main-d’œuvre a pour objectif d’aider les personnes souhaitant travailler à l’étranger à trouver un emploi adapté à leurs capacités dans le secteur du commerce, de </w:t>
      </w:r>
      <w:r w:rsidRPr="008F24CF">
        <w:rPr>
          <w:lang w:val="fr-FR"/>
        </w:rPr>
        <w:t>l’agriculture</w:t>
      </w:r>
      <w:r w:rsidRPr="00CE00A4">
        <w:rPr>
          <w:lang w:val="fr-FR"/>
        </w:rPr>
        <w:t xml:space="preserve"> ou des services aux entreprises, entre autres. Il s’agit de leur permettre d’exercer un travail décent et productif, propice à leur plein épanouissement et assorti de prestations sociales suffisantes dans le cadre de migrations régulières, ordonnées, circulaires et sûres.</w:t>
      </w:r>
    </w:p>
    <w:p w14:paraId="30B0A898" w14:textId="2E128FD8" w:rsidR="00CE00A4" w:rsidRPr="00CE00A4" w:rsidRDefault="00CE00A4" w:rsidP="004C75E8">
      <w:pPr>
        <w:pStyle w:val="SingleTxt"/>
        <w:numPr>
          <w:ilvl w:val="0"/>
          <w:numId w:val="22"/>
        </w:numPr>
        <w:spacing w:line="240" w:lineRule="exact"/>
        <w:ind w:left="1267"/>
        <w:rPr>
          <w:lang w:val="fr-FR"/>
        </w:rPr>
      </w:pPr>
      <w:r w:rsidRPr="00CE00A4">
        <w:rPr>
          <w:lang w:val="fr-FR"/>
        </w:rPr>
        <w:t xml:space="preserve">Créée à l’initiative de la Commission nationale des microentreprises et des petites entreprises, la ligne de </w:t>
      </w:r>
      <w:r w:rsidRPr="008F24CF">
        <w:rPr>
          <w:lang w:val="fr-FR"/>
        </w:rPr>
        <w:t>crédit</w:t>
      </w:r>
      <w:r w:rsidRPr="00CE00A4">
        <w:rPr>
          <w:lang w:val="fr-FR"/>
        </w:rPr>
        <w:t xml:space="preserve"> spéciale pour le développement de l’entrepreneuriat féminin facilite l’accès à des financements pour les femmes propriétaires de microentreprises ou de petites entreprises, qu’elles soient constituées ou non en personnes morales et quel que soit le secteur d’activité dans lequel elles évoluent, à condition qu’elles remplissent l’une des conditions suivantes :</w:t>
      </w:r>
    </w:p>
    <w:p w14:paraId="0440A5FD" w14:textId="42FB3B39" w:rsidR="00CE00A4" w:rsidRPr="00CE00A4" w:rsidRDefault="008F24CF" w:rsidP="008F24CF">
      <w:pPr>
        <w:pStyle w:val="SingleTxt"/>
        <w:tabs>
          <w:tab w:val="right" w:pos="1685"/>
        </w:tabs>
        <w:ind w:left="1742" w:hanging="475"/>
        <w:rPr>
          <w:lang w:val="fr-FR"/>
        </w:rPr>
      </w:pPr>
      <w:r>
        <w:rPr>
          <w:lang w:val="fr-FR"/>
        </w:rPr>
        <w:tab/>
        <w:t>•</w:t>
      </w:r>
      <w:r>
        <w:rPr>
          <w:lang w:val="fr-FR"/>
        </w:rPr>
        <w:tab/>
      </w:r>
      <w:r w:rsidR="00CE00A4" w:rsidRPr="00CE00A4">
        <w:rPr>
          <w:lang w:val="fr-FR"/>
        </w:rPr>
        <w:t>l’entreprise est légalement représentée par une femme ;</w:t>
      </w:r>
    </w:p>
    <w:p w14:paraId="3F2C9B6C" w14:textId="3B1BC8C2" w:rsidR="00CE00A4" w:rsidRPr="00CE00A4" w:rsidRDefault="008F24CF" w:rsidP="008F24CF">
      <w:pPr>
        <w:pStyle w:val="SingleTxt"/>
        <w:tabs>
          <w:tab w:val="right" w:pos="1685"/>
        </w:tabs>
        <w:ind w:left="1742" w:hanging="475"/>
        <w:rPr>
          <w:lang w:val="fr-FR"/>
        </w:rPr>
      </w:pPr>
      <w:r>
        <w:rPr>
          <w:lang w:val="fr-FR"/>
        </w:rPr>
        <w:tab/>
        <w:t>•</w:t>
      </w:r>
      <w:r>
        <w:rPr>
          <w:lang w:val="fr-FR"/>
        </w:rPr>
        <w:tab/>
      </w:r>
      <w:r w:rsidR="00CE00A4" w:rsidRPr="00CE00A4">
        <w:rPr>
          <w:lang w:val="fr-FR"/>
        </w:rPr>
        <w:t>plus de 50 % des actionnaires ou porteurs de parts sont des femmes ;</w:t>
      </w:r>
    </w:p>
    <w:p w14:paraId="2D536723" w14:textId="33F18628" w:rsidR="00CE00A4" w:rsidRPr="00CE00A4" w:rsidRDefault="008F24CF" w:rsidP="008F24CF">
      <w:pPr>
        <w:pStyle w:val="SingleTxt"/>
        <w:tabs>
          <w:tab w:val="right" w:pos="1685"/>
        </w:tabs>
        <w:ind w:left="1742" w:hanging="475"/>
        <w:rPr>
          <w:lang w:val="fr-FR"/>
        </w:rPr>
      </w:pPr>
      <w:r>
        <w:rPr>
          <w:lang w:val="fr-FR"/>
        </w:rPr>
        <w:tab/>
        <w:t>•</w:t>
      </w:r>
      <w:r>
        <w:rPr>
          <w:lang w:val="fr-FR"/>
        </w:rPr>
        <w:tab/>
      </w:r>
      <w:r w:rsidR="00CE00A4" w:rsidRPr="00CE00A4">
        <w:rPr>
          <w:lang w:val="fr-FR"/>
        </w:rPr>
        <w:t>plus de 50 % des personnes salariées sont des femmes, d’après le registre de l’Institut salvadorien de la sécurité sociale.</w:t>
      </w:r>
    </w:p>
    <w:p w14:paraId="73A86894"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2024, les prêts accordés à des microentreprises et petites entreprises dirigées par des </w:t>
      </w:r>
      <w:r w:rsidRPr="008F24CF">
        <w:rPr>
          <w:lang w:val="fr-FR"/>
        </w:rPr>
        <w:t>femmes</w:t>
      </w:r>
      <w:r w:rsidRPr="00CE00A4">
        <w:rPr>
          <w:lang w:val="fr-FR"/>
        </w:rPr>
        <w:t xml:space="preserve"> se sont élevés en tout à 305 430 dollars et ont contribué à la création de 90 emplois, dont 59 % sont occupés par des femmes. De plus, 94 % des prêts accordés ont été garantis par le programme de garantie destiné aux microentreprises et aux petites entreprises.</w:t>
      </w:r>
    </w:p>
    <w:p w14:paraId="1EC0DED1"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Pour veiller au maintien de garanties fondamentales au travail, le Ministère du travail et de la </w:t>
      </w:r>
      <w:r w:rsidRPr="008F24CF">
        <w:rPr>
          <w:lang w:val="fr-FR"/>
        </w:rPr>
        <w:t>prévoyance</w:t>
      </w:r>
      <w:r w:rsidRPr="00CE00A4">
        <w:rPr>
          <w:lang w:val="fr-FR"/>
        </w:rPr>
        <w:t xml:space="preserve"> sociale a instauré un plan de contrôle du respect des droits </w:t>
      </w:r>
      <w:r w:rsidRPr="00CE00A4">
        <w:rPr>
          <w:lang w:val="fr-FR"/>
        </w:rPr>
        <w:lastRenderedPageBreak/>
        <w:t xml:space="preserve">des femmes en matière de travail. Le but est d’éliminer les discriminations à l’endroit des femmes dans la sphère professionnelle en vérifiant que les normes prévues dans la Convention sur l’élimination de toutes les formes de discrimination à l’égard des femmes et dans la Convention de Belém do Pará sont dûment respectées. En parallèle, il a été procédé à la création d’une unité d’inspection du travail spécialisée, qui est chargée de traiter les plaintes relatives à des violations des normes de travail et à des pratiques abusives. </w:t>
      </w:r>
    </w:p>
    <w:p w14:paraId="6830C4E0"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outre, un plan de contrôle du respect du droit à l’allaitement a été mis en œuvre pour promouvoir, </w:t>
      </w:r>
      <w:r w:rsidRPr="008F24CF">
        <w:rPr>
          <w:lang w:val="fr-FR"/>
        </w:rPr>
        <w:t>protéger</w:t>
      </w:r>
      <w:r w:rsidRPr="00CE00A4">
        <w:rPr>
          <w:lang w:val="fr-FR"/>
        </w:rPr>
        <w:t xml:space="preserve"> et préserver le droit de toutes les femmes à allaiter. Il exige que des pauses d’allaitement soient octroyées durant les heures de travail et que des espaces adaptés soient aménagés dans le respect des dispositions de la Convention n</w:t>
      </w:r>
      <w:r w:rsidRPr="00CE00A4">
        <w:rPr>
          <w:vertAlign w:val="superscript"/>
          <w:lang w:val="fr-FR"/>
        </w:rPr>
        <w:t>o</w:t>
      </w:r>
      <w:r w:rsidRPr="00CE00A4">
        <w:rPr>
          <w:lang w:val="fr-FR"/>
        </w:rPr>
        <w:t xml:space="preserve"> 183 de l’OIT. </w:t>
      </w:r>
    </w:p>
    <w:p w14:paraId="31FDB41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Pour assurer aux femmes de pouvoir bénéficier de droits sociaux (congés de maternité, congés de maladie rémunérés, prestations d’invalidité et pension de retraite), le Ministère du travail et de la prévoyance sociale a mis en service des systèmes de signalement, y compris dans l’économie informelle. En parallèle, la plateforme SOS Trabajadoras (SOS Travailleuses) </w:t>
      </w:r>
      <w:r w:rsidRPr="008F24CF">
        <w:rPr>
          <w:lang w:val="fr-FR"/>
        </w:rPr>
        <w:t>donne</w:t>
      </w:r>
      <w:r w:rsidRPr="00CE00A4">
        <w:rPr>
          <w:lang w:val="fr-FR"/>
        </w:rPr>
        <w:t xml:space="preserve"> aux femmes la possibilité de signaler des violations de leurs droits professionnels, conformément à la Convention n</w:t>
      </w:r>
      <w:r w:rsidRPr="00CE00A4">
        <w:rPr>
          <w:vertAlign w:val="superscript"/>
          <w:lang w:val="fr-FR"/>
        </w:rPr>
        <w:t>o</w:t>
      </w:r>
      <w:r w:rsidRPr="00CE00A4">
        <w:rPr>
          <w:lang w:val="fr-FR"/>
        </w:rPr>
        <w:t xml:space="preserve"> 190 de l’OIT. </w:t>
      </w:r>
    </w:p>
    <w:p w14:paraId="6CF3CE91"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L’État salvadorien estime que le droit à bénéficier de soins à la personne est un droit fondamental universel </w:t>
      </w:r>
      <w:r w:rsidRPr="008F24CF">
        <w:rPr>
          <w:lang w:val="fr-FR"/>
        </w:rPr>
        <w:t>et</w:t>
      </w:r>
      <w:r w:rsidRPr="00CE00A4">
        <w:rPr>
          <w:lang w:val="fr-FR"/>
        </w:rPr>
        <w:t xml:space="preserve"> un pilier du système de protection sociale. Approuvée en 2022, la politique nationale sur la responsabilité partagée des soins à la personne (2022-2030) a pour but d’aménager des lieux et de développer des services qui répondent de manière globale aux besoins de base en matière de soins. Il s’agit notamment de mettre en place des espaces alliant sécurité, hygiène et qualité pouvant accueillir des personnes en situation de grande vulnérabilité. </w:t>
      </w:r>
    </w:p>
    <w:p w14:paraId="6048918D" w14:textId="0B3CD84D" w:rsidR="00CE00A4" w:rsidRPr="00CE00A4" w:rsidRDefault="00CE00A4" w:rsidP="006D1CFC">
      <w:pPr>
        <w:pStyle w:val="SingleTxt"/>
        <w:numPr>
          <w:ilvl w:val="0"/>
          <w:numId w:val="22"/>
        </w:numPr>
        <w:tabs>
          <w:tab w:val="num" w:pos="2804"/>
        </w:tabs>
        <w:spacing w:line="240" w:lineRule="exact"/>
        <w:ind w:left="1267"/>
        <w:rPr>
          <w:lang w:val="fr-FR"/>
        </w:rPr>
      </w:pPr>
      <w:r w:rsidRPr="00CE00A4">
        <w:rPr>
          <w:lang w:val="fr-FR"/>
        </w:rPr>
        <w:t xml:space="preserve">El Salvador met un point d’honneur à appliquer les instruments connexes à la question de l’emploi. La loi </w:t>
      </w:r>
      <w:r w:rsidR="006D1CFC">
        <w:rPr>
          <w:lang w:val="fr-FR"/>
        </w:rPr>
        <w:t>« </w:t>
      </w:r>
      <w:r w:rsidRPr="006D1CFC">
        <w:rPr>
          <w:lang w:val="fr-FR"/>
        </w:rPr>
        <w:t>Nacer con Cariño</w:t>
      </w:r>
      <w:r w:rsidR="006D1CFC">
        <w:rPr>
          <w:lang w:val="fr-FR"/>
        </w:rPr>
        <w:t> »</w:t>
      </w:r>
      <w:r w:rsidRPr="00CE00A4">
        <w:rPr>
          <w:lang w:val="fr-FR"/>
        </w:rPr>
        <w:t xml:space="preserve">, qui vise à favoriser un accouchement fondé sur le respect et des soins bienveillants pour les nouveau-nés, protège les droits des femmes pendant la grossesse, </w:t>
      </w:r>
      <w:r w:rsidRPr="008F24CF">
        <w:rPr>
          <w:lang w:val="fr-FR"/>
        </w:rPr>
        <w:t>l’accouchement</w:t>
      </w:r>
      <w:r w:rsidRPr="00CE00A4">
        <w:rPr>
          <w:lang w:val="fr-FR"/>
        </w:rPr>
        <w:t xml:space="preserve"> et la période postnatale ainsi que ceux des nouveau-nés, au moyen de la mise en place d’un système national intégré de santé. La politique nationale Crecer Juntos (Grandir ensemble) (2020-2030), destinée à favoriser le développement de la petite enfance, repose sur une démarche globale et intersectorielle de portée nationale et régit la prestation de services universels et de services adaptés et spécialisés de qualité.</w:t>
      </w:r>
    </w:p>
    <w:p w14:paraId="5B04B83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Ministère du travail et de la prévoyance sociale a pris une série de mesures en vue de la ratification de la </w:t>
      </w:r>
      <w:r w:rsidRPr="008F24CF">
        <w:rPr>
          <w:lang w:val="fr-FR"/>
        </w:rPr>
        <w:t>Convention</w:t>
      </w:r>
      <w:r w:rsidRPr="00CE00A4">
        <w:rPr>
          <w:lang w:val="fr-FR"/>
        </w:rPr>
        <w:t xml:space="preserve"> sur les travailleuses et travailleurs domestiques (n</w:t>
      </w:r>
      <w:r w:rsidRPr="00CE00A4">
        <w:rPr>
          <w:vertAlign w:val="superscript"/>
          <w:lang w:val="fr-FR"/>
        </w:rPr>
        <w:t>o</w:t>
      </w:r>
      <w:r w:rsidRPr="00CE00A4">
        <w:rPr>
          <w:lang w:val="fr-FR"/>
        </w:rPr>
        <w:t xml:space="preserve"> 189). Un groupe de travail composé des ministères concernés a été mis sur pied et, conformément aux dispositions de la loi, un projet de ratification a été soumis à l’examen de l’Assemblée législative. </w:t>
      </w:r>
    </w:p>
    <w:p w14:paraId="5FD52C86" w14:textId="77777777" w:rsidR="008F24CF" w:rsidRPr="008F24CF" w:rsidRDefault="008F24CF" w:rsidP="008F24CF">
      <w:pPr>
        <w:pStyle w:val="SingleTxt"/>
        <w:spacing w:after="0" w:line="120" w:lineRule="exact"/>
        <w:rPr>
          <w:b/>
          <w:sz w:val="10"/>
          <w:lang w:val="fr-FR"/>
        </w:rPr>
      </w:pPr>
      <w:bookmarkStart w:id="13" w:name="_heading=h.nx3pjhxnt3hr" w:colFirst="0" w:colLast="0"/>
      <w:bookmarkStart w:id="14" w:name="_Toc191882150"/>
      <w:bookmarkEnd w:id="13"/>
    </w:p>
    <w:p w14:paraId="50ADBACD" w14:textId="77777777" w:rsidR="008F24CF" w:rsidRPr="008F24CF" w:rsidRDefault="008F24CF" w:rsidP="008F24CF">
      <w:pPr>
        <w:pStyle w:val="SingleTxt"/>
        <w:spacing w:after="0" w:line="120" w:lineRule="exact"/>
        <w:rPr>
          <w:b/>
          <w:sz w:val="10"/>
          <w:lang w:val="fr-FR"/>
        </w:rPr>
      </w:pPr>
    </w:p>
    <w:p w14:paraId="5F1D238C" w14:textId="101A013A" w:rsidR="00CE00A4" w:rsidRDefault="00CE00A4" w:rsidP="008F24CF">
      <w:pPr>
        <w:pStyle w:val="HCh"/>
        <w:ind w:left="1267" w:right="1260" w:hanging="1267"/>
        <w:rPr>
          <w:lang w:val="fr-FR"/>
        </w:rPr>
      </w:pPr>
      <w:r w:rsidRPr="00CE00A4">
        <w:rPr>
          <w:lang w:val="fr-FR"/>
        </w:rPr>
        <w:tab/>
      </w:r>
      <w:r w:rsidRPr="00CE00A4">
        <w:rPr>
          <w:lang w:val="fr-FR"/>
        </w:rPr>
        <w:tab/>
        <w:t xml:space="preserve">Santé </w:t>
      </w:r>
      <w:bookmarkEnd w:id="14"/>
    </w:p>
    <w:p w14:paraId="3B00EBB8" w14:textId="77777777" w:rsidR="008F24CF" w:rsidRPr="008F24CF" w:rsidRDefault="008F24CF" w:rsidP="008F24CF">
      <w:pPr>
        <w:pStyle w:val="SingleTxt"/>
        <w:spacing w:after="0" w:line="120" w:lineRule="exact"/>
        <w:rPr>
          <w:sz w:val="10"/>
          <w:lang w:val="fr-FR"/>
        </w:rPr>
      </w:pPr>
    </w:p>
    <w:p w14:paraId="4F46A80C" w14:textId="77777777" w:rsidR="008F24CF" w:rsidRPr="008F24CF" w:rsidRDefault="008F24CF" w:rsidP="008F24CF">
      <w:pPr>
        <w:pStyle w:val="SingleTxt"/>
        <w:spacing w:after="0" w:line="120" w:lineRule="exact"/>
        <w:rPr>
          <w:sz w:val="10"/>
          <w:lang w:val="fr-FR"/>
        </w:rPr>
      </w:pPr>
    </w:p>
    <w:p w14:paraId="7BE9A9D1" w14:textId="506AFE02"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Conformément aux dispositions de la Constitution, l’État salvadorien reconnaît et garantit le droit à la vie, qui commence dès la conception. Dans le droit fil de ce principe constitutionnel, la loi </w:t>
      </w:r>
      <w:r w:rsidR="0034115F">
        <w:rPr>
          <w:lang w:val="fr-FR"/>
        </w:rPr>
        <w:t>« </w:t>
      </w:r>
      <w:r w:rsidRPr="0034115F">
        <w:rPr>
          <w:lang w:val="fr-FR"/>
        </w:rPr>
        <w:t>Crecer Juntos</w:t>
      </w:r>
      <w:r w:rsidR="0034115F">
        <w:rPr>
          <w:lang w:val="fr-FR"/>
        </w:rPr>
        <w:t> »</w:t>
      </w:r>
      <w:r w:rsidRPr="00CE00A4">
        <w:rPr>
          <w:lang w:val="fr-FR"/>
        </w:rPr>
        <w:t xml:space="preserve"> souligne l’importance de la famille comme fondement de la société et l’existence d’une responsabilité partagée entre la famille, la société et l’État.</w:t>
      </w:r>
    </w:p>
    <w:p w14:paraId="4E24AFB6" w14:textId="23A37387" w:rsidR="00CE00A4" w:rsidRPr="00CE00A4" w:rsidRDefault="00CE00A4" w:rsidP="004C75E8">
      <w:pPr>
        <w:pStyle w:val="SingleTxt"/>
        <w:numPr>
          <w:ilvl w:val="0"/>
          <w:numId w:val="22"/>
        </w:numPr>
        <w:spacing w:line="240" w:lineRule="exact"/>
        <w:ind w:left="1267"/>
        <w:rPr>
          <w:lang w:val="fr-FR"/>
        </w:rPr>
      </w:pPr>
      <w:r w:rsidRPr="00CE00A4">
        <w:rPr>
          <w:lang w:val="fr-FR"/>
        </w:rPr>
        <w:t xml:space="preserve">Pour garantir des soins de santé complets, le système national intégré de santé applique une approche axée sur la personne et le parcours de vie et assure la gratuité de la prise en charge dans tous les établissements du Ministère de la santé, en fonction </w:t>
      </w:r>
      <w:r w:rsidRPr="00CE00A4">
        <w:rPr>
          <w:lang w:val="fr-FR"/>
        </w:rPr>
        <w:lastRenderedPageBreak/>
        <w:t>des besoins propres à chacune et à chacun. En ce qui concerne plus particulièrement la santé des femmes, plusieurs protocoles et directives ont été mis au point :</w:t>
      </w:r>
    </w:p>
    <w:p w14:paraId="7075AB76" w14:textId="07C067AF" w:rsidR="00CE00A4" w:rsidRPr="00CE00A4" w:rsidRDefault="008F24CF" w:rsidP="008F24CF">
      <w:pPr>
        <w:pStyle w:val="SingleTxt"/>
        <w:tabs>
          <w:tab w:val="right" w:pos="1685"/>
        </w:tabs>
        <w:ind w:left="1742" w:hanging="475"/>
        <w:rPr>
          <w:lang w:val="fr-FR"/>
        </w:rPr>
      </w:pPr>
      <w:r>
        <w:rPr>
          <w:lang w:val="fr-FR"/>
        </w:rPr>
        <w:tab/>
        <w:t>•</w:t>
      </w:r>
      <w:r>
        <w:rPr>
          <w:lang w:val="fr-FR"/>
        </w:rPr>
        <w:tab/>
      </w:r>
      <w:r w:rsidR="00CE00A4" w:rsidRPr="00CE00A4">
        <w:rPr>
          <w:lang w:val="fr-FR"/>
        </w:rPr>
        <w:t>le protocole sur les soins prodigués pendant la conception et les soins prénatals et post-partum ;</w:t>
      </w:r>
    </w:p>
    <w:p w14:paraId="6D3FBF9B" w14:textId="7B565B58" w:rsidR="00CE00A4" w:rsidRPr="00CE00A4" w:rsidRDefault="008F24CF" w:rsidP="008F24CF">
      <w:pPr>
        <w:pStyle w:val="SingleTxt"/>
        <w:tabs>
          <w:tab w:val="right" w:pos="1685"/>
        </w:tabs>
        <w:ind w:left="1742" w:hanging="475"/>
        <w:rPr>
          <w:lang w:val="fr-FR"/>
        </w:rPr>
      </w:pPr>
      <w:r>
        <w:rPr>
          <w:lang w:val="fr-FR"/>
        </w:rPr>
        <w:tab/>
        <w:t>•</w:t>
      </w:r>
      <w:r>
        <w:rPr>
          <w:lang w:val="fr-FR"/>
        </w:rPr>
        <w:tab/>
      </w:r>
      <w:r w:rsidR="00CE00A4" w:rsidRPr="00CE00A4">
        <w:rPr>
          <w:lang w:val="fr-FR"/>
        </w:rPr>
        <w:t>le dispositif de renforcement des compétences techniques du personnel de santé ;</w:t>
      </w:r>
    </w:p>
    <w:p w14:paraId="41A69352" w14:textId="3AFB36B4" w:rsidR="00CE00A4" w:rsidRPr="00CE00A4" w:rsidRDefault="008F24CF" w:rsidP="008F24CF">
      <w:pPr>
        <w:pStyle w:val="SingleTxt"/>
        <w:tabs>
          <w:tab w:val="right" w:pos="1685"/>
        </w:tabs>
        <w:ind w:left="1742" w:hanging="475"/>
        <w:rPr>
          <w:lang w:val="fr-FR"/>
        </w:rPr>
      </w:pPr>
      <w:r>
        <w:rPr>
          <w:lang w:val="fr-FR"/>
        </w:rPr>
        <w:tab/>
        <w:t>•</w:t>
      </w:r>
      <w:r>
        <w:rPr>
          <w:lang w:val="fr-FR"/>
        </w:rPr>
        <w:tab/>
      </w:r>
      <w:r w:rsidR="00CE00A4" w:rsidRPr="00CE00A4">
        <w:rPr>
          <w:lang w:val="fr-FR"/>
        </w:rPr>
        <w:t>les directives techniques relatives à la procédure d’orientation des patients, de retour d’information et de consultation croisée ;</w:t>
      </w:r>
    </w:p>
    <w:p w14:paraId="2E6E8DED" w14:textId="526E7B6B" w:rsidR="00CE00A4" w:rsidRPr="00CE00A4" w:rsidRDefault="008F24CF" w:rsidP="008F24CF">
      <w:pPr>
        <w:pStyle w:val="SingleTxt"/>
        <w:tabs>
          <w:tab w:val="right" w:pos="1685"/>
        </w:tabs>
        <w:ind w:left="1742" w:hanging="475"/>
        <w:rPr>
          <w:lang w:val="fr-FR"/>
        </w:rPr>
      </w:pPr>
      <w:r>
        <w:rPr>
          <w:lang w:val="fr-FR"/>
        </w:rPr>
        <w:tab/>
        <w:t>•</w:t>
      </w:r>
      <w:r>
        <w:rPr>
          <w:lang w:val="fr-FR"/>
        </w:rPr>
        <w:tab/>
      </w:r>
      <w:r w:rsidR="00CE00A4" w:rsidRPr="00CE00A4">
        <w:rPr>
          <w:lang w:val="fr-FR"/>
        </w:rPr>
        <w:t>les directives techniques sur le secret professionnel dans le système national intégré de santé ;</w:t>
      </w:r>
    </w:p>
    <w:p w14:paraId="62478E78" w14:textId="7381A484" w:rsidR="00CE00A4" w:rsidRPr="00CE00A4" w:rsidRDefault="008F24CF" w:rsidP="008F24CF">
      <w:pPr>
        <w:pStyle w:val="SingleTxt"/>
        <w:tabs>
          <w:tab w:val="right" w:pos="1685"/>
        </w:tabs>
        <w:ind w:left="1742" w:hanging="475"/>
        <w:rPr>
          <w:lang w:val="fr-FR"/>
        </w:rPr>
      </w:pPr>
      <w:r>
        <w:rPr>
          <w:lang w:val="fr-FR"/>
        </w:rPr>
        <w:tab/>
        <w:t>•</w:t>
      </w:r>
      <w:r>
        <w:rPr>
          <w:lang w:val="fr-FR"/>
        </w:rPr>
        <w:tab/>
      </w:r>
      <w:r w:rsidR="00CE00A4" w:rsidRPr="00CE00A4">
        <w:rPr>
          <w:lang w:val="fr-FR"/>
        </w:rPr>
        <w:t>les modalités relatives à la mise à disposition de moyens de contraception modernes destinés aux femmes et aux hommes dans tous les établissements de santé ;</w:t>
      </w:r>
    </w:p>
    <w:p w14:paraId="6E317578" w14:textId="4F914454" w:rsidR="00CE00A4" w:rsidRPr="00CE00A4" w:rsidRDefault="008F24CF" w:rsidP="008F24CF">
      <w:pPr>
        <w:pStyle w:val="SingleTxt"/>
        <w:tabs>
          <w:tab w:val="right" w:pos="1685"/>
        </w:tabs>
        <w:ind w:left="1742" w:hanging="475"/>
        <w:rPr>
          <w:lang w:val="fr-FR"/>
        </w:rPr>
      </w:pPr>
      <w:r>
        <w:rPr>
          <w:lang w:val="fr-FR"/>
        </w:rPr>
        <w:tab/>
        <w:t>•</w:t>
      </w:r>
      <w:r>
        <w:rPr>
          <w:lang w:val="fr-FR"/>
        </w:rPr>
        <w:tab/>
      </w:r>
      <w:r w:rsidR="00CE00A4" w:rsidRPr="00CE00A4">
        <w:rPr>
          <w:lang w:val="fr-FR"/>
        </w:rPr>
        <w:t>la stratégie d’accélération de l’élimination du cancer du col de l’utérus.</w:t>
      </w:r>
    </w:p>
    <w:p w14:paraId="7A7481AA" w14:textId="0997A005"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La loi </w:t>
      </w:r>
      <w:r w:rsidR="0034115F">
        <w:rPr>
          <w:lang w:val="fr-FR"/>
        </w:rPr>
        <w:t>« </w:t>
      </w:r>
      <w:r w:rsidRPr="0034115F">
        <w:rPr>
          <w:lang w:val="fr-FR"/>
        </w:rPr>
        <w:t>Nacer con Cariño</w:t>
      </w:r>
      <w:r w:rsidR="0034115F">
        <w:rPr>
          <w:lang w:val="fr-FR"/>
        </w:rPr>
        <w:t> »</w:t>
      </w:r>
      <w:r w:rsidRPr="00CE00A4">
        <w:rPr>
          <w:lang w:val="fr-FR"/>
        </w:rPr>
        <w:t xml:space="preserve"> et son règlement d’application régissent les modalités relatives aux soins complets de qualité qui doivent être offerts non seulement aux femmes avant la conception, pendant la grossesse et après l’accouchement, mais aussi aux nouveau-nés. Dans le cadre de la loi, 1 796 professionnels ont été formés par le Conseil supérieur de la santé publique. Les résultats sont encourageants : en 2023, le taux d’accès aux soins est passé à 92,3 %, 84,9 % des femmes présentant un haut risque de mortalité liée à la reproduction ont été prises en charge et la mortalité maternelle a été réduite de plus de 50 %. </w:t>
      </w:r>
    </w:p>
    <w:p w14:paraId="629F4760"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L’Institut </w:t>
      </w:r>
      <w:r w:rsidRPr="004C75E8">
        <w:rPr>
          <w:lang w:val="fr-FR"/>
        </w:rPr>
        <w:t>salvadorien</w:t>
      </w:r>
      <w:r w:rsidRPr="00CE00A4">
        <w:rPr>
          <w:lang w:val="fr-FR"/>
        </w:rPr>
        <w:t xml:space="preserve"> pour la promotion de la femme propose un programme de santé globale, qui vise à améliorer la santé et la qualité de vie des femmes, notamment par la prévention du cancer du sein et du col de l’utérus, la réduction de la mortalité maternelle et la diminution des cas de grossesse chez les adolescentes.</w:t>
      </w:r>
    </w:p>
    <w:p w14:paraId="5431EA1A" w14:textId="77777777" w:rsidR="004C75E8" w:rsidRPr="004C75E8" w:rsidRDefault="004C75E8" w:rsidP="004C75E8">
      <w:pPr>
        <w:pStyle w:val="SingleTxt"/>
        <w:spacing w:after="0" w:line="120" w:lineRule="exact"/>
        <w:rPr>
          <w:b/>
          <w:sz w:val="10"/>
          <w:lang w:val="fr-FR"/>
        </w:rPr>
      </w:pPr>
      <w:bookmarkStart w:id="15" w:name="_Toc191882151"/>
    </w:p>
    <w:p w14:paraId="76E1860B" w14:textId="77777777" w:rsidR="004C75E8" w:rsidRPr="004C75E8" w:rsidRDefault="004C75E8" w:rsidP="004C75E8">
      <w:pPr>
        <w:pStyle w:val="SingleTxt"/>
        <w:spacing w:after="0" w:line="120" w:lineRule="exact"/>
        <w:rPr>
          <w:b/>
          <w:sz w:val="10"/>
          <w:lang w:val="fr-FR"/>
        </w:rPr>
      </w:pPr>
    </w:p>
    <w:p w14:paraId="13820804" w14:textId="19EEBD51" w:rsidR="00CE00A4" w:rsidRDefault="00CE00A4" w:rsidP="004C75E8">
      <w:pPr>
        <w:pStyle w:val="HCh"/>
        <w:ind w:left="1267" w:right="1260" w:hanging="1267"/>
        <w:rPr>
          <w:lang w:val="fr-FR"/>
        </w:rPr>
      </w:pPr>
      <w:r w:rsidRPr="00CE00A4">
        <w:rPr>
          <w:lang w:val="fr-FR"/>
        </w:rPr>
        <w:tab/>
      </w:r>
      <w:r w:rsidRPr="00CE00A4">
        <w:rPr>
          <w:lang w:val="fr-FR"/>
        </w:rPr>
        <w:tab/>
        <w:t xml:space="preserve">Avancement économique des femmes </w:t>
      </w:r>
      <w:bookmarkEnd w:id="15"/>
    </w:p>
    <w:p w14:paraId="45A010EE" w14:textId="77777777" w:rsidR="004C75E8" w:rsidRPr="004C75E8" w:rsidRDefault="004C75E8" w:rsidP="004C75E8">
      <w:pPr>
        <w:pStyle w:val="SingleTxt"/>
        <w:spacing w:after="0" w:line="120" w:lineRule="exact"/>
        <w:rPr>
          <w:sz w:val="10"/>
          <w:lang w:val="fr-FR"/>
        </w:rPr>
      </w:pPr>
    </w:p>
    <w:p w14:paraId="781FE4DF" w14:textId="77777777" w:rsidR="004C75E8" w:rsidRPr="004C75E8" w:rsidRDefault="004C75E8" w:rsidP="004C75E8">
      <w:pPr>
        <w:pStyle w:val="SingleTxt"/>
        <w:spacing w:after="0" w:line="120" w:lineRule="exact"/>
        <w:rPr>
          <w:sz w:val="10"/>
          <w:lang w:val="fr-FR"/>
        </w:rPr>
      </w:pPr>
    </w:p>
    <w:p w14:paraId="7E7A48A2" w14:textId="49FF75F9" w:rsidR="00CE00A4" w:rsidRPr="00CE00A4" w:rsidRDefault="00CE00A4" w:rsidP="004C75E8">
      <w:pPr>
        <w:pStyle w:val="SingleTxt"/>
        <w:numPr>
          <w:ilvl w:val="0"/>
          <w:numId w:val="22"/>
        </w:numPr>
        <w:spacing w:line="240" w:lineRule="exact"/>
        <w:ind w:left="1267"/>
        <w:rPr>
          <w:lang w:val="fr-FR"/>
        </w:rPr>
      </w:pPr>
      <w:r w:rsidRPr="00CE00A4">
        <w:rPr>
          <w:lang w:val="fr-FR"/>
        </w:rPr>
        <w:t>Dans le cadre de sa stratégie de sécurité publique, l’État s’est notamment employé à reprendre le contrôle des territoires et à favoriser l’utilisation à bon escient des biens et du matériel qui avaient été usurpés par des réseaux criminels. Le système du logement a ainsi récupéré quelque 9 000 logements et investi 115</w:t>
      </w:r>
      <w:r w:rsidR="0034115F">
        <w:rPr>
          <w:lang w:val="fr-FR"/>
        </w:rPr>
        <w:t xml:space="preserve"> </w:t>
      </w:r>
      <w:r w:rsidRPr="00CE00A4">
        <w:rPr>
          <w:lang w:val="fr-FR"/>
        </w:rPr>
        <w:t>millions de dollars en faveur du patrimoine des familles salvadoriennes.</w:t>
      </w:r>
    </w:p>
    <w:p w14:paraId="34415E1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Entre 2022 et 2024, le système du logement a investi près de 617 132 000 dollars dans l’octroi de prêts, la construction de logements, la délivrance de titres de propriété et les réinstallations, au bénéfice de plus de 37 126 familles salvadoriennes, 55 % des bénéficiaires étant des femmes. </w:t>
      </w:r>
    </w:p>
    <w:p w14:paraId="4AC49B0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 Fonds social pour le logement contribue également à l’avancement économique des femmes au moyen du programme Casa Mujer (Maison pour les femmes), qui s’adresse aux femmes chefs de famille, aux mères célibataires, aux veuves, aux femmes divorcées, aux femmes en instance de </w:t>
      </w:r>
      <w:r w:rsidRPr="004C75E8">
        <w:rPr>
          <w:lang w:val="fr-FR"/>
        </w:rPr>
        <w:t>divorce</w:t>
      </w:r>
      <w:r w:rsidRPr="00CE00A4">
        <w:rPr>
          <w:lang w:val="fr-FR"/>
        </w:rPr>
        <w:t xml:space="preserve"> et aux femmes accompagnées en situation de vulnérabilité. Les prêts consentis dans le cadre de ce programme s’élèvent en tout à 48 180 000 dollars. </w:t>
      </w:r>
    </w:p>
    <w:p w14:paraId="737D7972"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La Banque de développement de la République d’El Salvador contribue à l’avancement économique des femmes en </w:t>
      </w:r>
      <w:r w:rsidRPr="004C75E8">
        <w:rPr>
          <w:lang w:val="fr-FR"/>
        </w:rPr>
        <w:t>proposant</w:t>
      </w:r>
      <w:r w:rsidRPr="00CE00A4">
        <w:rPr>
          <w:lang w:val="fr-FR"/>
        </w:rPr>
        <w:t xml:space="preserve"> des lignes de crédit et des garanties conçues pour aider les femmes à obtenir plus facilement des financements. </w:t>
      </w:r>
    </w:p>
    <w:p w14:paraId="2FA8F2F1"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lastRenderedPageBreak/>
        <w:t xml:space="preserve">Le programme économique lancé dans le cadre du second mandat du Président Bukele comprend un volet axé sur l’alimentation, qui prévoit la construction de marchés de produits agricoles et de </w:t>
      </w:r>
      <w:r w:rsidRPr="004C75E8">
        <w:rPr>
          <w:lang w:val="fr-FR"/>
        </w:rPr>
        <w:t>centres</w:t>
      </w:r>
      <w:r w:rsidRPr="00CE00A4">
        <w:rPr>
          <w:lang w:val="fr-FR"/>
        </w:rPr>
        <w:t xml:space="preserve"> d’approvisionnement alimentaire. Ces structures profitent directement aux femmes salvadoriennes dans les 14 départements, que ce soit en créant des débouchés pour les entrepreneuses ou en permettant l’achat de produits à moindre coût.</w:t>
      </w:r>
    </w:p>
    <w:p w14:paraId="7F6EF6B4" w14:textId="77777777" w:rsidR="004C75E8" w:rsidRPr="004C75E8" w:rsidRDefault="004C75E8" w:rsidP="004C75E8">
      <w:pPr>
        <w:pStyle w:val="SingleTxt"/>
        <w:spacing w:after="0" w:line="120" w:lineRule="exact"/>
        <w:rPr>
          <w:b/>
          <w:sz w:val="10"/>
          <w:lang w:val="fr-FR"/>
        </w:rPr>
      </w:pPr>
      <w:bookmarkStart w:id="16" w:name="_Toc191882152"/>
    </w:p>
    <w:p w14:paraId="6AA15C72" w14:textId="77777777" w:rsidR="004C75E8" w:rsidRPr="004C75E8" w:rsidRDefault="004C75E8" w:rsidP="004C75E8">
      <w:pPr>
        <w:pStyle w:val="SingleTxt"/>
        <w:spacing w:after="0" w:line="120" w:lineRule="exact"/>
        <w:rPr>
          <w:b/>
          <w:sz w:val="10"/>
          <w:lang w:val="fr-FR"/>
        </w:rPr>
      </w:pPr>
    </w:p>
    <w:p w14:paraId="7F7CCA02" w14:textId="5EFB52B9" w:rsidR="00CE00A4" w:rsidRDefault="00CE00A4" w:rsidP="004C75E8">
      <w:pPr>
        <w:pStyle w:val="HCh"/>
        <w:ind w:left="1267" w:right="1260" w:hanging="1267"/>
        <w:rPr>
          <w:lang w:val="fr-FR"/>
        </w:rPr>
      </w:pPr>
      <w:r w:rsidRPr="00CE00A4">
        <w:rPr>
          <w:lang w:val="fr-FR"/>
        </w:rPr>
        <w:tab/>
      </w:r>
      <w:r w:rsidRPr="00CE00A4">
        <w:rPr>
          <w:lang w:val="fr-FR"/>
        </w:rPr>
        <w:tab/>
        <w:t xml:space="preserve">Femmes rurales </w:t>
      </w:r>
      <w:bookmarkEnd w:id="16"/>
    </w:p>
    <w:p w14:paraId="35551B6C" w14:textId="77777777" w:rsidR="004C75E8" w:rsidRPr="004C75E8" w:rsidRDefault="004C75E8" w:rsidP="004C75E8">
      <w:pPr>
        <w:pStyle w:val="SingleTxt"/>
        <w:spacing w:after="0" w:line="120" w:lineRule="exact"/>
        <w:rPr>
          <w:sz w:val="10"/>
          <w:lang w:val="fr-FR"/>
        </w:rPr>
      </w:pPr>
    </w:p>
    <w:p w14:paraId="19DEEEAD" w14:textId="77777777" w:rsidR="004C75E8" w:rsidRPr="004C75E8" w:rsidRDefault="004C75E8" w:rsidP="004C75E8">
      <w:pPr>
        <w:pStyle w:val="SingleTxt"/>
        <w:spacing w:after="0" w:line="120" w:lineRule="exact"/>
        <w:rPr>
          <w:sz w:val="10"/>
          <w:lang w:val="fr-FR"/>
        </w:rPr>
      </w:pPr>
    </w:p>
    <w:p w14:paraId="715EB359" w14:textId="18414BEE"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En ce qui concerne la recommandation générale n</w:t>
      </w:r>
      <w:r w:rsidRPr="00CE00A4">
        <w:rPr>
          <w:vertAlign w:val="superscript"/>
          <w:lang w:val="fr-FR"/>
        </w:rPr>
        <w:t>o</w:t>
      </w:r>
      <w:r w:rsidRPr="00CE00A4">
        <w:rPr>
          <w:lang w:val="fr-FR"/>
        </w:rPr>
        <w:t> 34</w:t>
      </w:r>
      <w:r w:rsidR="0034115F">
        <w:rPr>
          <w:lang w:val="fr-FR"/>
        </w:rPr>
        <w:t> (2016)</w:t>
      </w:r>
      <w:r w:rsidRPr="00CE00A4">
        <w:rPr>
          <w:lang w:val="fr-FR"/>
        </w:rPr>
        <w:t xml:space="preserve"> relative aux femmes vivant en milieu rural, le programme Rural Adelante prévoit un investissement de plus de 17 millions de dollars dans les zones rurales, qui doit permettre d’augmenter durablement les revenus des familles rurales vivant dans des situations de pauvreté et de vulnérabilité. Ses bénéficiaires sont des organisations comptant au moins 40 % de femmes et 20 % de jeunes ainsi que des organisations autochtones. Les femmes représentaient la moitié des participants à la formation technique professionnelle offerte aux Autochtones et aux jeunes dans le cadre du programme.</w:t>
      </w:r>
    </w:p>
    <w:p w14:paraId="59134AA7" w14:textId="57983A2A"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L’Institut salvadorien de la </w:t>
      </w:r>
      <w:r w:rsidRPr="004C75E8">
        <w:rPr>
          <w:lang w:val="fr-FR"/>
        </w:rPr>
        <w:t>réforme</w:t>
      </w:r>
      <w:r w:rsidRPr="00CE00A4">
        <w:rPr>
          <w:lang w:val="fr-FR"/>
        </w:rPr>
        <w:t xml:space="preserve"> agraire a attribué 2</w:t>
      </w:r>
      <w:r w:rsidR="000823EA">
        <w:rPr>
          <w:lang w:val="fr-FR"/>
        </w:rPr>
        <w:t> </w:t>
      </w:r>
      <w:r w:rsidRPr="00CE00A4">
        <w:rPr>
          <w:lang w:val="fr-FR"/>
        </w:rPr>
        <w:t>560 parcelles à des familles salvadoriennes, dont 55,66 % à des femmes rurales et à leur famille.</w:t>
      </w:r>
    </w:p>
    <w:p w14:paraId="5423C31B"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Pour garantir le droit humain à l’eau, l’État a fait adopter la loi générale sur les ressources en eau et mis sur pied l’Autorité salvadorienne de l’eau, qui fait de l’égalité un axe transversal de ses initiatives, </w:t>
      </w:r>
      <w:r w:rsidRPr="004C75E8">
        <w:rPr>
          <w:lang w:val="fr-FR"/>
        </w:rPr>
        <w:t>plans</w:t>
      </w:r>
      <w:r w:rsidRPr="00CE00A4">
        <w:rPr>
          <w:lang w:val="fr-FR"/>
        </w:rPr>
        <w:t xml:space="preserve"> et programmes institutionnels, le but étant de permettre aux femmes de participer activement, y compris dans des rôles de premier plan, à la gestion des ressources en eau. À l’heure actuelle, les femmes représentent 70 % des personnes prenant part à ces activités, preuve du rôle crucial qu’elles jouent dans l’approvisionnement, la gestion et la protection de l’eau. </w:t>
      </w:r>
    </w:p>
    <w:p w14:paraId="7B00C5DC"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Pour améliorer les </w:t>
      </w:r>
      <w:r w:rsidRPr="004C75E8">
        <w:rPr>
          <w:lang w:val="fr-FR"/>
        </w:rPr>
        <w:t>possibilités</w:t>
      </w:r>
      <w:r w:rsidRPr="00CE00A4">
        <w:rPr>
          <w:lang w:val="fr-FR"/>
        </w:rPr>
        <w:t xml:space="preserve"> d’avancement économique des femmes rurales, il a été procédé à l’aménagement d’espaces d’exploitation domestique, dotés de diverses unités de production (volaille, poisson et bétail), qui ont contribué à la sécurité alimentaire des femmes et de leurs familles. </w:t>
      </w:r>
    </w:p>
    <w:p w14:paraId="08E7117D" w14:textId="77777777" w:rsidR="004C75E8" w:rsidRPr="004C75E8" w:rsidRDefault="004C75E8" w:rsidP="004C75E8">
      <w:pPr>
        <w:pStyle w:val="SingleTxt"/>
        <w:spacing w:after="0" w:line="120" w:lineRule="exact"/>
        <w:rPr>
          <w:b/>
          <w:sz w:val="10"/>
          <w:lang w:val="fr-FR"/>
        </w:rPr>
      </w:pPr>
      <w:bookmarkStart w:id="17" w:name="_Toc191882153"/>
    </w:p>
    <w:p w14:paraId="665F88AF" w14:textId="77777777" w:rsidR="004C75E8" w:rsidRPr="004C75E8" w:rsidRDefault="004C75E8" w:rsidP="004C75E8">
      <w:pPr>
        <w:pStyle w:val="SingleTxt"/>
        <w:spacing w:after="0" w:line="120" w:lineRule="exact"/>
        <w:rPr>
          <w:b/>
          <w:sz w:val="10"/>
          <w:lang w:val="fr-FR"/>
        </w:rPr>
      </w:pPr>
    </w:p>
    <w:p w14:paraId="67B38E11" w14:textId="2396AC5F" w:rsidR="00CE00A4" w:rsidRDefault="00CE00A4" w:rsidP="004C75E8">
      <w:pPr>
        <w:pStyle w:val="HCh"/>
        <w:ind w:left="1267" w:right="1260" w:hanging="1267"/>
        <w:rPr>
          <w:lang w:val="fr-FR"/>
        </w:rPr>
      </w:pPr>
      <w:r w:rsidRPr="00CE00A4">
        <w:rPr>
          <w:lang w:val="fr-FR"/>
        </w:rPr>
        <w:tab/>
      </w:r>
      <w:r w:rsidRPr="00CE00A4">
        <w:rPr>
          <w:lang w:val="fr-FR"/>
        </w:rPr>
        <w:tab/>
        <w:t>Femmes autochtones</w:t>
      </w:r>
      <w:bookmarkEnd w:id="17"/>
    </w:p>
    <w:p w14:paraId="49789C0B" w14:textId="77777777" w:rsidR="004C75E8" w:rsidRPr="004C75E8" w:rsidRDefault="004C75E8" w:rsidP="004C75E8">
      <w:pPr>
        <w:pStyle w:val="SingleTxt"/>
        <w:spacing w:after="0" w:line="120" w:lineRule="exact"/>
        <w:rPr>
          <w:sz w:val="10"/>
          <w:lang w:val="fr-FR"/>
        </w:rPr>
      </w:pPr>
    </w:p>
    <w:p w14:paraId="372C0B44" w14:textId="77777777" w:rsidR="004C75E8" w:rsidRPr="004C75E8" w:rsidRDefault="004C75E8" w:rsidP="004C75E8">
      <w:pPr>
        <w:pStyle w:val="SingleTxt"/>
        <w:spacing w:after="0" w:line="120" w:lineRule="exact"/>
        <w:rPr>
          <w:sz w:val="10"/>
          <w:lang w:val="fr-FR"/>
        </w:rPr>
      </w:pPr>
    </w:p>
    <w:p w14:paraId="6E5E19D5"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Pour garantir la prise en compte des peuples autochtones, le recensement de la population et des logements de 2024 comprenait une section consacrée à l’origine ethnique. Il en est ressorti que les Autochtones, qui contribuent grandement à la richesse culturelle, historique et sociale du pays, représentent 1,2 % de la population.</w:t>
      </w:r>
    </w:p>
    <w:p w14:paraId="2B1203A8"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2022, le Ministère de la santé a lancé une stratégie visant à rapprocher les services de santé des personnes âgées, des peuples </w:t>
      </w:r>
      <w:r w:rsidRPr="004C75E8">
        <w:rPr>
          <w:lang w:val="fr-FR"/>
        </w:rPr>
        <w:t>autochtones</w:t>
      </w:r>
      <w:r w:rsidRPr="00CE00A4">
        <w:rPr>
          <w:lang w:val="fr-FR"/>
        </w:rPr>
        <w:t xml:space="preserve"> (Nahua-Pipil, Lenca et Kakawira) et des populations d’ascendance africaine, laquelle s’est traduite par l’organisation de 33 journées de consultations médicales complètes, dont ont bénéficié plus de 9 500 personnes.</w:t>
      </w:r>
    </w:p>
    <w:p w14:paraId="6D23007F"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En outre, avec le concours de l’Organisation panaméricaine de la Santé, les autorités compétentes ont appliqué les directives relatives à la prévention et au contrôle de la tuberculose chez les peuples autochtones de la région des Amériques (2023) et organisé une campagne d’une journée consacrée à la prestation de soins de santé complets aux personnes âgées.</w:t>
      </w:r>
    </w:p>
    <w:p w14:paraId="3E8DFB33" w14:textId="77777777" w:rsidR="004C75E8" w:rsidRPr="004C75E8" w:rsidRDefault="004C75E8" w:rsidP="004C75E8">
      <w:pPr>
        <w:pStyle w:val="SingleTxt"/>
        <w:spacing w:after="0" w:line="120" w:lineRule="exact"/>
        <w:rPr>
          <w:b/>
          <w:sz w:val="10"/>
          <w:lang w:val="fr-FR"/>
        </w:rPr>
      </w:pPr>
      <w:bookmarkStart w:id="18" w:name="_Toc191882154"/>
    </w:p>
    <w:p w14:paraId="31E1571F" w14:textId="77777777" w:rsidR="004C75E8" w:rsidRPr="004C75E8" w:rsidRDefault="004C75E8" w:rsidP="004C75E8">
      <w:pPr>
        <w:pStyle w:val="SingleTxt"/>
        <w:spacing w:after="0" w:line="120" w:lineRule="exact"/>
        <w:rPr>
          <w:b/>
          <w:sz w:val="10"/>
          <w:lang w:val="fr-FR"/>
        </w:rPr>
      </w:pPr>
    </w:p>
    <w:p w14:paraId="72D6F860" w14:textId="67EAB2FC" w:rsidR="00CE00A4" w:rsidRDefault="00CE00A4" w:rsidP="004C75E8">
      <w:pPr>
        <w:pStyle w:val="HCh"/>
        <w:ind w:left="1267" w:right="1260" w:hanging="1267"/>
        <w:rPr>
          <w:lang w:val="fr-FR"/>
        </w:rPr>
      </w:pPr>
      <w:r w:rsidRPr="00CE00A4">
        <w:rPr>
          <w:lang w:val="fr-FR"/>
        </w:rPr>
        <w:lastRenderedPageBreak/>
        <w:tab/>
      </w:r>
      <w:r w:rsidRPr="00CE00A4">
        <w:rPr>
          <w:lang w:val="fr-FR"/>
        </w:rPr>
        <w:tab/>
        <w:t>Femmes handicapées</w:t>
      </w:r>
      <w:bookmarkEnd w:id="18"/>
    </w:p>
    <w:p w14:paraId="021C64F8" w14:textId="77777777" w:rsidR="004C75E8" w:rsidRPr="004C75E8" w:rsidRDefault="004C75E8" w:rsidP="004C75E8">
      <w:pPr>
        <w:pStyle w:val="SingleTxt"/>
        <w:spacing w:after="0" w:line="120" w:lineRule="exact"/>
        <w:rPr>
          <w:sz w:val="10"/>
          <w:lang w:val="fr-FR"/>
        </w:rPr>
      </w:pPr>
    </w:p>
    <w:p w14:paraId="1AC55B64" w14:textId="77777777" w:rsidR="004C75E8" w:rsidRPr="004C75E8" w:rsidRDefault="004C75E8" w:rsidP="004C75E8">
      <w:pPr>
        <w:pStyle w:val="SingleTxt"/>
        <w:spacing w:after="0" w:line="120" w:lineRule="exact"/>
        <w:rPr>
          <w:sz w:val="10"/>
          <w:lang w:val="fr-FR"/>
        </w:rPr>
      </w:pPr>
    </w:p>
    <w:p w14:paraId="3C037EF9"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Dans le cadre des mesures prises pour tenir compte des besoins des filles et des femmes en situation de handicap dans les politiques et les stratégies, le Conseil national pour l’inclusion des personnes handicapées coordonne au niveau interinstitutionnel les activités de promotion de l’apprentissage de la langue des signes salvadorienne. </w:t>
      </w:r>
    </w:p>
    <w:p w14:paraId="6D2AF949"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De plus, le pays a mis en place le programme Enlaces con la Educación (Liens avec l’éducation), qui vise à réduire la fracture numérique en distribuant aux élèves malvoyants des ordinateurs équipés de claviers en braille et d’outils de numérisation de documents, moyennant un </w:t>
      </w:r>
      <w:r w:rsidRPr="004C75E8">
        <w:rPr>
          <w:lang w:val="fr-FR"/>
        </w:rPr>
        <w:t>investissement</w:t>
      </w:r>
      <w:r w:rsidRPr="00CE00A4">
        <w:rPr>
          <w:lang w:val="fr-FR"/>
        </w:rPr>
        <w:t xml:space="preserve"> total de 3,2 millions de dollars. Le Conseil national pour l’inclusion des personnes handicapées a également fourni des ordinateurs portables dotés des logiciels ZoomText et Dragon (reconnaissance vocale) à des élèves malvoyants, du préscolaire au secondaire, et mis à disposition des tablettes pourvues d’applications telles que Cboard, TEayudo et MITA.</w:t>
      </w:r>
    </w:p>
    <w:p w14:paraId="24AA55C4" w14:textId="0C40F5C5"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Le pays a également déployé un système d’appui territorial à l’inclusion éducative</w:t>
      </w:r>
      <w:r w:rsidR="000823EA">
        <w:rPr>
          <w:lang w:val="fr-FR"/>
        </w:rPr>
        <w:t xml:space="preserve"> </w:t>
      </w:r>
      <w:r w:rsidRPr="00CE00A4">
        <w:rPr>
          <w:lang w:val="fr-FR"/>
        </w:rPr>
        <w:t xml:space="preserve">– qui permet aux élèves de bénéficier de services d’aide et d’accompagnement dans des centres d’orientation et de ressources – et un plan global en matière d’éducation, destiné à favoriser l’apprentissage. </w:t>
      </w:r>
    </w:p>
    <w:p w14:paraId="35A8F793"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Des campagnes médicales ont été organisées à l’intention des personnes en situation de handicap, et un guide d’information et de prévention de la violence sexuelle à l’usage des mères, des pères et des aidants de personnes ayant un handicap intellectuel a été élaboré. </w:t>
      </w:r>
    </w:p>
    <w:p w14:paraId="2E2EA529"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outre, par l’intermédiaire du Fonds solidaire pour les familles s’occupant de microentreprises, </w:t>
      </w:r>
      <w:r w:rsidRPr="004C75E8">
        <w:rPr>
          <w:lang w:val="fr-FR"/>
        </w:rPr>
        <w:t>une</w:t>
      </w:r>
      <w:r w:rsidRPr="00CE00A4">
        <w:rPr>
          <w:lang w:val="fr-FR"/>
        </w:rPr>
        <w:t xml:space="preserve"> ligne de crédit a été créée à l’intention des personnes en situation de handicap pour les aider à mettre en chantier de nouveaux projets et favoriser leur relèvement économique. </w:t>
      </w:r>
    </w:p>
    <w:p w14:paraId="62158D4A" w14:textId="77777777" w:rsidR="004C75E8" w:rsidRPr="004C75E8" w:rsidRDefault="004C75E8" w:rsidP="004C75E8">
      <w:pPr>
        <w:pStyle w:val="SingleTxt"/>
        <w:spacing w:after="0" w:line="120" w:lineRule="exact"/>
        <w:rPr>
          <w:b/>
          <w:sz w:val="10"/>
          <w:lang w:val="fr-FR"/>
        </w:rPr>
      </w:pPr>
      <w:bookmarkStart w:id="19" w:name="_Toc191882155"/>
    </w:p>
    <w:p w14:paraId="2317467F" w14:textId="77777777" w:rsidR="004C75E8" w:rsidRPr="004C75E8" w:rsidRDefault="004C75E8" w:rsidP="004C75E8">
      <w:pPr>
        <w:pStyle w:val="SingleTxt"/>
        <w:spacing w:after="0" w:line="120" w:lineRule="exact"/>
        <w:rPr>
          <w:b/>
          <w:sz w:val="10"/>
          <w:lang w:val="fr-FR"/>
        </w:rPr>
      </w:pPr>
    </w:p>
    <w:p w14:paraId="4E82D8CE" w14:textId="0EF5C956" w:rsidR="00CE00A4" w:rsidRDefault="00CE00A4" w:rsidP="004C75E8">
      <w:pPr>
        <w:pStyle w:val="HCh"/>
        <w:ind w:left="1267" w:right="1260" w:hanging="1267"/>
        <w:rPr>
          <w:lang w:val="fr-FR"/>
        </w:rPr>
      </w:pPr>
      <w:r w:rsidRPr="00CE00A4">
        <w:rPr>
          <w:lang w:val="fr-FR"/>
        </w:rPr>
        <w:tab/>
      </w:r>
      <w:r w:rsidRPr="00CE00A4">
        <w:rPr>
          <w:lang w:val="fr-FR"/>
        </w:rPr>
        <w:tab/>
        <w:t>Défenseuses des droits humains</w:t>
      </w:r>
      <w:bookmarkEnd w:id="19"/>
    </w:p>
    <w:p w14:paraId="6EA9CA63" w14:textId="77777777" w:rsidR="004C75E8" w:rsidRPr="004C75E8" w:rsidRDefault="004C75E8" w:rsidP="004C75E8">
      <w:pPr>
        <w:pStyle w:val="SingleTxt"/>
        <w:spacing w:after="0" w:line="120" w:lineRule="exact"/>
        <w:rPr>
          <w:sz w:val="10"/>
          <w:lang w:val="fr-FR"/>
        </w:rPr>
      </w:pPr>
    </w:p>
    <w:p w14:paraId="0868A6C1" w14:textId="77777777" w:rsidR="004C75E8" w:rsidRPr="004C75E8" w:rsidRDefault="004C75E8" w:rsidP="004C75E8">
      <w:pPr>
        <w:pStyle w:val="SingleTxt"/>
        <w:spacing w:after="0" w:line="120" w:lineRule="exact"/>
        <w:rPr>
          <w:sz w:val="10"/>
          <w:lang w:val="fr-FR"/>
        </w:rPr>
      </w:pPr>
    </w:p>
    <w:p w14:paraId="0CC4388C"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L’État rejette toute agression ou atteinte au libre exercice de la liberté d’expression. Le cadre institutionnel en vigueur dans le pays garantit le libre exercice du travail des défenseurs des droits humains, y compris les journalistes et les membres des médias, et permet au Bureau du Procureur général d’œuvrer avec la plus grande rigueur et d’engager des poursuites pénales en cas d’infraction.</w:t>
      </w:r>
    </w:p>
    <w:p w14:paraId="5EBA00F0"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El Salvador compte aujourd’hui des journaux imprimés et numériques et des médias entièrement indépendants, dont </w:t>
      </w:r>
      <w:r w:rsidRPr="004C75E8">
        <w:rPr>
          <w:lang w:val="fr-FR"/>
        </w:rPr>
        <w:t>certains</w:t>
      </w:r>
      <w:r w:rsidRPr="00CE00A4">
        <w:rPr>
          <w:lang w:val="fr-FR"/>
        </w:rPr>
        <w:t xml:space="preserve"> ont une ligne éditoriale critique envers le Gouvernement. Ces médias jouent un rôle de vigie citoyenne dans un État démocratique régi par l’état de droit et éminemment respectueux de la liberté de pensée et d’expression.</w:t>
      </w:r>
    </w:p>
    <w:p w14:paraId="46F76877" w14:textId="77777777" w:rsidR="004C75E8" w:rsidRPr="004C75E8" w:rsidRDefault="004C75E8" w:rsidP="004C75E8">
      <w:pPr>
        <w:pStyle w:val="SingleTxt"/>
        <w:spacing w:after="0" w:line="120" w:lineRule="exact"/>
        <w:rPr>
          <w:b/>
          <w:sz w:val="10"/>
          <w:lang w:val="fr-FR"/>
        </w:rPr>
      </w:pPr>
      <w:bookmarkStart w:id="20" w:name="_Toc191882156"/>
    </w:p>
    <w:p w14:paraId="7CA1EEEA" w14:textId="77777777" w:rsidR="004C75E8" w:rsidRPr="004C75E8" w:rsidRDefault="004C75E8" w:rsidP="004C75E8">
      <w:pPr>
        <w:pStyle w:val="SingleTxt"/>
        <w:spacing w:after="0" w:line="120" w:lineRule="exact"/>
        <w:rPr>
          <w:b/>
          <w:sz w:val="10"/>
          <w:lang w:val="fr-FR"/>
        </w:rPr>
      </w:pPr>
    </w:p>
    <w:p w14:paraId="20C2EC3A" w14:textId="5D8B72A4" w:rsidR="00CE00A4" w:rsidRDefault="00CE00A4" w:rsidP="004C75E8">
      <w:pPr>
        <w:pStyle w:val="HCh"/>
        <w:ind w:left="1267" w:right="1260" w:hanging="1267"/>
        <w:rPr>
          <w:lang w:val="fr-FR"/>
        </w:rPr>
      </w:pPr>
      <w:r w:rsidRPr="00CE00A4">
        <w:rPr>
          <w:lang w:val="fr-FR"/>
        </w:rPr>
        <w:tab/>
      </w:r>
      <w:r w:rsidRPr="00CE00A4">
        <w:rPr>
          <w:lang w:val="fr-FR"/>
        </w:rPr>
        <w:tab/>
        <w:t>Femmes en détention</w:t>
      </w:r>
      <w:bookmarkEnd w:id="20"/>
    </w:p>
    <w:p w14:paraId="7DC884A8" w14:textId="77777777" w:rsidR="004C75E8" w:rsidRPr="004C75E8" w:rsidRDefault="004C75E8" w:rsidP="004C75E8">
      <w:pPr>
        <w:pStyle w:val="SingleTxt"/>
        <w:spacing w:after="0" w:line="120" w:lineRule="exact"/>
        <w:rPr>
          <w:sz w:val="10"/>
          <w:lang w:val="fr-FR"/>
        </w:rPr>
      </w:pPr>
    </w:p>
    <w:p w14:paraId="66F97569" w14:textId="77777777" w:rsidR="004C75E8" w:rsidRPr="004C75E8" w:rsidRDefault="004C75E8" w:rsidP="004C75E8">
      <w:pPr>
        <w:pStyle w:val="SingleTxt"/>
        <w:spacing w:after="0" w:line="120" w:lineRule="exact"/>
        <w:rPr>
          <w:sz w:val="10"/>
          <w:lang w:val="fr-FR"/>
        </w:rPr>
      </w:pPr>
    </w:p>
    <w:p w14:paraId="70ED3C44"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Le pays dispose de deux centres pénitentiaires destinés aux femmes privées de liberté, dont l’un est réservé aux femmes enceintes et à celles qui sont accompagnées d’enfants de moins de 5 ans, le but étant de garantir le développement de liens affectifs durant la petite enfance et l’enfance, conformément à l’article 249 du règlement général d’application de la loi relative au régime pénitentiaire.</w:t>
      </w:r>
    </w:p>
    <w:p w14:paraId="582DFCAE"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Les centres </w:t>
      </w:r>
      <w:r w:rsidRPr="004C75E8">
        <w:rPr>
          <w:lang w:val="fr-FR"/>
        </w:rPr>
        <w:t>pénitentiaires</w:t>
      </w:r>
      <w:r w:rsidRPr="00CE00A4">
        <w:rPr>
          <w:lang w:val="fr-FR"/>
        </w:rPr>
        <w:t xml:space="preserve"> offrent des soins complets, notamment des services gynécologiques, dentaires, gériatriques, nutritionnels, psychologiques et </w:t>
      </w:r>
      <w:r w:rsidRPr="00CE00A4">
        <w:rPr>
          <w:lang w:val="fr-FR"/>
        </w:rPr>
        <w:lastRenderedPageBreak/>
        <w:t xml:space="preserve">psychiatriques, et abritent des pharmacies qui dispensent des produits de base pour les femmes. Ils sont également équipés de salles d’allaitement et proposent des services complets de santé infantile. </w:t>
      </w:r>
    </w:p>
    <w:p w14:paraId="41E4BECD" w14:textId="77777777" w:rsidR="004C75E8" w:rsidRPr="004C75E8" w:rsidRDefault="004C75E8" w:rsidP="004C75E8">
      <w:pPr>
        <w:pStyle w:val="SingleTxt"/>
        <w:spacing w:after="0" w:line="120" w:lineRule="exact"/>
        <w:rPr>
          <w:b/>
          <w:sz w:val="10"/>
          <w:lang w:val="fr-FR"/>
        </w:rPr>
      </w:pPr>
      <w:bookmarkStart w:id="21" w:name="_Toc191882157"/>
    </w:p>
    <w:p w14:paraId="52553144" w14:textId="77777777" w:rsidR="004C75E8" w:rsidRPr="004C75E8" w:rsidRDefault="004C75E8" w:rsidP="004C75E8">
      <w:pPr>
        <w:pStyle w:val="SingleTxt"/>
        <w:spacing w:after="0" w:line="120" w:lineRule="exact"/>
        <w:rPr>
          <w:b/>
          <w:sz w:val="10"/>
          <w:lang w:val="fr-FR"/>
        </w:rPr>
      </w:pPr>
    </w:p>
    <w:p w14:paraId="77438257" w14:textId="7F78A4BF" w:rsidR="00CE00A4" w:rsidRDefault="00CE00A4" w:rsidP="004C75E8">
      <w:pPr>
        <w:pStyle w:val="HCh"/>
        <w:ind w:left="1267" w:right="1260" w:hanging="1267"/>
        <w:rPr>
          <w:lang w:val="fr-FR"/>
        </w:rPr>
      </w:pPr>
      <w:r w:rsidRPr="00CE00A4">
        <w:rPr>
          <w:lang w:val="fr-FR"/>
        </w:rPr>
        <w:tab/>
      </w:r>
      <w:r w:rsidRPr="00CE00A4">
        <w:rPr>
          <w:lang w:val="fr-FR"/>
        </w:rPr>
        <w:tab/>
        <w:t>Femmes lesbiennes, bisexuelles, transgenres et intersexes</w:t>
      </w:r>
      <w:bookmarkEnd w:id="21"/>
    </w:p>
    <w:p w14:paraId="33DCE0F9" w14:textId="77777777" w:rsidR="004C75E8" w:rsidRPr="004C75E8" w:rsidRDefault="004C75E8" w:rsidP="004C75E8">
      <w:pPr>
        <w:pStyle w:val="SingleTxt"/>
        <w:spacing w:after="0" w:line="120" w:lineRule="exact"/>
        <w:rPr>
          <w:sz w:val="10"/>
          <w:lang w:val="fr-FR"/>
        </w:rPr>
      </w:pPr>
    </w:p>
    <w:p w14:paraId="56624DEA" w14:textId="77777777" w:rsidR="004C75E8" w:rsidRPr="004C75E8" w:rsidRDefault="004C75E8" w:rsidP="004C75E8">
      <w:pPr>
        <w:pStyle w:val="SingleTxt"/>
        <w:spacing w:after="0" w:line="120" w:lineRule="exact"/>
        <w:rPr>
          <w:sz w:val="10"/>
          <w:lang w:val="fr-FR"/>
        </w:rPr>
      </w:pPr>
    </w:p>
    <w:p w14:paraId="73EC295B"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En El Salvador, l’égalité et la non-discrimination sont des principes fondamentaux de la Constitution, qui prévoit que toutes les personnes sont égales devant la loi et qu’aucune restriction ne peut être imposée à l’exercice et à la jouissance des droits, quel que soit le motif invoqué. Il ne peut donc y avoir d’obstacle juridique, administratif ou autre venant entraver la participation active de la population. </w:t>
      </w:r>
    </w:p>
    <w:p w14:paraId="45FB7BAC"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El Salvador est fermement attaché à la famille, qui est l’assise sur laquelle reposent les valeurs et les principes de la société. Il la considère essentielle à l’épanouissement dans son ensemble, étant donné qu’elle est le premier espace d’enseignement et de soutien où sont transmis les principes de respect, de solidarité et de vivre-ensemble. Il s’attache ainsi à promouvoir un environnement sûr et stable pour toutes les familles, quelles que soient leurs caractéristiques, afin de renforcer le tissu social et de garantir un avenir riche de possibilités pour tout un chacun. </w:t>
      </w:r>
    </w:p>
    <w:p w14:paraId="6E674192" w14:textId="77777777" w:rsidR="004C75E8" w:rsidRPr="004C75E8" w:rsidRDefault="004C75E8" w:rsidP="004C75E8">
      <w:pPr>
        <w:pStyle w:val="SingleTxt"/>
        <w:spacing w:after="0" w:line="120" w:lineRule="exact"/>
        <w:rPr>
          <w:b/>
          <w:sz w:val="10"/>
          <w:lang w:val="fr-FR"/>
        </w:rPr>
      </w:pPr>
      <w:bookmarkStart w:id="22" w:name="_Toc191882158"/>
    </w:p>
    <w:p w14:paraId="0D5960B9" w14:textId="77777777" w:rsidR="004C75E8" w:rsidRPr="004C75E8" w:rsidRDefault="004C75E8" w:rsidP="004C75E8">
      <w:pPr>
        <w:pStyle w:val="SingleTxt"/>
        <w:spacing w:after="0" w:line="120" w:lineRule="exact"/>
        <w:rPr>
          <w:b/>
          <w:sz w:val="10"/>
          <w:lang w:val="fr-FR"/>
        </w:rPr>
      </w:pPr>
    </w:p>
    <w:p w14:paraId="5BC459D0" w14:textId="17D95C4C" w:rsidR="00CE00A4" w:rsidRDefault="00CE00A4" w:rsidP="004C75E8">
      <w:pPr>
        <w:pStyle w:val="HCh"/>
        <w:ind w:left="1267" w:right="2280" w:hanging="1267"/>
        <w:rPr>
          <w:lang w:val="fr-FR"/>
        </w:rPr>
      </w:pPr>
      <w:r w:rsidRPr="00CE00A4">
        <w:rPr>
          <w:lang w:val="fr-FR"/>
        </w:rPr>
        <w:tab/>
      </w:r>
      <w:r w:rsidRPr="00CE00A4">
        <w:rPr>
          <w:lang w:val="fr-FR"/>
        </w:rPr>
        <w:tab/>
        <w:t>Changements climatiques et réduction des risques de catastrophe</w:t>
      </w:r>
      <w:bookmarkEnd w:id="22"/>
    </w:p>
    <w:p w14:paraId="5DC6E98A" w14:textId="77777777" w:rsidR="004C75E8" w:rsidRPr="004C75E8" w:rsidRDefault="004C75E8" w:rsidP="004C75E8">
      <w:pPr>
        <w:pStyle w:val="SingleTxt"/>
        <w:spacing w:after="0" w:line="120" w:lineRule="exact"/>
        <w:rPr>
          <w:sz w:val="10"/>
          <w:lang w:val="fr-FR"/>
        </w:rPr>
      </w:pPr>
    </w:p>
    <w:p w14:paraId="46EBEC78" w14:textId="77777777" w:rsidR="004C75E8" w:rsidRPr="004C75E8" w:rsidRDefault="004C75E8" w:rsidP="004C75E8">
      <w:pPr>
        <w:pStyle w:val="SingleTxt"/>
        <w:spacing w:after="0" w:line="120" w:lineRule="exact"/>
        <w:rPr>
          <w:sz w:val="10"/>
          <w:lang w:val="fr-FR"/>
        </w:rPr>
      </w:pPr>
    </w:p>
    <w:p w14:paraId="16B662B9"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Soucieux de réduire les effets néfastes des changements climatiques et de parvenir à une économie sobre en carbone, El Salvador a mis à jour sa contribution déterminée au niveau national pour concentrer ses efforts dans les secteurs suivants : énergie, agriculture, foresterie et autres utilisations des terres, infrastructures, santé, transports, biodiversité et écosystèmes, villes, ressources en eau et production d’énergie hydroélectrique. </w:t>
      </w:r>
    </w:p>
    <w:p w14:paraId="6DF604BB"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Pour garantir la résilience et l’équilibre écologique du pays, l’État s’est doté d’une politique environnementale nationale, qui a pour objet de veiller à la bonne gestion des ressources en eau, de favoriser la transition vers une économie sobre en carbone, d’intégrer la biodiversité dans les activités de développement économique et social et d’encourager une gestion environnementale propice à la protection des ressources. </w:t>
      </w:r>
    </w:p>
    <w:p w14:paraId="12207C9D"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El Salvador estime qu’il importe de promouvoir le développement économique au moyen de projets respectueux de l’environnement. C’est pourquoi le Ministère de l’environnement et des ressources naturelles a mis en </w:t>
      </w:r>
      <w:r w:rsidRPr="004C75E8">
        <w:rPr>
          <w:lang w:val="fr-FR"/>
        </w:rPr>
        <w:t>place</w:t>
      </w:r>
      <w:r w:rsidRPr="00CE00A4">
        <w:rPr>
          <w:lang w:val="fr-FR"/>
        </w:rPr>
        <w:t xml:space="preserve"> le programme national de mesures d’incitation et de dissuasion environnementales, qui prévoit des incitations visant à encourager la restauration des écosystèmes, notamment agricoles, en particulier dans les secteurs du café, des céréales de base, de l’élevage et de la sylviculture, et à améliorer la performance environnementale dans le domaine du tourisme.</w:t>
      </w:r>
    </w:p>
    <w:p w14:paraId="60068C76" w14:textId="77777777" w:rsidR="004C75E8" w:rsidRPr="004C75E8" w:rsidRDefault="004C75E8" w:rsidP="004C75E8">
      <w:pPr>
        <w:pStyle w:val="SingleTxt"/>
        <w:spacing w:after="0" w:line="120" w:lineRule="exact"/>
        <w:rPr>
          <w:b/>
          <w:sz w:val="10"/>
          <w:lang w:val="fr-FR"/>
        </w:rPr>
      </w:pPr>
      <w:bookmarkStart w:id="23" w:name="_Toc191882159"/>
    </w:p>
    <w:p w14:paraId="2C1D435C" w14:textId="77777777" w:rsidR="004C75E8" w:rsidRPr="004C75E8" w:rsidRDefault="004C75E8" w:rsidP="004C75E8">
      <w:pPr>
        <w:pStyle w:val="SingleTxt"/>
        <w:spacing w:after="0" w:line="120" w:lineRule="exact"/>
        <w:rPr>
          <w:b/>
          <w:sz w:val="10"/>
          <w:lang w:val="fr-FR"/>
        </w:rPr>
      </w:pPr>
    </w:p>
    <w:p w14:paraId="03593E1F" w14:textId="764765E7" w:rsidR="00CE00A4" w:rsidRDefault="00CE00A4" w:rsidP="004C75E8">
      <w:pPr>
        <w:pStyle w:val="HCh"/>
        <w:ind w:left="1267" w:right="1260" w:hanging="1267"/>
        <w:rPr>
          <w:lang w:val="fr-FR"/>
        </w:rPr>
      </w:pPr>
      <w:r w:rsidRPr="00CE00A4">
        <w:rPr>
          <w:lang w:val="fr-FR"/>
        </w:rPr>
        <w:tab/>
      </w:r>
      <w:r w:rsidRPr="00CE00A4">
        <w:rPr>
          <w:lang w:val="fr-FR"/>
        </w:rPr>
        <w:tab/>
        <w:t>Mariage et relations familiales</w:t>
      </w:r>
      <w:bookmarkEnd w:id="23"/>
    </w:p>
    <w:p w14:paraId="09E27266" w14:textId="77777777" w:rsidR="004C75E8" w:rsidRPr="004C75E8" w:rsidRDefault="004C75E8" w:rsidP="004C75E8">
      <w:pPr>
        <w:pStyle w:val="SingleTxt"/>
        <w:spacing w:after="0" w:line="120" w:lineRule="exact"/>
        <w:rPr>
          <w:sz w:val="10"/>
          <w:lang w:val="fr-FR"/>
        </w:rPr>
      </w:pPr>
    </w:p>
    <w:p w14:paraId="1C5B4D8D" w14:textId="77777777" w:rsidR="004C75E8" w:rsidRPr="004C75E8" w:rsidRDefault="004C75E8" w:rsidP="004C75E8">
      <w:pPr>
        <w:pStyle w:val="SingleTxt"/>
        <w:spacing w:after="0" w:line="120" w:lineRule="exact"/>
        <w:rPr>
          <w:sz w:val="10"/>
          <w:lang w:val="fr-FR"/>
        </w:rPr>
      </w:pPr>
    </w:p>
    <w:p w14:paraId="11B0EFC0"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L’État salvadorien a accompli des progrès notables en mettant en œuvre des réformes législatives et en adoptant des normes visant à protéger les droits des enfants et des adolescents. Les réformes du Code pénal et du Code de procédure pénale prévoient ainsi un alourdissement des peines pour les crimes de viol et l’ajout de nouvelles circonstances aggravantes dans le cas de femmes âgées ou d’enfants. </w:t>
      </w:r>
    </w:p>
    <w:p w14:paraId="4BEA4CFA" w14:textId="0A8D1E42"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lastRenderedPageBreak/>
        <w:t xml:space="preserve">Dans son article 26, la loi </w:t>
      </w:r>
      <w:r w:rsidR="00B32148">
        <w:rPr>
          <w:lang w:val="fr-FR"/>
        </w:rPr>
        <w:t>« </w:t>
      </w:r>
      <w:r w:rsidRPr="00B32148">
        <w:rPr>
          <w:lang w:val="fr-FR"/>
        </w:rPr>
        <w:t>Crecer Juntos</w:t>
      </w:r>
      <w:r w:rsidR="00B32148">
        <w:rPr>
          <w:lang w:val="fr-FR"/>
        </w:rPr>
        <w:t> »</w:t>
      </w:r>
      <w:r w:rsidRPr="00CE00A4">
        <w:rPr>
          <w:lang w:val="fr-FR"/>
        </w:rPr>
        <w:t xml:space="preserve"> dispose que l’État a la responsabilité de concevoir et de mettre en œuvre des politiques publiques et des programmes destinés à prévenir et à prendre en charge </w:t>
      </w:r>
      <w:r w:rsidRPr="004C75E8">
        <w:rPr>
          <w:lang w:val="fr-FR"/>
        </w:rPr>
        <w:t>les</w:t>
      </w:r>
      <w:r w:rsidRPr="00CE00A4">
        <w:rPr>
          <w:lang w:val="fr-FR"/>
        </w:rPr>
        <w:t xml:space="preserve"> grossesses chez les filles et les adolescentes et qu’il a l’obligation d’adapter les services institutionnels pour garantir les droits des filles et des adolescentes enceintes.</w:t>
      </w:r>
    </w:p>
    <w:p w14:paraId="7697DD72"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Par ailleurs, des directives et des protocoles ont été mis en œuvre dans les domaines de la santé et de l’éducation </w:t>
      </w:r>
      <w:r w:rsidRPr="004C75E8">
        <w:rPr>
          <w:lang w:val="fr-FR"/>
        </w:rPr>
        <w:t>afin</w:t>
      </w:r>
      <w:r w:rsidRPr="00CE00A4">
        <w:rPr>
          <w:lang w:val="fr-FR"/>
        </w:rPr>
        <w:t xml:space="preserve"> de repérer les cas d’union précoce impliquant des filles ou des adolescentes et de les renvoyer vers le système de protection, notamment vers les conseils de protection et le Bureau du Procureur général.</w:t>
      </w:r>
    </w:p>
    <w:p w14:paraId="3B175B52" w14:textId="77777777" w:rsidR="00CE00A4" w:rsidRPr="00CE00A4" w:rsidRDefault="00CE00A4" w:rsidP="004C75E8">
      <w:pPr>
        <w:pStyle w:val="SingleTxt"/>
        <w:numPr>
          <w:ilvl w:val="0"/>
          <w:numId w:val="22"/>
        </w:numPr>
        <w:tabs>
          <w:tab w:val="num" w:pos="2804"/>
        </w:tabs>
        <w:spacing w:line="240" w:lineRule="exact"/>
        <w:ind w:left="1267"/>
        <w:rPr>
          <w:lang w:val="fr-FR"/>
        </w:rPr>
      </w:pPr>
      <w:r w:rsidRPr="00CE00A4">
        <w:rPr>
          <w:lang w:val="fr-FR"/>
        </w:rPr>
        <w:t xml:space="preserve">Des mesures ont aussi été prises pour apporter un appui complet aux victimes d’unions précoces, que ce soit par </w:t>
      </w:r>
      <w:r w:rsidRPr="004C75E8">
        <w:rPr>
          <w:lang w:val="fr-FR"/>
        </w:rPr>
        <w:t>l’octroi</w:t>
      </w:r>
      <w:r w:rsidRPr="00CE00A4">
        <w:rPr>
          <w:lang w:val="fr-FR"/>
        </w:rPr>
        <w:t xml:space="preserve"> d’une aide financière ou par la prestation de services spécialisés (conseils juridiques, soins psychosociaux, soins médicaux).</w:t>
      </w:r>
    </w:p>
    <w:p w14:paraId="2A02033F" w14:textId="0A172AD7" w:rsidR="009E6E17" w:rsidRPr="00DA3C54" w:rsidRDefault="00CE00A4" w:rsidP="004C75E8">
      <w:pPr>
        <w:pStyle w:val="SingleTxt"/>
        <w:numPr>
          <w:ilvl w:val="0"/>
          <w:numId w:val="22"/>
        </w:numPr>
        <w:tabs>
          <w:tab w:val="num" w:pos="2804"/>
        </w:tabs>
        <w:spacing w:line="240" w:lineRule="exact"/>
        <w:ind w:left="1267"/>
        <w:rPr>
          <w:lang w:val="fr-FR"/>
        </w:rPr>
      </w:pPr>
      <w:r w:rsidRPr="00DA3C54">
        <w:rPr>
          <w:lang w:val="fr-FR"/>
        </w:rPr>
        <w:t>Enfin, en ce qui concerne la protection des unions de fait entre adultes, le Code de la famille, dans ses articles 2 et 118, reconnaît la légitimité des unions de fait et dispose que les femmes jouissent de droits égaux dans le cadre de ces unions.</w:t>
      </w:r>
    </w:p>
    <w:p w14:paraId="21CCD85B" w14:textId="4D7E8481" w:rsidR="00CE00A4" w:rsidRPr="00DA3C54" w:rsidRDefault="00CE00A4" w:rsidP="00CE00A4">
      <w:pPr>
        <w:pStyle w:val="SingleTxt"/>
        <w:spacing w:after="0" w:line="240" w:lineRule="auto"/>
      </w:pPr>
      <w:r w:rsidRPr="00DA3C54">
        <w:rPr>
          <w:noProof/>
          <w:w w:val="100"/>
        </w:rPr>
        <mc:AlternateContent>
          <mc:Choice Requires="wps">
            <w:drawing>
              <wp:anchor distT="0" distB="0" distL="114300" distR="114300" simplePos="0" relativeHeight="251659264" behindDoc="0" locked="0" layoutInCell="1" allowOverlap="1" wp14:anchorId="09AE2F25" wp14:editId="515426DD">
                <wp:simplePos x="0" y="0"/>
                <wp:positionH relativeFrom="page">
                  <wp:posOffset>3429000</wp:posOffset>
                </wp:positionH>
                <wp:positionV relativeFrom="paragraph">
                  <wp:posOffset>304800</wp:posOffset>
                </wp:positionV>
                <wp:extent cx="914400" cy="0"/>
                <wp:effectExtent l="0" t="0" r="0" b="0"/>
                <wp:wrapNone/>
                <wp:docPr id="12362128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BE585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E00A4" w:rsidRPr="00DA3C54" w:rsidSect="00CE00A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5-29T16:23:00Z" w:initials="Start">
    <w:p w14:paraId="17270702" w14:textId="77777777" w:rsidR="009E6E17" w:rsidRPr="00A77F76" w:rsidRDefault="009E6E17">
      <w:pPr>
        <w:pStyle w:val="CommentText"/>
        <w:rPr>
          <w:lang w:val="en-US"/>
        </w:rPr>
      </w:pPr>
      <w:r>
        <w:rPr>
          <w:rStyle w:val="CommentReference"/>
        </w:rPr>
        <w:annotationRef/>
      </w:r>
      <w:r w:rsidRPr="00A77F76">
        <w:rPr>
          <w:lang w:val="en-US"/>
        </w:rPr>
        <w:t>&lt;&lt;ODS JOB NO&gt;&gt;N2507743F&lt;&lt;ODS JOB NO&gt;&gt;</w:t>
      </w:r>
    </w:p>
    <w:p w14:paraId="153B08F1" w14:textId="77777777" w:rsidR="009E6E17" w:rsidRDefault="009E6E17">
      <w:pPr>
        <w:pStyle w:val="CommentText"/>
      </w:pPr>
      <w:r>
        <w:t>&lt;&lt;ODS DOC SYMBOL1&gt;&gt;CEDAW/C/SLV/RQ/10&lt;&lt;ODS DOC SYMBOL1&gt;&gt;</w:t>
      </w:r>
    </w:p>
    <w:p w14:paraId="0259BE4E" w14:textId="14D2CCF6" w:rsidR="009E6E17" w:rsidRDefault="009E6E1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259BE4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47BF566" w16cex:dateUtc="2025-05-29T2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59BE4E" w16cid:durableId="547BF5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9AB6E" w14:textId="77777777" w:rsidR="000D5A4F" w:rsidRDefault="000D5A4F" w:rsidP="00331D20">
      <w:r>
        <w:separator/>
      </w:r>
    </w:p>
  </w:endnote>
  <w:endnote w:type="continuationSeparator" w:id="0">
    <w:p w14:paraId="2CA9F6AE" w14:textId="77777777" w:rsidR="000D5A4F" w:rsidRDefault="000D5A4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6E17" w14:paraId="18890DD8" w14:textId="77777777" w:rsidTr="009E6E17">
      <w:tc>
        <w:tcPr>
          <w:tcW w:w="4920" w:type="dxa"/>
          <w:shd w:val="clear" w:color="auto" w:fill="auto"/>
        </w:tcPr>
        <w:p w14:paraId="1157C606" w14:textId="78C4CE07" w:rsidR="009E6E17" w:rsidRPr="009E6E17" w:rsidRDefault="009E6E17" w:rsidP="009E6E1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0692">
            <w:rPr>
              <w:b w:val="0"/>
              <w:w w:val="103"/>
              <w:sz w:val="14"/>
            </w:rPr>
            <w:t>25-04808</w:t>
          </w:r>
          <w:r>
            <w:rPr>
              <w:b w:val="0"/>
              <w:w w:val="103"/>
              <w:sz w:val="14"/>
            </w:rPr>
            <w:fldChar w:fldCharType="end"/>
          </w:r>
        </w:p>
      </w:tc>
      <w:tc>
        <w:tcPr>
          <w:tcW w:w="4920" w:type="dxa"/>
          <w:shd w:val="clear" w:color="auto" w:fill="auto"/>
        </w:tcPr>
        <w:p w14:paraId="6F548541" w14:textId="71086C01" w:rsidR="009E6E17" w:rsidRPr="009E6E17" w:rsidRDefault="009E6E17" w:rsidP="009E6E1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FA84483" w14:textId="77777777" w:rsidR="009E6E17" w:rsidRPr="009E6E17" w:rsidRDefault="009E6E17" w:rsidP="009E6E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6E17" w14:paraId="1C73331A" w14:textId="77777777" w:rsidTr="009E6E17">
      <w:tc>
        <w:tcPr>
          <w:tcW w:w="4920" w:type="dxa"/>
          <w:shd w:val="clear" w:color="auto" w:fill="auto"/>
        </w:tcPr>
        <w:p w14:paraId="6A015949" w14:textId="608D872C" w:rsidR="009E6E17" w:rsidRPr="009E6E17" w:rsidRDefault="009E6E17" w:rsidP="009E6E1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0CB25BA" w14:textId="529F6E0D" w:rsidR="009E6E17" w:rsidRPr="009E6E17" w:rsidRDefault="009E6E17" w:rsidP="009E6E1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0692">
            <w:rPr>
              <w:b w:val="0"/>
              <w:w w:val="103"/>
              <w:sz w:val="14"/>
            </w:rPr>
            <w:t>25-04808</w:t>
          </w:r>
          <w:r>
            <w:rPr>
              <w:b w:val="0"/>
              <w:w w:val="103"/>
              <w:sz w:val="14"/>
            </w:rPr>
            <w:fldChar w:fldCharType="end"/>
          </w:r>
        </w:p>
      </w:tc>
    </w:tr>
  </w:tbl>
  <w:p w14:paraId="75C549C8" w14:textId="77777777" w:rsidR="009E6E17" w:rsidRPr="009E6E17" w:rsidRDefault="009E6E17" w:rsidP="009E6E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5DE44" w14:textId="17B818A0" w:rsidR="009E6E17" w:rsidRDefault="009E6E17">
    <w:pPr>
      <w:pStyle w:val="Footer"/>
    </w:pPr>
    <w:r>
      <w:drawing>
        <wp:anchor distT="0" distB="0" distL="114300" distR="114300" simplePos="0" relativeHeight="251658240" behindDoc="0" locked="0" layoutInCell="1" allowOverlap="1" wp14:anchorId="0DCABFA4" wp14:editId="7FAF4793">
          <wp:simplePos x="0" y="0"/>
          <wp:positionH relativeFrom="column">
            <wp:posOffset>5532120</wp:posOffset>
          </wp:positionH>
          <wp:positionV relativeFrom="paragraph">
            <wp:posOffset>-228600</wp:posOffset>
          </wp:positionV>
          <wp:extent cx="694690" cy="694690"/>
          <wp:effectExtent l="0" t="0" r="0" b="0"/>
          <wp:wrapNone/>
          <wp:docPr id="11513895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E6E17" w14:paraId="69D499CA" w14:textId="77777777" w:rsidTr="009E6E17">
      <w:tc>
        <w:tcPr>
          <w:tcW w:w="3758" w:type="dxa"/>
        </w:tcPr>
        <w:p w14:paraId="411F9256" w14:textId="482DB479" w:rsidR="009E6E17" w:rsidRDefault="009E6E17" w:rsidP="009E6E1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70692">
            <w:rPr>
              <w:b w:val="0"/>
              <w:sz w:val="20"/>
            </w:rPr>
            <w:t>25-04808 (F)</w:t>
          </w:r>
          <w:r>
            <w:rPr>
              <w:b w:val="0"/>
              <w:sz w:val="20"/>
            </w:rPr>
            <w:fldChar w:fldCharType="end"/>
          </w:r>
          <w:r>
            <w:rPr>
              <w:b w:val="0"/>
              <w:sz w:val="20"/>
            </w:rPr>
            <w:t xml:space="preserve">    </w:t>
          </w:r>
          <w:r w:rsidR="00CE00A4">
            <w:rPr>
              <w:b w:val="0"/>
              <w:sz w:val="20"/>
            </w:rPr>
            <w:t>11</w:t>
          </w:r>
          <w:r>
            <w:rPr>
              <w:b w:val="0"/>
              <w:sz w:val="20"/>
            </w:rPr>
            <w:t>0</w:t>
          </w:r>
          <w:r w:rsidR="00CE00A4">
            <w:rPr>
              <w:b w:val="0"/>
              <w:sz w:val="20"/>
            </w:rPr>
            <w:t>4</w:t>
          </w:r>
          <w:r>
            <w:rPr>
              <w:b w:val="0"/>
              <w:sz w:val="20"/>
            </w:rPr>
            <w:t xml:space="preserve">25    </w:t>
          </w:r>
          <w:r w:rsidR="00CE00A4">
            <w:rPr>
              <w:b w:val="0"/>
              <w:sz w:val="20"/>
            </w:rPr>
            <w:t>11</w:t>
          </w:r>
          <w:r>
            <w:rPr>
              <w:b w:val="0"/>
              <w:sz w:val="20"/>
            </w:rPr>
            <w:t>0</w:t>
          </w:r>
          <w:r w:rsidR="00CE00A4">
            <w:rPr>
              <w:b w:val="0"/>
              <w:sz w:val="20"/>
            </w:rPr>
            <w:t>6</w:t>
          </w:r>
          <w:r>
            <w:rPr>
              <w:b w:val="0"/>
              <w:sz w:val="20"/>
            </w:rPr>
            <w:t>25</w:t>
          </w:r>
        </w:p>
        <w:p w14:paraId="34F6EC48" w14:textId="46EA6A75" w:rsidR="009E6E17" w:rsidRPr="009E6E17" w:rsidRDefault="009E6E17" w:rsidP="009E6E17">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70692">
            <w:rPr>
              <w:rFonts w:ascii="Barcode 3 of 9 by request" w:hAnsi="Barcode 3 of 9 by request"/>
              <w:sz w:val="24"/>
            </w:rPr>
            <w:t>*2504808*</w:t>
          </w:r>
          <w:r>
            <w:rPr>
              <w:rFonts w:ascii="Barcode 3 of 9 by request" w:hAnsi="Barcode 3 of 9 by request"/>
              <w:sz w:val="24"/>
            </w:rPr>
            <w:fldChar w:fldCharType="end"/>
          </w:r>
        </w:p>
      </w:tc>
      <w:tc>
        <w:tcPr>
          <w:tcW w:w="4920" w:type="dxa"/>
        </w:tcPr>
        <w:p w14:paraId="7FD3579A" w14:textId="01B4FA02" w:rsidR="009E6E17" w:rsidRDefault="009E6E17" w:rsidP="009E6E17">
          <w:pPr>
            <w:pStyle w:val="Footer"/>
            <w:spacing w:line="240" w:lineRule="atLeast"/>
            <w:jc w:val="right"/>
            <w:rPr>
              <w:b w:val="0"/>
              <w:sz w:val="20"/>
            </w:rPr>
          </w:pPr>
          <w:r>
            <w:rPr>
              <w:b w:val="0"/>
              <w:sz w:val="20"/>
            </w:rPr>
            <w:drawing>
              <wp:inline distT="0" distB="0" distL="0" distR="0" wp14:anchorId="16E7D953" wp14:editId="3CF65E52">
                <wp:extent cx="1109474" cy="231648"/>
                <wp:effectExtent l="0" t="0" r="0" b="0"/>
                <wp:docPr id="610875487" name="Picture 2"/>
                <wp:cNvGraphicFramePr/>
                <a:graphic xmlns:a="http://schemas.openxmlformats.org/drawingml/2006/main">
                  <a:graphicData uri="http://schemas.openxmlformats.org/drawingml/2006/picture">
                    <pic:pic xmlns:pic="http://schemas.openxmlformats.org/drawingml/2006/picture">
                      <pic:nvPicPr>
                        <pic:cNvPr id="610875487"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67D859C" w14:textId="77777777" w:rsidR="009E6E17" w:rsidRPr="009E6E17" w:rsidRDefault="009E6E17" w:rsidP="009E6E1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AAE81" w14:textId="77777777" w:rsidR="000D5A4F" w:rsidRPr="009749C7" w:rsidRDefault="000D5A4F" w:rsidP="009749C7">
      <w:pPr>
        <w:pStyle w:val="Footer"/>
        <w:spacing w:after="80"/>
        <w:ind w:left="792"/>
        <w:rPr>
          <w:sz w:val="16"/>
        </w:rPr>
      </w:pPr>
      <w:r w:rsidRPr="009749C7">
        <w:rPr>
          <w:sz w:val="16"/>
        </w:rPr>
        <w:t>__________________</w:t>
      </w:r>
    </w:p>
  </w:footnote>
  <w:footnote w:type="continuationSeparator" w:id="0">
    <w:p w14:paraId="2E0AF9C3" w14:textId="77777777" w:rsidR="000D5A4F" w:rsidRPr="009749C7" w:rsidRDefault="000D5A4F" w:rsidP="009749C7">
      <w:pPr>
        <w:pStyle w:val="Footer"/>
        <w:spacing w:after="80"/>
        <w:ind w:left="792"/>
        <w:rPr>
          <w:sz w:val="16"/>
        </w:rPr>
      </w:pPr>
      <w:r w:rsidRPr="009749C7">
        <w:rPr>
          <w:sz w:val="16"/>
        </w:rPr>
        <w:t>__________________</w:t>
      </w:r>
    </w:p>
  </w:footnote>
  <w:footnote w:id="1">
    <w:p w14:paraId="35D3299C" w14:textId="7CD0DF1C" w:rsidR="00CE00A4" w:rsidRPr="009749C7" w:rsidRDefault="00CE00A4" w:rsidP="009749C7">
      <w:pPr>
        <w:pStyle w:val="FootnoteText"/>
        <w:tabs>
          <w:tab w:val="clear" w:pos="418"/>
          <w:tab w:val="right" w:pos="1195"/>
          <w:tab w:val="left" w:pos="1267"/>
          <w:tab w:val="left" w:pos="1742"/>
          <w:tab w:val="left" w:pos="2218"/>
          <w:tab w:val="left" w:pos="2693"/>
        </w:tabs>
        <w:ind w:left="1267" w:right="1260" w:hanging="576"/>
        <w:rPr>
          <w:spacing w:val="4"/>
          <w:lang w:val="fr-FR"/>
        </w:rPr>
      </w:pPr>
      <w:r>
        <w:rPr>
          <w:lang w:val="fr-FR"/>
        </w:rPr>
        <w:tab/>
      </w:r>
      <w:r w:rsidRPr="009749C7">
        <w:rPr>
          <w:spacing w:val="4"/>
          <w:vertAlign w:val="superscript"/>
          <w:lang w:val="fr-FR"/>
        </w:rPr>
        <w:footnoteRef/>
      </w:r>
      <w:r w:rsidRPr="009749C7">
        <w:rPr>
          <w:spacing w:val="4"/>
          <w:lang w:val="fr-FR"/>
        </w:rPr>
        <w:tab/>
        <w:t xml:space="preserve">Disponible à l’adresse suivante : </w:t>
      </w:r>
      <w:hyperlink r:id="rId1" w:history="1">
        <w:r w:rsidR="00DD27A8" w:rsidRPr="00B26372">
          <w:rPr>
            <w:rStyle w:val="Hyperlink"/>
            <w:spacing w:val="4"/>
            <w:lang w:val="fr-FR"/>
          </w:rPr>
          <w:t>https://www.asamblea.gob.sv/sites/default/files/documents/</w:t>
        </w:r>
        <w:r w:rsidR="00DD27A8" w:rsidRPr="00B26372">
          <w:rPr>
            <w:rStyle w:val="Hyperlink"/>
            <w:spacing w:val="4"/>
            <w:lang w:val="fr-FR"/>
          </w:rPr>
          <w:br/>
          <w:t>decretos/F6C5840E-2A8F-431B-8943-F7718B83B0D0.pdf</w:t>
        </w:r>
      </w:hyperlink>
      <w:r w:rsidRPr="009749C7">
        <w:rPr>
          <w:spacing w:val="4"/>
          <w:lang w:val="fr-FR"/>
        </w:rPr>
        <w:t>.</w:t>
      </w:r>
    </w:p>
  </w:footnote>
  <w:footnote w:id="2">
    <w:p w14:paraId="00F025A9" w14:textId="2F3421A6" w:rsidR="00CE00A4" w:rsidRPr="009749C7" w:rsidRDefault="00CE00A4" w:rsidP="009749C7">
      <w:pPr>
        <w:pStyle w:val="FootnoteText"/>
        <w:tabs>
          <w:tab w:val="clear" w:pos="418"/>
          <w:tab w:val="right" w:pos="1195"/>
          <w:tab w:val="left" w:pos="1267"/>
          <w:tab w:val="left" w:pos="1742"/>
          <w:tab w:val="left" w:pos="2218"/>
          <w:tab w:val="left" w:pos="2693"/>
        </w:tabs>
        <w:ind w:left="1267" w:right="1260" w:hanging="576"/>
        <w:rPr>
          <w:spacing w:val="4"/>
          <w:lang w:val="fr-FR"/>
        </w:rPr>
      </w:pPr>
      <w:r>
        <w:rPr>
          <w:lang w:val="fr-FR"/>
        </w:rPr>
        <w:tab/>
      </w:r>
      <w:r w:rsidRPr="009749C7">
        <w:rPr>
          <w:spacing w:val="4"/>
          <w:vertAlign w:val="superscript"/>
          <w:lang w:val="fr-FR"/>
        </w:rPr>
        <w:footnoteRef/>
      </w:r>
      <w:r w:rsidRPr="009749C7">
        <w:rPr>
          <w:spacing w:val="4"/>
          <w:lang w:val="fr-FR"/>
        </w:rPr>
        <w:tab/>
        <w:t xml:space="preserve">Disponible à l’adresse suivante : </w:t>
      </w:r>
      <w:hyperlink r:id="rId2" w:history="1">
        <w:r w:rsidR="009749C7" w:rsidRPr="00B26372">
          <w:rPr>
            <w:rStyle w:val="Hyperlink"/>
            <w:spacing w:val="4"/>
            <w:lang w:val="fr-FR"/>
          </w:rPr>
          <w:t>https://www.asamblea.gob.sv/sites/default/files/documents/</w:t>
        </w:r>
        <w:r w:rsidR="009749C7" w:rsidRPr="00B26372">
          <w:rPr>
            <w:rStyle w:val="Hyperlink"/>
            <w:spacing w:val="4"/>
            <w:lang w:val="fr-FR"/>
          </w:rPr>
          <w:br/>
          <w:t>decretos/4DA44183-58F2-4745-A1D0-1B634D6DB339.pdf</w:t>
        </w:r>
      </w:hyperlink>
      <w:r w:rsidRPr="009749C7">
        <w:rPr>
          <w:spacing w:val="4"/>
          <w:lang w:val="fr-FR"/>
        </w:rPr>
        <w:t>.</w:t>
      </w:r>
    </w:p>
  </w:footnote>
  <w:footnote w:id="3">
    <w:p w14:paraId="17E16BA9" w14:textId="7435EB4C" w:rsidR="00CE00A4" w:rsidRPr="009749C7" w:rsidRDefault="00CE00A4" w:rsidP="009749C7">
      <w:pPr>
        <w:pStyle w:val="FootnoteText"/>
        <w:tabs>
          <w:tab w:val="clear" w:pos="418"/>
          <w:tab w:val="right" w:pos="1195"/>
          <w:tab w:val="left" w:pos="1267"/>
          <w:tab w:val="left" w:pos="1742"/>
          <w:tab w:val="left" w:pos="2218"/>
          <w:tab w:val="left" w:pos="2693"/>
        </w:tabs>
        <w:ind w:left="1267" w:right="1260" w:hanging="576"/>
        <w:rPr>
          <w:spacing w:val="4"/>
          <w:lang w:val="fr-FR"/>
        </w:rPr>
      </w:pPr>
      <w:r>
        <w:rPr>
          <w:lang w:val="fr-FR"/>
        </w:rPr>
        <w:tab/>
      </w:r>
      <w:r w:rsidRPr="009749C7">
        <w:rPr>
          <w:spacing w:val="4"/>
          <w:vertAlign w:val="superscript"/>
          <w:lang w:val="fr-FR"/>
        </w:rPr>
        <w:footnoteRef/>
      </w:r>
      <w:r w:rsidRPr="009749C7">
        <w:rPr>
          <w:spacing w:val="4"/>
          <w:lang w:val="fr-FR"/>
        </w:rPr>
        <w:tab/>
        <w:t xml:space="preserve">Disponible à l’adresse suivante : </w:t>
      </w:r>
      <w:hyperlink r:id="rId3" w:history="1">
        <w:r w:rsidRPr="009749C7">
          <w:rPr>
            <w:rStyle w:val="Hyperlink"/>
            <w:spacing w:val="4"/>
            <w:lang w:val="fr-FR"/>
          </w:rPr>
          <w:t>https://www.transparen</w:t>
        </w:r>
        <w:r w:rsidRPr="009749C7">
          <w:rPr>
            <w:rStyle w:val="Hyperlink"/>
            <w:spacing w:val="4"/>
            <w:lang w:val="fr-FR"/>
          </w:rPr>
          <w:t>c</w:t>
        </w:r>
        <w:r w:rsidRPr="009749C7">
          <w:rPr>
            <w:rStyle w:val="Hyperlink"/>
            <w:spacing w:val="4"/>
            <w:lang w:val="fr-FR"/>
          </w:rPr>
          <w:t>ia.gob.sv/institutions/instituto-salvadoreno-para-el-desarrollo-de-la-mujer/documents/otros-documentos-normativos</w:t>
        </w:r>
      </w:hyperlink>
      <w:r w:rsidRPr="009749C7">
        <w:rPr>
          <w:spacing w:val="4"/>
          <w:lang w:val="fr-FR"/>
        </w:rPr>
        <w:t>.</w:t>
      </w:r>
    </w:p>
  </w:footnote>
  <w:footnote w:id="4">
    <w:p w14:paraId="3DEBECC4" w14:textId="3BD962D4" w:rsidR="00CE00A4" w:rsidRPr="009749C7" w:rsidRDefault="00CE00A4" w:rsidP="009749C7">
      <w:pPr>
        <w:pStyle w:val="FootnoteText"/>
        <w:tabs>
          <w:tab w:val="clear" w:pos="418"/>
          <w:tab w:val="right" w:pos="1195"/>
          <w:tab w:val="left" w:pos="1267"/>
          <w:tab w:val="left" w:pos="1742"/>
          <w:tab w:val="left" w:pos="2218"/>
          <w:tab w:val="left" w:pos="2693"/>
        </w:tabs>
        <w:ind w:left="1267" w:right="1260" w:hanging="576"/>
        <w:rPr>
          <w:spacing w:val="4"/>
          <w:lang w:val="fr-FR"/>
        </w:rPr>
      </w:pPr>
      <w:r>
        <w:rPr>
          <w:lang w:val="fr-FR"/>
        </w:rPr>
        <w:tab/>
      </w:r>
      <w:r w:rsidRPr="009749C7">
        <w:rPr>
          <w:spacing w:val="4"/>
          <w:vertAlign w:val="superscript"/>
          <w:lang w:val="fr-FR"/>
        </w:rPr>
        <w:footnoteRef/>
      </w:r>
      <w:r w:rsidRPr="009749C7">
        <w:rPr>
          <w:spacing w:val="4"/>
          <w:lang w:val="fr-FR"/>
        </w:rPr>
        <w:tab/>
        <w:t xml:space="preserve">Disponibles à l’adresse suivante : </w:t>
      </w:r>
      <w:hyperlink r:id="rId4" w:history="1">
        <w:r w:rsidR="009749C7" w:rsidRPr="00B26372">
          <w:rPr>
            <w:rStyle w:val="Hyperlink"/>
            <w:spacing w:val="4"/>
            <w:lang w:val="fr-FR"/>
          </w:rPr>
          <w:t>https://www.asamblea.gob.sv/sites/default/files/documents/</w:t>
        </w:r>
        <w:r w:rsidR="009749C7" w:rsidRPr="00B26372">
          <w:rPr>
            <w:rStyle w:val="Hyperlink"/>
            <w:spacing w:val="4"/>
            <w:lang w:val="fr-FR"/>
          </w:rPr>
          <w:br/>
          <w:t>decretos/7F75BFD2-FB75-4CDB-9F42-3DAFAEE62DDD.pdf</w:t>
        </w:r>
      </w:hyperlink>
      <w:r w:rsidRPr="009749C7">
        <w:rPr>
          <w:spacing w:val="4"/>
          <w:lang w:val="fr-FR"/>
        </w:rPr>
        <w:t xml:space="preserve">. </w:t>
      </w:r>
    </w:p>
  </w:footnote>
  <w:footnote w:id="5">
    <w:p w14:paraId="1EE6ED4A" w14:textId="7227278C" w:rsidR="00CE00A4" w:rsidRPr="009749C7" w:rsidRDefault="00CE00A4" w:rsidP="009749C7">
      <w:pPr>
        <w:pStyle w:val="FootnoteText"/>
        <w:tabs>
          <w:tab w:val="clear" w:pos="418"/>
          <w:tab w:val="right" w:pos="1195"/>
          <w:tab w:val="left" w:pos="1267"/>
          <w:tab w:val="left" w:pos="1742"/>
          <w:tab w:val="left" w:pos="2218"/>
          <w:tab w:val="left" w:pos="2693"/>
        </w:tabs>
        <w:ind w:left="1267" w:right="1260" w:hanging="576"/>
        <w:rPr>
          <w:spacing w:val="4"/>
          <w:lang w:val="fr-FR"/>
        </w:rPr>
      </w:pPr>
      <w:r>
        <w:rPr>
          <w:lang w:val="fr-FR"/>
        </w:rPr>
        <w:tab/>
      </w:r>
      <w:r w:rsidRPr="009749C7">
        <w:rPr>
          <w:spacing w:val="4"/>
          <w:vertAlign w:val="superscript"/>
          <w:lang w:val="fr-FR"/>
        </w:rPr>
        <w:footnoteRef/>
      </w:r>
      <w:r w:rsidRPr="009749C7">
        <w:rPr>
          <w:spacing w:val="4"/>
          <w:lang w:val="fr-FR"/>
        </w:rPr>
        <w:tab/>
        <w:t xml:space="preserve">Disponible à l’adresse suivante : </w:t>
      </w:r>
      <w:hyperlink r:id="rId5" w:history="1">
        <w:r w:rsidR="009749C7" w:rsidRPr="00B26372">
          <w:rPr>
            <w:rStyle w:val="Hyperlink"/>
            <w:spacing w:val="4"/>
            <w:lang w:val="fr-FR"/>
          </w:rPr>
          <w:t>https://www.asamblea.</w:t>
        </w:r>
        <w:r w:rsidR="009749C7" w:rsidRPr="00B26372">
          <w:rPr>
            <w:rStyle w:val="Hyperlink"/>
            <w:spacing w:val="4"/>
            <w:lang w:val="fr-FR"/>
          </w:rPr>
          <w:t>g</w:t>
        </w:r>
        <w:r w:rsidR="009749C7" w:rsidRPr="00B26372">
          <w:rPr>
            <w:rStyle w:val="Hyperlink"/>
            <w:spacing w:val="4"/>
            <w:lang w:val="fr-FR"/>
          </w:rPr>
          <w:t>ob.sv/sites/default/files/documents/</w:t>
        </w:r>
        <w:r w:rsidR="009749C7" w:rsidRPr="00B26372">
          <w:rPr>
            <w:rStyle w:val="Hyperlink"/>
            <w:spacing w:val="4"/>
            <w:lang w:val="fr-FR"/>
          </w:rPr>
          <w:br/>
          <w:t>decretos/5777FA91-1EE5-4439-BF31-F6EB422E31BC.pdf</w:t>
        </w:r>
      </w:hyperlink>
      <w:r w:rsidRPr="009749C7">
        <w:rPr>
          <w:spacing w:val="4"/>
          <w:lang w:val="fr-FR"/>
        </w:rPr>
        <w:t>.</w:t>
      </w:r>
    </w:p>
  </w:footnote>
  <w:footnote w:id="6">
    <w:p w14:paraId="1C29F605" w14:textId="21ED3440" w:rsidR="00CE00A4" w:rsidRPr="009749C7" w:rsidRDefault="00CE00A4" w:rsidP="009749C7">
      <w:pPr>
        <w:pStyle w:val="FootnoteText"/>
        <w:tabs>
          <w:tab w:val="clear" w:pos="418"/>
          <w:tab w:val="right" w:pos="1195"/>
          <w:tab w:val="left" w:pos="1267"/>
          <w:tab w:val="left" w:pos="1742"/>
          <w:tab w:val="left" w:pos="2218"/>
          <w:tab w:val="left" w:pos="2693"/>
        </w:tabs>
        <w:ind w:left="1267" w:right="1260" w:hanging="576"/>
        <w:rPr>
          <w:spacing w:val="4"/>
          <w:lang w:val="fr-FR"/>
        </w:rPr>
      </w:pPr>
      <w:r>
        <w:rPr>
          <w:lang w:val="fr-FR"/>
        </w:rPr>
        <w:tab/>
      </w:r>
      <w:r w:rsidRPr="009749C7">
        <w:rPr>
          <w:spacing w:val="4"/>
          <w:vertAlign w:val="superscript"/>
          <w:lang w:val="fr-FR"/>
        </w:rPr>
        <w:footnoteRef/>
      </w:r>
      <w:r w:rsidRPr="009749C7">
        <w:rPr>
          <w:spacing w:val="4"/>
          <w:lang w:val="fr-FR"/>
        </w:rPr>
        <w:tab/>
        <w:t xml:space="preserve">Disponibles à l’adresse suivante : </w:t>
      </w:r>
      <w:hyperlink r:id="rId6" w:history="1">
        <w:r w:rsidR="009749C7" w:rsidRPr="00B26372">
          <w:rPr>
            <w:rStyle w:val="Hyperlink"/>
            <w:spacing w:val="4"/>
            <w:lang w:val="fr-FR"/>
          </w:rPr>
          <w:t>https://www.asam</w:t>
        </w:r>
        <w:r w:rsidR="009749C7" w:rsidRPr="00B26372">
          <w:rPr>
            <w:rStyle w:val="Hyperlink"/>
            <w:spacing w:val="4"/>
            <w:lang w:val="fr-FR"/>
          </w:rPr>
          <w:t>b</w:t>
        </w:r>
        <w:r w:rsidR="009749C7" w:rsidRPr="00B26372">
          <w:rPr>
            <w:rStyle w:val="Hyperlink"/>
            <w:spacing w:val="4"/>
            <w:lang w:val="fr-FR"/>
          </w:rPr>
          <w:t>lea.gob.sv/sites/default/files/documents/</w:t>
        </w:r>
        <w:r w:rsidR="009749C7" w:rsidRPr="00B26372">
          <w:rPr>
            <w:rStyle w:val="Hyperlink"/>
            <w:spacing w:val="4"/>
            <w:lang w:val="fr-FR"/>
          </w:rPr>
          <w:br/>
          <w:t>decretos/6141982C-4614-4CF7-B658-D455A9A79616.pdf</w:t>
        </w:r>
      </w:hyperlink>
      <w:r w:rsidRPr="009749C7">
        <w:rPr>
          <w:spacing w:val="4"/>
          <w:lang w:val="fr-FR"/>
        </w:rPr>
        <w:t>.</w:t>
      </w:r>
    </w:p>
  </w:footnote>
  <w:footnote w:id="7">
    <w:p w14:paraId="10CFD1E5" w14:textId="52B0E6C8" w:rsidR="00CE00A4" w:rsidRPr="009749C7" w:rsidRDefault="00CE00A4" w:rsidP="009749C7">
      <w:pPr>
        <w:pStyle w:val="FootnoteText"/>
        <w:tabs>
          <w:tab w:val="clear" w:pos="418"/>
          <w:tab w:val="right" w:pos="1195"/>
          <w:tab w:val="left" w:pos="1267"/>
          <w:tab w:val="left" w:pos="1742"/>
          <w:tab w:val="left" w:pos="2218"/>
          <w:tab w:val="left" w:pos="2693"/>
        </w:tabs>
        <w:ind w:left="1267" w:right="1260" w:hanging="576"/>
        <w:rPr>
          <w:spacing w:val="4"/>
          <w:lang w:val="fr-FR"/>
        </w:rPr>
      </w:pPr>
      <w:r>
        <w:rPr>
          <w:lang w:val="fr-FR"/>
        </w:rPr>
        <w:tab/>
      </w:r>
      <w:r w:rsidRPr="009749C7">
        <w:rPr>
          <w:spacing w:val="4"/>
          <w:vertAlign w:val="superscript"/>
          <w:lang w:val="fr-FR"/>
        </w:rPr>
        <w:footnoteRef/>
      </w:r>
      <w:r w:rsidRPr="009749C7">
        <w:rPr>
          <w:spacing w:val="4"/>
          <w:lang w:val="fr-FR"/>
        </w:rPr>
        <w:tab/>
        <w:t xml:space="preserve">Disponibles à l’adresse suivante : </w:t>
      </w:r>
      <w:hyperlink r:id="rId7" w:history="1">
        <w:r w:rsidRPr="009749C7">
          <w:rPr>
            <w:rStyle w:val="Hyperlink"/>
            <w:spacing w:val="4"/>
            <w:lang w:val="fr-FR"/>
          </w:rPr>
          <w:t>https://www.transparenci</w:t>
        </w:r>
        <w:r w:rsidRPr="009749C7">
          <w:rPr>
            <w:rStyle w:val="Hyperlink"/>
            <w:spacing w:val="4"/>
            <w:lang w:val="fr-FR"/>
          </w:rPr>
          <w:t>a</w:t>
        </w:r>
        <w:r w:rsidRPr="009749C7">
          <w:rPr>
            <w:rStyle w:val="Hyperlink"/>
            <w:spacing w:val="4"/>
            <w:lang w:val="fr-FR"/>
          </w:rPr>
          <w:t>.gob.sv/institutions/instituto-salvadoreno-para-el-desarrollo-de-la-mujer/documents/otros-documentos-normativo</w:t>
        </w:r>
      </w:hyperlink>
      <w:r w:rsidRPr="009749C7">
        <w:rPr>
          <w:spacing w:val="4"/>
          <w:lang w:val="fr-FR"/>
        </w:rPr>
        <w:t>.</w:t>
      </w:r>
    </w:p>
  </w:footnote>
  <w:footnote w:id="8">
    <w:p w14:paraId="0FB3FAE3" w14:textId="75B21820" w:rsidR="00CE00A4" w:rsidRPr="009749C7" w:rsidRDefault="00CE00A4" w:rsidP="009749C7">
      <w:pPr>
        <w:pStyle w:val="FootnoteText"/>
        <w:tabs>
          <w:tab w:val="clear" w:pos="418"/>
          <w:tab w:val="right" w:pos="1195"/>
          <w:tab w:val="left" w:pos="1267"/>
          <w:tab w:val="left" w:pos="1742"/>
          <w:tab w:val="left" w:pos="2218"/>
          <w:tab w:val="left" w:pos="2693"/>
        </w:tabs>
        <w:ind w:left="1267" w:right="1260" w:hanging="576"/>
        <w:rPr>
          <w:spacing w:val="4"/>
          <w:lang w:val="fr-FR"/>
        </w:rPr>
      </w:pPr>
      <w:r>
        <w:rPr>
          <w:lang w:val="fr-FR"/>
        </w:rPr>
        <w:tab/>
      </w:r>
      <w:r w:rsidRPr="009749C7">
        <w:rPr>
          <w:spacing w:val="4"/>
          <w:vertAlign w:val="superscript"/>
          <w:lang w:val="fr-FR"/>
        </w:rPr>
        <w:footnoteRef/>
      </w:r>
      <w:r w:rsidRPr="009749C7">
        <w:rPr>
          <w:spacing w:val="4"/>
          <w:lang w:val="fr-FR"/>
        </w:rPr>
        <w:tab/>
        <w:t xml:space="preserve">Disponibles à l’adresse suivante : </w:t>
      </w:r>
      <w:hyperlink r:id="rId8" w:history="1">
        <w:r w:rsidRPr="009749C7">
          <w:rPr>
            <w:rStyle w:val="Hyperlink"/>
            <w:spacing w:val="4"/>
            <w:lang w:val="fr-FR"/>
          </w:rPr>
          <w:t>https://www.seg</w:t>
        </w:r>
        <w:r w:rsidRPr="009749C7">
          <w:rPr>
            <w:rStyle w:val="Hyperlink"/>
            <w:spacing w:val="4"/>
            <w:lang w:val="fr-FR"/>
          </w:rPr>
          <w:t>u</w:t>
        </w:r>
        <w:r w:rsidRPr="009749C7">
          <w:rPr>
            <w:rStyle w:val="Hyperlink"/>
            <w:spacing w:val="4"/>
            <w:lang w:val="fr-FR"/>
          </w:rPr>
          <w:t>ri</w:t>
        </w:r>
        <w:r w:rsidRPr="009749C7">
          <w:rPr>
            <w:rStyle w:val="Hyperlink"/>
            <w:spacing w:val="4"/>
            <w:lang w:val="fr-FR"/>
          </w:rPr>
          <w:t>d</w:t>
        </w:r>
        <w:r w:rsidRPr="009749C7">
          <w:rPr>
            <w:rStyle w:val="Hyperlink"/>
            <w:spacing w:val="4"/>
            <w:lang w:val="fr-FR"/>
          </w:rPr>
          <w:t>ad.gob.sv/dia/informe-de-hechos-de-violencia-contra-las-mujeres</w:t>
        </w:r>
      </w:hyperlink>
      <w:r w:rsidRPr="009749C7">
        <w:rPr>
          <w:spacing w:val="4"/>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E6E17" w14:paraId="516A3960" w14:textId="77777777" w:rsidTr="009E6E17">
      <w:trPr>
        <w:trHeight w:hRule="exact" w:val="864"/>
      </w:trPr>
      <w:tc>
        <w:tcPr>
          <w:tcW w:w="4920" w:type="dxa"/>
          <w:shd w:val="clear" w:color="auto" w:fill="auto"/>
          <w:vAlign w:val="bottom"/>
        </w:tcPr>
        <w:p w14:paraId="308A3F93" w14:textId="39C2A9D4" w:rsidR="009E6E17" w:rsidRPr="009E6E17" w:rsidRDefault="009E6E17" w:rsidP="009E6E1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0692">
            <w:rPr>
              <w:b/>
              <w:color w:val="000000"/>
            </w:rPr>
            <w:t>CEDAW/C/SLV/RQ/10</w:t>
          </w:r>
          <w:r>
            <w:rPr>
              <w:b/>
              <w:color w:val="000000"/>
            </w:rPr>
            <w:fldChar w:fldCharType="end"/>
          </w:r>
        </w:p>
      </w:tc>
      <w:tc>
        <w:tcPr>
          <w:tcW w:w="4920" w:type="dxa"/>
          <w:shd w:val="clear" w:color="auto" w:fill="auto"/>
          <w:vAlign w:val="bottom"/>
        </w:tcPr>
        <w:p w14:paraId="42B5BEEC" w14:textId="77777777" w:rsidR="009E6E17" w:rsidRDefault="009E6E17" w:rsidP="009E6E17">
          <w:pPr>
            <w:pStyle w:val="Header"/>
          </w:pPr>
        </w:p>
      </w:tc>
    </w:tr>
  </w:tbl>
  <w:p w14:paraId="17010605" w14:textId="77777777" w:rsidR="009E6E17" w:rsidRPr="009E6E17" w:rsidRDefault="009E6E17" w:rsidP="009E6E1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E6E17" w14:paraId="3B2F2876" w14:textId="77777777" w:rsidTr="009E6E17">
      <w:trPr>
        <w:trHeight w:hRule="exact" w:val="864"/>
      </w:trPr>
      <w:tc>
        <w:tcPr>
          <w:tcW w:w="4920" w:type="dxa"/>
          <w:shd w:val="clear" w:color="auto" w:fill="auto"/>
          <w:vAlign w:val="bottom"/>
        </w:tcPr>
        <w:p w14:paraId="61C545C8" w14:textId="77777777" w:rsidR="009E6E17" w:rsidRDefault="009E6E17" w:rsidP="009E6E17">
          <w:pPr>
            <w:pStyle w:val="Header"/>
          </w:pPr>
        </w:p>
      </w:tc>
      <w:tc>
        <w:tcPr>
          <w:tcW w:w="4920" w:type="dxa"/>
          <w:shd w:val="clear" w:color="auto" w:fill="auto"/>
          <w:vAlign w:val="bottom"/>
        </w:tcPr>
        <w:p w14:paraId="6812FADF" w14:textId="40F71FCB" w:rsidR="009E6E17" w:rsidRPr="009E6E17" w:rsidRDefault="009E6E17" w:rsidP="009E6E1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0692">
            <w:rPr>
              <w:b/>
              <w:color w:val="000000"/>
            </w:rPr>
            <w:t>CEDAW/C/SLV/RQ/10</w:t>
          </w:r>
          <w:r>
            <w:rPr>
              <w:b/>
              <w:color w:val="000000"/>
            </w:rPr>
            <w:fldChar w:fldCharType="end"/>
          </w:r>
        </w:p>
      </w:tc>
    </w:tr>
  </w:tbl>
  <w:p w14:paraId="7FAC569D" w14:textId="77777777" w:rsidR="009E6E17" w:rsidRPr="009E6E17" w:rsidRDefault="009E6E17" w:rsidP="009E6E1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E6E17" w14:paraId="188DC5F1" w14:textId="77777777" w:rsidTr="009E6E17">
      <w:trPr>
        <w:trHeight w:hRule="exact" w:val="864"/>
      </w:trPr>
      <w:tc>
        <w:tcPr>
          <w:tcW w:w="1267" w:type="dxa"/>
          <w:tcBorders>
            <w:bottom w:val="single" w:sz="4" w:space="0" w:color="auto"/>
          </w:tcBorders>
          <w:shd w:val="clear" w:color="auto" w:fill="auto"/>
          <w:vAlign w:val="bottom"/>
        </w:tcPr>
        <w:p w14:paraId="77485A7F" w14:textId="77777777" w:rsidR="009E6E17" w:rsidRDefault="009E6E17" w:rsidP="009E6E17">
          <w:pPr>
            <w:pStyle w:val="Header"/>
            <w:spacing w:after="120"/>
          </w:pPr>
        </w:p>
      </w:tc>
      <w:tc>
        <w:tcPr>
          <w:tcW w:w="2059" w:type="dxa"/>
          <w:tcBorders>
            <w:bottom w:val="single" w:sz="4" w:space="0" w:color="auto"/>
          </w:tcBorders>
          <w:shd w:val="clear" w:color="auto" w:fill="auto"/>
          <w:vAlign w:val="bottom"/>
        </w:tcPr>
        <w:p w14:paraId="2DC4B279" w14:textId="5C6CAD6C" w:rsidR="009E6E17" w:rsidRPr="009E6E17" w:rsidRDefault="009E6E17" w:rsidP="009E6E1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DFF9B01" w14:textId="77777777" w:rsidR="009E6E17" w:rsidRDefault="009E6E17" w:rsidP="009E6E17">
          <w:pPr>
            <w:pStyle w:val="Header"/>
            <w:spacing w:after="120"/>
          </w:pPr>
        </w:p>
      </w:tc>
      <w:tc>
        <w:tcPr>
          <w:tcW w:w="6466" w:type="dxa"/>
          <w:gridSpan w:val="3"/>
          <w:tcBorders>
            <w:bottom w:val="single" w:sz="4" w:space="0" w:color="auto"/>
          </w:tcBorders>
          <w:shd w:val="clear" w:color="auto" w:fill="auto"/>
          <w:vAlign w:val="bottom"/>
        </w:tcPr>
        <w:p w14:paraId="01EA6769" w14:textId="27B919A4" w:rsidR="009E6E17" w:rsidRPr="009E6E17" w:rsidRDefault="009E6E17" w:rsidP="009E6E17">
          <w:pPr>
            <w:spacing w:after="80" w:line="240" w:lineRule="auto"/>
            <w:jc w:val="right"/>
            <w:rPr>
              <w:position w:val="-4"/>
            </w:rPr>
          </w:pPr>
          <w:r>
            <w:rPr>
              <w:position w:val="-4"/>
              <w:sz w:val="40"/>
            </w:rPr>
            <w:t>CEDAW</w:t>
          </w:r>
          <w:r>
            <w:rPr>
              <w:position w:val="-4"/>
            </w:rPr>
            <w:t>/C/SLV/RQ/10</w:t>
          </w:r>
        </w:p>
      </w:tc>
    </w:tr>
    <w:tr w:rsidR="009E6E17" w:rsidRPr="009E6E17" w14:paraId="22922A47" w14:textId="77777777" w:rsidTr="009E6E17">
      <w:trPr>
        <w:trHeight w:hRule="exact" w:val="2880"/>
      </w:trPr>
      <w:tc>
        <w:tcPr>
          <w:tcW w:w="1267" w:type="dxa"/>
          <w:tcBorders>
            <w:top w:val="single" w:sz="4" w:space="0" w:color="auto"/>
            <w:bottom w:val="single" w:sz="12" w:space="0" w:color="auto"/>
          </w:tcBorders>
          <w:shd w:val="clear" w:color="auto" w:fill="auto"/>
        </w:tcPr>
        <w:p w14:paraId="11EF7B22" w14:textId="609D1087" w:rsidR="009E6E17" w:rsidRPr="009E6E17" w:rsidRDefault="009E6E17" w:rsidP="009E6E17">
          <w:pPr>
            <w:pStyle w:val="Header"/>
            <w:spacing w:before="120"/>
            <w:ind w:left="-72"/>
            <w:jc w:val="center"/>
          </w:pPr>
          <w:r>
            <w:t xml:space="preserve">  </w:t>
          </w:r>
          <w:r>
            <w:drawing>
              <wp:inline distT="0" distB="0" distL="0" distR="0" wp14:anchorId="048FFE36" wp14:editId="191E9CE7">
                <wp:extent cx="713232" cy="594360"/>
                <wp:effectExtent l="0" t="0" r="0" b="0"/>
                <wp:docPr id="1164376404" name="Picture 1"/>
                <wp:cNvGraphicFramePr/>
                <a:graphic xmlns:a="http://schemas.openxmlformats.org/drawingml/2006/main">
                  <a:graphicData uri="http://schemas.openxmlformats.org/drawingml/2006/picture">
                    <pic:pic xmlns:pic="http://schemas.openxmlformats.org/drawingml/2006/picture">
                      <pic:nvPicPr>
                        <pic:cNvPr id="116437640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5383E5" w14:textId="4675F8D3" w:rsidR="009E6E17" w:rsidRPr="009E6E17" w:rsidRDefault="009E6E17" w:rsidP="009E6E1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DF7B90A" w14:textId="77777777" w:rsidR="009E6E17" w:rsidRPr="00CE00A4" w:rsidRDefault="009E6E17" w:rsidP="009E6E17">
          <w:pPr>
            <w:pStyle w:val="Header"/>
            <w:spacing w:before="109"/>
            <w:rPr>
              <w:lang w:val="fr-CA"/>
            </w:rPr>
          </w:pPr>
        </w:p>
      </w:tc>
      <w:tc>
        <w:tcPr>
          <w:tcW w:w="3110" w:type="dxa"/>
          <w:tcBorders>
            <w:top w:val="single" w:sz="4" w:space="0" w:color="auto"/>
            <w:bottom w:val="single" w:sz="12" w:space="0" w:color="auto"/>
          </w:tcBorders>
          <w:shd w:val="clear" w:color="auto" w:fill="auto"/>
        </w:tcPr>
        <w:p w14:paraId="62687FA5" w14:textId="77777777" w:rsidR="009E6E17" w:rsidRPr="00CE00A4" w:rsidRDefault="009E6E17" w:rsidP="009E6E17">
          <w:pPr>
            <w:pStyle w:val="Distribution"/>
            <w:rPr>
              <w:color w:val="000000"/>
              <w:lang w:val="fr-CA"/>
            </w:rPr>
          </w:pPr>
          <w:r w:rsidRPr="00CE00A4">
            <w:rPr>
              <w:color w:val="000000"/>
              <w:lang w:val="fr-CA"/>
            </w:rPr>
            <w:t>Distr. générale</w:t>
          </w:r>
        </w:p>
        <w:p w14:paraId="0793ED63" w14:textId="77777777" w:rsidR="009E6E17" w:rsidRPr="00CE00A4" w:rsidRDefault="009E6E17" w:rsidP="009E6E17">
          <w:pPr>
            <w:pStyle w:val="Publication"/>
            <w:rPr>
              <w:color w:val="000000"/>
              <w:lang w:val="fr-CA"/>
            </w:rPr>
          </w:pPr>
          <w:r w:rsidRPr="00CE00A4">
            <w:rPr>
              <w:color w:val="000000"/>
              <w:lang w:val="fr-CA"/>
            </w:rPr>
            <w:t>25 mars 2025</w:t>
          </w:r>
        </w:p>
        <w:p w14:paraId="124AE2E4" w14:textId="77777777" w:rsidR="009E6E17" w:rsidRPr="00CE00A4" w:rsidRDefault="009E6E17" w:rsidP="009E6E17">
          <w:r w:rsidRPr="00CE00A4">
            <w:t>Français</w:t>
          </w:r>
        </w:p>
        <w:p w14:paraId="429CF039" w14:textId="64F3B8AE" w:rsidR="009E6E17" w:rsidRDefault="009E6E17" w:rsidP="009E6E17">
          <w:pPr>
            <w:pStyle w:val="Original"/>
            <w:rPr>
              <w:color w:val="000000"/>
              <w:lang w:val="fr-CA"/>
            </w:rPr>
          </w:pPr>
          <w:r w:rsidRPr="00CE00A4">
            <w:rPr>
              <w:color w:val="000000"/>
              <w:lang w:val="fr-CA"/>
            </w:rPr>
            <w:t>Original</w:t>
          </w:r>
          <w:r w:rsidR="00CE00A4">
            <w:rPr>
              <w:color w:val="000000"/>
              <w:lang w:val="fr-CA"/>
            </w:rPr>
            <w:t> </w:t>
          </w:r>
          <w:r w:rsidRPr="00CE00A4">
            <w:rPr>
              <w:color w:val="000000"/>
              <w:lang w:val="fr-CA"/>
            </w:rPr>
            <w:t>: espagnol</w:t>
          </w:r>
        </w:p>
        <w:p w14:paraId="63828E18" w14:textId="584BD00C" w:rsidR="00CE00A4" w:rsidRPr="00CE00A4" w:rsidRDefault="00CE00A4" w:rsidP="00CE00A4">
          <w:r w:rsidRPr="00CE00A4">
            <w:rPr>
              <w:lang w:val="fr-FR"/>
            </w:rPr>
            <w:t>Anglais, espagnol et français seulement</w:t>
          </w:r>
        </w:p>
      </w:tc>
    </w:tr>
  </w:tbl>
  <w:p w14:paraId="6E422248" w14:textId="77777777" w:rsidR="009E6E17" w:rsidRPr="00CE00A4" w:rsidRDefault="009E6E17" w:rsidP="009E6E17">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70782BD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5A688D8" w:tentative="1">
      <w:start w:val="1"/>
      <w:numFmt w:val="lowerLetter"/>
      <w:lvlText w:val="%2."/>
      <w:lvlJc w:val="left"/>
      <w:pPr>
        <w:tabs>
          <w:tab w:val="num" w:pos="1440"/>
        </w:tabs>
        <w:ind w:left="1440" w:hanging="360"/>
      </w:pPr>
    </w:lvl>
    <w:lvl w:ilvl="2" w:tplc="707A8730" w:tentative="1">
      <w:start w:val="1"/>
      <w:numFmt w:val="lowerRoman"/>
      <w:lvlText w:val="%3."/>
      <w:lvlJc w:val="right"/>
      <w:pPr>
        <w:tabs>
          <w:tab w:val="num" w:pos="2160"/>
        </w:tabs>
        <w:ind w:left="2160" w:hanging="180"/>
      </w:pPr>
    </w:lvl>
    <w:lvl w:ilvl="3" w:tplc="A2726112" w:tentative="1">
      <w:start w:val="1"/>
      <w:numFmt w:val="decimal"/>
      <w:lvlText w:val="%4."/>
      <w:lvlJc w:val="left"/>
      <w:pPr>
        <w:tabs>
          <w:tab w:val="num" w:pos="2880"/>
        </w:tabs>
        <w:ind w:left="2880" w:hanging="360"/>
      </w:pPr>
    </w:lvl>
    <w:lvl w:ilvl="4" w:tplc="79A08224" w:tentative="1">
      <w:start w:val="1"/>
      <w:numFmt w:val="lowerLetter"/>
      <w:lvlText w:val="%5."/>
      <w:lvlJc w:val="left"/>
      <w:pPr>
        <w:tabs>
          <w:tab w:val="num" w:pos="3600"/>
        </w:tabs>
        <w:ind w:left="3600" w:hanging="360"/>
      </w:pPr>
    </w:lvl>
    <w:lvl w:ilvl="5" w:tplc="444435C6" w:tentative="1">
      <w:start w:val="1"/>
      <w:numFmt w:val="lowerRoman"/>
      <w:lvlText w:val="%6."/>
      <w:lvlJc w:val="right"/>
      <w:pPr>
        <w:tabs>
          <w:tab w:val="num" w:pos="4320"/>
        </w:tabs>
        <w:ind w:left="4320" w:hanging="180"/>
      </w:pPr>
    </w:lvl>
    <w:lvl w:ilvl="6" w:tplc="7F60EDD0" w:tentative="1">
      <w:start w:val="1"/>
      <w:numFmt w:val="decimal"/>
      <w:lvlText w:val="%7."/>
      <w:lvlJc w:val="left"/>
      <w:pPr>
        <w:tabs>
          <w:tab w:val="num" w:pos="5040"/>
        </w:tabs>
        <w:ind w:left="5040" w:hanging="360"/>
      </w:pPr>
    </w:lvl>
    <w:lvl w:ilvl="7" w:tplc="CF34ADBA" w:tentative="1">
      <w:start w:val="1"/>
      <w:numFmt w:val="lowerLetter"/>
      <w:lvlText w:val="%8."/>
      <w:lvlJc w:val="left"/>
      <w:pPr>
        <w:tabs>
          <w:tab w:val="num" w:pos="5760"/>
        </w:tabs>
        <w:ind w:left="5760" w:hanging="360"/>
      </w:pPr>
    </w:lvl>
    <w:lvl w:ilvl="8" w:tplc="6218B9EE"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6A7743B"/>
    <w:multiLevelType w:val="hybridMultilevel"/>
    <w:tmpl w:val="165289D8"/>
    <w:lvl w:ilvl="0" w:tplc="910E3C94">
      <w:start w:val="1"/>
      <w:numFmt w:val="bullet"/>
      <w:pStyle w:val="Bullet2G"/>
      <w:lvlText w:val="•"/>
      <w:lvlJc w:val="left"/>
      <w:pPr>
        <w:tabs>
          <w:tab w:val="num" w:pos="2268"/>
        </w:tabs>
        <w:ind w:left="2268" w:hanging="170"/>
      </w:pPr>
      <w:rPr>
        <w:rFonts w:ascii="Times New Roman" w:hAnsi="Times New Roman" w:cs="Times New Roman" w:hint="default"/>
      </w:rPr>
    </w:lvl>
    <w:lvl w:ilvl="1" w:tplc="509E2AF0" w:tentative="1">
      <w:start w:val="1"/>
      <w:numFmt w:val="bullet"/>
      <w:lvlText w:val="o"/>
      <w:lvlJc w:val="left"/>
      <w:pPr>
        <w:tabs>
          <w:tab w:val="num" w:pos="1440"/>
        </w:tabs>
        <w:ind w:left="1440" w:hanging="360"/>
      </w:pPr>
      <w:rPr>
        <w:rFonts w:ascii="Courier New" w:hAnsi="Courier New" w:hint="default"/>
      </w:rPr>
    </w:lvl>
    <w:lvl w:ilvl="2" w:tplc="C51427CE" w:tentative="1">
      <w:start w:val="1"/>
      <w:numFmt w:val="bullet"/>
      <w:lvlText w:val=""/>
      <w:lvlJc w:val="left"/>
      <w:pPr>
        <w:tabs>
          <w:tab w:val="num" w:pos="2160"/>
        </w:tabs>
        <w:ind w:left="2160" w:hanging="360"/>
      </w:pPr>
      <w:rPr>
        <w:rFonts w:ascii="Wingdings" w:hAnsi="Wingdings" w:hint="default"/>
      </w:rPr>
    </w:lvl>
    <w:lvl w:ilvl="3" w:tplc="977E41DC" w:tentative="1">
      <w:start w:val="1"/>
      <w:numFmt w:val="bullet"/>
      <w:lvlText w:val=""/>
      <w:lvlJc w:val="left"/>
      <w:pPr>
        <w:tabs>
          <w:tab w:val="num" w:pos="2880"/>
        </w:tabs>
        <w:ind w:left="2880" w:hanging="360"/>
      </w:pPr>
      <w:rPr>
        <w:rFonts w:ascii="Symbol" w:hAnsi="Symbol" w:hint="default"/>
      </w:rPr>
    </w:lvl>
    <w:lvl w:ilvl="4" w:tplc="29806A32" w:tentative="1">
      <w:start w:val="1"/>
      <w:numFmt w:val="bullet"/>
      <w:lvlText w:val="o"/>
      <w:lvlJc w:val="left"/>
      <w:pPr>
        <w:tabs>
          <w:tab w:val="num" w:pos="3600"/>
        </w:tabs>
        <w:ind w:left="3600" w:hanging="360"/>
      </w:pPr>
      <w:rPr>
        <w:rFonts w:ascii="Courier New" w:hAnsi="Courier New" w:hint="default"/>
      </w:rPr>
    </w:lvl>
    <w:lvl w:ilvl="5" w:tplc="731EC062" w:tentative="1">
      <w:start w:val="1"/>
      <w:numFmt w:val="bullet"/>
      <w:lvlText w:val=""/>
      <w:lvlJc w:val="left"/>
      <w:pPr>
        <w:tabs>
          <w:tab w:val="num" w:pos="4320"/>
        </w:tabs>
        <w:ind w:left="4320" w:hanging="360"/>
      </w:pPr>
      <w:rPr>
        <w:rFonts w:ascii="Wingdings" w:hAnsi="Wingdings" w:hint="default"/>
      </w:rPr>
    </w:lvl>
    <w:lvl w:ilvl="6" w:tplc="12CA40B2" w:tentative="1">
      <w:start w:val="1"/>
      <w:numFmt w:val="bullet"/>
      <w:lvlText w:val=""/>
      <w:lvlJc w:val="left"/>
      <w:pPr>
        <w:tabs>
          <w:tab w:val="num" w:pos="5040"/>
        </w:tabs>
        <w:ind w:left="5040" w:hanging="360"/>
      </w:pPr>
      <w:rPr>
        <w:rFonts w:ascii="Symbol" w:hAnsi="Symbol" w:hint="default"/>
      </w:rPr>
    </w:lvl>
    <w:lvl w:ilvl="7" w:tplc="75DC1C58" w:tentative="1">
      <w:start w:val="1"/>
      <w:numFmt w:val="bullet"/>
      <w:lvlText w:val="o"/>
      <w:lvlJc w:val="left"/>
      <w:pPr>
        <w:tabs>
          <w:tab w:val="num" w:pos="5760"/>
        </w:tabs>
        <w:ind w:left="5760" w:hanging="360"/>
      </w:pPr>
      <w:rPr>
        <w:rFonts w:ascii="Courier New" w:hAnsi="Courier New" w:hint="default"/>
      </w:rPr>
    </w:lvl>
    <w:lvl w:ilvl="8" w:tplc="E5DE286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4"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53310F"/>
    <w:multiLevelType w:val="multilevel"/>
    <w:tmpl w:val="4CBA0CF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15:restartNumberingAfterBreak="0">
    <w:nsid w:val="545F7969"/>
    <w:multiLevelType w:val="singleLevel"/>
    <w:tmpl w:val="FCDADF60"/>
    <w:lvl w:ilvl="0">
      <w:start w:val="1"/>
      <w:numFmt w:val="decimal"/>
      <w:lvlRestart w:val="0"/>
      <w:lvlText w:val="%1."/>
      <w:lvlJc w:val="left"/>
      <w:pPr>
        <w:tabs>
          <w:tab w:val="num" w:pos="475"/>
        </w:tabs>
        <w:ind w:left="0" w:firstLine="0"/>
      </w:pPr>
      <w:rPr>
        <w:w w:val="100"/>
      </w:rPr>
    </w:lvl>
  </w:abstractNum>
  <w:abstractNum w:abstractNumId="18"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9"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6AFD3DE4"/>
    <w:multiLevelType w:val="hybridMultilevel"/>
    <w:tmpl w:val="569E52D4"/>
    <w:lvl w:ilvl="0" w:tplc="C7A206EC">
      <w:start w:val="1"/>
      <w:numFmt w:val="bullet"/>
      <w:pStyle w:val="Bullet1G"/>
      <w:lvlText w:val="•"/>
      <w:lvlJc w:val="left"/>
      <w:pPr>
        <w:tabs>
          <w:tab w:val="num" w:pos="1701"/>
        </w:tabs>
        <w:ind w:left="1701" w:hanging="170"/>
      </w:pPr>
      <w:rPr>
        <w:rFonts w:ascii="Times New Roman" w:hAnsi="Times New Roman" w:cs="Times New Roman" w:hint="default"/>
      </w:rPr>
    </w:lvl>
    <w:lvl w:ilvl="1" w:tplc="F2820E12" w:tentative="1">
      <w:start w:val="1"/>
      <w:numFmt w:val="bullet"/>
      <w:lvlText w:val="o"/>
      <w:lvlJc w:val="left"/>
      <w:pPr>
        <w:tabs>
          <w:tab w:val="num" w:pos="1440"/>
        </w:tabs>
        <w:ind w:left="1440" w:hanging="360"/>
      </w:pPr>
      <w:rPr>
        <w:rFonts w:ascii="Courier New" w:hAnsi="Courier New" w:hint="default"/>
      </w:rPr>
    </w:lvl>
    <w:lvl w:ilvl="2" w:tplc="0E6E0690" w:tentative="1">
      <w:start w:val="1"/>
      <w:numFmt w:val="bullet"/>
      <w:lvlText w:val=""/>
      <w:lvlJc w:val="left"/>
      <w:pPr>
        <w:tabs>
          <w:tab w:val="num" w:pos="2160"/>
        </w:tabs>
        <w:ind w:left="2160" w:hanging="360"/>
      </w:pPr>
      <w:rPr>
        <w:rFonts w:ascii="Wingdings" w:hAnsi="Wingdings" w:hint="default"/>
      </w:rPr>
    </w:lvl>
    <w:lvl w:ilvl="3" w:tplc="2FAC4B98" w:tentative="1">
      <w:start w:val="1"/>
      <w:numFmt w:val="bullet"/>
      <w:lvlText w:val=""/>
      <w:lvlJc w:val="left"/>
      <w:pPr>
        <w:tabs>
          <w:tab w:val="num" w:pos="2880"/>
        </w:tabs>
        <w:ind w:left="2880" w:hanging="360"/>
      </w:pPr>
      <w:rPr>
        <w:rFonts w:ascii="Symbol" w:hAnsi="Symbol" w:hint="default"/>
      </w:rPr>
    </w:lvl>
    <w:lvl w:ilvl="4" w:tplc="798A2C20" w:tentative="1">
      <w:start w:val="1"/>
      <w:numFmt w:val="bullet"/>
      <w:lvlText w:val="o"/>
      <w:lvlJc w:val="left"/>
      <w:pPr>
        <w:tabs>
          <w:tab w:val="num" w:pos="3600"/>
        </w:tabs>
        <w:ind w:left="3600" w:hanging="360"/>
      </w:pPr>
      <w:rPr>
        <w:rFonts w:ascii="Courier New" w:hAnsi="Courier New" w:hint="default"/>
      </w:rPr>
    </w:lvl>
    <w:lvl w:ilvl="5" w:tplc="35428586" w:tentative="1">
      <w:start w:val="1"/>
      <w:numFmt w:val="bullet"/>
      <w:lvlText w:val=""/>
      <w:lvlJc w:val="left"/>
      <w:pPr>
        <w:tabs>
          <w:tab w:val="num" w:pos="4320"/>
        </w:tabs>
        <w:ind w:left="4320" w:hanging="360"/>
      </w:pPr>
      <w:rPr>
        <w:rFonts w:ascii="Wingdings" w:hAnsi="Wingdings" w:hint="default"/>
      </w:rPr>
    </w:lvl>
    <w:lvl w:ilvl="6" w:tplc="E174C578" w:tentative="1">
      <w:start w:val="1"/>
      <w:numFmt w:val="bullet"/>
      <w:lvlText w:val=""/>
      <w:lvlJc w:val="left"/>
      <w:pPr>
        <w:tabs>
          <w:tab w:val="num" w:pos="5040"/>
        </w:tabs>
        <w:ind w:left="5040" w:hanging="360"/>
      </w:pPr>
      <w:rPr>
        <w:rFonts w:ascii="Symbol" w:hAnsi="Symbol" w:hint="default"/>
      </w:rPr>
    </w:lvl>
    <w:lvl w:ilvl="7" w:tplc="12407618" w:tentative="1">
      <w:start w:val="1"/>
      <w:numFmt w:val="bullet"/>
      <w:lvlText w:val="o"/>
      <w:lvlJc w:val="left"/>
      <w:pPr>
        <w:tabs>
          <w:tab w:val="num" w:pos="5760"/>
        </w:tabs>
        <w:ind w:left="5760" w:hanging="360"/>
      </w:pPr>
      <w:rPr>
        <w:rFonts w:ascii="Courier New" w:hAnsi="Courier New" w:hint="default"/>
      </w:rPr>
    </w:lvl>
    <w:lvl w:ilvl="8" w:tplc="020CE50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0907156">
    <w:abstractNumId w:val="14"/>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11"/>
  </w:num>
  <w:num w:numId="8" w16cid:durableId="1414357132">
    <w:abstractNumId w:val="15"/>
  </w:num>
  <w:num w:numId="9" w16cid:durableId="1049649776">
    <w:abstractNumId w:val="19"/>
  </w:num>
  <w:num w:numId="10" w16cid:durableId="615404675">
    <w:abstractNumId w:val="13"/>
  </w:num>
  <w:num w:numId="11" w16cid:durableId="1833641194">
    <w:abstractNumId w:val="22"/>
  </w:num>
  <w:num w:numId="12" w16cid:durableId="2107577077">
    <w:abstractNumId w:val="21"/>
  </w:num>
  <w:num w:numId="13" w16cid:durableId="1875385026">
    <w:abstractNumId w:val="18"/>
  </w:num>
  <w:num w:numId="14" w16cid:durableId="809663990">
    <w:abstractNumId w:val="20"/>
  </w:num>
  <w:num w:numId="15" w16cid:durableId="364797662">
    <w:abstractNumId w:val="12"/>
  </w:num>
  <w:num w:numId="16" w16cid:durableId="1618170879">
    <w:abstractNumId w:val="9"/>
  </w:num>
  <w:num w:numId="17" w16cid:durableId="308705293">
    <w:abstractNumId w:val="7"/>
  </w:num>
  <w:num w:numId="18" w16cid:durableId="801462968">
    <w:abstractNumId w:val="6"/>
  </w:num>
  <w:num w:numId="19" w16cid:durableId="247155683">
    <w:abstractNumId w:val="5"/>
  </w:num>
  <w:num w:numId="20" w16cid:durableId="936406512">
    <w:abstractNumId w:val="4"/>
  </w:num>
  <w:num w:numId="21" w16cid:durableId="1514341425">
    <w:abstractNumId w:val="10"/>
  </w:num>
  <w:num w:numId="22" w16cid:durableId="1048183282">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504808*"/>
    <w:docVar w:name="CreationDt" w:val="29/05/2025 16:23:06"/>
    <w:docVar w:name="DocCategory" w:val="Doc"/>
    <w:docVar w:name="DocType" w:val="Final"/>
    <w:docVar w:name="DutyStation" w:val="New York"/>
    <w:docVar w:name="FooterJN" w:val="25-04808"/>
    <w:docVar w:name="jobn" w:val="25-04808 (F)"/>
    <w:docVar w:name="jobnDT" w:val="25-04808 (F)   290525"/>
    <w:docVar w:name="jobnDTDT" w:val="25-04808 (F)   290525   290525"/>
    <w:docVar w:name="JobNo" w:val="2504808F"/>
    <w:docVar w:name="JobNo2" w:val="2507743F"/>
    <w:docVar w:name="LocalDrive" w:val="-1"/>
    <w:docVar w:name="OandT" w:val="nfa"/>
    <w:docVar w:name="Session1" w:val="Quatre-vingt-douzième session_x000d_"/>
    <w:docVar w:name="sss1" w:val="CEDAW/C/SLV/RQ/10"/>
    <w:docVar w:name="sss2" w:val="-"/>
    <w:docVar w:name="Symbol1" w:val="CEDAW/C/SLV/RQ/10"/>
    <w:docVar w:name="Symbol2" w:val="-"/>
    <w:docVar w:name="Title1" w:val="_x0009__x0009_Réponses d’El Salvador à la liste de points et de questions concernant son dixième rapport périodique*_x000d_"/>
  </w:docVars>
  <w:rsids>
    <w:rsidRoot w:val="00CE7544"/>
    <w:rsid w:val="00001169"/>
    <w:rsid w:val="00002A94"/>
    <w:rsid w:val="00004ECF"/>
    <w:rsid w:val="00016047"/>
    <w:rsid w:val="00054E80"/>
    <w:rsid w:val="00075361"/>
    <w:rsid w:val="000823EA"/>
    <w:rsid w:val="00083487"/>
    <w:rsid w:val="000860E4"/>
    <w:rsid w:val="00094AA8"/>
    <w:rsid w:val="000C26DB"/>
    <w:rsid w:val="000D0172"/>
    <w:rsid w:val="000D5A4F"/>
    <w:rsid w:val="000E40AE"/>
    <w:rsid w:val="000E5083"/>
    <w:rsid w:val="00101B6D"/>
    <w:rsid w:val="00103A63"/>
    <w:rsid w:val="00107887"/>
    <w:rsid w:val="0011259D"/>
    <w:rsid w:val="001167DA"/>
    <w:rsid w:val="0013302C"/>
    <w:rsid w:val="00137809"/>
    <w:rsid w:val="00165A6F"/>
    <w:rsid w:val="00184265"/>
    <w:rsid w:val="00191DE8"/>
    <w:rsid w:val="001959B3"/>
    <w:rsid w:val="001A4C69"/>
    <w:rsid w:val="001A6CB3"/>
    <w:rsid w:val="001C58CB"/>
    <w:rsid w:val="001D1551"/>
    <w:rsid w:val="001E2E2E"/>
    <w:rsid w:val="001F6745"/>
    <w:rsid w:val="00202DB7"/>
    <w:rsid w:val="00214E92"/>
    <w:rsid w:val="00224767"/>
    <w:rsid w:val="00247400"/>
    <w:rsid w:val="002701F8"/>
    <w:rsid w:val="00273415"/>
    <w:rsid w:val="002751A5"/>
    <w:rsid w:val="00277425"/>
    <w:rsid w:val="00292269"/>
    <w:rsid w:val="002959FB"/>
    <w:rsid w:val="002B40AA"/>
    <w:rsid w:val="002D11E8"/>
    <w:rsid w:val="002E0DC3"/>
    <w:rsid w:val="002E41B1"/>
    <w:rsid w:val="00306A72"/>
    <w:rsid w:val="00310242"/>
    <w:rsid w:val="00331D20"/>
    <w:rsid w:val="00335EEC"/>
    <w:rsid w:val="0034115F"/>
    <w:rsid w:val="003502A2"/>
    <w:rsid w:val="00361DD3"/>
    <w:rsid w:val="00365FD7"/>
    <w:rsid w:val="003867C4"/>
    <w:rsid w:val="0039531A"/>
    <w:rsid w:val="003A0B75"/>
    <w:rsid w:val="003A58F4"/>
    <w:rsid w:val="003E22BA"/>
    <w:rsid w:val="003F4BC5"/>
    <w:rsid w:val="00402318"/>
    <w:rsid w:val="004245ED"/>
    <w:rsid w:val="004630E8"/>
    <w:rsid w:val="004663E3"/>
    <w:rsid w:val="00470B89"/>
    <w:rsid w:val="004745F8"/>
    <w:rsid w:val="00495E7B"/>
    <w:rsid w:val="0049669D"/>
    <w:rsid w:val="004A75C9"/>
    <w:rsid w:val="004B2331"/>
    <w:rsid w:val="004C75E8"/>
    <w:rsid w:val="004C7753"/>
    <w:rsid w:val="004D0BFE"/>
    <w:rsid w:val="004E0D18"/>
    <w:rsid w:val="004E725D"/>
    <w:rsid w:val="004F5722"/>
    <w:rsid w:val="00537372"/>
    <w:rsid w:val="00541A10"/>
    <w:rsid w:val="0054211F"/>
    <w:rsid w:val="005610B1"/>
    <w:rsid w:val="00565C3E"/>
    <w:rsid w:val="00570B94"/>
    <w:rsid w:val="0058638C"/>
    <w:rsid w:val="00587AAF"/>
    <w:rsid w:val="005A0114"/>
    <w:rsid w:val="005B726A"/>
    <w:rsid w:val="005E02EA"/>
    <w:rsid w:val="005F0140"/>
    <w:rsid w:val="005F1AE9"/>
    <w:rsid w:val="00604EFD"/>
    <w:rsid w:val="00605319"/>
    <w:rsid w:val="006103E6"/>
    <w:rsid w:val="0061639A"/>
    <w:rsid w:val="006474D4"/>
    <w:rsid w:val="006632F4"/>
    <w:rsid w:val="00671158"/>
    <w:rsid w:val="00674421"/>
    <w:rsid w:val="00682D06"/>
    <w:rsid w:val="006C2CD4"/>
    <w:rsid w:val="006D15AE"/>
    <w:rsid w:val="006D1CFC"/>
    <w:rsid w:val="006E1292"/>
    <w:rsid w:val="006E3F7D"/>
    <w:rsid w:val="006F3AAC"/>
    <w:rsid w:val="00703714"/>
    <w:rsid w:val="00720DEC"/>
    <w:rsid w:val="00737C7D"/>
    <w:rsid w:val="00766076"/>
    <w:rsid w:val="00766BDF"/>
    <w:rsid w:val="00776CD6"/>
    <w:rsid w:val="007A6393"/>
    <w:rsid w:val="007D5AF1"/>
    <w:rsid w:val="008138CB"/>
    <w:rsid w:val="008230E4"/>
    <w:rsid w:val="00826D1E"/>
    <w:rsid w:val="0083250A"/>
    <w:rsid w:val="008346FF"/>
    <w:rsid w:val="008419E9"/>
    <w:rsid w:val="008462E7"/>
    <w:rsid w:val="008614D7"/>
    <w:rsid w:val="0086271C"/>
    <w:rsid w:val="00863195"/>
    <w:rsid w:val="00863B0B"/>
    <w:rsid w:val="00877270"/>
    <w:rsid w:val="00880466"/>
    <w:rsid w:val="008C0B6F"/>
    <w:rsid w:val="008D1FDB"/>
    <w:rsid w:val="008D5D53"/>
    <w:rsid w:val="008F24CF"/>
    <w:rsid w:val="008F5D39"/>
    <w:rsid w:val="009016B7"/>
    <w:rsid w:val="00901AA1"/>
    <w:rsid w:val="00910117"/>
    <w:rsid w:val="00920901"/>
    <w:rsid w:val="00943975"/>
    <w:rsid w:val="00963926"/>
    <w:rsid w:val="0096634F"/>
    <w:rsid w:val="00971243"/>
    <w:rsid w:val="009749C7"/>
    <w:rsid w:val="0097612C"/>
    <w:rsid w:val="0099463F"/>
    <w:rsid w:val="009A214D"/>
    <w:rsid w:val="009C5632"/>
    <w:rsid w:val="009D394E"/>
    <w:rsid w:val="009D56BA"/>
    <w:rsid w:val="009E6E17"/>
    <w:rsid w:val="00A135FD"/>
    <w:rsid w:val="00A326CB"/>
    <w:rsid w:val="00A46C1C"/>
    <w:rsid w:val="00A50657"/>
    <w:rsid w:val="00A62205"/>
    <w:rsid w:val="00A70692"/>
    <w:rsid w:val="00A77F41"/>
    <w:rsid w:val="00A77F76"/>
    <w:rsid w:val="00A80DE4"/>
    <w:rsid w:val="00A96458"/>
    <w:rsid w:val="00AA29EE"/>
    <w:rsid w:val="00AC09A3"/>
    <w:rsid w:val="00AC0EC0"/>
    <w:rsid w:val="00AC1D2D"/>
    <w:rsid w:val="00B06285"/>
    <w:rsid w:val="00B27698"/>
    <w:rsid w:val="00B32148"/>
    <w:rsid w:val="00B50AA2"/>
    <w:rsid w:val="00B777CE"/>
    <w:rsid w:val="00B85A6F"/>
    <w:rsid w:val="00B901FD"/>
    <w:rsid w:val="00B90CED"/>
    <w:rsid w:val="00B91D20"/>
    <w:rsid w:val="00B976F9"/>
    <w:rsid w:val="00BB3636"/>
    <w:rsid w:val="00BC2C8A"/>
    <w:rsid w:val="00BC315D"/>
    <w:rsid w:val="00BC56B0"/>
    <w:rsid w:val="00BC5819"/>
    <w:rsid w:val="00BD1E04"/>
    <w:rsid w:val="00BD310A"/>
    <w:rsid w:val="00BE6787"/>
    <w:rsid w:val="00C00A9E"/>
    <w:rsid w:val="00C03DD3"/>
    <w:rsid w:val="00C26AC0"/>
    <w:rsid w:val="00C46199"/>
    <w:rsid w:val="00C4770C"/>
    <w:rsid w:val="00C4776A"/>
    <w:rsid w:val="00C85DD8"/>
    <w:rsid w:val="00C86348"/>
    <w:rsid w:val="00CA3AF2"/>
    <w:rsid w:val="00CC1377"/>
    <w:rsid w:val="00CC2D86"/>
    <w:rsid w:val="00CD4C17"/>
    <w:rsid w:val="00CE00A4"/>
    <w:rsid w:val="00CE7544"/>
    <w:rsid w:val="00CF1AE2"/>
    <w:rsid w:val="00CF32ED"/>
    <w:rsid w:val="00CF411F"/>
    <w:rsid w:val="00D0297A"/>
    <w:rsid w:val="00D207EA"/>
    <w:rsid w:val="00D23FFB"/>
    <w:rsid w:val="00D409D0"/>
    <w:rsid w:val="00D4792C"/>
    <w:rsid w:val="00D51342"/>
    <w:rsid w:val="00D535CF"/>
    <w:rsid w:val="00D65983"/>
    <w:rsid w:val="00D907FC"/>
    <w:rsid w:val="00D91A05"/>
    <w:rsid w:val="00DA3C54"/>
    <w:rsid w:val="00DB0712"/>
    <w:rsid w:val="00DC33C2"/>
    <w:rsid w:val="00DD27A8"/>
    <w:rsid w:val="00DF65E3"/>
    <w:rsid w:val="00E02569"/>
    <w:rsid w:val="00E129F2"/>
    <w:rsid w:val="00E26243"/>
    <w:rsid w:val="00E329F4"/>
    <w:rsid w:val="00E548DF"/>
    <w:rsid w:val="00E8036E"/>
    <w:rsid w:val="00EA1351"/>
    <w:rsid w:val="00EA169A"/>
    <w:rsid w:val="00EA1709"/>
    <w:rsid w:val="00EA5B4B"/>
    <w:rsid w:val="00EA6D46"/>
    <w:rsid w:val="00EC7936"/>
    <w:rsid w:val="00ED2C97"/>
    <w:rsid w:val="00EF2580"/>
    <w:rsid w:val="00EF5A33"/>
    <w:rsid w:val="00EF70FA"/>
    <w:rsid w:val="00F06A43"/>
    <w:rsid w:val="00F223EF"/>
    <w:rsid w:val="00F23658"/>
    <w:rsid w:val="00F529C5"/>
    <w:rsid w:val="00F52F8D"/>
    <w:rsid w:val="00F5780D"/>
    <w:rsid w:val="00F930F6"/>
    <w:rsid w:val="00F95E56"/>
    <w:rsid w:val="00FC6A83"/>
    <w:rsid w:val="00FF2B6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FAAAC"/>
  <w15:chartTrackingRefBased/>
  <w15:docId w15:val="{025D8AC9-FE20-4661-A0F4-FEB96F335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aliases w:val="Cuadro_G"/>
    <w:basedOn w:val="Normal"/>
    <w:next w:val="Normal"/>
    <w:link w:val="Heading1Char"/>
    <w:qFormat/>
    <w:rsid w:val="00495E7B"/>
    <w:pPr>
      <w:keepNext/>
      <w:numPr>
        <w:numId w:val="13"/>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13"/>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13"/>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13"/>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13"/>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13"/>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13"/>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13"/>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13"/>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aliases w:val="3_G"/>
    <w:link w:val="FooterChar"/>
    <w:qFormat/>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9"/>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C46199"/>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C46199"/>
  </w:style>
  <w:style w:type="character" w:customStyle="1" w:styleId="EndnoteTextChar">
    <w:name w:val="Endnote Text Char"/>
    <w:aliases w:val="2_G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C46199"/>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Cuadro_G Char"/>
    <w:link w:val="Heading1"/>
    <w:rsid w:val="00495E7B"/>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szCs w:val="20"/>
      <w:lang w:val="fr-CA" w:eastAsia="en-US"/>
    </w:rPr>
  </w:style>
  <w:style w:type="paragraph" w:styleId="ListContinue">
    <w:name w:val="List Continue"/>
    <w:basedOn w:val="Normal"/>
    <w:semiHidden/>
    <w:rsid w:val="009D56BA"/>
    <w:pPr>
      <w:spacing w:after="120"/>
      <w:ind w:left="360"/>
      <w:contextualSpacing/>
    </w:pPr>
    <w:rPr>
      <w:rFonts w:cstheme="minorBidi"/>
      <w:lang w:val="ru-RU"/>
    </w:rPr>
  </w:style>
  <w:style w:type="paragraph" w:styleId="ListContinue2">
    <w:name w:val="List Continue 2"/>
    <w:basedOn w:val="Normal"/>
    <w:next w:val="Normal"/>
    <w:rsid w:val="009D56BA"/>
    <w:pPr>
      <w:numPr>
        <w:numId w:val="1"/>
      </w:numPr>
      <w:tabs>
        <w:tab w:val="left" w:pos="792"/>
      </w:tabs>
      <w:spacing w:after="120"/>
    </w:pPr>
    <w:rPr>
      <w:rFonts w:cstheme="minorBidi"/>
      <w:lang w:val="ru-RU"/>
    </w:rPr>
  </w:style>
  <w:style w:type="paragraph" w:styleId="ListNumber">
    <w:name w:val="List Number"/>
    <w:basedOn w:val="H1"/>
    <w:next w:val="Normal"/>
    <w:rsid w:val="009D56BA"/>
    <w:pPr>
      <w:numPr>
        <w:numId w:val="2"/>
      </w:numPr>
      <w:contextualSpacing/>
    </w:pPr>
  </w:style>
  <w:style w:type="paragraph" w:styleId="ListNumber2">
    <w:name w:val="List Number 2"/>
    <w:basedOn w:val="H23"/>
    <w:next w:val="Normal"/>
    <w:rsid w:val="009D56BA"/>
    <w:pPr>
      <w:numPr>
        <w:numId w:val="3"/>
      </w:numPr>
      <w:tabs>
        <w:tab w:val="left" w:pos="648"/>
      </w:tabs>
      <w:contextualSpacing/>
    </w:pPr>
  </w:style>
  <w:style w:type="paragraph" w:styleId="ListNumber3">
    <w:name w:val="List Number 3"/>
    <w:basedOn w:val="H23"/>
    <w:next w:val="Normal"/>
    <w:rsid w:val="009D56BA"/>
    <w:pPr>
      <w:numPr>
        <w:numId w:val="4"/>
      </w:numPr>
      <w:tabs>
        <w:tab w:val="left" w:pos="922"/>
      </w:tabs>
      <w:contextualSpacing/>
    </w:pPr>
  </w:style>
  <w:style w:type="paragraph" w:styleId="ListNumber4">
    <w:name w:val="List Number 4"/>
    <w:basedOn w:val="Normal"/>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fr-CA"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fr-CA"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fr-CA"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fr-CA"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fr-CA"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fr-CA"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qFormat/>
    <w:rsid w:val="00CE75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544"/>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qFormat/>
    <w:rsid w:val="00CE754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544"/>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CE754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7544"/>
    <w:rPr>
      <w:rFonts w:ascii="Times New Roman" w:eastAsiaTheme="minorHAnsi" w:hAnsi="Times New Roman" w:cs="Times New Roman"/>
      <w:i/>
      <w:iCs/>
      <w:color w:val="404040" w:themeColor="text1" w:themeTint="BF"/>
      <w:spacing w:val="4"/>
      <w:w w:val="103"/>
      <w:kern w:val="14"/>
      <w:sz w:val="20"/>
      <w:szCs w:val="20"/>
      <w:lang w:val="fr-CA" w:eastAsia="en-US"/>
    </w:rPr>
  </w:style>
  <w:style w:type="paragraph" w:styleId="ListParagraph">
    <w:name w:val="List Paragraph"/>
    <w:basedOn w:val="Normal"/>
    <w:uiPriority w:val="34"/>
    <w:qFormat/>
    <w:rsid w:val="00CE7544"/>
    <w:pPr>
      <w:ind w:left="720"/>
      <w:contextualSpacing/>
    </w:pPr>
  </w:style>
  <w:style w:type="character" w:styleId="IntenseEmphasis">
    <w:name w:val="Intense Emphasis"/>
    <w:basedOn w:val="DefaultParagraphFont"/>
    <w:uiPriority w:val="21"/>
    <w:qFormat/>
    <w:rsid w:val="00CE7544"/>
    <w:rPr>
      <w:i/>
      <w:iCs/>
      <w:color w:val="2F5496" w:themeColor="accent1" w:themeShade="BF"/>
    </w:rPr>
  </w:style>
  <w:style w:type="paragraph" w:styleId="IntenseQuote">
    <w:name w:val="Intense Quote"/>
    <w:basedOn w:val="Normal"/>
    <w:next w:val="Normal"/>
    <w:link w:val="IntenseQuoteChar"/>
    <w:uiPriority w:val="30"/>
    <w:qFormat/>
    <w:rsid w:val="00CE75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7544"/>
    <w:rPr>
      <w:rFonts w:ascii="Times New Roman" w:eastAsiaTheme="minorHAnsi" w:hAnsi="Times New Roman" w:cs="Times New Roman"/>
      <w:i/>
      <w:iCs/>
      <w:color w:val="2F5496" w:themeColor="accent1" w:themeShade="BF"/>
      <w:spacing w:val="4"/>
      <w:w w:val="103"/>
      <w:kern w:val="14"/>
      <w:sz w:val="20"/>
      <w:szCs w:val="20"/>
      <w:lang w:val="fr-CA" w:eastAsia="en-US"/>
    </w:rPr>
  </w:style>
  <w:style w:type="character" w:styleId="IntenseReference">
    <w:name w:val="Intense Reference"/>
    <w:basedOn w:val="DefaultParagraphFont"/>
    <w:uiPriority w:val="32"/>
    <w:qFormat/>
    <w:rsid w:val="00CE7544"/>
    <w:rPr>
      <w:b/>
      <w:bCs/>
      <w:smallCaps/>
      <w:color w:val="2F5496" w:themeColor="accent1" w:themeShade="BF"/>
      <w:spacing w:val="5"/>
    </w:rPr>
  </w:style>
  <w:style w:type="paragraph" w:styleId="CommentText">
    <w:name w:val="annotation text"/>
    <w:basedOn w:val="Normal"/>
    <w:link w:val="CommentTextChar"/>
    <w:semiHidden/>
    <w:unhideWhenUsed/>
    <w:rsid w:val="009E6E17"/>
    <w:pPr>
      <w:spacing w:line="240" w:lineRule="auto"/>
    </w:pPr>
  </w:style>
  <w:style w:type="character" w:customStyle="1" w:styleId="CommentTextChar">
    <w:name w:val="Comment Text Char"/>
    <w:basedOn w:val="DefaultParagraphFont"/>
    <w:link w:val="CommentText"/>
    <w:semiHidden/>
    <w:rsid w:val="009E6E1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9E6E17"/>
    <w:rPr>
      <w:b/>
      <w:bCs/>
    </w:rPr>
  </w:style>
  <w:style w:type="character" w:customStyle="1" w:styleId="CommentSubjectChar">
    <w:name w:val="Comment Subject Char"/>
    <w:basedOn w:val="CommentTextChar"/>
    <w:link w:val="CommentSubject"/>
    <w:semiHidden/>
    <w:rsid w:val="009E6E17"/>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CE00A4"/>
    <w:pPr>
      <w:keepNext/>
      <w:keepLines/>
      <w:tabs>
        <w:tab w:val="right" w:pos="851"/>
      </w:tabs>
      <w:spacing w:before="240" w:after="240" w:line="360" w:lineRule="exact"/>
      <w:ind w:left="1134" w:right="1134" w:hanging="1134"/>
      <w:outlineLvl w:val="0"/>
    </w:pPr>
    <w:rPr>
      <w:rFonts w:eastAsiaTheme="minorEastAsia"/>
      <w:b/>
      <w:spacing w:val="0"/>
      <w:w w:val="100"/>
      <w:kern w:val="0"/>
      <w:sz w:val="34"/>
      <w:lang w:val="es-ES" w:eastAsia="es-ES"/>
      <w14:ligatures w14:val="none"/>
    </w:rPr>
  </w:style>
  <w:style w:type="paragraph" w:customStyle="1" w:styleId="HChG">
    <w:name w:val="_ H _Ch_G"/>
    <w:basedOn w:val="Normal"/>
    <w:next w:val="Normal"/>
    <w:link w:val="HChGChar"/>
    <w:qFormat/>
    <w:rsid w:val="00CE00A4"/>
    <w:pPr>
      <w:keepNext/>
      <w:keepLines/>
      <w:tabs>
        <w:tab w:val="right" w:pos="851"/>
      </w:tabs>
      <w:spacing w:before="360" w:after="240" w:line="300" w:lineRule="exact"/>
      <w:ind w:left="1134" w:right="1134" w:hanging="1134"/>
      <w:outlineLvl w:val="1"/>
    </w:pPr>
    <w:rPr>
      <w:rFonts w:eastAsiaTheme="minorEastAsia"/>
      <w:b/>
      <w:spacing w:val="0"/>
      <w:w w:val="100"/>
      <w:kern w:val="0"/>
      <w:sz w:val="28"/>
      <w:lang w:val="es-ES" w:eastAsia="es-ES"/>
      <w14:ligatures w14:val="none"/>
    </w:rPr>
  </w:style>
  <w:style w:type="character" w:customStyle="1" w:styleId="HMGChar">
    <w:name w:val="_ H __M_G Char"/>
    <w:link w:val="HMG"/>
    <w:rsid w:val="00CE00A4"/>
    <w:rPr>
      <w:rFonts w:ascii="Times New Roman" w:hAnsi="Times New Roman" w:cs="Times New Roman"/>
      <w:b/>
      <w:kern w:val="0"/>
      <w:sz w:val="34"/>
      <w:szCs w:val="20"/>
      <w:lang w:val="es-ES" w:eastAsia="es-ES"/>
      <w14:ligatures w14:val="none"/>
    </w:rPr>
  </w:style>
  <w:style w:type="character" w:customStyle="1" w:styleId="HChGChar">
    <w:name w:val="_ H _Ch_G Char"/>
    <w:link w:val="HChG"/>
    <w:rsid w:val="00CE00A4"/>
    <w:rPr>
      <w:rFonts w:ascii="Times New Roman" w:hAnsi="Times New Roman" w:cs="Times New Roman"/>
      <w:b/>
      <w:kern w:val="0"/>
      <w:sz w:val="28"/>
      <w:szCs w:val="20"/>
      <w:lang w:val="es-ES" w:eastAsia="es-ES"/>
      <w14:ligatures w14:val="none"/>
    </w:rPr>
  </w:style>
  <w:style w:type="paragraph" w:customStyle="1" w:styleId="H1G">
    <w:name w:val="_ H_1_G"/>
    <w:basedOn w:val="Normal"/>
    <w:next w:val="Normal"/>
    <w:qFormat/>
    <w:rsid w:val="00CE00A4"/>
    <w:pPr>
      <w:keepNext/>
      <w:keepLines/>
      <w:tabs>
        <w:tab w:val="right" w:pos="851"/>
      </w:tabs>
      <w:spacing w:before="360" w:after="240" w:line="270" w:lineRule="exact"/>
      <w:ind w:left="1134" w:right="1134" w:hanging="1134"/>
      <w:outlineLvl w:val="2"/>
    </w:pPr>
    <w:rPr>
      <w:rFonts w:eastAsiaTheme="minorEastAsia"/>
      <w:b/>
      <w:spacing w:val="0"/>
      <w:w w:val="100"/>
      <w:kern w:val="0"/>
      <w:sz w:val="24"/>
      <w:lang w:val="es-ES" w:eastAsia="es-ES"/>
      <w14:ligatures w14:val="none"/>
    </w:rPr>
  </w:style>
  <w:style w:type="paragraph" w:customStyle="1" w:styleId="H23G">
    <w:name w:val="_ H_2/3_G"/>
    <w:basedOn w:val="Normal"/>
    <w:next w:val="Normal"/>
    <w:link w:val="H23GChar"/>
    <w:qFormat/>
    <w:rsid w:val="00CE00A4"/>
    <w:pPr>
      <w:keepNext/>
      <w:keepLines/>
      <w:tabs>
        <w:tab w:val="right" w:pos="851"/>
      </w:tabs>
      <w:spacing w:before="240" w:after="120"/>
      <w:ind w:left="1134" w:right="1134" w:hanging="1134"/>
      <w:outlineLvl w:val="3"/>
    </w:pPr>
    <w:rPr>
      <w:rFonts w:eastAsiaTheme="minorEastAsia"/>
      <w:b/>
      <w:spacing w:val="0"/>
      <w:w w:val="100"/>
      <w:kern w:val="0"/>
      <w:lang w:val="es-ES" w:eastAsia="es-ES"/>
      <w14:ligatures w14:val="none"/>
    </w:rPr>
  </w:style>
  <w:style w:type="paragraph" w:customStyle="1" w:styleId="H4G">
    <w:name w:val="_ H_4_G"/>
    <w:basedOn w:val="Normal"/>
    <w:next w:val="Normal"/>
    <w:qFormat/>
    <w:rsid w:val="00CE00A4"/>
    <w:pPr>
      <w:keepNext/>
      <w:keepLines/>
      <w:tabs>
        <w:tab w:val="right" w:pos="851"/>
      </w:tabs>
      <w:spacing w:before="240" w:after="120"/>
      <w:ind w:left="1134" w:right="1134" w:hanging="1134"/>
      <w:outlineLvl w:val="4"/>
    </w:pPr>
    <w:rPr>
      <w:rFonts w:eastAsiaTheme="minorEastAsia"/>
      <w:i/>
      <w:spacing w:val="0"/>
      <w:w w:val="100"/>
      <w:kern w:val="0"/>
      <w:lang w:val="es-ES" w:eastAsia="es-ES"/>
      <w14:ligatures w14:val="none"/>
    </w:rPr>
  </w:style>
  <w:style w:type="paragraph" w:customStyle="1" w:styleId="H56G">
    <w:name w:val="_ H_5/6_G"/>
    <w:basedOn w:val="Normal"/>
    <w:next w:val="Normal"/>
    <w:qFormat/>
    <w:rsid w:val="00CE00A4"/>
    <w:pPr>
      <w:keepNext/>
      <w:keepLines/>
      <w:tabs>
        <w:tab w:val="right" w:pos="851"/>
      </w:tabs>
      <w:spacing w:before="240" w:after="120"/>
      <w:ind w:left="1134" w:right="1134" w:hanging="1134"/>
      <w:outlineLvl w:val="5"/>
    </w:pPr>
    <w:rPr>
      <w:rFonts w:eastAsiaTheme="minorEastAsia"/>
      <w:spacing w:val="0"/>
      <w:w w:val="100"/>
      <w:kern w:val="0"/>
      <w:lang w:val="es-ES" w:eastAsia="es-ES"/>
      <w14:ligatures w14:val="none"/>
    </w:rPr>
  </w:style>
  <w:style w:type="paragraph" w:customStyle="1" w:styleId="SingleTxtG">
    <w:name w:val="_ Single Txt_G"/>
    <w:basedOn w:val="Normal"/>
    <w:link w:val="SingleTxtGChar"/>
    <w:qFormat/>
    <w:rsid w:val="00CE00A4"/>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lang w:val="es-ES" w:eastAsia="es-ES"/>
      <w14:ligatures w14:val="none"/>
    </w:rPr>
  </w:style>
  <w:style w:type="paragraph" w:customStyle="1" w:styleId="SMG">
    <w:name w:val="__S_M_G"/>
    <w:basedOn w:val="Normal"/>
    <w:next w:val="Normal"/>
    <w:rsid w:val="00CE00A4"/>
    <w:pPr>
      <w:keepNext/>
      <w:keepLines/>
      <w:spacing w:before="240" w:after="240" w:line="420" w:lineRule="exact"/>
      <w:ind w:left="1134" w:right="1134"/>
    </w:pPr>
    <w:rPr>
      <w:rFonts w:eastAsiaTheme="minorEastAsia"/>
      <w:b/>
      <w:spacing w:val="0"/>
      <w:w w:val="100"/>
      <w:kern w:val="0"/>
      <w:sz w:val="40"/>
      <w:lang w:val="es-ES" w:eastAsia="es-ES"/>
      <w14:ligatures w14:val="none"/>
    </w:rPr>
  </w:style>
  <w:style w:type="paragraph" w:customStyle="1" w:styleId="SLG">
    <w:name w:val="__S_L_G"/>
    <w:basedOn w:val="Normal"/>
    <w:next w:val="Normal"/>
    <w:rsid w:val="00CE00A4"/>
    <w:pPr>
      <w:keepNext/>
      <w:keepLines/>
      <w:suppressAutoHyphens w:val="0"/>
      <w:spacing w:before="240" w:after="240" w:line="580" w:lineRule="exact"/>
      <w:ind w:left="1134" w:right="1134"/>
    </w:pPr>
    <w:rPr>
      <w:rFonts w:eastAsiaTheme="minorEastAsia"/>
      <w:b/>
      <w:spacing w:val="0"/>
      <w:w w:val="100"/>
      <w:kern w:val="0"/>
      <w:sz w:val="56"/>
      <w:lang w:val="es-ES" w:eastAsia="es-ES"/>
      <w14:ligatures w14:val="none"/>
    </w:rPr>
  </w:style>
  <w:style w:type="paragraph" w:customStyle="1" w:styleId="SSG">
    <w:name w:val="__S_S_G"/>
    <w:basedOn w:val="Normal"/>
    <w:next w:val="Normal"/>
    <w:rsid w:val="00CE00A4"/>
    <w:pPr>
      <w:keepNext/>
      <w:keepLines/>
      <w:suppressAutoHyphens w:val="0"/>
      <w:spacing w:before="240" w:after="240" w:line="300" w:lineRule="exact"/>
      <w:ind w:left="1134" w:right="1134"/>
    </w:pPr>
    <w:rPr>
      <w:rFonts w:eastAsiaTheme="minorEastAsia"/>
      <w:b/>
      <w:spacing w:val="0"/>
      <w:w w:val="100"/>
      <w:kern w:val="0"/>
      <w:sz w:val="28"/>
      <w:lang w:val="es-ES" w:eastAsia="es-ES"/>
      <w14:ligatures w14:val="none"/>
    </w:rPr>
  </w:style>
  <w:style w:type="paragraph" w:customStyle="1" w:styleId="XLargeG">
    <w:name w:val="__XLarge_G"/>
    <w:basedOn w:val="Normal"/>
    <w:next w:val="Normal"/>
    <w:rsid w:val="00CE00A4"/>
    <w:pPr>
      <w:keepNext/>
      <w:keepLines/>
      <w:suppressAutoHyphens w:val="0"/>
      <w:spacing w:before="240" w:after="240" w:line="420" w:lineRule="exact"/>
      <w:ind w:left="1134" w:right="1134"/>
    </w:pPr>
    <w:rPr>
      <w:rFonts w:eastAsiaTheme="minorEastAsia"/>
      <w:b/>
      <w:spacing w:val="0"/>
      <w:w w:val="100"/>
      <w:kern w:val="0"/>
      <w:sz w:val="40"/>
      <w:lang w:val="es-ES" w:eastAsia="es-ES"/>
      <w14:ligatures w14:val="none"/>
    </w:rPr>
  </w:style>
  <w:style w:type="numbering" w:styleId="111111">
    <w:name w:val="Outline List 2"/>
    <w:basedOn w:val="NoList"/>
    <w:semiHidden/>
    <w:rsid w:val="00CE00A4"/>
    <w:pPr>
      <w:numPr>
        <w:numId w:val="11"/>
      </w:numPr>
    </w:pPr>
  </w:style>
  <w:style w:type="numbering" w:styleId="1ai">
    <w:name w:val="Outline List 1"/>
    <w:basedOn w:val="NoList"/>
    <w:semiHidden/>
    <w:rsid w:val="00CE00A4"/>
    <w:pPr>
      <w:numPr>
        <w:numId w:val="12"/>
      </w:numPr>
    </w:pPr>
  </w:style>
  <w:style w:type="character" w:styleId="HTMLAcronym">
    <w:name w:val="HTML Acronym"/>
    <w:basedOn w:val="DefaultParagraphFont"/>
    <w:semiHidden/>
    <w:rsid w:val="00CE00A4"/>
  </w:style>
  <w:style w:type="numbering" w:styleId="ArticleSection">
    <w:name w:val="Outline List 3"/>
    <w:basedOn w:val="NoList"/>
    <w:semiHidden/>
    <w:rsid w:val="00CE00A4"/>
    <w:pPr>
      <w:numPr>
        <w:numId w:val="13"/>
      </w:numPr>
    </w:pPr>
  </w:style>
  <w:style w:type="paragraph" w:styleId="Closing">
    <w:name w:val="Closing"/>
    <w:basedOn w:val="Normal"/>
    <w:link w:val="ClosingChar"/>
    <w:semiHidden/>
    <w:rsid w:val="00CE00A4"/>
    <w:pPr>
      <w:suppressAutoHyphens w:val="0"/>
      <w:spacing w:line="240" w:lineRule="atLeast"/>
      <w:ind w:left="4252"/>
    </w:pPr>
    <w:rPr>
      <w:rFonts w:eastAsiaTheme="minorEastAsia"/>
      <w:spacing w:val="0"/>
      <w:w w:val="100"/>
      <w:kern w:val="0"/>
      <w:lang w:val="es-ES" w:eastAsia="es-ES"/>
      <w14:ligatures w14:val="none"/>
    </w:rPr>
  </w:style>
  <w:style w:type="character" w:customStyle="1" w:styleId="ClosingChar">
    <w:name w:val="Closing Char"/>
    <w:basedOn w:val="DefaultParagraphFont"/>
    <w:link w:val="Closing"/>
    <w:semiHidden/>
    <w:rsid w:val="00CE00A4"/>
    <w:rPr>
      <w:rFonts w:ascii="Times New Roman" w:hAnsi="Times New Roman" w:cs="Times New Roman"/>
      <w:kern w:val="0"/>
      <w:sz w:val="20"/>
      <w:szCs w:val="20"/>
      <w:lang w:val="es-ES" w:eastAsia="es-ES"/>
      <w14:ligatures w14:val="none"/>
    </w:rPr>
  </w:style>
  <w:style w:type="character" w:styleId="HTMLCite">
    <w:name w:val="HTML Cite"/>
    <w:semiHidden/>
    <w:rsid w:val="00CE00A4"/>
    <w:rPr>
      <w:i/>
      <w:iCs/>
    </w:rPr>
  </w:style>
  <w:style w:type="character" w:styleId="HTMLCode">
    <w:name w:val="HTML Code"/>
    <w:semiHidden/>
    <w:rsid w:val="00CE00A4"/>
    <w:rPr>
      <w:rFonts w:ascii="Courier New" w:hAnsi="Courier New" w:cs="Courier New"/>
      <w:sz w:val="20"/>
      <w:szCs w:val="20"/>
    </w:rPr>
  </w:style>
  <w:style w:type="paragraph" w:styleId="ListContinue3">
    <w:name w:val="List Continue 3"/>
    <w:basedOn w:val="Normal"/>
    <w:semiHidden/>
    <w:rsid w:val="00CE00A4"/>
    <w:pPr>
      <w:suppressAutoHyphens w:val="0"/>
      <w:spacing w:after="120" w:line="240" w:lineRule="atLeast"/>
      <w:ind w:left="849"/>
    </w:pPr>
    <w:rPr>
      <w:rFonts w:eastAsiaTheme="minorEastAsia"/>
      <w:spacing w:val="0"/>
      <w:w w:val="100"/>
      <w:kern w:val="0"/>
      <w:lang w:val="es-ES" w:eastAsia="es-ES"/>
      <w14:ligatures w14:val="none"/>
    </w:rPr>
  </w:style>
  <w:style w:type="paragraph" w:styleId="ListContinue4">
    <w:name w:val="List Continue 4"/>
    <w:basedOn w:val="Normal"/>
    <w:semiHidden/>
    <w:rsid w:val="00CE00A4"/>
    <w:pPr>
      <w:suppressAutoHyphens w:val="0"/>
      <w:spacing w:after="120" w:line="240" w:lineRule="atLeast"/>
      <w:ind w:left="1132"/>
    </w:pPr>
    <w:rPr>
      <w:rFonts w:eastAsiaTheme="minorEastAsia"/>
      <w:spacing w:val="0"/>
      <w:w w:val="100"/>
      <w:kern w:val="0"/>
      <w:lang w:val="es-ES" w:eastAsia="es-ES"/>
      <w14:ligatures w14:val="none"/>
    </w:rPr>
  </w:style>
  <w:style w:type="paragraph" w:styleId="ListContinue5">
    <w:name w:val="List Continue 5"/>
    <w:basedOn w:val="Normal"/>
    <w:semiHidden/>
    <w:rsid w:val="00CE00A4"/>
    <w:pPr>
      <w:suppressAutoHyphens w:val="0"/>
      <w:spacing w:after="120" w:line="240" w:lineRule="atLeast"/>
      <w:ind w:left="1415"/>
    </w:pPr>
    <w:rPr>
      <w:rFonts w:eastAsiaTheme="minorEastAsia"/>
      <w:spacing w:val="0"/>
      <w:w w:val="100"/>
      <w:kern w:val="0"/>
      <w:lang w:val="es-ES" w:eastAsia="es-ES"/>
      <w14:ligatures w14:val="none"/>
    </w:rPr>
  </w:style>
  <w:style w:type="character" w:styleId="HTMLDefinition">
    <w:name w:val="HTML Definition"/>
    <w:semiHidden/>
    <w:rsid w:val="00CE00A4"/>
    <w:rPr>
      <w:i/>
      <w:iCs/>
    </w:rPr>
  </w:style>
  <w:style w:type="paragraph" w:styleId="HTMLAddress">
    <w:name w:val="HTML Address"/>
    <w:basedOn w:val="Normal"/>
    <w:link w:val="HTMLAddressChar"/>
    <w:semiHidden/>
    <w:rsid w:val="00CE00A4"/>
    <w:pPr>
      <w:suppressAutoHyphens w:val="0"/>
      <w:spacing w:line="240" w:lineRule="atLeast"/>
    </w:pPr>
    <w:rPr>
      <w:rFonts w:eastAsiaTheme="minorEastAsia"/>
      <w:i/>
      <w:iCs/>
      <w:spacing w:val="0"/>
      <w:w w:val="100"/>
      <w:kern w:val="0"/>
      <w:lang w:val="es-ES" w:eastAsia="es-ES"/>
      <w14:ligatures w14:val="none"/>
    </w:rPr>
  </w:style>
  <w:style w:type="character" w:customStyle="1" w:styleId="HTMLAddressChar">
    <w:name w:val="HTML Address Char"/>
    <w:basedOn w:val="DefaultParagraphFont"/>
    <w:link w:val="HTMLAddress"/>
    <w:semiHidden/>
    <w:rsid w:val="00CE00A4"/>
    <w:rPr>
      <w:rFonts w:ascii="Times New Roman" w:hAnsi="Times New Roman" w:cs="Times New Roman"/>
      <w:i/>
      <w:iCs/>
      <w:kern w:val="0"/>
      <w:sz w:val="20"/>
      <w:szCs w:val="20"/>
      <w:lang w:val="es-ES" w:eastAsia="es-ES"/>
      <w14:ligatures w14:val="none"/>
    </w:rPr>
  </w:style>
  <w:style w:type="paragraph" w:styleId="EnvelopeAddress">
    <w:name w:val="envelope address"/>
    <w:basedOn w:val="Normal"/>
    <w:semiHidden/>
    <w:rsid w:val="00CE00A4"/>
    <w:pPr>
      <w:framePr w:w="7920" w:h="1980" w:hRule="exact" w:hSpace="141" w:wrap="auto" w:hAnchor="page" w:xAlign="center" w:yAlign="bottom"/>
      <w:suppressAutoHyphens w:val="0"/>
      <w:spacing w:line="240" w:lineRule="atLeast"/>
      <w:ind w:left="2880"/>
    </w:pPr>
    <w:rPr>
      <w:rFonts w:ascii="Arial" w:eastAsiaTheme="minorEastAsia" w:hAnsi="Arial" w:cs="Arial"/>
      <w:spacing w:val="0"/>
      <w:w w:val="100"/>
      <w:kern w:val="0"/>
      <w:sz w:val="24"/>
      <w:szCs w:val="24"/>
      <w:lang w:val="es-ES" w:eastAsia="es-ES"/>
      <w14:ligatures w14:val="none"/>
    </w:rPr>
  </w:style>
  <w:style w:type="character" w:styleId="HTMLSample">
    <w:name w:val="HTML Sample"/>
    <w:semiHidden/>
    <w:rsid w:val="00CE00A4"/>
    <w:rPr>
      <w:rFonts w:ascii="Courier New" w:hAnsi="Courier New" w:cs="Courier New"/>
    </w:rPr>
  </w:style>
  <w:style w:type="paragraph" w:styleId="MessageHeader">
    <w:name w:val="Message Header"/>
    <w:basedOn w:val="Normal"/>
    <w:link w:val="MessageHeaderChar"/>
    <w:semiHidden/>
    <w:rsid w:val="00CE00A4"/>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heme="minorEastAsia" w:hAnsi="Arial" w:cs="Arial"/>
      <w:spacing w:val="0"/>
      <w:w w:val="100"/>
      <w:kern w:val="0"/>
      <w:sz w:val="24"/>
      <w:szCs w:val="24"/>
      <w:lang w:val="es-ES" w:eastAsia="es-ES"/>
      <w14:ligatures w14:val="none"/>
    </w:rPr>
  </w:style>
  <w:style w:type="character" w:customStyle="1" w:styleId="MessageHeaderChar">
    <w:name w:val="Message Header Char"/>
    <w:basedOn w:val="DefaultParagraphFont"/>
    <w:link w:val="MessageHeader"/>
    <w:semiHidden/>
    <w:rsid w:val="00CE00A4"/>
    <w:rPr>
      <w:rFonts w:ascii="Arial" w:hAnsi="Arial" w:cs="Arial"/>
      <w:kern w:val="0"/>
      <w:sz w:val="24"/>
      <w:szCs w:val="24"/>
      <w:shd w:val="pct20" w:color="auto" w:fill="auto"/>
      <w:lang w:val="es-ES" w:eastAsia="es-ES"/>
      <w14:ligatures w14:val="none"/>
    </w:rPr>
  </w:style>
  <w:style w:type="paragraph" w:styleId="NoteHeading">
    <w:name w:val="Note Heading"/>
    <w:basedOn w:val="Normal"/>
    <w:next w:val="Normal"/>
    <w:link w:val="NoteHeadingChar"/>
    <w:semiHidden/>
    <w:rsid w:val="00CE00A4"/>
    <w:pPr>
      <w:suppressAutoHyphens w:val="0"/>
      <w:spacing w:line="240" w:lineRule="atLeast"/>
    </w:pPr>
    <w:rPr>
      <w:rFonts w:eastAsiaTheme="minorEastAsia"/>
      <w:spacing w:val="0"/>
      <w:w w:val="100"/>
      <w:kern w:val="0"/>
      <w:lang w:val="es-ES" w:eastAsia="es-ES"/>
      <w14:ligatures w14:val="none"/>
    </w:rPr>
  </w:style>
  <w:style w:type="character" w:customStyle="1" w:styleId="NoteHeadingChar">
    <w:name w:val="Note Heading Char"/>
    <w:basedOn w:val="DefaultParagraphFont"/>
    <w:link w:val="NoteHeading"/>
    <w:semiHidden/>
    <w:rsid w:val="00CE00A4"/>
    <w:rPr>
      <w:rFonts w:ascii="Times New Roman" w:hAnsi="Times New Roman" w:cs="Times New Roman"/>
      <w:kern w:val="0"/>
      <w:sz w:val="20"/>
      <w:szCs w:val="20"/>
      <w:lang w:val="es-ES" w:eastAsia="es-ES"/>
      <w14:ligatures w14:val="none"/>
    </w:rPr>
  </w:style>
  <w:style w:type="character" w:styleId="Emphasis">
    <w:name w:val="Emphasis"/>
    <w:rsid w:val="00CE00A4"/>
    <w:rPr>
      <w:i/>
      <w:iCs/>
    </w:rPr>
  </w:style>
  <w:style w:type="paragraph" w:styleId="Date">
    <w:name w:val="Date"/>
    <w:basedOn w:val="Normal"/>
    <w:next w:val="Normal"/>
    <w:link w:val="DateChar"/>
    <w:semiHidden/>
    <w:rsid w:val="00CE00A4"/>
    <w:pPr>
      <w:suppressAutoHyphens w:val="0"/>
      <w:spacing w:line="240" w:lineRule="atLeast"/>
    </w:pPr>
    <w:rPr>
      <w:rFonts w:eastAsiaTheme="minorEastAsia"/>
      <w:spacing w:val="0"/>
      <w:w w:val="100"/>
      <w:kern w:val="0"/>
      <w:lang w:val="es-ES" w:eastAsia="es-ES"/>
      <w14:ligatures w14:val="none"/>
    </w:rPr>
  </w:style>
  <w:style w:type="character" w:customStyle="1" w:styleId="DateChar">
    <w:name w:val="Date Char"/>
    <w:basedOn w:val="DefaultParagraphFont"/>
    <w:link w:val="Date"/>
    <w:semiHidden/>
    <w:rsid w:val="00CE00A4"/>
    <w:rPr>
      <w:rFonts w:ascii="Times New Roman" w:hAnsi="Times New Roman" w:cs="Times New Roman"/>
      <w:kern w:val="0"/>
      <w:sz w:val="20"/>
      <w:szCs w:val="20"/>
      <w:lang w:val="es-ES" w:eastAsia="es-ES"/>
      <w14:ligatures w14:val="none"/>
    </w:rPr>
  </w:style>
  <w:style w:type="paragraph" w:styleId="Signature">
    <w:name w:val="Signature"/>
    <w:basedOn w:val="Normal"/>
    <w:link w:val="SignatureChar"/>
    <w:semiHidden/>
    <w:rsid w:val="00CE00A4"/>
    <w:pPr>
      <w:suppressAutoHyphens w:val="0"/>
      <w:spacing w:line="240" w:lineRule="atLeast"/>
      <w:ind w:left="4252"/>
    </w:pPr>
    <w:rPr>
      <w:rFonts w:eastAsiaTheme="minorEastAsia"/>
      <w:spacing w:val="0"/>
      <w:w w:val="100"/>
      <w:kern w:val="0"/>
      <w:lang w:val="es-ES" w:eastAsia="es-ES"/>
      <w14:ligatures w14:val="none"/>
    </w:rPr>
  </w:style>
  <w:style w:type="character" w:customStyle="1" w:styleId="SignatureChar">
    <w:name w:val="Signature Char"/>
    <w:basedOn w:val="DefaultParagraphFont"/>
    <w:link w:val="Signature"/>
    <w:semiHidden/>
    <w:rsid w:val="00CE00A4"/>
    <w:rPr>
      <w:rFonts w:ascii="Times New Roman" w:hAnsi="Times New Roman" w:cs="Times New Roman"/>
      <w:kern w:val="0"/>
      <w:sz w:val="20"/>
      <w:szCs w:val="20"/>
      <w:lang w:val="es-ES" w:eastAsia="es-ES"/>
      <w14:ligatures w14:val="none"/>
    </w:rPr>
  </w:style>
  <w:style w:type="paragraph" w:styleId="E-mailSignature">
    <w:name w:val="E-mail Signature"/>
    <w:basedOn w:val="Normal"/>
    <w:link w:val="E-mailSignatureChar"/>
    <w:semiHidden/>
    <w:rsid w:val="00CE00A4"/>
    <w:pPr>
      <w:suppressAutoHyphens w:val="0"/>
      <w:spacing w:line="240" w:lineRule="atLeast"/>
    </w:pPr>
    <w:rPr>
      <w:rFonts w:eastAsiaTheme="minorEastAsia"/>
      <w:spacing w:val="0"/>
      <w:w w:val="100"/>
      <w:kern w:val="0"/>
      <w:lang w:val="es-ES" w:eastAsia="es-ES"/>
      <w14:ligatures w14:val="none"/>
    </w:rPr>
  </w:style>
  <w:style w:type="character" w:customStyle="1" w:styleId="E-mailSignatureChar">
    <w:name w:val="E-mail Signature Char"/>
    <w:basedOn w:val="DefaultParagraphFont"/>
    <w:link w:val="E-mailSignature"/>
    <w:semiHidden/>
    <w:rsid w:val="00CE00A4"/>
    <w:rPr>
      <w:rFonts w:ascii="Times New Roman" w:hAnsi="Times New Roman" w:cs="Times New Roman"/>
      <w:kern w:val="0"/>
      <w:sz w:val="20"/>
      <w:szCs w:val="20"/>
      <w:lang w:val="es-ES" w:eastAsia="es-ES"/>
      <w14:ligatures w14:val="none"/>
    </w:rPr>
  </w:style>
  <w:style w:type="paragraph" w:styleId="HTMLPreformatted">
    <w:name w:val="HTML Preformatted"/>
    <w:basedOn w:val="Normal"/>
    <w:link w:val="HTMLPreformattedChar"/>
    <w:semiHidden/>
    <w:rsid w:val="00CE00A4"/>
    <w:pPr>
      <w:suppressAutoHyphens w:val="0"/>
      <w:spacing w:line="240" w:lineRule="atLeast"/>
    </w:pPr>
    <w:rPr>
      <w:rFonts w:ascii="Courier New" w:eastAsiaTheme="minorEastAsia" w:hAnsi="Courier New" w:cs="Courier New"/>
      <w:spacing w:val="0"/>
      <w:w w:val="100"/>
      <w:kern w:val="0"/>
      <w:lang w:val="es-ES" w:eastAsia="es-ES"/>
      <w14:ligatures w14:val="none"/>
    </w:rPr>
  </w:style>
  <w:style w:type="character" w:customStyle="1" w:styleId="HTMLPreformattedChar">
    <w:name w:val="HTML Preformatted Char"/>
    <w:basedOn w:val="DefaultParagraphFont"/>
    <w:link w:val="HTMLPreformatted"/>
    <w:semiHidden/>
    <w:rsid w:val="00CE00A4"/>
    <w:rPr>
      <w:rFonts w:ascii="Courier New" w:hAnsi="Courier New" w:cs="Courier New"/>
      <w:kern w:val="0"/>
      <w:sz w:val="20"/>
      <w:szCs w:val="20"/>
      <w:lang w:val="es-ES" w:eastAsia="es-ES"/>
      <w14:ligatures w14:val="none"/>
    </w:rPr>
  </w:style>
  <w:style w:type="paragraph" w:styleId="List">
    <w:name w:val="List"/>
    <w:basedOn w:val="Normal"/>
    <w:semiHidden/>
    <w:rsid w:val="00CE00A4"/>
    <w:pPr>
      <w:suppressAutoHyphens w:val="0"/>
      <w:spacing w:line="240" w:lineRule="atLeast"/>
      <w:ind w:left="283" w:hanging="283"/>
    </w:pPr>
    <w:rPr>
      <w:rFonts w:eastAsiaTheme="minorEastAsia"/>
      <w:spacing w:val="0"/>
      <w:w w:val="100"/>
      <w:kern w:val="0"/>
      <w:lang w:val="es-ES" w:eastAsia="es-ES"/>
      <w14:ligatures w14:val="none"/>
    </w:rPr>
  </w:style>
  <w:style w:type="paragraph" w:styleId="List2">
    <w:name w:val="List 2"/>
    <w:basedOn w:val="Normal"/>
    <w:semiHidden/>
    <w:rsid w:val="00CE00A4"/>
    <w:pPr>
      <w:suppressAutoHyphens w:val="0"/>
      <w:spacing w:line="240" w:lineRule="atLeast"/>
      <w:ind w:left="566" w:hanging="283"/>
    </w:pPr>
    <w:rPr>
      <w:rFonts w:eastAsiaTheme="minorEastAsia"/>
      <w:spacing w:val="0"/>
      <w:w w:val="100"/>
      <w:kern w:val="0"/>
      <w:lang w:val="es-ES" w:eastAsia="es-ES"/>
      <w14:ligatures w14:val="none"/>
    </w:rPr>
  </w:style>
  <w:style w:type="paragraph" w:styleId="List3">
    <w:name w:val="List 3"/>
    <w:basedOn w:val="Normal"/>
    <w:semiHidden/>
    <w:rsid w:val="00CE00A4"/>
    <w:pPr>
      <w:suppressAutoHyphens w:val="0"/>
      <w:spacing w:line="240" w:lineRule="atLeast"/>
      <w:ind w:left="849" w:hanging="283"/>
    </w:pPr>
    <w:rPr>
      <w:rFonts w:eastAsiaTheme="minorEastAsia"/>
      <w:spacing w:val="0"/>
      <w:w w:val="100"/>
      <w:kern w:val="0"/>
      <w:lang w:val="es-ES" w:eastAsia="es-ES"/>
      <w14:ligatures w14:val="none"/>
    </w:rPr>
  </w:style>
  <w:style w:type="paragraph" w:styleId="List4">
    <w:name w:val="List 4"/>
    <w:basedOn w:val="Normal"/>
    <w:semiHidden/>
    <w:rsid w:val="00CE00A4"/>
    <w:pPr>
      <w:suppressAutoHyphens w:val="0"/>
      <w:spacing w:line="240" w:lineRule="atLeast"/>
      <w:ind w:left="1132" w:hanging="283"/>
    </w:pPr>
    <w:rPr>
      <w:rFonts w:eastAsiaTheme="minorEastAsia"/>
      <w:spacing w:val="0"/>
      <w:w w:val="100"/>
      <w:kern w:val="0"/>
      <w:lang w:val="es-ES" w:eastAsia="es-ES"/>
      <w14:ligatures w14:val="none"/>
    </w:rPr>
  </w:style>
  <w:style w:type="paragraph" w:styleId="List5">
    <w:name w:val="List 5"/>
    <w:basedOn w:val="Normal"/>
    <w:semiHidden/>
    <w:rsid w:val="00CE00A4"/>
    <w:pPr>
      <w:suppressAutoHyphens w:val="0"/>
      <w:spacing w:line="240" w:lineRule="atLeast"/>
      <w:ind w:left="1415" w:hanging="283"/>
    </w:pPr>
    <w:rPr>
      <w:rFonts w:eastAsiaTheme="minorEastAsia"/>
      <w:spacing w:val="0"/>
      <w:w w:val="100"/>
      <w:kern w:val="0"/>
      <w:lang w:val="es-ES" w:eastAsia="es-ES"/>
      <w14:ligatures w14:val="none"/>
    </w:rPr>
  </w:style>
  <w:style w:type="paragraph" w:styleId="ListBullet">
    <w:name w:val="List Bullet"/>
    <w:basedOn w:val="Normal"/>
    <w:semiHidden/>
    <w:rsid w:val="00CE00A4"/>
    <w:pPr>
      <w:numPr>
        <w:numId w:val="16"/>
      </w:numPr>
      <w:suppressAutoHyphens w:val="0"/>
      <w:spacing w:line="240" w:lineRule="atLeast"/>
    </w:pPr>
    <w:rPr>
      <w:rFonts w:eastAsiaTheme="minorEastAsia"/>
      <w:spacing w:val="0"/>
      <w:w w:val="100"/>
      <w:kern w:val="0"/>
      <w:lang w:val="es-ES" w:eastAsia="es-ES"/>
      <w14:ligatures w14:val="none"/>
    </w:rPr>
  </w:style>
  <w:style w:type="paragraph" w:styleId="ListBullet2">
    <w:name w:val="List Bullet 2"/>
    <w:basedOn w:val="Normal"/>
    <w:semiHidden/>
    <w:rsid w:val="00CE00A4"/>
    <w:pPr>
      <w:numPr>
        <w:numId w:val="17"/>
      </w:numPr>
      <w:suppressAutoHyphens w:val="0"/>
      <w:spacing w:line="240" w:lineRule="atLeast"/>
    </w:pPr>
    <w:rPr>
      <w:rFonts w:eastAsiaTheme="minorEastAsia"/>
      <w:spacing w:val="0"/>
      <w:w w:val="100"/>
      <w:kern w:val="0"/>
      <w:lang w:val="es-ES" w:eastAsia="es-ES"/>
      <w14:ligatures w14:val="none"/>
    </w:rPr>
  </w:style>
  <w:style w:type="paragraph" w:styleId="ListBullet3">
    <w:name w:val="List Bullet 3"/>
    <w:basedOn w:val="Normal"/>
    <w:semiHidden/>
    <w:rsid w:val="00CE00A4"/>
    <w:pPr>
      <w:numPr>
        <w:numId w:val="18"/>
      </w:numPr>
      <w:suppressAutoHyphens w:val="0"/>
      <w:spacing w:line="240" w:lineRule="atLeast"/>
    </w:pPr>
    <w:rPr>
      <w:rFonts w:eastAsiaTheme="minorEastAsia"/>
      <w:spacing w:val="0"/>
      <w:w w:val="100"/>
      <w:kern w:val="0"/>
      <w:lang w:val="es-ES" w:eastAsia="es-ES"/>
      <w14:ligatures w14:val="none"/>
    </w:rPr>
  </w:style>
  <w:style w:type="paragraph" w:styleId="ListBullet4">
    <w:name w:val="List Bullet 4"/>
    <w:basedOn w:val="Normal"/>
    <w:semiHidden/>
    <w:rsid w:val="00CE00A4"/>
    <w:pPr>
      <w:numPr>
        <w:numId w:val="19"/>
      </w:numPr>
      <w:suppressAutoHyphens w:val="0"/>
      <w:spacing w:line="240" w:lineRule="atLeast"/>
    </w:pPr>
    <w:rPr>
      <w:rFonts w:eastAsiaTheme="minorEastAsia"/>
      <w:spacing w:val="0"/>
      <w:w w:val="100"/>
      <w:kern w:val="0"/>
      <w:lang w:val="es-ES" w:eastAsia="es-ES"/>
      <w14:ligatures w14:val="none"/>
    </w:rPr>
  </w:style>
  <w:style w:type="paragraph" w:styleId="ListBullet5">
    <w:name w:val="List Bullet 5"/>
    <w:basedOn w:val="Normal"/>
    <w:semiHidden/>
    <w:rsid w:val="00CE00A4"/>
    <w:pPr>
      <w:numPr>
        <w:numId w:val="20"/>
      </w:numPr>
      <w:suppressAutoHyphens w:val="0"/>
      <w:spacing w:line="240" w:lineRule="atLeast"/>
    </w:pPr>
    <w:rPr>
      <w:rFonts w:eastAsiaTheme="minorEastAsia"/>
      <w:spacing w:val="0"/>
      <w:w w:val="100"/>
      <w:kern w:val="0"/>
      <w:lang w:val="es-ES" w:eastAsia="es-ES"/>
      <w14:ligatures w14:val="none"/>
    </w:rPr>
  </w:style>
  <w:style w:type="character" w:styleId="HTMLTypewriter">
    <w:name w:val="HTML Typewriter"/>
    <w:semiHidden/>
    <w:rsid w:val="00CE00A4"/>
    <w:rPr>
      <w:rFonts w:ascii="Courier New" w:hAnsi="Courier New" w:cs="Courier New"/>
      <w:sz w:val="20"/>
      <w:szCs w:val="20"/>
    </w:rPr>
  </w:style>
  <w:style w:type="paragraph" w:styleId="NormalWeb">
    <w:name w:val="Normal (Web)"/>
    <w:basedOn w:val="Normal"/>
    <w:semiHidden/>
    <w:rsid w:val="00CE00A4"/>
    <w:pPr>
      <w:suppressAutoHyphens w:val="0"/>
      <w:spacing w:line="240" w:lineRule="atLeast"/>
    </w:pPr>
    <w:rPr>
      <w:rFonts w:eastAsiaTheme="minorEastAsia"/>
      <w:spacing w:val="0"/>
      <w:w w:val="100"/>
      <w:kern w:val="0"/>
      <w:sz w:val="24"/>
      <w:szCs w:val="24"/>
      <w:lang w:val="es-ES" w:eastAsia="es-ES"/>
      <w14:ligatures w14:val="none"/>
    </w:rPr>
  </w:style>
  <w:style w:type="character" w:styleId="PageNumber">
    <w:name w:val="page number"/>
    <w:aliases w:val="7_G"/>
    <w:qFormat/>
    <w:rsid w:val="00CE00A4"/>
    <w:rPr>
      <w:b/>
      <w:sz w:val="18"/>
    </w:rPr>
  </w:style>
  <w:style w:type="paragraph" w:styleId="EnvelopeReturn">
    <w:name w:val="envelope return"/>
    <w:basedOn w:val="Normal"/>
    <w:semiHidden/>
    <w:rsid w:val="00CE00A4"/>
    <w:pPr>
      <w:suppressAutoHyphens w:val="0"/>
      <w:spacing w:line="240" w:lineRule="atLeast"/>
    </w:pPr>
    <w:rPr>
      <w:rFonts w:ascii="Arial" w:eastAsiaTheme="minorEastAsia" w:hAnsi="Arial" w:cs="Arial"/>
      <w:spacing w:val="0"/>
      <w:w w:val="100"/>
      <w:kern w:val="0"/>
      <w:lang w:val="es-ES" w:eastAsia="es-ES"/>
      <w14:ligatures w14:val="none"/>
    </w:rPr>
  </w:style>
  <w:style w:type="paragraph" w:styleId="Salutation">
    <w:name w:val="Salutation"/>
    <w:basedOn w:val="Normal"/>
    <w:next w:val="Normal"/>
    <w:link w:val="SalutationChar"/>
    <w:semiHidden/>
    <w:rsid w:val="00CE00A4"/>
    <w:pPr>
      <w:suppressAutoHyphens w:val="0"/>
      <w:spacing w:line="240" w:lineRule="atLeast"/>
    </w:pPr>
    <w:rPr>
      <w:rFonts w:eastAsiaTheme="minorEastAsia"/>
      <w:spacing w:val="0"/>
      <w:w w:val="100"/>
      <w:kern w:val="0"/>
      <w:lang w:val="es-ES" w:eastAsia="es-ES"/>
      <w14:ligatures w14:val="none"/>
    </w:rPr>
  </w:style>
  <w:style w:type="character" w:customStyle="1" w:styleId="SalutationChar">
    <w:name w:val="Salutation Char"/>
    <w:basedOn w:val="DefaultParagraphFont"/>
    <w:link w:val="Salutation"/>
    <w:semiHidden/>
    <w:rsid w:val="00CE00A4"/>
    <w:rPr>
      <w:rFonts w:ascii="Times New Roman" w:hAnsi="Times New Roman" w:cs="Times New Roman"/>
      <w:kern w:val="0"/>
      <w:sz w:val="20"/>
      <w:szCs w:val="20"/>
      <w:lang w:val="es-ES" w:eastAsia="es-ES"/>
      <w14:ligatures w14:val="none"/>
    </w:rPr>
  </w:style>
  <w:style w:type="paragraph" w:styleId="BodyTextIndent2">
    <w:name w:val="Body Text Indent 2"/>
    <w:basedOn w:val="Normal"/>
    <w:link w:val="BodyTextIndent2Char"/>
    <w:semiHidden/>
    <w:rsid w:val="00CE00A4"/>
    <w:pPr>
      <w:suppressAutoHyphens w:val="0"/>
      <w:spacing w:after="120" w:line="480" w:lineRule="auto"/>
      <w:ind w:left="283"/>
    </w:pPr>
    <w:rPr>
      <w:rFonts w:eastAsiaTheme="minorEastAsia"/>
      <w:spacing w:val="0"/>
      <w:w w:val="100"/>
      <w:kern w:val="0"/>
      <w:lang w:val="es-ES" w:eastAsia="es-ES"/>
      <w14:ligatures w14:val="none"/>
    </w:rPr>
  </w:style>
  <w:style w:type="character" w:customStyle="1" w:styleId="BodyTextIndent2Char">
    <w:name w:val="Body Text Indent 2 Char"/>
    <w:basedOn w:val="DefaultParagraphFont"/>
    <w:link w:val="BodyTextIndent2"/>
    <w:semiHidden/>
    <w:rsid w:val="00CE00A4"/>
    <w:rPr>
      <w:rFonts w:ascii="Times New Roman" w:hAnsi="Times New Roman" w:cs="Times New Roman"/>
      <w:kern w:val="0"/>
      <w:sz w:val="20"/>
      <w:szCs w:val="20"/>
      <w:lang w:val="es-ES" w:eastAsia="es-ES"/>
      <w14:ligatures w14:val="none"/>
    </w:rPr>
  </w:style>
  <w:style w:type="paragraph" w:styleId="BodyTextIndent3">
    <w:name w:val="Body Text Indent 3"/>
    <w:basedOn w:val="Normal"/>
    <w:link w:val="BodyTextIndent3Char"/>
    <w:semiHidden/>
    <w:rsid w:val="00CE00A4"/>
    <w:pPr>
      <w:suppressAutoHyphens w:val="0"/>
      <w:spacing w:after="120" w:line="240" w:lineRule="atLeast"/>
      <w:ind w:left="283"/>
    </w:pPr>
    <w:rPr>
      <w:rFonts w:eastAsiaTheme="minorEastAsia"/>
      <w:spacing w:val="0"/>
      <w:w w:val="100"/>
      <w:kern w:val="0"/>
      <w:sz w:val="16"/>
      <w:szCs w:val="16"/>
      <w:lang w:val="es-ES" w:eastAsia="es-ES"/>
      <w14:ligatures w14:val="none"/>
    </w:rPr>
  </w:style>
  <w:style w:type="character" w:customStyle="1" w:styleId="BodyTextIndent3Char">
    <w:name w:val="Body Text Indent 3 Char"/>
    <w:basedOn w:val="DefaultParagraphFont"/>
    <w:link w:val="BodyTextIndent3"/>
    <w:semiHidden/>
    <w:rsid w:val="00CE00A4"/>
    <w:rPr>
      <w:rFonts w:ascii="Times New Roman" w:hAnsi="Times New Roman" w:cs="Times New Roman"/>
      <w:kern w:val="0"/>
      <w:sz w:val="16"/>
      <w:szCs w:val="16"/>
      <w:lang w:val="es-ES" w:eastAsia="es-ES"/>
      <w14:ligatures w14:val="none"/>
    </w:rPr>
  </w:style>
  <w:style w:type="paragraph" w:styleId="BodyTextIndent">
    <w:name w:val="Body Text Indent"/>
    <w:basedOn w:val="Normal"/>
    <w:link w:val="BodyTextIndentChar"/>
    <w:semiHidden/>
    <w:rsid w:val="00CE00A4"/>
    <w:pPr>
      <w:suppressAutoHyphens w:val="0"/>
      <w:spacing w:after="120" w:line="240" w:lineRule="atLeast"/>
      <w:ind w:left="283"/>
    </w:pPr>
    <w:rPr>
      <w:rFonts w:eastAsiaTheme="minorEastAsia"/>
      <w:spacing w:val="0"/>
      <w:w w:val="100"/>
      <w:kern w:val="0"/>
      <w:lang w:val="es-ES" w:eastAsia="es-ES"/>
      <w14:ligatures w14:val="none"/>
    </w:rPr>
  </w:style>
  <w:style w:type="character" w:customStyle="1" w:styleId="BodyTextIndentChar">
    <w:name w:val="Body Text Indent Char"/>
    <w:basedOn w:val="DefaultParagraphFont"/>
    <w:link w:val="BodyTextIndent"/>
    <w:semiHidden/>
    <w:rsid w:val="00CE00A4"/>
    <w:rPr>
      <w:rFonts w:ascii="Times New Roman" w:hAnsi="Times New Roman" w:cs="Times New Roman"/>
      <w:kern w:val="0"/>
      <w:sz w:val="20"/>
      <w:szCs w:val="20"/>
      <w:lang w:val="es-ES" w:eastAsia="es-ES"/>
      <w14:ligatures w14:val="none"/>
    </w:rPr>
  </w:style>
  <w:style w:type="paragraph" w:styleId="NormalIndent">
    <w:name w:val="Normal Indent"/>
    <w:basedOn w:val="Normal"/>
    <w:semiHidden/>
    <w:rsid w:val="00CE00A4"/>
    <w:pPr>
      <w:suppressAutoHyphens w:val="0"/>
      <w:spacing w:line="240" w:lineRule="atLeast"/>
      <w:ind w:left="567"/>
    </w:pPr>
    <w:rPr>
      <w:rFonts w:eastAsiaTheme="minorEastAsia"/>
      <w:spacing w:val="0"/>
      <w:w w:val="100"/>
      <w:kern w:val="0"/>
      <w:lang w:val="es-ES" w:eastAsia="es-ES"/>
      <w14:ligatures w14:val="none"/>
    </w:rPr>
  </w:style>
  <w:style w:type="table" w:styleId="TableSimple1">
    <w:name w:val="Table Simple 1"/>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E00A4"/>
    <w:pPr>
      <w:spacing w:after="0" w:line="240" w:lineRule="atLeast"/>
    </w:pPr>
    <w:rPr>
      <w:rFonts w:ascii="Times New Roman" w:hAnsi="Times New Roman" w:cs="Times New Roman"/>
      <w:kern w:val="0"/>
      <w:sz w:val="20"/>
      <w:szCs w:val="20"/>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E00A4"/>
    <w:pPr>
      <w:spacing w:after="0" w:line="240" w:lineRule="atLeast"/>
    </w:pPr>
    <w:rPr>
      <w:rFonts w:ascii="Times New Roman" w:hAnsi="Times New Roman" w:cs="Times New Roman"/>
      <w:color w:val="000080"/>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E00A4"/>
    <w:pPr>
      <w:spacing w:after="0" w:line="240" w:lineRule="atLeast"/>
    </w:pPr>
    <w:rPr>
      <w:rFonts w:ascii="Times New Roman" w:hAnsi="Times New Roman" w:cs="Times New Roman"/>
      <w:b/>
      <w:bCs/>
      <w:kern w:val="0"/>
      <w:sz w:val="20"/>
      <w:szCs w:val="20"/>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E00A4"/>
    <w:pPr>
      <w:spacing w:after="0" w:line="240" w:lineRule="atLeast"/>
    </w:pPr>
    <w:rPr>
      <w:rFonts w:ascii="Times New Roman" w:hAnsi="Times New Roman" w:cs="Times New Roman"/>
      <w:b/>
      <w:bCs/>
      <w:kern w:val="0"/>
      <w:sz w:val="20"/>
      <w:szCs w:val="20"/>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E00A4"/>
    <w:pPr>
      <w:spacing w:after="0" w:line="240" w:lineRule="atLeast"/>
    </w:pPr>
    <w:rPr>
      <w:rFonts w:ascii="Times New Roman" w:hAnsi="Times New Roman" w:cs="Times New Roman"/>
      <w:b/>
      <w:bCs/>
      <w:kern w:val="0"/>
      <w:sz w:val="20"/>
      <w:szCs w:val="20"/>
      <w14:ligatures w14:val="non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E00A4"/>
    <w:pPr>
      <w:spacing w:after="0" w:line="240" w:lineRule="atLeast"/>
    </w:pPr>
    <w:rPr>
      <w:rFonts w:ascii="Times New Roman" w:hAnsi="Times New Roman" w:cs="Times New Roman"/>
      <w:kern w:val="0"/>
      <w:sz w:val="20"/>
      <w:szCs w:val="20"/>
      <w14:ligatures w14:val="non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E00A4"/>
    <w:pPr>
      <w:spacing w:after="0" w:line="240" w:lineRule="atLeast"/>
    </w:pPr>
    <w:rPr>
      <w:rFonts w:ascii="Times New Roman" w:hAnsi="Times New Roman" w:cs="Times New Roman"/>
      <w:kern w:val="0"/>
      <w:sz w:val="20"/>
      <w:szCs w:val="20"/>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E00A4"/>
    <w:pPr>
      <w:spacing w:after="0" w:line="240" w:lineRule="atLeast"/>
    </w:pPr>
    <w:rPr>
      <w:rFonts w:ascii="Times New Roman" w:hAnsi="Times New Roman" w:cs="Times New Roman"/>
      <w:kern w:val="0"/>
      <w:sz w:val="20"/>
      <w:szCs w:val="20"/>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E00A4"/>
    <w:pPr>
      <w:spacing w:after="0" w:line="240" w:lineRule="atLeast"/>
    </w:pPr>
    <w:rPr>
      <w:rFonts w:ascii="Times New Roman" w:hAnsi="Times New Roman" w:cs="Times New Roman"/>
      <w:kern w:val="0"/>
      <w:sz w:val="20"/>
      <w:szCs w:val="20"/>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E00A4"/>
    <w:pPr>
      <w:spacing w:after="0" w:line="240" w:lineRule="atLeast"/>
    </w:pPr>
    <w:rPr>
      <w:rFonts w:ascii="Times New Roman" w:hAnsi="Times New Roman" w:cs="Times New Roman"/>
      <w:b/>
      <w:bCs/>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E00A4"/>
    <w:pPr>
      <w:spacing w:after="0" w:line="240" w:lineRule="atLeast"/>
    </w:pPr>
    <w:rPr>
      <w:rFonts w:ascii="Times New Roman" w:hAnsi="Times New Roman" w:cs="Times New Roman"/>
      <w:kern w:val="0"/>
      <w:sz w:val="20"/>
      <w:szCs w:val="20"/>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E00A4"/>
    <w:pPr>
      <w:spacing w:after="0" w:line="240" w:lineRule="atLeast"/>
    </w:pPr>
    <w:rPr>
      <w:rFonts w:ascii="Times New Roman" w:hAnsi="Times New Roman" w:cs="Times New Roman"/>
      <w:kern w:val="0"/>
      <w:sz w:val="20"/>
      <w:szCs w:val="20"/>
      <w14:ligatures w14:val="non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E00A4"/>
    <w:pPr>
      <w:spacing w:after="0" w:line="240" w:lineRule="atLeast"/>
    </w:pPr>
    <w:rPr>
      <w:rFonts w:ascii="Times New Roman" w:hAnsi="Times New Roman" w:cs="Times New Roman"/>
      <w:kern w:val="0"/>
      <w:sz w:val="20"/>
      <w:szCs w:val="20"/>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E00A4"/>
    <w:pPr>
      <w:spacing w:after="0" w:line="240" w:lineRule="atLeast"/>
    </w:pPr>
    <w:rPr>
      <w:rFonts w:ascii="Times New Roman" w:hAnsi="Times New Roman" w:cs="Times New Roman"/>
      <w:kern w:val="0"/>
      <w:sz w:val="20"/>
      <w:szCs w:val="20"/>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E00A4"/>
    <w:pPr>
      <w:spacing w:after="0" w:line="240" w:lineRule="atLeast"/>
    </w:pPr>
    <w:rPr>
      <w:rFonts w:ascii="Times New Roman" w:hAnsi="Times New Roman" w:cs="Times New Roman"/>
      <w:kern w:val="0"/>
      <w:sz w:val="20"/>
      <w:szCs w:val="20"/>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E00A4"/>
    <w:pPr>
      <w:spacing w:after="0" w:line="240" w:lineRule="atLeast"/>
    </w:pPr>
    <w:rPr>
      <w:rFonts w:ascii="Times New Roman" w:hAnsi="Times New Roman" w:cs="Times New Roman"/>
      <w:kern w:val="0"/>
      <w:sz w:val="20"/>
      <w:szCs w:val="20"/>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E00A4"/>
    <w:pPr>
      <w:spacing w:after="0" w:line="240" w:lineRule="atLeast"/>
    </w:pPr>
    <w:rPr>
      <w:rFonts w:ascii="Times New Roman" w:hAnsi="Times New Roman" w:cs="Times New Roman"/>
      <w:kern w:val="0"/>
      <w:sz w:val="20"/>
      <w:szCs w:val="20"/>
      <w14:ligatures w14:val="non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E00A4"/>
    <w:pPr>
      <w:spacing w:after="0" w:line="240" w:lineRule="atLeast"/>
    </w:pPr>
    <w:rPr>
      <w:rFonts w:ascii="Times New Roman" w:hAnsi="Times New Roman" w:cs="Times New Roman"/>
      <w:kern w:val="0"/>
      <w:sz w:val="20"/>
      <w:szCs w:val="20"/>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E00A4"/>
    <w:pPr>
      <w:spacing w:after="0" w:line="240" w:lineRule="atLeast"/>
    </w:pPr>
    <w:rPr>
      <w:rFonts w:ascii="Times New Roman" w:hAnsi="Times New Roman" w:cs="Times New Roman"/>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E00A4"/>
    <w:pPr>
      <w:spacing w:after="0" w:line="240" w:lineRule="atLeast"/>
    </w:pPr>
    <w:rPr>
      <w:rFonts w:ascii="Times New Roman" w:hAnsi="Times New Roman" w:cs="Times New Roman"/>
      <w:kern w:val="0"/>
      <w:sz w:val="20"/>
      <w:szCs w:val="20"/>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E00A4"/>
    <w:pPr>
      <w:spacing w:after="0" w:line="240" w:lineRule="atLeast"/>
    </w:pPr>
    <w:rPr>
      <w:rFonts w:ascii="Times New Roman" w:hAnsi="Times New Roman" w:cs="Times New Roman"/>
      <w:kern w:val="0"/>
      <w:sz w:val="20"/>
      <w:szCs w:val="20"/>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E00A4"/>
    <w:pPr>
      <w:spacing w:after="0" w:line="240" w:lineRule="atLeast"/>
    </w:pPr>
    <w:rPr>
      <w:rFonts w:ascii="Times New Roman" w:hAnsi="Times New Roman" w:cs="Times New Roman"/>
      <w:kern w:val="0"/>
      <w:sz w:val="20"/>
      <w:szCs w:val="20"/>
      <w14:ligatures w14: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E00A4"/>
    <w:pPr>
      <w:spacing w:after="0" w:line="240" w:lineRule="atLeast"/>
    </w:pPr>
    <w:rPr>
      <w:rFonts w:ascii="Times New Roman" w:hAnsi="Times New Roman" w:cs="Times New Roman"/>
      <w:color w:val="FFFFFF"/>
      <w:kern w:val="0"/>
      <w:sz w:val="20"/>
      <w:szCs w:val="20"/>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E00A4"/>
    <w:pPr>
      <w:spacing w:after="0" w:line="240" w:lineRule="atLeast"/>
    </w:pPr>
    <w:rPr>
      <w:rFonts w:ascii="Times New Roman" w:hAnsi="Times New Roman" w:cs="Times New Roman"/>
      <w:kern w:val="0"/>
      <w:sz w:val="20"/>
      <w:szCs w:val="20"/>
      <w14:ligatures w14:val="non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E00A4"/>
    <w:pPr>
      <w:spacing w:after="0" w:line="240" w:lineRule="atLeast"/>
    </w:pPr>
    <w:rPr>
      <w:rFonts w:ascii="Times New Roman" w:hAnsi="Times New Roman" w:cs="Times New Roman"/>
      <w:kern w:val="0"/>
      <w:sz w:val="20"/>
      <w:szCs w:val="20"/>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E00A4"/>
    <w:pPr>
      <w:spacing w:after="0" w:line="240" w:lineRule="atLeast"/>
    </w:pPr>
    <w:rPr>
      <w:rFonts w:ascii="Times New Roman" w:hAnsi="Times New Roman" w:cs="Times New Roman"/>
      <w:kern w:val="0"/>
      <w:sz w:val="20"/>
      <w:szCs w:val="2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E00A4"/>
    <w:pPr>
      <w:spacing w:after="0" w:line="240" w:lineRule="atLeast"/>
    </w:pPr>
    <w:rPr>
      <w:rFonts w:ascii="Times New Roman" w:hAnsi="Times New Roman" w:cs="Times New Roman"/>
      <w:kern w:val="0"/>
      <w:sz w:val="20"/>
      <w:szCs w:val="2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E00A4"/>
    <w:pPr>
      <w:spacing w:after="0" w:line="240" w:lineRule="atLeast"/>
    </w:pPr>
    <w:rPr>
      <w:rFonts w:ascii="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E00A4"/>
    <w:rPr>
      <w:rFonts w:ascii="Courier New" w:hAnsi="Courier New" w:cs="Courier New"/>
      <w:sz w:val="20"/>
      <w:szCs w:val="20"/>
    </w:rPr>
  </w:style>
  <w:style w:type="paragraph" w:styleId="BlockText">
    <w:name w:val="Block Text"/>
    <w:basedOn w:val="Normal"/>
    <w:semiHidden/>
    <w:rsid w:val="00CE00A4"/>
    <w:pPr>
      <w:suppressAutoHyphens w:val="0"/>
      <w:spacing w:after="120" w:line="240" w:lineRule="atLeast"/>
      <w:ind w:left="1440" w:right="1440"/>
    </w:pPr>
    <w:rPr>
      <w:rFonts w:eastAsiaTheme="minorEastAsia"/>
      <w:spacing w:val="0"/>
      <w:w w:val="100"/>
      <w:kern w:val="0"/>
      <w:lang w:val="es-ES" w:eastAsia="es-ES"/>
      <w14:ligatures w14:val="none"/>
    </w:rPr>
  </w:style>
  <w:style w:type="character" w:styleId="Strong">
    <w:name w:val="Strong"/>
    <w:rsid w:val="00CE00A4"/>
    <w:rPr>
      <w:b/>
      <w:bCs/>
    </w:rPr>
  </w:style>
  <w:style w:type="paragraph" w:styleId="BodyText">
    <w:name w:val="Body Text"/>
    <w:basedOn w:val="Normal"/>
    <w:link w:val="BodyTextChar"/>
    <w:semiHidden/>
    <w:rsid w:val="00CE00A4"/>
    <w:pPr>
      <w:suppressAutoHyphens w:val="0"/>
      <w:spacing w:after="120" w:line="240" w:lineRule="atLeast"/>
    </w:pPr>
    <w:rPr>
      <w:rFonts w:eastAsiaTheme="minorEastAsia"/>
      <w:spacing w:val="0"/>
      <w:w w:val="100"/>
      <w:kern w:val="0"/>
      <w:lang w:val="es-ES" w:eastAsia="es-ES"/>
      <w14:ligatures w14:val="none"/>
    </w:rPr>
  </w:style>
  <w:style w:type="character" w:customStyle="1" w:styleId="BodyTextChar">
    <w:name w:val="Body Text Char"/>
    <w:basedOn w:val="DefaultParagraphFont"/>
    <w:link w:val="BodyText"/>
    <w:semiHidden/>
    <w:rsid w:val="00CE00A4"/>
    <w:rPr>
      <w:rFonts w:ascii="Times New Roman" w:hAnsi="Times New Roman" w:cs="Times New Roman"/>
      <w:kern w:val="0"/>
      <w:sz w:val="20"/>
      <w:szCs w:val="20"/>
      <w:lang w:val="es-ES" w:eastAsia="es-ES"/>
      <w14:ligatures w14:val="none"/>
    </w:rPr>
  </w:style>
  <w:style w:type="paragraph" w:styleId="BodyText2">
    <w:name w:val="Body Text 2"/>
    <w:basedOn w:val="Normal"/>
    <w:link w:val="BodyText2Char"/>
    <w:semiHidden/>
    <w:rsid w:val="00CE00A4"/>
    <w:pPr>
      <w:suppressAutoHyphens w:val="0"/>
      <w:spacing w:after="120" w:line="480" w:lineRule="auto"/>
    </w:pPr>
    <w:rPr>
      <w:rFonts w:eastAsiaTheme="minorEastAsia"/>
      <w:spacing w:val="0"/>
      <w:w w:val="100"/>
      <w:kern w:val="0"/>
      <w:lang w:val="es-ES" w:eastAsia="es-ES"/>
      <w14:ligatures w14:val="none"/>
    </w:rPr>
  </w:style>
  <w:style w:type="character" w:customStyle="1" w:styleId="BodyText2Char">
    <w:name w:val="Body Text 2 Char"/>
    <w:basedOn w:val="DefaultParagraphFont"/>
    <w:link w:val="BodyText2"/>
    <w:semiHidden/>
    <w:rsid w:val="00CE00A4"/>
    <w:rPr>
      <w:rFonts w:ascii="Times New Roman" w:hAnsi="Times New Roman" w:cs="Times New Roman"/>
      <w:kern w:val="0"/>
      <w:sz w:val="20"/>
      <w:szCs w:val="20"/>
      <w:lang w:val="es-ES" w:eastAsia="es-ES"/>
      <w14:ligatures w14:val="none"/>
    </w:rPr>
  </w:style>
  <w:style w:type="paragraph" w:styleId="BodyText3">
    <w:name w:val="Body Text 3"/>
    <w:basedOn w:val="Normal"/>
    <w:link w:val="BodyText3Char"/>
    <w:semiHidden/>
    <w:rsid w:val="00CE00A4"/>
    <w:pPr>
      <w:suppressAutoHyphens w:val="0"/>
      <w:spacing w:after="120" w:line="240" w:lineRule="atLeast"/>
    </w:pPr>
    <w:rPr>
      <w:rFonts w:eastAsiaTheme="minorEastAsia"/>
      <w:spacing w:val="0"/>
      <w:w w:val="100"/>
      <w:kern w:val="0"/>
      <w:sz w:val="16"/>
      <w:szCs w:val="16"/>
      <w:lang w:val="es-ES" w:eastAsia="es-ES"/>
      <w14:ligatures w14:val="none"/>
    </w:rPr>
  </w:style>
  <w:style w:type="character" w:customStyle="1" w:styleId="BodyText3Char">
    <w:name w:val="Body Text 3 Char"/>
    <w:basedOn w:val="DefaultParagraphFont"/>
    <w:link w:val="BodyText3"/>
    <w:semiHidden/>
    <w:rsid w:val="00CE00A4"/>
    <w:rPr>
      <w:rFonts w:ascii="Times New Roman" w:hAnsi="Times New Roman" w:cs="Times New Roman"/>
      <w:kern w:val="0"/>
      <w:sz w:val="16"/>
      <w:szCs w:val="16"/>
      <w:lang w:val="es-ES" w:eastAsia="es-ES"/>
      <w14:ligatures w14:val="none"/>
    </w:rPr>
  </w:style>
  <w:style w:type="paragraph" w:styleId="BodyTextFirstIndent">
    <w:name w:val="Body Text First Indent"/>
    <w:basedOn w:val="BodyText"/>
    <w:link w:val="BodyTextFirstIndentChar"/>
    <w:semiHidden/>
    <w:rsid w:val="00CE00A4"/>
    <w:pPr>
      <w:ind w:firstLine="210"/>
    </w:pPr>
  </w:style>
  <w:style w:type="character" w:customStyle="1" w:styleId="BodyTextFirstIndentChar">
    <w:name w:val="Body Text First Indent Char"/>
    <w:basedOn w:val="BodyTextChar"/>
    <w:link w:val="BodyTextFirstIndent"/>
    <w:semiHidden/>
    <w:rsid w:val="00CE00A4"/>
    <w:rPr>
      <w:rFonts w:ascii="Times New Roman" w:hAnsi="Times New Roman" w:cs="Times New Roman"/>
      <w:kern w:val="0"/>
      <w:sz w:val="20"/>
      <w:szCs w:val="20"/>
      <w:lang w:val="es-ES" w:eastAsia="es-ES"/>
      <w14:ligatures w14:val="none"/>
    </w:rPr>
  </w:style>
  <w:style w:type="paragraph" w:styleId="BodyTextFirstIndent2">
    <w:name w:val="Body Text First Indent 2"/>
    <w:basedOn w:val="BodyTextIndent"/>
    <w:link w:val="BodyTextFirstIndent2Char"/>
    <w:semiHidden/>
    <w:rsid w:val="00CE00A4"/>
    <w:pPr>
      <w:ind w:firstLine="210"/>
    </w:pPr>
  </w:style>
  <w:style w:type="character" w:customStyle="1" w:styleId="BodyTextFirstIndent2Char">
    <w:name w:val="Body Text First Indent 2 Char"/>
    <w:basedOn w:val="BodyTextIndentChar"/>
    <w:link w:val="BodyTextFirstIndent2"/>
    <w:semiHidden/>
    <w:rsid w:val="00CE00A4"/>
    <w:rPr>
      <w:rFonts w:ascii="Times New Roman" w:hAnsi="Times New Roman" w:cs="Times New Roman"/>
      <w:kern w:val="0"/>
      <w:sz w:val="20"/>
      <w:szCs w:val="20"/>
      <w:lang w:val="es-ES" w:eastAsia="es-ES"/>
      <w14:ligatures w14:val="none"/>
    </w:rPr>
  </w:style>
  <w:style w:type="character" w:styleId="HTMLVariable">
    <w:name w:val="HTML Variable"/>
    <w:semiHidden/>
    <w:rsid w:val="00CE00A4"/>
    <w:rPr>
      <w:i/>
      <w:iCs/>
    </w:rPr>
  </w:style>
  <w:style w:type="paragraph" w:customStyle="1" w:styleId="Bullet1G">
    <w:name w:val="_Bullet 1_G"/>
    <w:basedOn w:val="Normal"/>
    <w:qFormat/>
    <w:rsid w:val="00CE00A4"/>
    <w:pPr>
      <w:numPr>
        <w:numId w:val="14"/>
      </w:numPr>
      <w:suppressAutoHyphens w:val="0"/>
      <w:spacing w:after="120" w:line="240" w:lineRule="atLeast"/>
      <w:ind w:right="1134"/>
      <w:jc w:val="both"/>
    </w:pPr>
    <w:rPr>
      <w:rFonts w:eastAsiaTheme="minorEastAsia"/>
      <w:spacing w:val="0"/>
      <w:w w:val="100"/>
      <w:kern w:val="0"/>
      <w:lang w:val="es-ES"/>
      <w14:ligatures w14:val="none"/>
    </w:rPr>
  </w:style>
  <w:style w:type="paragraph" w:customStyle="1" w:styleId="Bullet2G">
    <w:name w:val="_Bullet 2_G"/>
    <w:basedOn w:val="Normal"/>
    <w:qFormat/>
    <w:rsid w:val="00CE00A4"/>
    <w:pPr>
      <w:numPr>
        <w:numId w:val="15"/>
      </w:numPr>
      <w:suppressAutoHyphens w:val="0"/>
      <w:spacing w:after="120" w:line="240" w:lineRule="atLeast"/>
      <w:ind w:right="1134"/>
      <w:jc w:val="both"/>
    </w:pPr>
    <w:rPr>
      <w:rFonts w:eastAsiaTheme="minorEastAsia"/>
      <w:spacing w:val="0"/>
      <w:w w:val="100"/>
      <w:kern w:val="0"/>
      <w:lang w:val="es-ES" w:eastAsia="es-ES"/>
      <w14:ligatures w14:val="none"/>
    </w:rPr>
  </w:style>
  <w:style w:type="table" w:customStyle="1" w:styleId="Tablaconcuadrcula1">
    <w:name w:val="Tabla con cuadrícula1"/>
    <w:basedOn w:val="TableNormal"/>
    <w:rsid w:val="00CE00A4"/>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CE00A4"/>
    <w:pPr>
      <w:numPr>
        <w:numId w:val="21"/>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lang w:val="es-ES"/>
      <w14:ligatures w14:val="none"/>
    </w:rPr>
  </w:style>
  <w:style w:type="character" w:customStyle="1" w:styleId="SingleTxtGChar">
    <w:name w:val="_ Single Txt_G Char"/>
    <w:link w:val="SingleTxtG"/>
    <w:rsid w:val="00CE00A4"/>
    <w:rPr>
      <w:rFonts w:ascii="Times New Roman" w:hAnsi="Times New Roman" w:cs="Times New Roman"/>
      <w:kern w:val="0"/>
      <w:sz w:val="20"/>
      <w:szCs w:val="20"/>
      <w:lang w:val="es-ES" w:eastAsia="es-ES"/>
      <w14:ligatures w14:val="none"/>
    </w:rPr>
  </w:style>
  <w:style w:type="character" w:customStyle="1" w:styleId="H23GChar">
    <w:name w:val="_ H_2/3_G Char"/>
    <w:link w:val="H23G"/>
    <w:locked/>
    <w:rsid w:val="00CE00A4"/>
    <w:rPr>
      <w:rFonts w:ascii="Times New Roman" w:hAnsi="Times New Roman" w:cs="Times New Roman"/>
      <w:b/>
      <w:kern w:val="0"/>
      <w:sz w:val="20"/>
      <w:szCs w:val="20"/>
      <w:lang w:val="es-ES" w:eastAsia="es-ES"/>
      <w14:ligatures w14:val="none"/>
    </w:rPr>
  </w:style>
  <w:style w:type="paragraph" w:styleId="Revision">
    <w:name w:val="Revision"/>
    <w:hidden/>
    <w:uiPriority w:val="99"/>
    <w:semiHidden/>
    <w:rsid w:val="00CE00A4"/>
    <w:pPr>
      <w:spacing w:after="0" w:line="240" w:lineRule="auto"/>
    </w:pPr>
    <w:rPr>
      <w:rFonts w:ascii="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fr/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eguridad.gob.sv/dia/informe-de-hechos-de-violencia-contra-las-mujeres" TargetMode="External"/><Relationship Id="rId3" Type="http://schemas.openxmlformats.org/officeDocument/2006/relationships/hyperlink" Target="https://www.transparencia.gob.sv/institutions/instituto-salvadoreno-para-el-desarrollo-de-la-mujer/documents/otros-documentos-normativos" TargetMode="External"/><Relationship Id="rId7" Type="http://schemas.openxmlformats.org/officeDocument/2006/relationships/hyperlink" Target="https://www.transparencia.gob.sv/institutions/instituto-salvadoreno-para-el-desarrollo-de-la-mujer/documents/otros-documentos-normativo" TargetMode="External"/><Relationship Id="rId2" Type="http://schemas.openxmlformats.org/officeDocument/2006/relationships/hyperlink" Target="https://www.asamblea.gob.sv/sites/default/files/documents/decretos/4DA44183-58F2-4745-A1D0-1B634D6DB339.pdf" TargetMode="External"/><Relationship Id="rId1" Type="http://schemas.openxmlformats.org/officeDocument/2006/relationships/hyperlink" Target="https://www.asamblea.gob.sv/sites/default/files/documents/decretos/F6C5840E-2A8F-431B-8943-F7718B83B0D0.pdf" TargetMode="External"/><Relationship Id="rId6" Type="http://schemas.openxmlformats.org/officeDocument/2006/relationships/hyperlink" Target="https://www.asamblea.gob.sv/sites/default/files/documents/decretos/6141982C-4614-4CF7-B658-D455A9A79616.pdf" TargetMode="External"/><Relationship Id="rId5" Type="http://schemas.openxmlformats.org/officeDocument/2006/relationships/hyperlink" Target="https://www.asamblea.gob.sv/sites/default/files/documents/decretos/5777FA91-1EE5-4439-BF31-F6EB422E31BC.pdf" TargetMode="External"/><Relationship Id="rId4" Type="http://schemas.openxmlformats.org/officeDocument/2006/relationships/hyperlink" Target="https://www.asamblea.gob.sv/sites/default/files/documents/decretos/7F75BFD2-FB75-4CDB-9F42-3DAFAEE62DDD.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E8C901-7730-4EEB-AAB3-8A6569D83BE8}">
  <ds:schemaRefs>
    <ds:schemaRef ds:uri="32aca14f-6975-493a-b86a-2ec1bd8de72a"/>
    <ds:schemaRef ds:uri="41c8501f-7554-4cfe-b76f-88ff51cf7baf"/>
    <ds:schemaRef ds:uri="http://www.w3.org/XML/1998/namespace"/>
    <ds:schemaRef ds:uri="http://schemas.microsoft.com/office/2006/documentManagement/types"/>
    <ds:schemaRef ds:uri="http://purl.org/dc/elements/1.1/"/>
    <ds:schemaRef ds:uri="http://schemas.microsoft.com/office/infopath/2007/PartnerControls"/>
    <ds:schemaRef ds:uri="http://purl.org/dc/terms/"/>
    <ds:schemaRef ds:uri="http://schemas.microsoft.com/office/2006/metadata/properties"/>
    <ds:schemaRef ds:uri="http://schemas.openxmlformats.org/package/2006/metadata/core-properties"/>
    <ds:schemaRef ds:uri="985ec44e-1bab-4c0b-9df0-6ba128686fc9"/>
    <ds:schemaRef ds:uri="http://purl.org/dc/dcmitype/"/>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11603</Words>
  <Characters>66141</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2025-05-30T16:48:00Z</cp:lastPrinted>
  <dcterms:created xsi:type="dcterms:W3CDTF">2025-05-30T16:48:00Z</dcterms:created>
  <dcterms:modified xsi:type="dcterms:W3CDTF">2025-05-30T16:48:00Z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2504808F</vt:lpwstr>
  </property>
  <property fmtid="{D5CDD505-2E9C-101B-9397-08002B2CF9AE}" pid="3" name="ODSRefJobNo">
    <vt:lpwstr>2507743F</vt:lpwstr>
  </property>
  <property fmtid="{D5CDD505-2E9C-101B-9397-08002B2CF9AE}" pid="4" name="Symbol1">
    <vt:lpwstr>CEDAW/C/SLV/RQ/10</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Quatre-vingt-douzième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Réponses d’El Salvador à la liste de points et de questions concernant son dixième rapport périodique</vt:lpwstr>
  </property>
</Properties>
</file>