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CBC" w:rsidRDefault="00A72CBC" w:rsidP="00A72CBC">
      <w:pPr>
        <w:spacing w:line="20" w:lineRule="exact"/>
        <w:sectPr w:rsidR="00A72CBC" w:rsidSect="00A72CB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2" o:title="1&amp;Size =1&amp;Lang = F"/>
            <w10:wrap anchorx="page" anchory="page"/>
          </v:shape>
        </w:pict>
      </w:r>
      <w:commentRangeEnd w:id="0"/>
      <w:r>
        <w:rPr>
          <w:rStyle w:val="CommentReference"/>
        </w:rPr>
        <w:commentReference w:id="0"/>
      </w:r>
    </w:p>
    <w:p w:rsidR="005D13DA" w:rsidRDefault="005D13DA" w:rsidP="005D13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5D13DA" w:rsidRPr="00C67494" w:rsidRDefault="005D13DA" w:rsidP="005D13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67494">
        <w:rPr>
          <w:b/>
        </w:rPr>
        <w:t>Cinquante-cinquième session</w:t>
      </w:r>
    </w:p>
    <w:p w:rsidR="005D13DA" w:rsidRDefault="005D13DA" w:rsidP="005D13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8-26 juillet 2013</w:t>
      </w:r>
    </w:p>
    <w:p w:rsidR="005D13DA" w:rsidRDefault="005D13DA" w:rsidP="005D13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Point 2 de l’ordre du jour provisoire</w:t>
      </w:r>
    </w:p>
    <w:p w:rsidR="005D13DA" w:rsidRDefault="005D13DA" w:rsidP="005D13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67494">
        <w:rPr>
          <w:b/>
        </w:rPr>
        <w:t>Adoption de l’ordre du jour et organisation des travaux</w:t>
      </w:r>
    </w:p>
    <w:p w:rsidR="00C67494" w:rsidRPr="00C67494" w:rsidRDefault="00C67494" w:rsidP="00C674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sz w:val="10"/>
        </w:rPr>
      </w:pPr>
    </w:p>
    <w:p w:rsidR="00C67494" w:rsidRPr="00C67494" w:rsidRDefault="00C67494" w:rsidP="00C674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sz w:val="10"/>
        </w:rPr>
      </w:pPr>
    </w:p>
    <w:p w:rsidR="00C67494" w:rsidRPr="00C67494" w:rsidRDefault="00C67494" w:rsidP="00C674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b/>
          <w:sz w:val="10"/>
        </w:rPr>
      </w:pPr>
    </w:p>
    <w:p w:rsidR="005D13DA" w:rsidRDefault="005D13DA" w:rsidP="000C31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provisoire</w:t>
      </w:r>
    </w:p>
    <w:p w:rsidR="000C315E" w:rsidRPr="000C315E" w:rsidRDefault="000C315E" w:rsidP="000C315E">
      <w:pPr>
        <w:pStyle w:val="SingleTxt"/>
        <w:spacing w:after="0" w:line="120" w:lineRule="exact"/>
        <w:rPr>
          <w:sz w:val="10"/>
        </w:rPr>
      </w:pPr>
    </w:p>
    <w:p w:rsidR="000C315E" w:rsidRPr="000C315E" w:rsidRDefault="000C315E" w:rsidP="000C315E">
      <w:pPr>
        <w:pStyle w:val="SingleTxt"/>
        <w:spacing w:after="0" w:line="120" w:lineRule="exact"/>
        <w:rPr>
          <w:sz w:val="10"/>
        </w:rPr>
      </w:pPr>
    </w:p>
    <w:p w:rsidR="005D13DA" w:rsidRDefault="005D13DA" w:rsidP="002765B1">
      <w:pPr>
        <w:pStyle w:val="SingleTxt"/>
        <w:jc w:val="left"/>
      </w:pPr>
      <w:r>
        <w:t>1.</w:t>
      </w:r>
      <w:r>
        <w:tab/>
        <w:t>Ouverture de la session.</w:t>
      </w:r>
    </w:p>
    <w:p w:rsidR="005D13DA" w:rsidRDefault="005D13DA" w:rsidP="002765B1">
      <w:pPr>
        <w:pStyle w:val="SingleTxt"/>
        <w:jc w:val="left"/>
      </w:pPr>
      <w:r>
        <w:t>2.</w:t>
      </w:r>
      <w:r>
        <w:tab/>
        <w:t>Adoption de l’ordre du jour et organisation des travaux.</w:t>
      </w:r>
    </w:p>
    <w:p w:rsidR="005D13DA" w:rsidRDefault="005D13DA" w:rsidP="002765B1">
      <w:pPr>
        <w:pStyle w:val="SingleTxt"/>
        <w:ind w:left="1742" w:hanging="475"/>
        <w:jc w:val="left"/>
      </w:pPr>
      <w:r>
        <w:t>3.</w:t>
      </w:r>
      <w:r>
        <w:tab/>
        <w:t>Rapport de la Présidente sur les activités menées entre les cinquante-quatrième et cinquante-cinquième sessions du Comité.</w:t>
      </w:r>
    </w:p>
    <w:p w:rsidR="005D13DA" w:rsidRDefault="005D13DA" w:rsidP="002765B1">
      <w:pPr>
        <w:pStyle w:val="SingleTxt"/>
        <w:ind w:left="1742" w:hanging="475"/>
        <w:jc w:val="left"/>
      </w:pPr>
      <w:r>
        <w:t>4.</w:t>
      </w:r>
      <w:r>
        <w:tab/>
        <w:t>Examen des rapports soumis par les États parties en application de l’article 18 de la Convention sur l’élimination de toutes les formes de discrimination à l’égard des femmes.</w:t>
      </w:r>
    </w:p>
    <w:p w:rsidR="005D13DA" w:rsidRDefault="005D13DA" w:rsidP="002765B1">
      <w:pPr>
        <w:pStyle w:val="SingleTxt"/>
        <w:ind w:left="1742" w:hanging="475"/>
        <w:jc w:val="left"/>
      </w:pPr>
      <w:r>
        <w:t>5.</w:t>
      </w:r>
      <w:r>
        <w:tab/>
        <w:t>Suite donnée à l’examen des rapports soumis par les États parties en application de l’article 18 de la Convention sur l’élimination de toutes les formes de discrimination à l’égard des femmes.</w:t>
      </w:r>
    </w:p>
    <w:p w:rsidR="005D13DA" w:rsidRDefault="005D13DA" w:rsidP="002765B1">
      <w:pPr>
        <w:pStyle w:val="SingleTxt"/>
        <w:ind w:left="1742" w:hanging="475"/>
        <w:jc w:val="left"/>
      </w:pPr>
      <w:r>
        <w:t>6.</w:t>
      </w:r>
      <w:r>
        <w:tab/>
        <w:t xml:space="preserve">Application des articles 21 et 22 de la Convention sur l’élimination de toutes les formes de discrimination à l’égard des femmes. </w:t>
      </w:r>
    </w:p>
    <w:p w:rsidR="005D13DA" w:rsidRDefault="005D13DA" w:rsidP="002765B1">
      <w:pPr>
        <w:pStyle w:val="SingleTxt"/>
        <w:ind w:left="1742" w:hanging="475"/>
        <w:jc w:val="left"/>
      </w:pPr>
      <w:r>
        <w:t>7.</w:t>
      </w:r>
      <w:r>
        <w:tab/>
        <w:t>Moyens d’accélérer les travaux du Comité.</w:t>
      </w:r>
    </w:p>
    <w:p w:rsidR="005D13DA" w:rsidRDefault="005D13DA" w:rsidP="002765B1">
      <w:pPr>
        <w:pStyle w:val="SingleTxt"/>
        <w:ind w:left="1742" w:hanging="475"/>
        <w:jc w:val="left"/>
      </w:pPr>
      <w:r>
        <w:t>8.</w:t>
      </w:r>
      <w:r>
        <w:tab/>
        <w:t xml:space="preserve">Activités menées par le Comité au titre du Protocole facultatif à la Convention sur l’élimination de toutes les formes de discrimination à l’égard des femmes. </w:t>
      </w:r>
    </w:p>
    <w:p w:rsidR="005D13DA" w:rsidRDefault="005D13DA" w:rsidP="002765B1">
      <w:pPr>
        <w:pStyle w:val="SingleTxt"/>
        <w:ind w:left="1742" w:hanging="475"/>
        <w:jc w:val="left"/>
      </w:pPr>
      <w:r>
        <w:t>9.</w:t>
      </w:r>
      <w:r>
        <w:tab/>
        <w:t>Ordre du jour provisoire de la cinquante-sixième session du Comité.</w:t>
      </w:r>
    </w:p>
    <w:p w:rsidR="005D13DA" w:rsidRDefault="005D13DA" w:rsidP="002765B1">
      <w:pPr>
        <w:pStyle w:val="SingleTxt"/>
        <w:ind w:left="1742" w:hanging="475"/>
        <w:jc w:val="left"/>
      </w:pPr>
      <w:r>
        <w:t>10.</w:t>
      </w:r>
      <w:r>
        <w:tab/>
        <w:t>Adoption du rapport du Comité sur les travaux de sa cinquante-cinquième session.</w:t>
      </w:r>
    </w:p>
    <w:p w:rsidR="005D13DA" w:rsidRDefault="000C315E" w:rsidP="000C31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5D13DA">
        <w:t>Annotations</w:t>
      </w:r>
    </w:p>
    <w:p w:rsidR="000C315E" w:rsidRPr="000C315E" w:rsidRDefault="000C315E" w:rsidP="000C315E">
      <w:pPr>
        <w:pStyle w:val="SingleTxt"/>
        <w:spacing w:after="0" w:line="120" w:lineRule="exact"/>
        <w:rPr>
          <w:sz w:val="10"/>
        </w:rPr>
      </w:pPr>
    </w:p>
    <w:p w:rsidR="000C315E" w:rsidRPr="000C315E" w:rsidRDefault="000C315E" w:rsidP="000C315E">
      <w:pPr>
        <w:pStyle w:val="SingleTxt"/>
        <w:spacing w:after="0" w:line="120" w:lineRule="exact"/>
        <w:rPr>
          <w:sz w:val="10"/>
        </w:rPr>
      </w:pPr>
    </w:p>
    <w:p w:rsidR="005D13DA" w:rsidRDefault="000C315E" w:rsidP="000C3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13DA">
        <w:t>1.</w:t>
      </w:r>
      <w:r w:rsidR="005D13DA">
        <w:tab/>
        <w:t>Ouverture de la session</w:t>
      </w:r>
    </w:p>
    <w:p w:rsidR="000C315E" w:rsidRPr="000C315E" w:rsidRDefault="000C315E" w:rsidP="000C315E">
      <w:pPr>
        <w:pStyle w:val="SingleTxt"/>
        <w:spacing w:after="0" w:line="120" w:lineRule="exact"/>
        <w:rPr>
          <w:sz w:val="10"/>
        </w:rPr>
      </w:pPr>
    </w:p>
    <w:p w:rsidR="005D13DA" w:rsidRDefault="000C315E" w:rsidP="005D13DA">
      <w:pPr>
        <w:pStyle w:val="SingleTxt"/>
      </w:pPr>
      <w:r>
        <w:tab/>
      </w:r>
      <w:r w:rsidR="005D13DA">
        <w:t>La cinquante-cinquième session du Comité pour l’élimination de la discrimination à l’égard des femmes sera ouverte par la Présidente du Comité.</w:t>
      </w:r>
    </w:p>
    <w:p w:rsidR="000C315E" w:rsidRPr="000C315E" w:rsidRDefault="000C315E" w:rsidP="000C315E">
      <w:pPr>
        <w:pStyle w:val="SingleTxt"/>
        <w:spacing w:after="0" w:line="120" w:lineRule="exact"/>
        <w:rPr>
          <w:sz w:val="10"/>
        </w:rPr>
      </w:pPr>
    </w:p>
    <w:p w:rsidR="005D13DA" w:rsidRDefault="000C315E" w:rsidP="000C3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13DA">
        <w:t>2.</w:t>
      </w:r>
      <w:r w:rsidR="005D13DA">
        <w:tab/>
        <w:t xml:space="preserve">Adoption de l’ordre du jour et organisation des travaux </w:t>
      </w:r>
    </w:p>
    <w:p w:rsidR="000C315E" w:rsidRPr="000C315E" w:rsidRDefault="000C315E" w:rsidP="000C315E">
      <w:pPr>
        <w:pStyle w:val="SingleTxt"/>
        <w:spacing w:after="0" w:line="120" w:lineRule="exact"/>
        <w:rPr>
          <w:sz w:val="10"/>
        </w:rPr>
      </w:pPr>
    </w:p>
    <w:p w:rsidR="005D13DA" w:rsidRDefault="000C315E" w:rsidP="005D13DA">
      <w:pPr>
        <w:pStyle w:val="SingleTxt"/>
      </w:pPr>
      <w:r>
        <w:tab/>
      </w:r>
      <w:r w:rsidR="005D13DA">
        <w:t xml:space="preserve">Aux termes de l’article 9 du Règlement intérieur, la première question inscrite à l’ordre du jour provisoire </w:t>
      </w:r>
      <w:r w:rsidR="002765B1">
        <w:t>de chaque</w:t>
      </w:r>
      <w:r w:rsidR="005D13DA">
        <w:t xml:space="preserv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rsidR="005D13DA" w:rsidRDefault="000C315E" w:rsidP="005D13DA">
      <w:pPr>
        <w:pStyle w:val="SingleTxt"/>
      </w:pPr>
      <w:r>
        <w:tab/>
      </w:r>
      <w:r w:rsidR="005D13DA">
        <w:t>À sa cinquante-quatrième session, le Comité a adopté l’ordre du jour provisoire de la cinquante-cinquième session.</w:t>
      </w:r>
    </w:p>
    <w:p w:rsidR="000C315E" w:rsidRPr="000C315E" w:rsidRDefault="000C315E" w:rsidP="000C315E">
      <w:pPr>
        <w:pStyle w:val="SingleTxt"/>
        <w:spacing w:after="0" w:line="120" w:lineRule="exact"/>
        <w:rPr>
          <w:sz w:val="10"/>
        </w:rPr>
      </w:pPr>
    </w:p>
    <w:p w:rsidR="005D13DA" w:rsidRDefault="005D13DA" w:rsidP="000C3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Rapport de la Présidente sur les activités menées entre les cinquante-</w:t>
      </w:r>
      <w:r w:rsidR="000C315E">
        <w:br/>
      </w:r>
      <w:r>
        <w:t xml:space="preserve">quatrième et cinquante-cinquième sessions du Comité </w:t>
      </w:r>
    </w:p>
    <w:p w:rsidR="000C315E" w:rsidRPr="000C315E" w:rsidRDefault="000C315E" w:rsidP="000C315E">
      <w:pPr>
        <w:pStyle w:val="SingleTxt"/>
        <w:spacing w:after="0" w:line="120" w:lineRule="exact"/>
        <w:rPr>
          <w:sz w:val="10"/>
        </w:rPr>
      </w:pPr>
    </w:p>
    <w:p w:rsidR="005D13DA" w:rsidRDefault="000C315E" w:rsidP="005D13DA">
      <w:pPr>
        <w:pStyle w:val="SingleTxt"/>
      </w:pPr>
      <w:r>
        <w:tab/>
      </w:r>
      <w:r w:rsidR="005D13DA">
        <w:t xml:space="preserve">Au titre du point 3, la Présidente rendra compte au Comité des activités menées et des faits nouveaux survenus depuis la session précédente qui ont </w:t>
      </w:r>
      <w:r w:rsidR="002765B1">
        <w:t xml:space="preserve">eu </w:t>
      </w:r>
      <w:r w:rsidR="005D13DA">
        <w:t>une incidence sur les travaux du Comité.</w:t>
      </w:r>
    </w:p>
    <w:p w:rsidR="000C315E" w:rsidRPr="000C315E" w:rsidRDefault="000C315E" w:rsidP="000C315E">
      <w:pPr>
        <w:pStyle w:val="SingleTxt"/>
        <w:spacing w:after="0" w:line="120" w:lineRule="exact"/>
        <w:rPr>
          <w:sz w:val="10"/>
        </w:rPr>
      </w:pPr>
    </w:p>
    <w:p w:rsidR="005D13DA" w:rsidRDefault="005D13DA" w:rsidP="000C3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C315E" w:rsidRPr="000C315E" w:rsidRDefault="000C315E" w:rsidP="000C315E">
      <w:pPr>
        <w:pStyle w:val="SingleTxt"/>
        <w:spacing w:after="0" w:line="120" w:lineRule="exact"/>
        <w:rPr>
          <w:sz w:val="10"/>
        </w:rPr>
      </w:pPr>
    </w:p>
    <w:p w:rsidR="005D13DA" w:rsidRDefault="005D13DA" w:rsidP="005D13DA">
      <w:pPr>
        <w:pStyle w:val="SingleTxt"/>
      </w:pPr>
      <w:r>
        <w:t>Ordre du jour provisoire et annotations (CEDAW/C/55/1)</w:t>
      </w:r>
    </w:p>
    <w:p w:rsidR="000C315E" w:rsidRPr="000C315E" w:rsidRDefault="000C315E" w:rsidP="000C315E">
      <w:pPr>
        <w:pStyle w:val="SingleTxt"/>
        <w:spacing w:after="0" w:line="120" w:lineRule="exact"/>
        <w:rPr>
          <w:sz w:val="10"/>
        </w:rPr>
      </w:pPr>
    </w:p>
    <w:p w:rsidR="000C315E" w:rsidRDefault="000C315E" w:rsidP="000C3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13DA">
        <w:t>4.</w:t>
      </w:r>
      <w:r w:rsidR="005D13DA">
        <w:tab/>
        <w:t xml:space="preserve">Examen des rapports soumis par les États parties en application </w:t>
      </w:r>
    </w:p>
    <w:p w:rsidR="005D13DA" w:rsidRDefault="000C315E" w:rsidP="000C3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13DA">
        <w:t xml:space="preserve">de l’article 18 de la Convention sur l’élimination de toutes les formes </w:t>
      </w:r>
      <w:r>
        <w:br/>
      </w:r>
      <w:r w:rsidR="005D13DA">
        <w:t xml:space="preserve">de discrimination à l’égard des femmes  </w:t>
      </w:r>
    </w:p>
    <w:p w:rsidR="000C315E" w:rsidRPr="000C315E" w:rsidRDefault="000C315E" w:rsidP="000C315E">
      <w:pPr>
        <w:pStyle w:val="SingleTxt"/>
        <w:spacing w:after="0" w:line="120" w:lineRule="exact"/>
        <w:rPr>
          <w:sz w:val="10"/>
        </w:rPr>
      </w:pPr>
    </w:p>
    <w:p w:rsidR="005D13DA" w:rsidRDefault="000C315E" w:rsidP="005D13DA">
      <w:pPr>
        <w:pStyle w:val="SingleTxt"/>
      </w:pPr>
      <w:r>
        <w:tab/>
      </w:r>
      <w:r w:rsidR="005D13DA">
        <w:t xml:space="preserve">Aux termes de l’article 18 de la Convention, les États parties s’engagent à </w:t>
      </w:r>
      <w:r w:rsidR="002765B1">
        <w:t>présenter</w:t>
      </w:r>
      <w:r w:rsidR="005D13DA">
        <w:t xml:space="preserve"> au Secrétaire général, pour examen par le Comité, un rapport sur les mesures d’ordre législatif, judiciaire et administratif ou autre qu’ils </w:t>
      </w:r>
      <w:r w:rsidR="002765B1">
        <w:t>ont</w:t>
      </w:r>
      <w:r w:rsidR="005D13DA">
        <w:t xml:space="preserve"> adoptées pour donner effet aux dispositions de la Convention et sur les progrès réalisés à cet égard. Les rapports doivent être soumis dans l’année </w:t>
      </w:r>
      <w:r w:rsidR="002765B1">
        <w:t>suivant</w:t>
      </w:r>
      <w:r w:rsidR="005D13DA">
        <w:t xml:space="preserve"> l’entrée en vigueur de la Convention dans l’État intéressé, puis tous les quatre ans, ainsi qu’à la demande du Comité.</w:t>
      </w:r>
    </w:p>
    <w:p w:rsidR="005D13DA" w:rsidRDefault="000C315E" w:rsidP="005D13DA">
      <w:pPr>
        <w:pStyle w:val="SingleTxt"/>
      </w:pPr>
      <w:r>
        <w:tab/>
      </w:r>
      <w:r w:rsidR="005D13DA">
        <w:t>À sa cinquante-cinquième session, le Comité doit examiner les rapports des États suivants : Afghanistan, Bosnie-Herzégovine,  Cap-Vert, Cuba, République démocratique du Congo, République dominicaine, Royaume-Uni de Grande- Bretagne et d’Irlande du Nord et Serbie.</w:t>
      </w:r>
    </w:p>
    <w:p w:rsidR="005D13DA" w:rsidRDefault="000C315E" w:rsidP="005D13DA">
      <w:pPr>
        <w:pStyle w:val="SingleTxt"/>
      </w:pPr>
      <w:r>
        <w:tab/>
      </w:r>
      <w:r w:rsidR="005D13DA">
        <w:t xml:space="preserve">Aux termes de l’article 51 du Règlement intérieur, les </w:t>
      </w:r>
      <w:r w:rsidR="002765B1">
        <w:t xml:space="preserve">représentants des </w:t>
      </w:r>
      <w:r w:rsidR="005D13DA">
        <w:t xml:space="preserve">États parties sont </w:t>
      </w:r>
      <w:r w:rsidR="002765B1">
        <w:t xml:space="preserve">invités à assister </w:t>
      </w:r>
      <w:r w:rsidR="005D13DA">
        <w:t>aux réunions du Comité au cours desquelles leurs rapports sont examinés</w:t>
      </w:r>
      <w:r w:rsidR="007939FA">
        <w:t xml:space="preserve"> et </w:t>
      </w:r>
      <w:r w:rsidR="005D13DA">
        <w:t>participent aux débats et répondent aux questions ayant trait aux rapports.</w:t>
      </w:r>
    </w:p>
    <w:p w:rsidR="005D13DA" w:rsidRDefault="000C315E" w:rsidP="005D13DA">
      <w:pPr>
        <w:pStyle w:val="SingleTxt"/>
      </w:pPr>
      <w:r>
        <w:tab/>
      </w:r>
      <w:r w:rsidR="005D13DA">
        <w:t>Aux termes de l’article 49 du Règlement intérieur, à chaque session, le Secrétaire général fait part au Comité de tous les cas de non-</w:t>
      </w:r>
      <w:r w:rsidR="007939FA">
        <w:t>présentation</w:t>
      </w:r>
      <w:r w:rsidR="005D13DA">
        <w:t xml:space="preserve"> des rapports demandés aux États parties en application de l’article 18 de la Convention. En outre, il lui remet une liste des rapports soumis par les États parties à la Convention ainsi qu’une liste des rapports que le Comité n’a pas encore examinés.</w:t>
      </w:r>
    </w:p>
    <w:p w:rsidR="005D13DA" w:rsidRDefault="000C315E" w:rsidP="005D13DA">
      <w:pPr>
        <w:pStyle w:val="SingleTxt"/>
      </w:pPr>
      <w:r>
        <w:tab/>
      </w:r>
      <w:r w:rsidR="005D13DA">
        <w:t xml:space="preserve">À sa cinquante-cinquième session, le Comité sera informé de la situation concernant la </w:t>
      </w:r>
      <w:r w:rsidR="007939FA">
        <w:t>présentation</w:t>
      </w:r>
      <w:r w:rsidR="005D13DA">
        <w:t xml:space="preserve"> de rapports par les États parties en application de l’article 18 de la Convention.</w:t>
      </w:r>
    </w:p>
    <w:p w:rsidR="005D13DA" w:rsidRDefault="000C315E" w:rsidP="005D13DA">
      <w:pPr>
        <w:pStyle w:val="SingleTxt"/>
      </w:pPr>
      <w:r>
        <w:tab/>
      </w:r>
      <w:r w:rsidR="005D13DA">
        <w:t xml:space="preserve">Un groupe de travail du Comité se réunit avant chaque session pour établir les listes </w:t>
      </w:r>
      <w:r w:rsidR="007939FA">
        <w:t xml:space="preserve">de questions suscitées par les </w:t>
      </w:r>
      <w:r w:rsidR="005D13DA">
        <w:t>rapports, lesquelles sont transmises aux États parties avant les séances au cours desquelles leurs rapports doivent être examinés. Celui de la cinquante-cinquième session s’est réuni à Genève du 22 au 25 octobre 2012. On notera que le groupe de travail d’avant</w:t>
      </w:r>
      <w:r w:rsidR="00830699">
        <w:t xml:space="preserve"> </w:t>
      </w:r>
      <w:r w:rsidR="005D13DA">
        <w:t>session s’est réuni pendant quatre jours, le 26 octobre étant un jour férié à l’Organisation des Nations Unies. Le Comité sera saisi de son rapport (CEDAW/C/PSWG/55/1) et des réponses des États parties aux questions.</w:t>
      </w:r>
    </w:p>
    <w:p w:rsidR="000C315E" w:rsidRPr="000C315E" w:rsidRDefault="000C315E" w:rsidP="000C315E">
      <w:pPr>
        <w:pStyle w:val="SingleTxt"/>
        <w:spacing w:after="0" w:line="120" w:lineRule="exact"/>
        <w:rPr>
          <w:sz w:val="10"/>
        </w:rPr>
      </w:pPr>
    </w:p>
    <w:p w:rsidR="005D13DA" w:rsidRDefault="005D13DA" w:rsidP="000C3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C315E" w:rsidRPr="000C315E" w:rsidRDefault="000C315E" w:rsidP="000C315E">
      <w:pPr>
        <w:pStyle w:val="SingleTxt"/>
        <w:spacing w:after="0" w:line="120" w:lineRule="exact"/>
        <w:rPr>
          <w:sz w:val="10"/>
        </w:rPr>
      </w:pPr>
    </w:p>
    <w:p w:rsidR="005D13DA" w:rsidRDefault="000C315E" w:rsidP="000C31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13DA">
        <w:t>Rapports</w:t>
      </w:r>
    </w:p>
    <w:p w:rsidR="000C315E" w:rsidRPr="000C315E" w:rsidRDefault="000C315E" w:rsidP="000C315E">
      <w:pPr>
        <w:pStyle w:val="SingleTxt"/>
        <w:spacing w:after="0" w:line="120" w:lineRule="exact"/>
        <w:rPr>
          <w:sz w:val="10"/>
        </w:rPr>
      </w:pPr>
    </w:p>
    <w:p w:rsidR="005D13DA" w:rsidRDefault="005D13DA" w:rsidP="00201CAF">
      <w:pPr>
        <w:pStyle w:val="SingleTxt"/>
        <w:jc w:val="left"/>
      </w:pPr>
      <w:r>
        <w:t>Rapport unique valant rapport initial et deuxième rapport périodique de l’Afghanistan (CEDAW/C/AFG/1-2)</w:t>
      </w:r>
    </w:p>
    <w:p w:rsidR="005D13DA" w:rsidRDefault="005D13DA" w:rsidP="00201CAF">
      <w:pPr>
        <w:pStyle w:val="SingleTxt"/>
        <w:jc w:val="left"/>
      </w:pPr>
      <w:r>
        <w:t>Rapport unique valant quatrième et cinquième rapports périodiques de la Bosnie-Herzégovine (CEDAW/C/BIH/4-5)</w:t>
      </w:r>
    </w:p>
    <w:p w:rsidR="005D13DA" w:rsidRDefault="005D13DA" w:rsidP="00201CAF">
      <w:pPr>
        <w:pStyle w:val="SingleTxt"/>
        <w:jc w:val="left"/>
      </w:pPr>
      <w:r>
        <w:t xml:space="preserve">Rapport unique valant septième et huitième rapports périodiques du Cap-Vert (CEDAW/C/CPV/7-8) </w:t>
      </w:r>
    </w:p>
    <w:p w:rsidR="005D13DA" w:rsidRDefault="007939FA" w:rsidP="00201CAF">
      <w:pPr>
        <w:pStyle w:val="SingleTxt"/>
        <w:jc w:val="left"/>
      </w:pPr>
      <w:r>
        <w:t>Rapport unique valant s</w:t>
      </w:r>
      <w:r w:rsidR="005D13DA">
        <w:t xml:space="preserve">eptième et huitième rapports périodiques </w:t>
      </w:r>
      <w:r>
        <w:t>de Cuba</w:t>
      </w:r>
      <w:r w:rsidR="005D13DA">
        <w:t xml:space="preserve"> (CEDAW/C/CUB/7-8)</w:t>
      </w:r>
    </w:p>
    <w:p w:rsidR="005D13DA" w:rsidRDefault="005D13DA" w:rsidP="00201CAF">
      <w:pPr>
        <w:pStyle w:val="SingleTxt"/>
        <w:jc w:val="left"/>
      </w:pPr>
      <w:r>
        <w:t>Rapport unique valant sixième et septième rapports périodiques de la République démocratique du Congo (CEDAW/C/COD/6-7)</w:t>
      </w:r>
    </w:p>
    <w:p w:rsidR="005D13DA" w:rsidRDefault="007939FA" w:rsidP="00201CAF">
      <w:pPr>
        <w:pStyle w:val="SingleTxt"/>
        <w:jc w:val="left"/>
      </w:pPr>
      <w:r>
        <w:t>Rapport unique valant s</w:t>
      </w:r>
      <w:r w:rsidR="005D13DA">
        <w:t>ixième et septième rapports périodiques de la République dominicaine (CEDAW/C/DOM/6-7)</w:t>
      </w:r>
    </w:p>
    <w:p w:rsidR="005D13DA" w:rsidRDefault="007939FA" w:rsidP="00201CAF">
      <w:pPr>
        <w:pStyle w:val="SingleTxt"/>
        <w:jc w:val="left"/>
      </w:pPr>
      <w:r>
        <w:t>Rapport unique valant d</w:t>
      </w:r>
      <w:r w:rsidR="005D13DA">
        <w:t xml:space="preserve">euxième et troisième rapports périodiques </w:t>
      </w:r>
      <w:r>
        <w:t>de</w:t>
      </w:r>
      <w:r w:rsidR="005D13DA">
        <w:t xml:space="preserve"> la Serbie (CEDAW/C/SRB/2-3)</w:t>
      </w:r>
    </w:p>
    <w:p w:rsidR="005D13DA" w:rsidRDefault="005D13DA" w:rsidP="00201CAF">
      <w:pPr>
        <w:pStyle w:val="SingleTxt"/>
        <w:jc w:val="left"/>
      </w:pPr>
      <w:r>
        <w:t>Septième rapport périodique du Royaume-Uni de Grande-Bretagne et d’Irlande du Nord (CEDAW/C/GBR/7 et Add.1 et 2)</w:t>
      </w:r>
    </w:p>
    <w:p w:rsidR="000C315E" w:rsidRPr="000C315E" w:rsidRDefault="000C315E" w:rsidP="000C315E">
      <w:pPr>
        <w:pStyle w:val="SingleTxt"/>
        <w:spacing w:after="0" w:line="120" w:lineRule="exact"/>
        <w:rPr>
          <w:sz w:val="10"/>
        </w:rPr>
      </w:pPr>
    </w:p>
    <w:p w:rsidR="005D13DA" w:rsidRDefault="000C315E" w:rsidP="000C31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13DA">
        <w:t>Listes de questions</w:t>
      </w:r>
    </w:p>
    <w:p w:rsidR="000C315E" w:rsidRPr="000C315E" w:rsidRDefault="000C315E" w:rsidP="000C315E">
      <w:pPr>
        <w:pStyle w:val="SingleTxt"/>
        <w:spacing w:after="0" w:line="120" w:lineRule="exact"/>
        <w:rPr>
          <w:sz w:val="10"/>
        </w:rPr>
      </w:pPr>
    </w:p>
    <w:p w:rsidR="005D13DA" w:rsidRDefault="005D13DA" w:rsidP="00201CAF">
      <w:pPr>
        <w:pStyle w:val="SingleTxt"/>
        <w:jc w:val="left"/>
      </w:pPr>
      <w:r>
        <w:t>Afghanistan (CEDAW/C/AFG/Q/1-2)</w:t>
      </w:r>
      <w:r w:rsidR="00201CAF">
        <w:br/>
      </w:r>
      <w:r>
        <w:t>Bosnie-Herzégovine (CEDAW/C/BIH/Q/4-5)</w:t>
      </w:r>
      <w:r w:rsidR="00201CAF">
        <w:br/>
      </w:r>
      <w:r>
        <w:t>Cap-Vert (CEDAW/C/CPV/Q/7-8)</w:t>
      </w:r>
      <w:r w:rsidR="00201CAF">
        <w:br/>
      </w:r>
      <w:r>
        <w:t>Cuba (CEDAW/C/CUB/Q/7-8)</w:t>
      </w:r>
      <w:r w:rsidR="00201CAF">
        <w:br/>
      </w:r>
      <w:r>
        <w:t>République démocratique du Congo (CEDAW/C/COD/Q/6-7)</w:t>
      </w:r>
      <w:r w:rsidR="00201CAF">
        <w:br/>
      </w:r>
      <w:r>
        <w:t>République dominicaine (CEDAW/C/DOM/Q/6-7)</w:t>
      </w:r>
      <w:r w:rsidR="00201CAF">
        <w:br/>
      </w:r>
      <w:r>
        <w:t>Royaume-Uni (CEDAW/C/GBR/Q/7)</w:t>
      </w:r>
      <w:r w:rsidR="00201CAF">
        <w:br/>
        <w:t>Serbie (CEDAW/C/SRB/Q/2-3)</w:t>
      </w:r>
    </w:p>
    <w:p w:rsidR="00201CAF" w:rsidRPr="00201CAF" w:rsidRDefault="00201CAF" w:rsidP="00201CAF">
      <w:pPr>
        <w:pStyle w:val="SingleTxt"/>
        <w:spacing w:after="0" w:line="120" w:lineRule="exact"/>
        <w:rPr>
          <w:sz w:val="10"/>
        </w:rPr>
      </w:pPr>
    </w:p>
    <w:p w:rsidR="005D13DA" w:rsidRDefault="00201CAF" w:rsidP="002765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939FA">
        <w:t>Réponses aux</w:t>
      </w:r>
      <w:r w:rsidR="005D13DA">
        <w:t xml:space="preserve"> questions</w:t>
      </w:r>
    </w:p>
    <w:p w:rsidR="00201CAF" w:rsidRPr="00201CAF" w:rsidRDefault="00201CAF" w:rsidP="002765B1">
      <w:pPr>
        <w:pStyle w:val="SingleTxt"/>
        <w:keepNext/>
        <w:keepLines/>
        <w:spacing w:after="0" w:line="120" w:lineRule="exact"/>
        <w:rPr>
          <w:sz w:val="10"/>
        </w:rPr>
      </w:pPr>
    </w:p>
    <w:p w:rsidR="005D13DA" w:rsidRDefault="005D13DA" w:rsidP="00201CAF">
      <w:pPr>
        <w:pStyle w:val="SingleTxt"/>
        <w:jc w:val="left"/>
      </w:pPr>
      <w:r>
        <w:t>Afghanistan (CEDAW/C/AFG/Q/1-2/Add.1)</w:t>
      </w:r>
      <w:r w:rsidR="00201CAF">
        <w:br/>
      </w:r>
      <w:r>
        <w:t>Bosnie-Herzégovine (CEDAW/C/BIH/Q/4-5/Add.1)</w:t>
      </w:r>
      <w:r w:rsidR="00201CAF">
        <w:br/>
      </w:r>
      <w:r>
        <w:t>Cap-Vert (CEDAW/C/CPV/Q/7-8/Add.1)</w:t>
      </w:r>
      <w:r w:rsidR="00201CAF">
        <w:br/>
      </w:r>
      <w:r>
        <w:t>Cuba (CEDAW/C/CUB/Q/7-8/Add.1)</w:t>
      </w:r>
      <w:r w:rsidR="00201CAF">
        <w:br/>
      </w:r>
      <w:r>
        <w:t>République démocratique du Congo (CEDAW/C/COD/Q/6-7/Add.1)</w:t>
      </w:r>
      <w:r w:rsidR="00201CAF">
        <w:br/>
      </w:r>
      <w:r>
        <w:t>République dominicaine (CEDAW/C/DOM/Q/6-7/Add.1)</w:t>
      </w:r>
      <w:r w:rsidR="00201CAF">
        <w:br/>
      </w:r>
      <w:r>
        <w:t>Royaume-Uni (CEDAW/C/GBR/Q/7/Add.1)</w:t>
      </w:r>
      <w:r w:rsidR="00201CAF">
        <w:br/>
      </w:r>
      <w:r>
        <w:t>S</w:t>
      </w:r>
      <w:r w:rsidR="00201CAF">
        <w:t>erbie (CEDAW/C/SRB/Q/2-3/Add.1)</w:t>
      </w:r>
    </w:p>
    <w:p w:rsidR="00201CAF" w:rsidRPr="00201CAF" w:rsidRDefault="00201CAF" w:rsidP="00201CAF">
      <w:pPr>
        <w:pStyle w:val="SingleTxt"/>
        <w:spacing w:after="0" w:line="120" w:lineRule="exact"/>
        <w:rPr>
          <w:sz w:val="10"/>
        </w:rPr>
      </w:pPr>
    </w:p>
    <w:p w:rsidR="005D13DA" w:rsidRDefault="005D13DA" w:rsidP="00201C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Suite donnée à l’examen des rapports soumis par les États parties </w:t>
      </w:r>
      <w:r w:rsidR="00201CAF">
        <w:br/>
      </w:r>
      <w:r>
        <w:t xml:space="preserve">en application de l’article 18 de la Convention sur l’élimination </w:t>
      </w:r>
      <w:r w:rsidR="00201CAF">
        <w:br/>
      </w:r>
      <w:r>
        <w:t xml:space="preserve">de toutes les formes de discrimination à l’égard des femmes </w:t>
      </w:r>
    </w:p>
    <w:p w:rsidR="00201CAF" w:rsidRPr="00201CAF" w:rsidRDefault="00201CAF" w:rsidP="00201CAF">
      <w:pPr>
        <w:pStyle w:val="SingleTxt"/>
        <w:spacing w:after="0" w:line="120" w:lineRule="exact"/>
        <w:rPr>
          <w:sz w:val="10"/>
        </w:rPr>
      </w:pPr>
    </w:p>
    <w:p w:rsidR="005D13DA" w:rsidRDefault="00201CAF" w:rsidP="005D13DA">
      <w:pPr>
        <w:pStyle w:val="SingleTxt"/>
      </w:pPr>
      <w:r>
        <w:tab/>
      </w:r>
      <w:r w:rsidR="005D13DA">
        <w:t>À sa quarante-septième session, le Comité a décidé d’inscrire à son ordre du jour une question intitulée «</w:t>
      </w:r>
      <w:r w:rsidR="00830699">
        <w:t> </w:t>
      </w:r>
      <w:r w:rsidR="005D13DA">
        <w:t>Suite donnée à l’examen des rapports soumis par les États parties en application de l’article 18 de la Convention sur l’élimination de toutes les formes de discrimination à l’égard des femmes</w:t>
      </w:r>
      <w:r w:rsidR="00830699">
        <w:t> </w:t>
      </w:r>
      <w:r w:rsidR="005D13DA">
        <w:t>».</w:t>
      </w:r>
    </w:p>
    <w:p w:rsidR="005D13DA" w:rsidRDefault="00201CAF" w:rsidP="005D13DA">
      <w:pPr>
        <w:pStyle w:val="SingleTxt"/>
      </w:pPr>
      <w:r>
        <w:tab/>
      </w:r>
      <w:r w:rsidR="005D13DA">
        <w:t>Le Comité examinera les questions se rapportant à la suite donnée à ses observations finales.</w:t>
      </w:r>
    </w:p>
    <w:p w:rsidR="00201CAF" w:rsidRPr="00201CAF" w:rsidRDefault="00201CAF" w:rsidP="00201CAF">
      <w:pPr>
        <w:pStyle w:val="SingleTxt"/>
        <w:spacing w:after="0" w:line="120" w:lineRule="exact"/>
        <w:rPr>
          <w:sz w:val="10"/>
        </w:rPr>
      </w:pPr>
    </w:p>
    <w:p w:rsidR="005D13DA" w:rsidRDefault="00201CAF" w:rsidP="00201C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D13DA">
        <w:t>6.</w:t>
      </w:r>
      <w:r w:rsidR="005D13DA">
        <w:tab/>
        <w:t xml:space="preserve">Application des articles 21 et 22 de la Convention sur l’élimination </w:t>
      </w:r>
      <w:r>
        <w:br/>
      </w:r>
      <w:r w:rsidR="005D13DA">
        <w:t>de toutes les formes de discrimination à l’égard des femmes</w:t>
      </w:r>
    </w:p>
    <w:p w:rsidR="00201CAF" w:rsidRPr="00201CAF" w:rsidRDefault="00201CAF" w:rsidP="00201CAF">
      <w:pPr>
        <w:pStyle w:val="SingleTxt"/>
        <w:spacing w:after="0" w:line="120" w:lineRule="exact"/>
        <w:rPr>
          <w:sz w:val="10"/>
        </w:rPr>
      </w:pPr>
    </w:p>
    <w:p w:rsidR="005D13DA" w:rsidRDefault="00201CAF" w:rsidP="005D13DA">
      <w:pPr>
        <w:pStyle w:val="SingleTxt"/>
      </w:pPr>
      <w:r>
        <w:tab/>
      </w:r>
      <w:r w:rsidR="005D13DA">
        <w:t xml:space="preserve">Aux termes de l’article 21 de la Convention, le Comité peut formuler des suggestions et des recommandations générales fondées sur l’examen des rapports et </w:t>
      </w:r>
      <w:r w:rsidR="007939FA">
        <w:t>d</w:t>
      </w:r>
      <w:r w:rsidR="005D13DA">
        <w:t>es renseignements reçus des États parties. Ces suggestions et recommandations sont incluses dans le rapport du Comité à l’Assemblée générale, accompagnées, le cas échéant, des observations des États parties.</w:t>
      </w:r>
    </w:p>
    <w:p w:rsidR="005D13DA" w:rsidRDefault="00201CAF" w:rsidP="005D13DA">
      <w:pPr>
        <w:pStyle w:val="SingleTxt"/>
      </w:pPr>
      <w:r>
        <w:tab/>
      </w:r>
      <w:r w:rsidR="005D13DA">
        <w:t xml:space="preserve">Aux termes de l’article 22 de la Convention, les institutions spécialisées ont le droit d’être représentées lors de l’examen de la mise en œuvre de toute disposition de la Convention </w:t>
      </w:r>
      <w:r w:rsidR="007939FA">
        <w:t xml:space="preserve">qui entre dans le cadre de </w:t>
      </w:r>
      <w:r w:rsidR="005D13DA">
        <w:t>leurs activités et le Comité peut les inviter à soumettre des rapports sur l’application de la Convention dans ces domaines.</w:t>
      </w:r>
    </w:p>
    <w:p w:rsidR="00201CAF" w:rsidRPr="00201CAF" w:rsidRDefault="00201CAF" w:rsidP="00201CAF">
      <w:pPr>
        <w:pStyle w:val="SingleTxt"/>
        <w:spacing w:after="0" w:line="120" w:lineRule="exact"/>
        <w:rPr>
          <w:sz w:val="10"/>
        </w:rPr>
      </w:pPr>
    </w:p>
    <w:p w:rsidR="005D13DA" w:rsidRDefault="005D13DA" w:rsidP="00201C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201CAF" w:rsidRPr="00201CAF" w:rsidRDefault="00201CAF" w:rsidP="00201CAF">
      <w:pPr>
        <w:pStyle w:val="SingleTxt"/>
        <w:spacing w:after="0" w:line="120" w:lineRule="exact"/>
        <w:rPr>
          <w:sz w:val="10"/>
        </w:rPr>
      </w:pPr>
    </w:p>
    <w:p w:rsidR="005D13DA" w:rsidRDefault="005D13DA" w:rsidP="002765B1">
      <w:pPr>
        <w:pStyle w:val="SingleTxt"/>
        <w:jc w:val="left"/>
      </w:pPr>
      <w:r>
        <w:t>Rapports présentés par les institutions spécialisées des Nations Unies sur l’application de la Convention dans les domaines qui entrent d</w:t>
      </w:r>
      <w:r w:rsidR="00830699">
        <w:t>ans le cadre de leurs activités</w:t>
      </w:r>
    </w:p>
    <w:p w:rsidR="00201CAF" w:rsidRPr="00201CAF" w:rsidRDefault="00201CAF" w:rsidP="00201CAF">
      <w:pPr>
        <w:pStyle w:val="SingleTxt"/>
        <w:spacing w:after="0" w:line="120" w:lineRule="exact"/>
        <w:rPr>
          <w:sz w:val="10"/>
        </w:rPr>
      </w:pPr>
    </w:p>
    <w:p w:rsidR="005D13DA" w:rsidRDefault="005D13DA" w:rsidP="00201C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 xml:space="preserve">Moyens d’accélérer les travaux du Comité </w:t>
      </w:r>
    </w:p>
    <w:p w:rsidR="00201CAF" w:rsidRPr="00201CAF" w:rsidRDefault="00201CAF" w:rsidP="00201CAF">
      <w:pPr>
        <w:pStyle w:val="SingleTxt"/>
        <w:spacing w:after="0" w:line="120" w:lineRule="exact"/>
        <w:rPr>
          <w:sz w:val="10"/>
        </w:rPr>
      </w:pPr>
    </w:p>
    <w:p w:rsidR="005D13DA" w:rsidRDefault="00201CAF" w:rsidP="005D13DA">
      <w:pPr>
        <w:pStyle w:val="SingleTxt"/>
      </w:pPr>
      <w:r>
        <w:tab/>
      </w:r>
      <w:r w:rsidR="005D13DA">
        <w:t>Le Comité examinera les questions se rapportant à ses méthodes de travail.</w:t>
      </w:r>
    </w:p>
    <w:p w:rsidR="00201CAF" w:rsidRPr="00201CAF" w:rsidRDefault="00201CAF" w:rsidP="00201CAF">
      <w:pPr>
        <w:pStyle w:val="SingleTxt"/>
        <w:spacing w:after="0" w:line="120" w:lineRule="exact"/>
        <w:rPr>
          <w:sz w:val="10"/>
        </w:rPr>
      </w:pPr>
    </w:p>
    <w:p w:rsidR="005D13DA" w:rsidRDefault="005D13DA" w:rsidP="00201C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 xml:space="preserve">Activités menées par le Comité au titre du Protocole facultatif </w:t>
      </w:r>
      <w:r w:rsidR="00201CAF">
        <w:br/>
      </w:r>
      <w:r>
        <w:t xml:space="preserve">à la Convention sur l’élimination de toutes les formes </w:t>
      </w:r>
      <w:r w:rsidR="00201CAF">
        <w:br/>
      </w:r>
      <w:r>
        <w:t xml:space="preserve">de discrimination à l’égard des femmes </w:t>
      </w:r>
    </w:p>
    <w:p w:rsidR="00201CAF" w:rsidRPr="00201CAF" w:rsidRDefault="00201CAF" w:rsidP="00201CAF">
      <w:pPr>
        <w:pStyle w:val="SingleTxt"/>
        <w:spacing w:after="0" w:line="120" w:lineRule="exact"/>
        <w:rPr>
          <w:sz w:val="10"/>
        </w:rPr>
      </w:pPr>
    </w:p>
    <w:p w:rsidR="005D13DA" w:rsidRDefault="00201CAF" w:rsidP="005D13DA">
      <w:pPr>
        <w:pStyle w:val="SingleTxt"/>
      </w:pPr>
      <w:r>
        <w:tab/>
      </w:r>
      <w:r w:rsidR="005D13DA">
        <w:t>La vingt-sixième session du Groupe de travail des communications créé en vertu du Protocole facultatif se tiendra les 4 et 5 juillet 2013, à Genève.</w:t>
      </w:r>
    </w:p>
    <w:p w:rsidR="005D13DA" w:rsidRDefault="00201CAF" w:rsidP="005D13DA">
      <w:pPr>
        <w:pStyle w:val="SingleTxt"/>
      </w:pPr>
      <w:r>
        <w:tab/>
      </w:r>
      <w:r w:rsidR="005D13DA">
        <w:t>À sa cinquante-cinquième session, le Comité continuera de s’acquitter de son mandat, qu’il tient des articles 2 et 8 du Protocole facultatif à la Convention.</w:t>
      </w:r>
    </w:p>
    <w:p w:rsidR="00201CAF" w:rsidRPr="00201CAF" w:rsidRDefault="00201CAF" w:rsidP="00201CAF">
      <w:pPr>
        <w:pStyle w:val="SingleTxt"/>
        <w:spacing w:after="0" w:line="120" w:lineRule="exact"/>
        <w:rPr>
          <w:sz w:val="10"/>
        </w:rPr>
      </w:pPr>
    </w:p>
    <w:p w:rsidR="005D13DA" w:rsidRDefault="005D13DA" w:rsidP="00201C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 xml:space="preserve">Ordre du jour provisoire de la cinquante-sixième session du Comité </w:t>
      </w:r>
    </w:p>
    <w:p w:rsidR="00201CAF" w:rsidRPr="00201CAF" w:rsidRDefault="00201CAF" w:rsidP="00201CAF">
      <w:pPr>
        <w:pStyle w:val="SingleTxt"/>
        <w:spacing w:after="0" w:line="120" w:lineRule="exact"/>
        <w:rPr>
          <w:sz w:val="10"/>
        </w:rPr>
      </w:pPr>
    </w:p>
    <w:p w:rsidR="005D13DA" w:rsidRDefault="005D13DA" w:rsidP="00201C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201CAF" w:rsidRPr="00201CAF" w:rsidRDefault="00201CAF" w:rsidP="00201CAF">
      <w:pPr>
        <w:pStyle w:val="SingleTxt"/>
        <w:spacing w:after="0" w:line="120" w:lineRule="exact"/>
        <w:rPr>
          <w:sz w:val="10"/>
        </w:rPr>
      </w:pPr>
    </w:p>
    <w:p w:rsidR="005D13DA" w:rsidRDefault="005D13DA" w:rsidP="005D13DA">
      <w:pPr>
        <w:pStyle w:val="SingleTxt"/>
      </w:pPr>
      <w:r>
        <w:t>Ordre du jour provisoire de la cinquante-sixième session (CEDAW/C/56/1).</w:t>
      </w:r>
    </w:p>
    <w:p w:rsidR="00201CAF" w:rsidRPr="00201CAF" w:rsidRDefault="00201CAF" w:rsidP="00201CAF">
      <w:pPr>
        <w:pStyle w:val="SingleTxt"/>
        <w:spacing w:after="0" w:line="120" w:lineRule="exact"/>
        <w:rPr>
          <w:sz w:val="10"/>
        </w:rPr>
      </w:pPr>
    </w:p>
    <w:p w:rsidR="005D13DA" w:rsidRDefault="005D13DA" w:rsidP="00201C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 xml:space="preserve">Adoption du rapport du Comité sur les travaux </w:t>
      </w:r>
      <w:r w:rsidR="002765B1">
        <w:br/>
      </w:r>
      <w:r>
        <w:t xml:space="preserve">de sa cinquante-cinquième session </w:t>
      </w:r>
    </w:p>
    <w:p w:rsidR="002765B1" w:rsidRPr="002765B1" w:rsidRDefault="002765B1" w:rsidP="002765B1">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2765B1" w:rsidRPr="002765B1" w:rsidSect="00A72CB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3-04-24T14:02:00Z" w:initials="Start">
    <w:p w:rsidR="00A72CBC" w:rsidRPr="00830699" w:rsidRDefault="00A72CBC">
      <w:pPr>
        <w:pStyle w:val="CommentText"/>
        <w:rPr>
          <w:lang w:val="en-US"/>
        </w:rPr>
      </w:pPr>
      <w:r>
        <w:fldChar w:fldCharType="begin"/>
      </w:r>
      <w:r w:rsidRPr="00830699">
        <w:rPr>
          <w:rStyle w:val="CommentReference"/>
          <w:lang w:val="en-US"/>
        </w:rPr>
        <w:instrText xml:space="preserve"> </w:instrText>
      </w:r>
      <w:r w:rsidRPr="00830699">
        <w:rPr>
          <w:lang w:val="en-US"/>
        </w:rPr>
        <w:instrText>PAGE \# "'Page: '#'</w:instrText>
      </w:r>
      <w:r w:rsidRPr="00830699">
        <w:rPr>
          <w:lang w:val="en-US"/>
        </w:rPr>
        <w:br/>
        <w:instrText>'"</w:instrText>
      </w:r>
      <w:r w:rsidRPr="00830699">
        <w:rPr>
          <w:rStyle w:val="CommentReference"/>
          <w:lang w:val="en-US"/>
        </w:rPr>
        <w:instrText xml:space="preserve"> </w:instrText>
      </w:r>
      <w:r>
        <w:fldChar w:fldCharType="end"/>
      </w:r>
      <w:r>
        <w:rPr>
          <w:rStyle w:val="CommentReference"/>
        </w:rPr>
        <w:annotationRef/>
      </w:r>
      <w:r w:rsidRPr="00830699">
        <w:rPr>
          <w:lang w:val="en-US"/>
        </w:rPr>
        <w:t>&lt;&lt;ODS JOB NO&gt;&gt;N1328573F&lt;&lt;ODS JOB NO&gt;&gt;</w:t>
      </w:r>
    </w:p>
    <w:p w:rsidR="00A72CBC" w:rsidRDefault="00A72CBC">
      <w:pPr>
        <w:pStyle w:val="CommentText"/>
      </w:pPr>
      <w:r>
        <w:t>&lt;&lt;ODS DOC SYMBOL1&gt;&gt;CEDAW/C/55/1&lt;&lt;ODS DOC SYMBOL1&gt;&gt;</w:t>
      </w:r>
    </w:p>
    <w:p w:rsidR="00A72CBC" w:rsidRDefault="00A72C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699" w:rsidRDefault="00977699" w:rsidP="00A72CBC">
      <w:pPr>
        <w:pStyle w:val="Footer"/>
      </w:pPr>
      <w:r>
        <w:separator/>
      </w:r>
    </w:p>
  </w:endnote>
  <w:endnote w:type="continuationSeparator" w:id="0">
    <w:p w:rsidR="00977699" w:rsidRDefault="00977699" w:rsidP="00A72CB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72CBC" w:rsidTr="00A72CBC">
      <w:tblPrEx>
        <w:tblCellMar>
          <w:top w:w="0" w:type="dxa"/>
          <w:bottom w:w="0" w:type="dxa"/>
        </w:tblCellMar>
      </w:tblPrEx>
      <w:tc>
        <w:tcPr>
          <w:tcW w:w="4995" w:type="dxa"/>
          <w:shd w:val="clear" w:color="auto" w:fill="auto"/>
        </w:tcPr>
        <w:p w:rsidR="00A72CBC" w:rsidRPr="00A72CBC" w:rsidRDefault="00A72CBC" w:rsidP="00A72C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0699">
            <w:rPr>
              <w:b w:val="0"/>
              <w:w w:val="103"/>
              <w:sz w:val="14"/>
            </w:rPr>
            <w:t>13-28573</w:t>
          </w:r>
          <w:r>
            <w:rPr>
              <w:b w:val="0"/>
              <w:w w:val="103"/>
              <w:sz w:val="14"/>
            </w:rPr>
            <w:fldChar w:fldCharType="end"/>
          </w:r>
        </w:p>
      </w:tc>
      <w:tc>
        <w:tcPr>
          <w:tcW w:w="4995" w:type="dxa"/>
          <w:shd w:val="clear" w:color="auto" w:fill="auto"/>
        </w:tcPr>
        <w:p w:rsidR="00A72CBC" w:rsidRPr="00A72CBC" w:rsidRDefault="00A72CBC" w:rsidP="00A72CBC">
          <w:pPr>
            <w:pStyle w:val="Footer"/>
            <w:rPr>
              <w:w w:val="103"/>
            </w:rPr>
          </w:pPr>
          <w:r>
            <w:rPr>
              <w:w w:val="103"/>
            </w:rPr>
            <w:fldChar w:fldCharType="begin"/>
          </w:r>
          <w:r>
            <w:rPr>
              <w:w w:val="103"/>
            </w:rPr>
            <w:instrText xml:space="preserve"> PAGE  \* MERGEFORMAT </w:instrText>
          </w:r>
          <w:r>
            <w:rPr>
              <w:w w:val="103"/>
            </w:rPr>
            <w:fldChar w:fldCharType="separate"/>
          </w:r>
          <w:r w:rsidR="00830699">
            <w:rPr>
              <w:w w:val="103"/>
            </w:rPr>
            <w:t>4</w:t>
          </w:r>
          <w:r>
            <w:rPr>
              <w:w w:val="103"/>
            </w:rPr>
            <w:fldChar w:fldCharType="end"/>
          </w:r>
        </w:p>
      </w:tc>
    </w:tr>
  </w:tbl>
  <w:p w:rsidR="00A72CBC" w:rsidRPr="00A72CBC" w:rsidRDefault="00A72CBC" w:rsidP="00A72C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72CBC" w:rsidTr="00A72CBC">
      <w:tblPrEx>
        <w:tblCellMar>
          <w:top w:w="0" w:type="dxa"/>
          <w:bottom w:w="0" w:type="dxa"/>
        </w:tblCellMar>
      </w:tblPrEx>
      <w:tc>
        <w:tcPr>
          <w:tcW w:w="4995" w:type="dxa"/>
          <w:shd w:val="clear" w:color="auto" w:fill="auto"/>
        </w:tcPr>
        <w:p w:rsidR="00A72CBC" w:rsidRPr="00A72CBC" w:rsidRDefault="00A72CBC" w:rsidP="00A72CBC">
          <w:pPr>
            <w:pStyle w:val="Footer"/>
            <w:jc w:val="right"/>
            <w:rPr>
              <w:w w:val="103"/>
            </w:rPr>
          </w:pPr>
          <w:r>
            <w:rPr>
              <w:w w:val="103"/>
            </w:rPr>
            <w:fldChar w:fldCharType="begin"/>
          </w:r>
          <w:r>
            <w:rPr>
              <w:w w:val="103"/>
            </w:rPr>
            <w:instrText xml:space="preserve"> PAGE  \* MERGEFORMAT </w:instrText>
          </w:r>
          <w:r>
            <w:rPr>
              <w:w w:val="103"/>
            </w:rPr>
            <w:fldChar w:fldCharType="separate"/>
          </w:r>
          <w:r w:rsidR="00830699">
            <w:rPr>
              <w:w w:val="103"/>
            </w:rPr>
            <w:t>5</w:t>
          </w:r>
          <w:r>
            <w:rPr>
              <w:w w:val="103"/>
            </w:rPr>
            <w:fldChar w:fldCharType="end"/>
          </w:r>
        </w:p>
      </w:tc>
      <w:tc>
        <w:tcPr>
          <w:tcW w:w="4995" w:type="dxa"/>
          <w:shd w:val="clear" w:color="auto" w:fill="auto"/>
        </w:tcPr>
        <w:p w:rsidR="00A72CBC" w:rsidRPr="00A72CBC" w:rsidRDefault="00A72CBC" w:rsidP="00A72C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0699">
            <w:rPr>
              <w:b w:val="0"/>
              <w:w w:val="103"/>
              <w:sz w:val="14"/>
            </w:rPr>
            <w:t>13-28573</w:t>
          </w:r>
          <w:r>
            <w:rPr>
              <w:b w:val="0"/>
              <w:w w:val="103"/>
              <w:sz w:val="14"/>
            </w:rPr>
            <w:fldChar w:fldCharType="end"/>
          </w:r>
        </w:p>
      </w:tc>
    </w:tr>
  </w:tbl>
  <w:p w:rsidR="00A72CBC" w:rsidRPr="00A72CBC" w:rsidRDefault="00A72CBC" w:rsidP="00A72C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CBC" w:rsidRDefault="00A72CBC">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3686"/>
    </w:tblGrid>
    <w:tr w:rsidR="00A72CBC" w:rsidTr="00A72CBC">
      <w:tblPrEx>
        <w:tblCellMar>
          <w:top w:w="0" w:type="dxa"/>
          <w:bottom w:w="0" w:type="dxa"/>
        </w:tblCellMar>
      </w:tblPrEx>
      <w:tc>
        <w:tcPr>
          <w:tcW w:w="4995" w:type="dxa"/>
        </w:tcPr>
        <w:p w:rsidR="00A72CBC" w:rsidRDefault="00A72CBC" w:rsidP="00A72C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30699">
            <w:rPr>
              <w:b w:val="0"/>
              <w:sz w:val="20"/>
            </w:rPr>
            <w:t>13-28573 (F)</w:t>
          </w:r>
          <w:r>
            <w:rPr>
              <w:b w:val="0"/>
              <w:sz w:val="20"/>
            </w:rPr>
            <w:fldChar w:fldCharType="end"/>
          </w:r>
          <w:r>
            <w:rPr>
              <w:b w:val="0"/>
              <w:sz w:val="20"/>
            </w:rPr>
            <w:t xml:space="preserve">    2</w:t>
          </w:r>
          <w:r w:rsidR="00830699">
            <w:rPr>
              <w:b w:val="0"/>
              <w:sz w:val="20"/>
            </w:rPr>
            <w:t>3</w:t>
          </w:r>
          <w:r>
            <w:rPr>
              <w:b w:val="0"/>
              <w:sz w:val="20"/>
            </w:rPr>
            <w:t>0413    240413</w:t>
          </w:r>
        </w:p>
        <w:p w:rsidR="00A72CBC" w:rsidRPr="00A72CBC" w:rsidRDefault="00A72CBC" w:rsidP="00A72CB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30699">
            <w:rPr>
              <w:rFonts w:ascii="Barcode 3 of 9 by request" w:hAnsi="Barcode 3 of 9 by request"/>
              <w:b w:val="0"/>
              <w:spacing w:val="0"/>
              <w:w w:val="100"/>
              <w:sz w:val="24"/>
            </w:rPr>
            <w:t>*1328573*</w:t>
          </w:r>
          <w:r>
            <w:rPr>
              <w:rFonts w:ascii="Barcode 3 of 9 by request" w:hAnsi="Barcode 3 of 9 by request"/>
              <w:b w:val="0"/>
              <w:spacing w:val="0"/>
              <w:w w:val="100"/>
              <w:sz w:val="24"/>
            </w:rPr>
            <w:fldChar w:fldCharType="end"/>
          </w:r>
        </w:p>
      </w:tc>
      <w:tc>
        <w:tcPr>
          <w:tcW w:w="3686" w:type="dxa"/>
        </w:tcPr>
        <w:p w:rsidR="00A72CBC" w:rsidRDefault="00A72CBC" w:rsidP="00A72CBC">
          <w:pPr>
            <w:pStyle w:val="Footer"/>
            <w:spacing w:line="240" w:lineRule="atLeast"/>
            <w:jc w:val="right"/>
            <w:rPr>
              <w:b w:val="0"/>
              <w:sz w:val="20"/>
            </w:rPr>
          </w:pPr>
          <w:r w:rsidRPr="00A72CB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A72CBC" w:rsidRPr="00A72CBC" w:rsidRDefault="00A72CBC" w:rsidP="00A72CB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699" w:rsidRDefault="00977699" w:rsidP="00A72CBC">
      <w:pPr>
        <w:pStyle w:val="Footer"/>
      </w:pPr>
      <w:r>
        <w:separator/>
      </w:r>
    </w:p>
  </w:footnote>
  <w:footnote w:type="continuationSeparator" w:id="0">
    <w:p w:rsidR="00977699" w:rsidRDefault="00977699" w:rsidP="00A72CB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72CBC" w:rsidTr="00A72CBC">
      <w:tblPrEx>
        <w:tblCellMar>
          <w:top w:w="0" w:type="dxa"/>
          <w:bottom w:w="0" w:type="dxa"/>
        </w:tblCellMar>
      </w:tblPrEx>
      <w:trPr>
        <w:trHeight w:hRule="exact" w:val="864"/>
      </w:trPr>
      <w:tc>
        <w:tcPr>
          <w:tcW w:w="4838" w:type="dxa"/>
          <w:shd w:val="clear" w:color="auto" w:fill="auto"/>
          <w:vAlign w:val="bottom"/>
        </w:tcPr>
        <w:p w:rsidR="00A72CBC" w:rsidRPr="00A72CBC" w:rsidRDefault="00A72CBC" w:rsidP="00A72CBC">
          <w:pPr>
            <w:pStyle w:val="Header"/>
            <w:spacing w:after="80"/>
            <w:rPr>
              <w:b/>
            </w:rPr>
          </w:pPr>
          <w:r>
            <w:rPr>
              <w:b/>
            </w:rPr>
            <w:fldChar w:fldCharType="begin"/>
          </w:r>
          <w:r>
            <w:rPr>
              <w:b/>
            </w:rPr>
            <w:instrText xml:space="preserve"> DOCVARIABLE "sss1" \* MERGEFORMAT </w:instrText>
          </w:r>
          <w:r>
            <w:rPr>
              <w:b/>
            </w:rPr>
            <w:fldChar w:fldCharType="separate"/>
          </w:r>
          <w:r w:rsidR="00830699">
            <w:rPr>
              <w:b/>
            </w:rPr>
            <w:t>CEDAW/C/55/1</w:t>
          </w:r>
          <w:r>
            <w:rPr>
              <w:b/>
            </w:rPr>
            <w:fldChar w:fldCharType="end"/>
          </w:r>
        </w:p>
      </w:tc>
      <w:tc>
        <w:tcPr>
          <w:tcW w:w="4995" w:type="dxa"/>
          <w:shd w:val="clear" w:color="auto" w:fill="auto"/>
          <w:vAlign w:val="bottom"/>
        </w:tcPr>
        <w:p w:rsidR="00A72CBC" w:rsidRDefault="00A72CBC" w:rsidP="00A72CBC">
          <w:pPr>
            <w:pStyle w:val="Header"/>
          </w:pPr>
        </w:p>
      </w:tc>
    </w:tr>
  </w:tbl>
  <w:p w:rsidR="00A72CBC" w:rsidRPr="00A72CBC" w:rsidRDefault="00A72CBC" w:rsidP="00A72C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72CBC" w:rsidTr="00A72CBC">
      <w:tblPrEx>
        <w:tblCellMar>
          <w:top w:w="0" w:type="dxa"/>
          <w:bottom w:w="0" w:type="dxa"/>
        </w:tblCellMar>
      </w:tblPrEx>
      <w:trPr>
        <w:trHeight w:hRule="exact" w:val="864"/>
      </w:trPr>
      <w:tc>
        <w:tcPr>
          <w:tcW w:w="4838" w:type="dxa"/>
          <w:shd w:val="clear" w:color="auto" w:fill="auto"/>
          <w:vAlign w:val="bottom"/>
        </w:tcPr>
        <w:p w:rsidR="00A72CBC" w:rsidRDefault="00A72CBC" w:rsidP="00A72CBC">
          <w:pPr>
            <w:pStyle w:val="Header"/>
          </w:pPr>
        </w:p>
      </w:tc>
      <w:tc>
        <w:tcPr>
          <w:tcW w:w="4995" w:type="dxa"/>
          <w:shd w:val="clear" w:color="auto" w:fill="auto"/>
          <w:vAlign w:val="bottom"/>
        </w:tcPr>
        <w:p w:rsidR="00A72CBC" w:rsidRPr="00A72CBC" w:rsidRDefault="00A72CBC" w:rsidP="00A72CBC">
          <w:pPr>
            <w:pStyle w:val="Header"/>
            <w:spacing w:after="80"/>
            <w:jc w:val="right"/>
            <w:rPr>
              <w:b/>
            </w:rPr>
          </w:pPr>
          <w:r>
            <w:rPr>
              <w:b/>
            </w:rPr>
            <w:fldChar w:fldCharType="begin"/>
          </w:r>
          <w:r>
            <w:rPr>
              <w:b/>
            </w:rPr>
            <w:instrText xml:space="preserve"> DOCVARIABLE "sss1" \* MERGEFORMAT </w:instrText>
          </w:r>
          <w:r>
            <w:rPr>
              <w:b/>
            </w:rPr>
            <w:fldChar w:fldCharType="separate"/>
          </w:r>
          <w:r w:rsidR="00830699">
            <w:rPr>
              <w:b/>
            </w:rPr>
            <w:t>CEDAW/C/55/1</w:t>
          </w:r>
          <w:r>
            <w:rPr>
              <w:b/>
            </w:rPr>
            <w:fldChar w:fldCharType="end"/>
          </w:r>
        </w:p>
      </w:tc>
    </w:tr>
  </w:tbl>
  <w:p w:rsidR="00A72CBC" w:rsidRPr="00A72CBC" w:rsidRDefault="00A72CBC" w:rsidP="00A72C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72CBC" w:rsidTr="00A72CB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72CBC" w:rsidRDefault="00A72CBC" w:rsidP="00A72CBC">
          <w:pPr>
            <w:pStyle w:val="Header"/>
            <w:spacing w:after="120"/>
          </w:pPr>
        </w:p>
      </w:tc>
      <w:tc>
        <w:tcPr>
          <w:tcW w:w="2059" w:type="dxa"/>
          <w:tcBorders>
            <w:bottom w:val="single" w:sz="4" w:space="0" w:color="auto"/>
          </w:tcBorders>
          <w:shd w:val="clear" w:color="auto" w:fill="auto"/>
          <w:vAlign w:val="bottom"/>
        </w:tcPr>
        <w:p w:rsidR="00A72CBC" w:rsidRPr="00A72CBC" w:rsidRDefault="00A72CBC" w:rsidP="00A72CB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72CBC" w:rsidRDefault="00A72CBC" w:rsidP="00A72CBC">
          <w:pPr>
            <w:pStyle w:val="Header"/>
            <w:spacing w:after="120"/>
          </w:pPr>
        </w:p>
      </w:tc>
      <w:tc>
        <w:tcPr>
          <w:tcW w:w="6523" w:type="dxa"/>
          <w:gridSpan w:val="3"/>
          <w:tcBorders>
            <w:bottom w:val="single" w:sz="4" w:space="0" w:color="auto"/>
          </w:tcBorders>
          <w:shd w:val="clear" w:color="auto" w:fill="auto"/>
          <w:vAlign w:val="bottom"/>
        </w:tcPr>
        <w:p w:rsidR="00A72CBC" w:rsidRPr="00A72CBC" w:rsidRDefault="00A72CBC" w:rsidP="00A72CBC">
          <w:pPr>
            <w:spacing w:after="80" w:line="240" w:lineRule="auto"/>
            <w:jc w:val="right"/>
            <w:rPr>
              <w:position w:val="-4"/>
            </w:rPr>
          </w:pPr>
          <w:r>
            <w:rPr>
              <w:position w:val="-4"/>
              <w:sz w:val="40"/>
            </w:rPr>
            <w:t>CEDAW</w:t>
          </w:r>
          <w:r>
            <w:rPr>
              <w:position w:val="-4"/>
            </w:rPr>
            <w:t>/C/55/1</w:t>
          </w:r>
        </w:p>
      </w:tc>
    </w:tr>
    <w:tr w:rsidR="00A72CBC" w:rsidRPr="00A72CBC" w:rsidTr="00A72CB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72CBC" w:rsidRDefault="00A72CBC" w:rsidP="00A72CB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2CBC" w:rsidRPr="00A72CBC" w:rsidRDefault="00A72CBC" w:rsidP="00A72CBC">
          <w:pPr>
            <w:pStyle w:val="Header"/>
            <w:spacing w:before="880"/>
            <w:ind w:left="-72"/>
          </w:pPr>
        </w:p>
      </w:tc>
      <w:tc>
        <w:tcPr>
          <w:tcW w:w="5227" w:type="dxa"/>
          <w:gridSpan w:val="3"/>
          <w:tcBorders>
            <w:top w:val="single" w:sz="4" w:space="0" w:color="auto"/>
            <w:bottom w:val="single" w:sz="12" w:space="0" w:color="auto"/>
          </w:tcBorders>
          <w:shd w:val="clear" w:color="auto" w:fill="auto"/>
        </w:tcPr>
        <w:p w:rsidR="00A72CBC" w:rsidRPr="00A72CBC" w:rsidRDefault="00A72CBC" w:rsidP="00A72CB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72CBC" w:rsidRPr="00830699" w:rsidRDefault="00A72CBC" w:rsidP="00A72CB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72CBC" w:rsidRDefault="00A72CBC" w:rsidP="00A72CBC">
          <w:pPr>
            <w:spacing w:before="240"/>
          </w:pPr>
          <w:r>
            <w:t>Distr. générale</w:t>
          </w:r>
        </w:p>
        <w:p w:rsidR="00A72CBC" w:rsidRDefault="00A72CBC" w:rsidP="00A72CBC">
          <w:r>
            <w:t>9 avril 2013</w:t>
          </w:r>
        </w:p>
        <w:p w:rsidR="00A72CBC" w:rsidRDefault="00A72CBC" w:rsidP="00A72CBC">
          <w:r>
            <w:t>Français</w:t>
          </w:r>
        </w:p>
        <w:p w:rsidR="00A72CBC" w:rsidRPr="00A72CBC" w:rsidRDefault="00A72CBC" w:rsidP="00A72CBC">
          <w:r>
            <w:t>Original : anglais</w:t>
          </w:r>
        </w:p>
      </w:tc>
    </w:tr>
  </w:tbl>
  <w:p w:rsidR="00A72CBC" w:rsidRPr="00830699" w:rsidRDefault="00A72CBC" w:rsidP="00A72CBC">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328573*"/>
    <w:docVar w:name="CreationDt" w:val="24/04/2013 14:02:08"/>
    <w:docVar w:name="DocCategory" w:val="Doc"/>
    <w:docVar w:name="DocType" w:val="Final"/>
    <w:docVar w:name="FooterJN" w:val="13-28573"/>
    <w:docVar w:name="jobn" w:val="13-28573 (F)"/>
    <w:docVar w:name="jobnDT" w:val="13-28573 (F)   240413"/>
    <w:docVar w:name="jobnDTDT" w:val="13-28573 (F)   240413   240413"/>
    <w:docVar w:name="JobNo" w:val="1328573F"/>
    <w:docVar w:name="OandT" w:val="Marie-Luce"/>
    <w:docVar w:name="sss1" w:val="CEDAW/C/55/1"/>
    <w:docVar w:name="sss2" w:val="-"/>
    <w:docVar w:name="Symbol1" w:val="CEDAW/C/55/1"/>
    <w:docVar w:name="Symbol2" w:val="-"/>
  </w:docVars>
  <w:rsids>
    <w:rsidRoot w:val="00923A37"/>
    <w:rsid w:val="000419C8"/>
    <w:rsid w:val="000C315E"/>
    <w:rsid w:val="00201CAF"/>
    <w:rsid w:val="002558BA"/>
    <w:rsid w:val="002765B1"/>
    <w:rsid w:val="002C12A1"/>
    <w:rsid w:val="00374EB8"/>
    <w:rsid w:val="0057251A"/>
    <w:rsid w:val="005D13DA"/>
    <w:rsid w:val="007939FA"/>
    <w:rsid w:val="00830699"/>
    <w:rsid w:val="00911229"/>
    <w:rsid w:val="00923A37"/>
    <w:rsid w:val="00977699"/>
    <w:rsid w:val="009A06CF"/>
    <w:rsid w:val="009B4497"/>
    <w:rsid w:val="00A72CBC"/>
    <w:rsid w:val="00AC722B"/>
    <w:rsid w:val="00B15949"/>
    <w:rsid w:val="00B22DDE"/>
    <w:rsid w:val="00C51477"/>
    <w:rsid w:val="00C67494"/>
    <w:rsid w:val="00DA0D01"/>
    <w:rsid w:val="00F00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923A37"/>
    <w:rPr>
      <w:rFonts w:ascii="Tahoma" w:hAnsi="Tahoma" w:cs="Tahoma"/>
      <w:sz w:val="16"/>
      <w:szCs w:val="16"/>
    </w:rPr>
  </w:style>
  <w:style w:type="paragraph" w:styleId="CommentText">
    <w:name w:val="annotation text"/>
    <w:basedOn w:val="Normal"/>
    <w:semiHidden/>
    <w:rsid w:val="00A72CBC"/>
  </w:style>
  <w:style w:type="paragraph" w:styleId="CommentSubject">
    <w:name w:val="annotation subject"/>
    <w:basedOn w:val="CommentText"/>
    <w:next w:val="CommentText"/>
    <w:semiHidden/>
    <w:rsid w:val="00A72C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1</Pages>
  <Words>1306</Words>
  <Characters>7590</Characters>
  <Application>Microsoft Office Word</Application>
  <DocSecurity>4</DocSecurity>
  <Lines>199</Lines>
  <Paragraphs>76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8820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Catherine Gentil</cp:lastModifiedBy>
  <cp:revision>6</cp:revision>
  <cp:lastPrinted>2013-04-24T15:52:00Z</cp:lastPrinted>
  <dcterms:created xsi:type="dcterms:W3CDTF">2013-04-24T13:01:00Z</dcterms:created>
  <dcterms:modified xsi:type="dcterms:W3CDTF">2013-04-24T15:56:00Z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1328573</vt:lpwstr>
  </property>
  <property fmtid="{D5CDD505-2E9C-101B-9397-08002B2CF9AE}" pid="3" name="Symbol1">
    <vt:lpwstr>CEDAW/C/55/1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Marie-Luce/CGE</vt:lpwstr>
  </property>
</Properties>
</file>