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3AB76D" w14:textId="77777777" w:rsidTr="00CD692A">
        <w:trPr>
          <w:trHeight w:hRule="exact" w:val="851"/>
        </w:trPr>
        <w:tc>
          <w:tcPr>
            <w:tcW w:w="1280" w:type="dxa"/>
            <w:tcBorders>
              <w:bottom w:val="single" w:sz="4" w:space="0" w:color="auto"/>
            </w:tcBorders>
          </w:tcPr>
          <w:p w14:paraId="14DA2D6F" w14:textId="77777777" w:rsidR="002D5AAC" w:rsidRDefault="002D5AAC" w:rsidP="00990735">
            <w:pPr>
              <w:kinsoku w:val="0"/>
              <w:overflowPunct w:val="0"/>
              <w:autoSpaceDE w:val="0"/>
              <w:autoSpaceDN w:val="0"/>
              <w:adjustRightInd w:val="0"/>
              <w:snapToGrid w:val="0"/>
            </w:pPr>
          </w:p>
        </w:tc>
        <w:tc>
          <w:tcPr>
            <w:tcW w:w="2273" w:type="dxa"/>
            <w:tcBorders>
              <w:bottom w:val="single" w:sz="4" w:space="0" w:color="auto"/>
            </w:tcBorders>
            <w:vAlign w:val="bottom"/>
          </w:tcPr>
          <w:p w14:paraId="110DB53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EEF505" w14:textId="22B1299A" w:rsidR="002D5AAC" w:rsidRDefault="00990735" w:rsidP="00990735">
            <w:pPr>
              <w:jc w:val="right"/>
            </w:pPr>
            <w:r w:rsidRPr="00990735">
              <w:rPr>
                <w:sz w:val="40"/>
              </w:rPr>
              <w:t>E</w:t>
            </w:r>
            <w:r>
              <w:t>/C.12/MWI/1</w:t>
            </w:r>
          </w:p>
        </w:tc>
      </w:tr>
      <w:tr w:rsidR="002D5AAC" w14:paraId="79A9378C" w14:textId="77777777" w:rsidTr="00CD692A">
        <w:trPr>
          <w:trHeight w:hRule="exact" w:val="2835"/>
        </w:trPr>
        <w:tc>
          <w:tcPr>
            <w:tcW w:w="1280" w:type="dxa"/>
            <w:tcBorders>
              <w:top w:val="single" w:sz="4" w:space="0" w:color="auto"/>
              <w:bottom w:val="single" w:sz="12" w:space="0" w:color="auto"/>
            </w:tcBorders>
          </w:tcPr>
          <w:p w14:paraId="269BBF0B" w14:textId="77777777" w:rsidR="002D5AAC" w:rsidRDefault="00DC6544" w:rsidP="006E27AD">
            <w:pPr>
              <w:spacing w:before="120"/>
              <w:jc w:val="center"/>
            </w:pPr>
            <w:r>
              <w:rPr>
                <w:noProof/>
              </w:rPr>
              <w:drawing>
                <wp:inline distT="0" distB="0" distL="0" distR="0" wp14:anchorId="7A9CDE1C" wp14:editId="6F01D77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FCD8C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B1F7F8E" w14:textId="77777777" w:rsidR="002D5AAC" w:rsidRDefault="00990735" w:rsidP="006E27AD">
            <w:pPr>
              <w:spacing w:before="240"/>
            </w:pPr>
            <w:r>
              <w:t>Distr. general</w:t>
            </w:r>
          </w:p>
          <w:p w14:paraId="08316E1A" w14:textId="77777777" w:rsidR="00990735" w:rsidRDefault="00990735" w:rsidP="00990735">
            <w:pPr>
              <w:spacing w:line="240" w:lineRule="exact"/>
            </w:pPr>
            <w:r>
              <w:t>24 de junio de 2022</w:t>
            </w:r>
          </w:p>
          <w:p w14:paraId="6E106C7A" w14:textId="77777777" w:rsidR="00990735" w:rsidRDefault="00990735" w:rsidP="00990735">
            <w:pPr>
              <w:spacing w:line="240" w:lineRule="exact"/>
            </w:pPr>
            <w:r>
              <w:t>Español</w:t>
            </w:r>
          </w:p>
          <w:p w14:paraId="5A1DB4BE" w14:textId="77777777" w:rsidR="00990735" w:rsidRDefault="00990735" w:rsidP="00990735">
            <w:pPr>
              <w:spacing w:line="240" w:lineRule="exact"/>
            </w:pPr>
            <w:r>
              <w:t>Original: inglés</w:t>
            </w:r>
          </w:p>
          <w:p w14:paraId="6215CEBE" w14:textId="278E733D" w:rsidR="00990735" w:rsidRDefault="00990735" w:rsidP="00990735">
            <w:pPr>
              <w:spacing w:line="240" w:lineRule="exact"/>
            </w:pPr>
            <w:r>
              <w:t>Español, francés e inglés únicamente</w:t>
            </w:r>
          </w:p>
        </w:tc>
      </w:tr>
    </w:tbl>
    <w:p w14:paraId="3BD72F68" w14:textId="77777777" w:rsidR="00CD692A" w:rsidRPr="00CD692A" w:rsidRDefault="00CD692A" w:rsidP="00CD692A">
      <w:pPr>
        <w:spacing w:before="120"/>
        <w:rPr>
          <w:b/>
          <w:bCs/>
          <w:sz w:val="24"/>
          <w:szCs w:val="24"/>
        </w:rPr>
      </w:pPr>
      <w:r w:rsidRPr="00CD692A">
        <w:rPr>
          <w:b/>
          <w:bCs/>
          <w:sz w:val="24"/>
          <w:szCs w:val="24"/>
        </w:rPr>
        <w:t>Comité de Derechos Económicos, Sociales y Culturales</w:t>
      </w:r>
    </w:p>
    <w:p w14:paraId="49427535" w14:textId="53C0BFC2" w:rsidR="00CD692A" w:rsidRPr="00CD692A" w:rsidRDefault="00CD692A" w:rsidP="00CD692A">
      <w:pPr>
        <w:pStyle w:val="HMG"/>
      </w:pPr>
      <w:r>
        <w:tab/>
      </w:r>
      <w:r w:rsidRPr="00CD692A">
        <w:tab/>
        <w:t>Informe inicial que Malawi debía presentar en</w:t>
      </w:r>
      <w:r w:rsidR="00ED195D">
        <w:t> </w:t>
      </w:r>
      <w:r w:rsidRPr="00CD692A">
        <w:t>1996 en virtud de los artículos 16 y 17 del</w:t>
      </w:r>
      <w:r w:rsidR="00ED195D">
        <w:t> </w:t>
      </w:r>
      <w:r w:rsidRPr="00CD692A">
        <w:t>Pacto</w:t>
      </w:r>
      <w:r w:rsidRPr="00CD692A">
        <w:rPr>
          <w:rStyle w:val="Refdenotaalpie"/>
          <w:b w:val="0"/>
          <w:bCs/>
          <w:sz w:val="20"/>
          <w:vertAlign w:val="baseline"/>
        </w:rPr>
        <w:footnoteReference w:customMarkFollows="1" w:id="1"/>
        <w:t>*</w:t>
      </w:r>
    </w:p>
    <w:p w14:paraId="15975696" w14:textId="77777777" w:rsidR="00CD692A" w:rsidRPr="00CD692A" w:rsidRDefault="00CD692A" w:rsidP="00CD692A">
      <w:pPr>
        <w:pStyle w:val="SingleTxtG"/>
        <w:jc w:val="right"/>
      </w:pPr>
      <w:r w:rsidRPr="00CD692A">
        <w:t>[Fecha de recepción: 13 de abril de 2022]</w:t>
      </w:r>
    </w:p>
    <w:p w14:paraId="69E17448" w14:textId="77777777" w:rsidR="00CD692A" w:rsidRPr="00CD692A" w:rsidRDefault="00CD692A" w:rsidP="00CD692A">
      <w:pPr>
        <w:pStyle w:val="SingleTxtG"/>
      </w:pPr>
      <w:r w:rsidRPr="00CD692A">
        <w:br w:type="page"/>
      </w:r>
    </w:p>
    <w:p w14:paraId="0936EC6A" w14:textId="3063D187" w:rsidR="00CD692A" w:rsidRPr="00CD692A" w:rsidRDefault="00CD692A" w:rsidP="00CD692A">
      <w:pPr>
        <w:pStyle w:val="HChG"/>
      </w:pPr>
      <w:r>
        <w:lastRenderedPageBreak/>
        <w:tab/>
      </w:r>
      <w:r>
        <w:tab/>
      </w:r>
      <w:r w:rsidRPr="00CD692A">
        <w:t>Introducción</w:t>
      </w:r>
    </w:p>
    <w:p w14:paraId="1B185475" w14:textId="77777777" w:rsidR="00CD692A" w:rsidRPr="00CD692A" w:rsidRDefault="00CD692A" w:rsidP="00CD692A">
      <w:pPr>
        <w:pStyle w:val="SingleTxtG"/>
      </w:pPr>
      <w:r w:rsidRPr="00CD692A">
        <w:t>1.</w:t>
      </w:r>
      <w:r w:rsidRPr="00CD692A">
        <w:tab/>
        <w:t>El Gobierno de Malawi ratificó el Pacto Internacional de Derechos Económicos, Sociales y Culturales el 22 de diciembre de 1993. De conformidad con los artículos 16 y 17 del Pacto, que exigen a los Estados partes presentar un informe sobre las medidas que hayan adoptado para aplicar sus disposiciones, el Gobierno de Malawi se complace en presentar al Comité de Derechos Económicos, Sociales y Culturales su informe inicial, que abarca el período comprendido entre 1994 y 2020.</w:t>
      </w:r>
    </w:p>
    <w:p w14:paraId="0F6CDDF4" w14:textId="77777777" w:rsidR="00CD692A" w:rsidRPr="00CD692A" w:rsidRDefault="00CD692A" w:rsidP="00CD692A">
      <w:pPr>
        <w:pStyle w:val="SingleTxtG"/>
      </w:pPr>
      <w:r w:rsidRPr="00CD692A">
        <w:t>2.</w:t>
      </w:r>
      <w:r w:rsidRPr="00CD692A">
        <w:tab/>
        <w:t>El informe fue preparado por el Equipo Nacional de Tareas sobre el Pacto Internacional de Derechos Económicos, Sociales y Culturales, presidido por el Ministerio de Justicia. El Equipo está integrado por Ministerios, Departamentos y Organismos del Gobierno, instituciones de gobernanza y organizaciones de la sociedad civil. La lista completa de los miembros del Equipo figura en el anexo 1. Malawi espera poder seguir colaborando con el Comité en el proceso de examen del presente informe.</w:t>
      </w:r>
      <w:bookmarkStart w:id="0" w:name="_Hlk41543859"/>
      <w:bookmarkStart w:id="1" w:name="_Hlk41543881"/>
      <w:bookmarkEnd w:id="0"/>
      <w:bookmarkEnd w:id="1"/>
    </w:p>
    <w:p w14:paraId="5E8B9E20" w14:textId="77777777" w:rsidR="00CD692A" w:rsidRPr="00CD692A" w:rsidRDefault="00CD692A" w:rsidP="00CD692A">
      <w:pPr>
        <w:pStyle w:val="SingleTxtG"/>
      </w:pPr>
      <w:r w:rsidRPr="00CD692A">
        <w:t>3.</w:t>
      </w:r>
      <w:r w:rsidRPr="00CD692A">
        <w:tab/>
        <w:t>Remitimos al Comité al documento básico común de Malawi, en el que se hace una descripción de la organización histórica, política, constitucional, jurídica y social del país.</w:t>
      </w:r>
    </w:p>
    <w:p w14:paraId="2D3E0C37" w14:textId="7E1649ED" w:rsidR="00CD692A" w:rsidRPr="00CD692A" w:rsidRDefault="00CD692A" w:rsidP="00CD692A">
      <w:pPr>
        <w:pStyle w:val="HChG"/>
      </w:pPr>
      <w:r>
        <w:tab/>
      </w:r>
      <w:r>
        <w:tab/>
      </w:r>
      <w:r w:rsidRPr="00CD692A">
        <w:t>Parte I</w:t>
      </w:r>
    </w:p>
    <w:p w14:paraId="598B8B36" w14:textId="7A6FD1D8" w:rsidR="00CD692A" w:rsidRPr="00CD692A" w:rsidRDefault="00CD692A" w:rsidP="00CD692A">
      <w:pPr>
        <w:pStyle w:val="H1G"/>
      </w:pPr>
      <w:r>
        <w:tab/>
      </w:r>
      <w:r>
        <w:tab/>
      </w:r>
      <w:r w:rsidRPr="00CD692A">
        <w:t>Artículo 1</w:t>
      </w:r>
      <w:r>
        <w:br/>
      </w:r>
      <w:r w:rsidRPr="00CD692A">
        <w:t>Derecho a la libre determinación</w:t>
      </w:r>
    </w:p>
    <w:p w14:paraId="59688EF3" w14:textId="77777777" w:rsidR="00CD692A" w:rsidRPr="00CD692A" w:rsidRDefault="00CD692A" w:rsidP="00CD692A">
      <w:pPr>
        <w:pStyle w:val="SingleTxtG"/>
      </w:pPr>
      <w:r w:rsidRPr="00CD692A">
        <w:t>4.</w:t>
      </w:r>
      <w:r w:rsidRPr="00CD692A">
        <w:tab/>
        <w:t>Malawi se convirtió en un Estado soberano al alcanzar la independencia en 1964, y pasó a ser una República en 1966. El artículo 1 de la Constitución de 1994 reconoce esta condición de soberanía, con los derechos y obligaciones que esta entraña en virtud del derecho internacional. Uno de los Principios de la Política Nacional, contemplado en el artículo 13 de la Constitución, reitera la voluntad de Malawi de regirse por el derecho internacional y el estado de derecho en las relaciones regionales e internacionales y de apoyar activamente su desarrollo. En el artículo 3 de la Constitución se destaca la integridad territorial de Malawi que, por su parte, ha respetado en todo momento las fronteras de otras naciones soberanas. Cuando ha surgido la necesidad de establecer con claridad las fronteras de Malawi, el Gobierno ha cooperado con sus vecinos para determinar los límites territoriales de los países implicados.</w:t>
      </w:r>
    </w:p>
    <w:p w14:paraId="1B40F58B" w14:textId="77777777" w:rsidR="00CD692A" w:rsidRPr="00CD692A" w:rsidRDefault="00CD692A" w:rsidP="00CD692A">
      <w:pPr>
        <w:pStyle w:val="SingleTxtG"/>
      </w:pPr>
      <w:r w:rsidRPr="00CD692A">
        <w:t>5.</w:t>
      </w:r>
      <w:r w:rsidRPr="00CD692A">
        <w:tab/>
        <w:t>El proceso de transformación por el que, mediante un referendo celebrado en 1993, Malawi pasó de Estado unipartidista a democracia pluralista es una prueba del ejercicio del pueblo de Malawi de su derecho a determinar su destino político. Desde 1994, los malawianos han celebrado periódicamente elecciones presidenciales y parlamentarias creíbles, libres y limpias para elegir a su Gobierno. La Constitución surgida de la transformación de 1993 se aprobó oficialmente en 1994 y se aplicó provisionalmente durante un año, tras el cual pasó a ser aplicable de forma sustantiva como Constitución de la República. La Constitución establece un orden constitucional basado en la necesidad de un gobierno abierto, democrático y responsable.</w:t>
      </w:r>
    </w:p>
    <w:p w14:paraId="2618933D" w14:textId="3A3B17E7" w:rsidR="00CD692A" w:rsidRPr="00CD692A" w:rsidRDefault="00CD692A" w:rsidP="00CD692A">
      <w:pPr>
        <w:pStyle w:val="SingleTxtG"/>
        <w:rPr>
          <w:b/>
        </w:rPr>
      </w:pPr>
      <w:r w:rsidRPr="00CD692A">
        <w:t>6.</w:t>
      </w:r>
      <w:r w:rsidRPr="00CD692A">
        <w:tab/>
        <w:t xml:space="preserve">La Constitución de la República de Malawi no contempla expresamente el derecho a la libre determinación. Sin embargo, el contenido y la esencia de dicho derecho están garantizados por otros derechos, en particular, el derecho de la persona </w:t>
      </w:r>
      <w:r w:rsidR="00D24E4F">
        <w:t xml:space="preserve">a </w:t>
      </w:r>
      <w:r w:rsidRPr="00CD692A">
        <w:t>determinar libremente su posición política, previsto en el artículo 40 de la Constitución, y el derecho de esta a procurar libremente su desarrollo económico, social y cultural, garantizado en sus artículos 29, 30 y 26 respectivamente.</w:t>
      </w:r>
    </w:p>
    <w:p w14:paraId="17D5586A" w14:textId="54F2D420" w:rsidR="00CD692A" w:rsidRPr="00CD692A" w:rsidRDefault="00CD692A" w:rsidP="00CD692A">
      <w:pPr>
        <w:pStyle w:val="HChG"/>
      </w:pPr>
      <w:r>
        <w:lastRenderedPageBreak/>
        <w:tab/>
      </w:r>
      <w:r>
        <w:tab/>
      </w:r>
      <w:r w:rsidRPr="00CD692A">
        <w:t>Parte II</w:t>
      </w:r>
    </w:p>
    <w:p w14:paraId="14BC5C3F" w14:textId="3426F96F" w:rsidR="00CD692A" w:rsidRPr="00CD692A" w:rsidRDefault="00CD692A" w:rsidP="00CD692A">
      <w:pPr>
        <w:pStyle w:val="H1G"/>
      </w:pPr>
      <w:bookmarkStart w:id="2" w:name="_Hlk63780283"/>
      <w:r>
        <w:tab/>
      </w:r>
      <w:r>
        <w:tab/>
      </w:r>
      <w:r w:rsidRPr="00CD692A">
        <w:t>Artículo 2</w:t>
      </w:r>
      <w:r>
        <w:br/>
      </w:r>
      <w:r w:rsidRPr="00CD692A">
        <w:t>Logro progresivo del ejercicio efectivo y sin discriminación de</w:t>
      </w:r>
      <w:r>
        <w:t> </w:t>
      </w:r>
      <w:r w:rsidRPr="00CD692A">
        <w:t>los</w:t>
      </w:r>
      <w:r>
        <w:t> </w:t>
      </w:r>
      <w:r w:rsidRPr="00CD692A">
        <w:t>derechos del Pacto</w:t>
      </w:r>
      <w:bookmarkEnd w:id="2"/>
    </w:p>
    <w:p w14:paraId="192B929D" w14:textId="544C4DAE" w:rsidR="00CD692A" w:rsidRPr="00CD692A" w:rsidRDefault="00CD692A" w:rsidP="00CD692A">
      <w:pPr>
        <w:pStyle w:val="H23G"/>
      </w:pPr>
      <w:r>
        <w:tab/>
      </w:r>
      <w:r>
        <w:tab/>
      </w:r>
      <w:r w:rsidRPr="00CD692A">
        <w:t>Logro progresivo del ejercicio efectivo de los derechos</w:t>
      </w:r>
    </w:p>
    <w:p w14:paraId="37A44D94" w14:textId="77777777" w:rsidR="00CD692A" w:rsidRPr="00CD692A" w:rsidRDefault="00CD692A" w:rsidP="00CD692A">
      <w:pPr>
        <w:pStyle w:val="SingleTxtG"/>
      </w:pPr>
      <w:r w:rsidRPr="00CD692A">
        <w:t>7.</w:t>
      </w:r>
      <w:r w:rsidRPr="00CD692A">
        <w:tab/>
        <w:t>A fin de lograr progresivamente el ejercicio efectivo de los derechos previstos en el Pacto, Malawi ha adoptado medidas, entre ellas recurrir a la asistencia de sus asociados internacionales en el ámbito de la cooperación, tanto económica como técnica. Más adelante en este informe se presentará información más detallada al respecto. En concreto, Malawi ha adoptado varias medidas legislativas. Se detallan a continuación las principales leyes promulgadas durante el período comprendido en el informe:</w:t>
      </w:r>
    </w:p>
    <w:p w14:paraId="3540F79D" w14:textId="0E4CEA06" w:rsidR="00CD692A" w:rsidRPr="00CD692A" w:rsidRDefault="00CD692A" w:rsidP="00CD692A">
      <w:pPr>
        <w:pStyle w:val="SingleTxtG"/>
      </w:pPr>
      <w:r>
        <w:tab/>
      </w:r>
      <w:r w:rsidRPr="00CD692A">
        <w:t>a)</w:t>
      </w:r>
      <w:r w:rsidRPr="00CD692A">
        <w:tab/>
        <w:t>Ley de Acceso a la Información, de 2017;</w:t>
      </w:r>
    </w:p>
    <w:p w14:paraId="18681B81" w14:textId="37BAAB8B" w:rsidR="00CD692A" w:rsidRPr="00CD692A" w:rsidRDefault="00CD692A" w:rsidP="00CD692A">
      <w:pPr>
        <w:pStyle w:val="SingleTxtG"/>
      </w:pPr>
      <w:r>
        <w:tab/>
      </w:r>
      <w:r w:rsidRPr="00CD692A">
        <w:t>b)</w:t>
      </w:r>
      <w:r w:rsidRPr="00CD692A">
        <w:tab/>
        <w:t>Ley de Atención, Protección y Justicia de Menores, de 2011;</w:t>
      </w:r>
    </w:p>
    <w:p w14:paraId="6CF3D2B1" w14:textId="0F53B24A" w:rsidR="00CD692A" w:rsidRPr="00CD692A" w:rsidRDefault="00CD692A" w:rsidP="00CD692A">
      <w:pPr>
        <w:pStyle w:val="SingleTxtG"/>
      </w:pPr>
      <w:r>
        <w:tab/>
      </w:r>
      <w:r w:rsidRPr="00CD692A">
        <w:t>c)</w:t>
      </w:r>
      <w:r w:rsidRPr="00CD692A">
        <w:tab/>
        <w:t>Ley de Modificación de la Ley de Ciudadanía, de 2019;</w:t>
      </w:r>
    </w:p>
    <w:p w14:paraId="60E6BE4B" w14:textId="18EB7C9A" w:rsidR="00CD692A" w:rsidRPr="00CD692A" w:rsidRDefault="00CD692A" w:rsidP="00CD692A">
      <w:pPr>
        <w:pStyle w:val="SingleTxtG"/>
      </w:pPr>
      <w:r>
        <w:tab/>
      </w:r>
      <w:r w:rsidRPr="00CD692A">
        <w:t>d)</w:t>
      </w:r>
      <w:r w:rsidRPr="00CD692A">
        <w:tab/>
        <w:t>Ley de Modificación de la Ley de Tribunales, de 2016;</w:t>
      </w:r>
    </w:p>
    <w:p w14:paraId="0F1F35F7" w14:textId="1D17F0DF" w:rsidR="00CD692A" w:rsidRPr="00CD692A" w:rsidRDefault="00CD692A" w:rsidP="00CD692A">
      <w:pPr>
        <w:pStyle w:val="SingleTxtG"/>
      </w:pPr>
      <w:r>
        <w:tab/>
      </w:r>
      <w:r w:rsidRPr="00CD692A">
        <w:t>e)</w:t>
      </w:r>
      <w:r w:rsidRPr="00CD692A">
        <w:tab/>
        <w:t>Ley de Tierras en Régimen Consuetudinario, de 2016;</w:t>
      </w:r>
    </w:p>
    <w:p w14:paraId="3B65FBBA" w14:textId="3A805515" w:rsidR="00CD692A" w:rsidRPr="00CD692A" w:rsidRDefault="00CD692A" w:rsidP="00CD692A">
      <w:pPr>
        <w:pStyle w:val="SingleTxtG"/>
      </w:pPr>
      <w:r>
        <w:tab/>
      </w:r>
      <w:r w:rsidRPr="00CD692A">
        <w:t>f)</w:t>
      </w:r>
      <w:r w:rsidRPr="00CD692A">
        <w:tab/>
        <w:t>Ley de Sucesiones, Testamentos, Herencias y Protección, de 2010;</w:t>
      </w:r>
    </w:p>
    <w:p w14:paraId="5276F4D9" w14:textId="684CD7B3" w:rsidR="00CD692A" w:rsidRPr="00CD692A" w:rsidRDefault="00CD692A" w:rsidP="00CD692A">
      <w:pPr>
        <w:pStyle w:val="SingleTxtG"/>
      </w:pPr>
      <w:r>
        <w:tab/>
      </w:r>
      <w:r w:rsidRPr="00CD692A">
        <w:t>g)</w:t>
      </w:r>
      <w:r w:rsidRPr="00CD692A">
        <w:tab/>
        <w:t>Ley de Educación, de 2013;</w:t>
      </w:r>
    </w:p>
    <w:p w14:paraId="389C0059" w14:textId="66FBDC65" w:rsidR="00CD692A" w:rsidRPr="00CD692A" w:rsidRDefault="00CD692A" w:rsidP="00CD692A">
      <w:pPr>
        <w:pStyle w:val="SingleTxtG"/>
      </w:pPr>
      <w:r>
        <w:tab/>
      </w:r>
      <w:r w:rsidRPr="00CD692A">
        <w:t>h)</w:t>
      </w:r>
      <w:r w:rsidRPr="00CD692A">
        <w:tab/>
        <w:t>Ley de Transacciones Electrónicas y Seguridad Cibernética, 2016;</w:t>
      </w:r>
    </w:p>
    <w:p w14:paraId="53C6362A" w14:textId="6742FDE2" w:rsidR="00CD692A" w:rsidRPr="00CD692A" w:rsidRDefault="00CD692A" w:rsidP="00CD692A">
      <w:pPr>
        <w:pStyle w:val="SingleTxtG"/>
      </w:pPr>
      <w:r>
        <w:tab/>
      </w:r>
      <w:r w:rsidRPr="00CD692A">
        <w:t>i)</w:t>
      </w:r>
      <w:r w:rsidRPr="00CD692A">
        <w:tab/>
        <w:t>Ley de Igualdad de Género, de 2014;</w:t>
      </w:r>
    </w:p>
    <w:p w14:paraId="7618CF4F" w14:textId="1012B639" w:rsidR="00CD692A" w:rsidRPr="00CD692A" w:rsidRDefault="00CD692A" w:rsidP="00CD692A">
      <w:pPr>
        <w:pStyle w:val="SingleTxtG"/>
      </w:pPr>
      <w:r>
        <w:tab/>
      </w:r>
      <w:r w:rsidRPr="00CD692A">
        <w:t>j)</w:t>
      </w:r>
      <w:r w:rsidRPr="00CD692A">
        <w:tab/>
        <w:t>Ley de Prevención y Gestión del VIH/Sida, de 2018;</w:t>
      </w:r>
    </w:p>
    <w:p w14:paraId="30D5F2AD" w14:textId="38E56A7F" w:rsidR="00CD692A" w:rsidRPr="00CD692A" w:rsidRDefault="00CD692A" w:rsidP="00CD692A">
      <w:pPr>
        <w:pStyle w:val="SingleTxtG"/>
      </w:pPr>
      <w:r>
        <w:tab/>
      </w:r>
      <w:r w:rsidRPr="00CD692A">
        <w:t>k)</w:t>
      </w:r>
      <w:r w:rsidRPr="00CD692A">
        <w:tab/>
        <w:t>Ley de Tierras, de 2016;</w:t>
      </w:r>
    </w:p>
    <w:p w14:paraId="1ACB9CC2" w14:textId="5433500B" w:rsidR="00CD692A" w:rsidRPr="00CD692A" w:rsidRDefault="00CD692A" w:rsidP="00CD692A">
      <w:pPr>
        <w:pStyle w:val="SingleTxtG"/>
      </w:pPr>
      <w:r>
        <w:tab/>
      </w:r>
      <w:r w:rsidRPr="00CD692A">
        <w:t>l)</w:t>
      </w:r>
      <w:r w:rsidRPr="00CD692A">
        <w:tab/>
        <w:t xml:space="preserve">Ley de Agrimensura, de 2016; </w:t>
      </w:r>
    </w:p>
    <w:p w14:paraId="10498403" w14:textId="4F92A1E4" w:rsidR="00CD692A" w:rsidRPr="00CD692A" w:rsidRDefault="00CD692A" w:rsidP="00CD692A">
      <w:pPr>
        <w:pStyle w:val="SingleTxtG"/>
      </w:pPr>
      <w:r>
        <w:tab/>
      </w:r>
      <w:r w:rsidRPr="00CD692A">
        <w:t>m)</w:t>
      </w:r>
      <w:r w:rsidRPr="00CD692A">
        <w:tab/>
        <w:t>Ley de Matrimonio, Divorcio y Relaciones Familiares, de 2015;</w:t>
      </w:r>
    </w:p>
    <w:p w14:paraId="6F5A3024" w14:textId="4759973F" w:rsidR="00CD692A" w:rsidRPr="00CD692A" w:rsidRDefault="00CD692A" w:rsidP="00CD692A">
      <w:pPr>
        <w:pStyle w:val="SingleTxtG"/>
      </w:pPr>
      <w:r>
        <w:tab/>
      </w:r>
      <w:r w:rsidRPr="00CD692A">
        <w:t>n)</w:t>
      </w:r>
      <w:r w:rsidRPr="00CD692A">
        <w:tab/>
        <w:t>Ley de Minas y Minerales, de 2019;</w:t>
      </w:r>
    </w:p>
    <w:p w14:paraId="71F5D919" w14:textId="530C298C" w:rsidR="00CD692A" w:rsidRPr="00CD692A" w:rsidRDefault="00CD692A" w:rsidP="00CD692A">
      <w:pPr>
        <w:pStyle w:val="SingleTxtG"/>
      </w:pPr>
      <w:r>
        <w:tab/>
      </w:r>
      <w:r w:rsidRPr="00CD692A">
        <w:t>o)</w:t>
      </w:r>
      <w:r w:rsidRPr="00CD692A">
        <w:tab/>
        <w:t>Ley de la Comisión Nacional de Planificación, de 2017;</w:t>
      </w:r>
    </w:p>
    <w:p w14:paraId="7F969661" w14:textId="14A2BBA6" w:rsidR="00CD692A" w:rsidRPr="00CD692A" w:rsidRDefault="00CD692A" w:rsidP="00CD692A">
      <w:pPr>
        <w:pStyle w:val="SingleTxtG"/>
      </w:pPr>
      <w:r>
        <w:tab/>
      </w:r>
      <w:r w:rsidRPr="00CD692A">
        <w:t>p)</w:t>
      </w:r>
      <w:r w:rsidRPr="00CD692A">
        <w:tab/>
        <w:t>Ley de Planificación Territorial, 2016;</w:t>
      </w:r>
    </w:p>
    <w:p w14:paraId="4F1402A5" w14:textId="42059656" w:rsidR="00CD692A" w:rsidRPr="00CD692A" w:rsidRDefault="00CD692A" w:rsidP="00CD692A">
      <w:pPr>
        <w:pStyle w:val="SingleTxtG"/>
      </w:pPr>
      <w:r>
        <w:tab/>
      </w:r>
      <w:r w:rsidRPr="00CD692A">
        <w:t>q)</w:t>
      </w:r>
      <w:r w:rsidRPr="00CD692A">
        <w:tab/>
        <w:t>Ley de Partidos Políticos, de 2018;</w:t>
      </w:r>
    </w:p>
    <w:p w14:paraId="4DB65413" w14:textId="6B654292" w:rsidR="00CD692A" w:rsidRPr="00CD692A" w:rsidRDefault="00CD692A" w:rsidP="00CD692A">
      <w:pPr>
        <w:pStyle w:val="SingleTxtG"/>
      </w:pPr>
      <w:r>
        <w:tab/>
      </w:r>
      <w:r w:rsidRPr="00CD692A">
        <w:t>r)</w:t>
      </w:r>
      <w:r w:rsidRPr="00CD692A">
        <w:tab/>
        <w:t>Ley de Prevención de la Violencia Doméstica, de 2007;</w:t>
      </w:r>
    </w:p>
    <w:p w14:paraId="66C43876" w14:textId="7B74B353" w:rsidR="00CD692A" w:rsidRPr="00CD692A" w:rsidRDefault="00CD692A" w:rsidP="00CD692A">
      <w:pPr>
        <w:pStyle w:val="SingleTxtG"/>
      </w:pPr>
      <w:r>
        <w:tab/>
      </w:r>
      <w:r w:rsidRPr="00CD692A">
        <w:t>s)</w:t>
      </w:r>
      <w:r w:rsidRPr="00CD692A">
        <w:tab/>
        <w:t>Ley de Lucha contra la Trata de Personas, de 2015</w:t>
      </w:r>
      <w:r w:rsidR="008C4B41">
        <w:t>.</w:t>
      </w:r>
    </w:p>
    <w:p w14:paraId="10B705B9" w14:textId="7D73DF06" w:rsidR="00CD692A" w:rsidRPr="00CD692A" w:rsidRDefault="00CD692A" w:rsidP="00CD692A">
      <w:pPr>
        <w:pStyle w:val="H23G"/>
      </w:pPr>
      <w:r>
        <w:tab/>
      </w:r>
      <w:r>
        <w:tab/>
      </w:r>
      <w:r w:rsidRPr="00CD692A">
        <w:t>No discriminación</w:t>
      </w:r>
    </w:p>
    <w:p w14:paraId="5863518A" w14:textId="77777777" w:rsidR="00CD692A" w:rsidRPr="00CD692A" w:rsidRDefault="00CD692A" w:rsidP="00CD692A">
      <w:pPr>
        <w:pStyle w:val="SingleTxtG"/>
      </w:pPr>
      <w:r w:rsidRPr="00CD692A">
        <w:t>8.</w:t>
      </w:r>
      <w:r w:rsidRPr="00CD692A">
        <w:tab/>
        <w:t>El artículo 20 de la Constitución de la República de Malawi garantiza el derecho a la igualdad y a la no discriminación. Se garantiza en él la protección efectiva y en pie de igualdad contra la discriminación por motivos de raza, color de la piel, sexo, idioma, religión, opinión política o de otra índole, nacionalidad, origen étnico o social, discapacidad, situación económica, nacimiento u otra condición.</w:t>
      </w:r>
    </w:p>
    <w:p w14:paraId="753BF1F9" w14:textId="77777777" w:rsidR="00CD692A" w:rsidRPr="00CD692A" w:rsidRDefault="00CD692A" w:rsidP="00CD692A">
      <w:pPr>
        <w:pStyle w:val="SingleTxtG"/>
      </w:pPr>
      <w:r w:rsidRPr="00CD692A">
        <w:t>9.</w:t>
      </w:r>
      <w:r w:rsidRPr="00CD692A">
        <w:tab/>
        <w:t>El artículo 24 de la Constitución garantiza a las mujeres la igualdad de protección ante la ley. Las mujeres tienen derecho a no ser discriminadas por su sexo o estado civil. El artículo establece específicamente que en la legislación nacional las mujeres tendrán los mismos derechos que los hombres, entre ellos la misma capacidad para, entre otras cosas, celebrar contratos; adquirir y conservar los derechos de propiedad, de forma independiente o en asociación con otros y sea cual fuere su estado civil; adquirir y conservar la custodia, la tutela y el cuidado de los hijos; adoptar decisiones que afecten a la educación de estos y adquirir y conservar la ciudadanía y la nacionalidad.</w:t>
      </w:r>
    </w:p>
    <w:p w14:paraId="17BECB4E" w14:textId="77777777" w:rsidR="00CD692A" w:rsidRPr="00CD692A" w:rsidRDefault="00CD692A" w:rsidP="00CD692A">
      <w:pPr>
        <w:pStyle w:val="SingleTxtG"/>
      </w:pPr>
      <w:r w:rsidRPr="00CD692A">
        <w:lastRenderedPageBreak/>
        <w:t>10.</w:t>
      </w:r>
      <w:r w:rsidRPr="00CD692A">
        <w:tab/>
        <w:t>Además, se han promulgado varias leyes para hacer frente a diversas formas de discriminación. Por ejemplo, la Ley de Igualdad de Género promueve la igualdad de género, así como la igualdad entre hombres y mujeres en todas las funciones de la sociedad en materia de integración, influencia, empoderamiento, dignidad y oportunidades. Las disposiciones de dicha Ley prohíben además la discriminación sexual, las prácticas nocivas y el acoso sexual y prevén la sensibilización pública al respecto y la promoción de la igualdad de género.</w:t>
      </w:r>
    </w:p>
    <w:p w14:paraId="0D8A2DE8" w14:textId="244CD00E" w:rsidR="00CD692A" w:rsidRPr="00CD692A" w:rsidRDefault="00CD692A" w:rsidP="00CD692A">
      <w:pPr>
        <w:pStyle w:val="SingleTxtG"/>
      </w:pPr>
      <w:r w:rsidRPr="00CD692A">
        <w:t>11.</w:t>
      </w:r>
      <w:r w:rsidRPr="00CD692A">
        <w:tab/>
        <w:t>Por otra parte, la Ley de Prevención y Gestión del VIH/Sida, de 2018, en su artículo</w:t>
      </w:r>
      <w:r w:rsidR="009C69FF">
        <w:t> </w:t>
      </w:r>
      <w:r w:rsidRPr="00CD692A">
        <w:t>6, prohíbe la discriminación de cualquier persona por motivos relacionados con el VIH y el sida y con las infecciones conexas.</w:t>
      </w:r>
    </w:p>
    <w:p w14:paraId="090FC419" w14:textId="77777777" w:rsidR="00CD692A" w:rsidRPr="00CD692A" w:rsidRDefault="00CD692A" w:rsidP="00CD692A">
      <w:pPr>
        <w:pStyle w:val="SingleTxtG"/>
      </w:pPr>
      <w:r w:rsidRPr="00CD692A">
        <w:t>12.</w:t>
      </w:r>
      <w:r w:rsidRPr="00CD692A">
        <w:tab/>
        <w:t>La parte IV de la Ley de Discapacidad (cap. 33:06 de las Leyes de Malawi) garantiza a las personas con discapacidad los mismos derechos y privilegios que a las demás personas, en particular, los consagrados en la Constitución de Malawi.</w:t>
      </w:r>
    </w:p>
    <w:p w14:paraId="3CE2AA01" w14:textId="77777777" w:rsidR="00CD692A" w:rsidRPr="00CD692A" w:rsidRDefault="00CD692A" w:rsidP="00CD692A">
      <w:pPr>
        <w:pStyle w:val="SingleTxtG"/>
      </w:pPr>
      <w:r w:rsidRPr="00CD692A">
        <w:t>13.</w:t>
      </w:r>
      <w:r w:rsidRPr="00CD692A">
        <w:tab/>
        <w:t>Además, el artículo 13 g) de la Constitución establece que el Estado deberá elaborar políticas que garanticen a las personas con discapacidad igualdad de oportunidades para participar, en la mayor medida posible, en todos los ámbitos de la vida. A fin de desarrollar esta disposición de la Constitución, se ha elaborado la Estrategia de Aceleración de la Gobernanza Local Inclusiva y la Democracia Participativa para un Desarrollo Socioeconómico Eficaz (2017-2023) destinada, entre otras cosas, a integrar la discapacidad en las instancias de gobernanza, de modo que las personas con discapacidad puedan participar efectivamente en ellas.</w:t>
      </w:r>
      <w:bookmarkStart w:id="3" w:name="_Hlk41548164"/>
      <w:bookmarkEnd w:id="3"/>
    </w:p>
    <w:p w14:paraId="5EA0C7AC" w14:textId="77777777" w:rsidR="00CD692A" w:rsidRPr="00CD692A" w:rsidRDefault="00CD692A" w:rsidP="00CD692A">
      <w:pPr>
        <w:pStyle w:val="SingleTxtG"/>
      </w:pPr>
      <w:r w:rsidRPr="00CD692A">
        <w:t>14.</w:t>
      </w:r>
      <w:r w:rsidRPr="00CD692A">
        <w:tab/>
        <w:t>El artículo 13 a) ii) de la Constitución también establece que el Estado deberá elaborar políticas que se ocupen de la igualdad de género a fin de garantizar que las mujeres tengan las mismas oportunidades que los hombres. Estas políticas se describen a continuación, en la sección relativa al artículo 3.</w:t>
      </w:r>
    </w:p>
    <w:p w14:paraId="2C4D9DB9" w14:textId="02E2A769" w:rsidR="00CD692A" w:rsidRPr="00CD692A" w:rsidRDefault="00CD692A" w:rsidP="00CD692A">
      <w:pPr>
        <w:pStyle w:val="H1G"/>
      </w:pPr>
      <w:bookmarkStart w:id="4" w:name="_Hlk63780309"/>
      <w:r>
        <w:tab/>
      </w:r>
      <w:r>
        <w:tab/>
      </w:r>
      <w:r w:rsidRPr="00CD692A">
        <w:t>Artículo 3</w:t>
      </w:r>
      <w:r>
        <w:br/>
      </w:r>
      <w:r w:rsidRPr="00CD692A">
        <w:t>Igualdad de derechos entre el hombre y la mujer</w:t>
      </w:r>
    </w:p>
    <w:bookmarkEnd w:id="4"/>
    <w:p w14:paraId="38A8856B" w14:textId="49D190E9" w:rsidR="00CD692A" w:rsidRPr="00CD692A" w:rsidRDefault="00CD692A" w:rsidP="00CD692A">
      <w:pPr>
        <w:pStyle w:val="SingleTxtG"/>
      </w:pPr>
      <w:r w:rsidRPr="00CD692A">
        <w:t>15.</w:t>
      </w:r>
      <w:r w:rsidRPr="00CD692A">
        <w:tab/>
        <w:t>La igualdad de las mujeres con los hombre está garantizada, además de en el artículo</w:t>
      </w:r>
      <w:r w:rsidR="008C4B41">
        <w:t> </w:t>
      </w:r>
      <w:r w:rsidRPr="00CD692A">
        <w:t>20 de la Constitución al que se hizo referencia antes en la sección relativa al artículo</w:t>
      </w:r>
      <w:r w:rsidR="008C4B41">
        <w:t> </w:t>
      </w:r>
      <w:r w:rsidRPr="00CD692A">
        <w:t>2, en el artículo 24 de la Constitución citado en el párrafo 9, y en la Ley de Igualdad de Género. A continuación se detallan las políticas que se han adoptado para garantizar que las mujeres disfruten de sus derechos en las mismas condiciones que los hombres.</w:t>
      </w:r>
    </w:p>
    <w:p w14:paraId="34133117" w14:textId="77777777" w:rsidR="00CD692A" w:rsidRPr="00CD692A" w:rsidRDefault="00CD692A" w:rsidP="00CD692A">
      <w:pPr>
        <w:pStyle w:val="SingleTxtG"/>
      </w:pPr>
      <w:r w:rsidRPr="00CD692A">
        <w:t>16.</w:t>
      </w:r>
      <w:r w:rsidRPr="00CD692A">
        <w:tab/>
        <w:t>La Tercera Estrategia de Crecimiento y Desarrollo de Malawi (2017-2022) reconoce que, para lograr un crecimiento nacional satisfactorio, es de vital importancia garantizar que las mujeres sean tratadas en igualdad de condiciones con los hombres. En este sentido, la igualdad de género se establece como objetivo de la Estrategia.</w:t>
      </w:r>
    </w:p>
    <w:p w14:paraId="5F4F0350" w14:textId="77777777" w:rsidR="00CD692A" w:rsidRPr="00CD692A" w:rsidRDefault="00CD692A" w:rsidP="00CD692A">
      <w:pPr>
        <w:pStyle w:val="SingleTxtG"/>
      </w:pPr>
      <w:r w:rsidRPr="00CD692A">
        <w:t>17.</w:t>
      </w:r>
      <w:r w:rsidRPr="00CD692A">
        <w:tab/>
        <w:t>Además, se adoptó un Plan de Aplicación y Vigilancia de la Ley de Igualdad entre los géneros, cuyo objetivo es garantizar la igualdad de género, así como la igualdad entre hombres y mujeres en todas las funciones de la sociedad en materia de integración, influencia, empoderamiento, dignidad y oportunidades. El Plan se centra en cinco esferas temáticas, a saber: el género en la educación y la formación; el género en los servicios de salud y los derechos de salud sexual y reproductiva; la incorporación de la perspectiva de género en los sectores del desarrollo; el género en la gobernanza y los derechos humanos; y la capacidad de los mecanismos nacionales de género.</w:t>
      </w:r>
    </w:p>
    <w:p w14:paraId="753F0A99" w14:textId="77777777" w:rsidR="00CD692A" w:rsidRPr="00CD692A" w:rsidRDefault="00CD692A" w:rsidP="00CD692A">
      <w:pPr>
        <w:pStyle w:val="SingleTxtG"/>
      </w:pPr>
      <w:r w:rsidRPr="00CD692A">
        <w:t>18.</w:t>
      </w:r>
      <w:r w:rsidRPr="00CD692A">
        <w:tab/>
        <w:t xml:space="preserve">El derecho de la mujer a participar en la adopción de decisiones es de vital importancia para garantizar la igualdad de género. La participación en la adopción de decisiones comienza en el hogar. En la Encuesta Demográfica y de Salud de Malawi de 2015-2016, se preguntó a las mujeres casadas sobre su participación en tres tipos de decisiones en el hogar, a saber, la atención sanitaria, la realización de compras importantes en el hogar y las visitas a familiares o parientes. La Encuesta concluyó que las mujeres casadas de Malawi tienen más probabilidades de tener un poder de decisión único o conjunto sobre las visitas a familiares o a parientes (78 %) y sobre su atención sanitaria (68 %), y menos probabilidades de tomar decisiones sobre las principales compras del hogar (55 %). De la totalidad de las mujeres </w:t>
      </w:r>
      <w:r w:rsidRPr="00CD692A">
        <w:lastRenderedPageBreak/>
        <w:t>casadas, el 47 % participan en las tres decisiones. Desde el año 2000, la participación de las mujeres casadas en la toma de decisiones ha mejorado de forma constante.</w:t>
      </w:r>
      <w:bookmarkStart w:id="5" w:name="_Hlk41548868"/>
      <w:bookmarkEnd w:id="5"/>
    </w:p>
    <w:p w14:paraId="0E867710" w14:textId="7753C441" w:rsidR="00CD692A" w:rsidRPr="00CD692A" w:rsidRDefault="00CD692A" w:rsidP="00CD692A">
      <w:pPr>
        <w:pStyle w:val="SingleTxtG"/>
      </w:pPr>
      <w:r w:rsidRPr="00CD692A">
        <w:t>19.</w:t>
      </w:r>
      <w:r w:rsidRPr="00CD692A">
        <w:tab/>
        <w:t xml:space="preserve">Sin embargo, en lo que respecta al adelanto de la mujer en la esfera política y pública, la representación femenina sigue siendo escasa. No obstante, se ha producido un aumento de las candidaturas de mujeres a ocupar escaños parlamentarios. En las elecciones parlamentarias tripartitas de 2019 hubo 309 candidatas, lo que supuso un aumento respecto a las 219 de las elecciones tripartitas de 2014. Además, en las elecciones municipales de 2019 hubo 660 candidatas, lo que supone un aumento respecto a las 417 de 2014. También hubo más candidatas independientes: cerca del 24 % en las elecciones municipales y casi el 40 % en las parlamentarias. De 2014 a 2019, la representación femenina en el Parlamento pasó de 32 mujeres (el 16,7 %) en las elecciones de 2014, a 45 (el 23,3 %) en las de 2019. Cabe destacar que 66 mujeres también llegaron a ocupar cargos a las administraciones locales, lo que representa el 14,5 %, frente al 12 % de 2014. La mejora de la representación femenina ha sido posible gracias a la puesta en marcha de la campaña </w:t>
      </w:r>
      <w:r w:rsidR="001B78B3">
        <w:t>“</w:t>
      </w:r>
      <w:r w:rsidRPr="00CD692A">
        <w:t>50:50</w:t>
      </w:r>
      <w:r w:rsidR="001B78B3">
        <w:t>”</w:t>
      </w:r>
      <w:r w:rsidRPr="00CD692A">
        <w:t>. A pesar de la mejora en el número de mujeres que participaron durante las elecciones tripartitas de 2014, todavía hay varios factores que siguen afectando negativamente a los avances conseguidos. En primer lugar, las instituciones políticas siguen sin comprometerse a afianzar la igualdad entre los sexos en las estructuras de los partidos. En segundo lugar, se ha hecho poco para eliminar los factores subyacentes de la subordinación de las mujeres en el ámbito político. En tercer lugar, el hecho de que el Parlamento no aprobara los proyectos de ley de reforma electoral contribuyó en parte a ello. También hay que destacar que desde 2019, el Parlamento, por primera vez en su historia, está presidido por una mujer.</w:t>
      </w:r>
      <w:bookmarkStart w:id="6" w:name="_Hlk42077492"/>
      <w:bookmarkEnd w:id="6"/>
    </w:p>
    <w:p w14:paraId="57924E71" w14:textId="77777777" w:rsidR="00CD692A" w:rsidRPr="00CD692A" w:rsidRDefault="00CD692A" w:rsidP="00CD692A">
      <w:pPr>
        <w:pStyle w:val="SingleTxtG"/>
      </w:pPr>
      <w:r w:rsidRPr="00CD692A">
        <w:t>20.</w:t>
      </w:r>
      <w:r w:rsidRPr="00CD692A">
        <w:tab/>
        <w:t>Por otra parte, el Perfil de Género de 2019 indica que en los puestos ejecutivos (por categoría) de la administración pública y en las instituciones de supervisión hay un menor número de mujeres que de hombres. El Perfil señala que las mujeres ocupan el 33 % de los puestos al nivel de jefe en la administración pública y el 8 % de los puestos al nivel de director adjunto. Por lo que se refiere a los cargos no ejecutivos, el Perfil de Género indica que en los niveles de oficial principal y oficial superior, las mujeres ocupan el 33 % y el 30 % de dichos cargos, respectivamente. En los cuadros 1 y 2 se indica el perfil de género en los puestos ejecutivos y no ejecutivos en la administración pública y en las instituciones de supervisión, a marzo de 2019.</w:t>
      </w:r>
    </w:p>
    <w:p w14:paraId="5BB51981" w14:textId="031349A3" w:rsidR="00CD692A" w:rsidRPr="00CD692A" w:rsidRDefault="00CD692A" w:rsidP="00D24E4F">
      <w:pPr>
        <w:pStyle w:val="H23G"/>
      </w:pPr>
      <w:r w:rsidRPr="00CD692A">
        <w:rPr>
          <w:b w:val="0"/>
          <w:bCs/>
        </w:rPr>
        <w:tab/>
      </w:r>
      <w:r w:rsidRPr="00CD692A">
        <w:rPr>
          <w:b w:val="0"/>
          <w:bCs/>
        </w:rPr>
        <w:tab/>
        <w:t>Cuadro 1</w:t>
      </w:r>
      <w:r w:rsidRPr="00CD692A">
        <w:rPr>
          <w:b w:val="0"/>
          <w:bCs/>
        </w:rPr>
        <w:br/>
      </w:r>
      <w:r w:rsidRPr="00CD692A">
        <w:t xml:space="preserve">Perfil de género en los puestos ejecutivos (por categoría) </w:t>
      </w:r>
      <w:r w:rsidR="00D24E4F" w:rsidRPr="00D24E4F">
        <w:t>—</w:t>
      </w:r>
      <w:r w:rsidRPr="00CD692A">
        <w:t>Administración pública e</w:t>
      </w:r>
      <w:r>
        <w:t> </w:t>
      </w:r>
      <w:r w:rsidRPr="00CD692A">
        <w:t>instituciones de supervisión</w:t>
      </w:r>
      <w:r w:rsidR="00D24E4F" w:rsidRPr="00D24E4F">
        <w:t>—</w:t>
      </w:r>
      <w:r w:rsidR="00D24E4F">
        <w:t xml:space="preserve"> </w:t>
      </w:r>
      <w:r w:rsidR="007E7E06">
        <w:t>m</w:t>
      </w:r>
      <w:r w:rsidRPr="00CD692A">
        <w:t>arzo de 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851"/>
        <w:gridCol w:w="850"/>
        <w:gridCol w:w="709"/>
        <w:gridCol w:w="851"/>
        <w:gridCol w:w="707"/>
      </w:tblGrid>
      <w:tr w:rsidR="00CD692A" w:rsidRPr="00CD692A" w14:paraId="2499899F" w14:textId="77777777" w:rsidTr="00CD692A">
        <w:trPr>
          <w:trHeight w:val="240"/>
          <w:tblHeader/>
        </w:trPr>
        <w:tc>
          <w:tcPr>
            <w:tcW w:w="3402" w:type="dxa"/>
            <w:tcBorders>
              <w:top w:val="single" w:sz="4" w:space="0" w:color="auto"/>
              <w:bottom w:val="single" w:sz="12" w:space="0" w:color="auto"/>
            </w:tcBorders>
            <w:shd w:val="clear" w:color="auto" w:fill="auto"/>
            <w:vAlign w:val="bottom"/>
            <w:hideMark/>
          </w:tcPr>
          <w:p w14:paraId="4DA0413B" w14:textId="77777777" w:rsidR="00CD692A" w:rsidRPr="00CD692A" w:rsidRDefault="00CD692A" w:rsidP="00CD692A">
            <w:pPr>
              <w:pStyle w:val="SingleTxtG"/>
              <w:tabs>
                <w:tab w:val="clear" w:pos="1701"/>
                <w:tab w:val="clear" w:pos="2268"/>
                <w:tab w:val="clear" w:pos="2835"/>
              </w:tabs>
              <w:spacing w:before="80" w:after="80" w:line="200" w:lineRule="exact"/>
              <w:ind w:left="0" w:right="0"/>
              <w:jc w:val="left"/>
              <w:rPr>
                <w:bCs/>
                <w:i/>
                <w:sz w:val="16"/>
                <w:lang w:val="en-GB"/>
              </w:rPr>
            </w:pPr>
            <w:r w:rsidRPr="00CD692A">
              <w:rPr>
                <w:i/>
                <w:iCs/>
                <w:sz w:val="16"/>
              </w:rPr>
              <w:t>Categoría</w:t>
            </w:r>
          </w:p>
        </w:tc>
        <w:tc>
          <w:tcPr>
            <w:tcW w:w="851" w:type="dxa"/>
            <w:tcBorders>
              <w:top w:val="single" w:sz="4" w:space="0" w:color="auto"/>
              <w:bottom w:val="single" w:sz="12" w:space="0" w:color="auto"/>
            </w:tcBorders>
            <w:shd w:val="clear" w:color="auto" w:fill="auto"/>
            <w:vAlign w:val="bottom"/>
            <w:hideMark/>
          </w:tcPr>
          <w:p w14:paraId="17F34655" w14:textId="7EC302C6" w:rsidR="00CD692A" w:rsidRPr="00CD692A" w:rsidRDefault="00CD692A" w:rsidP="00CD692A">
            <w:pPr>
              <w:pStyle w:val="SingleTxtG"/>
              <w:tabs>
                <w:tab w:val="clear" w:pos="1701"/>
                <w:tab w:val="clear" w:pos="2268"/>
                <w:tab w:val="clear" w:pos="2835"/>
              </w:tabs>
              <w:spacing w:before="80" w:after="80" w:line="200" w:lineRule="exact"/>
              <w:ind w:left="57" w:right="28"/>
              <w:jc w:val="right"/>
              <w:rPr>
                <w:bCs/>
                <w:i/>
                <w:sz w:val="16"/>
                <w:lang w:val="en-GB"/>
              </w:rPr>
            </w:pPr>
            <w:r w:rsidRPr="00CD692A">
              <w:rPr>
                <w:i/>
                <w:iCs/>
                <w:sz w:val="16"/>
              </w:rPr>
              <w:t>H</w:t>
            </w:r>
            <w:r>
              <w:rPr>
                <w:i/>
                <w:iCs/>
                <w:sz w:val="16"/>
              </w:rPr>
              <w:t>ombres</w:t>
            </w:r>
          </w:p>
        </w:tc>
        <w:tc>
          <w:tcPr>
            <w:tcW w:w="850" w:type="dxa"/>
            <w:tcBorders>
              <w:top w:val="single" w:sz="4" w:space="0" w:color="auto"/>
              <w:bottom w:val="single" w:sz="12" w:space="0" w:color="auto"/>
            </w:tcBorders>
            <w:shd w:val="clear" w:color="auto" w:fill="auto"/>
            <w:vAlign w:val="bottom"/>
            <w:hideMark/>
          </w:tcPr>
          <w:p w14:paraId="6ADDF2CF" w14:textId="6C40F209" w:rsidR="00CD692A" w:rsidRPr="00CD692A" w:rsidRDefault="00CD692A" w:rsidP="00CD692A">
            <w:pPr>
              <w:pStyle w:val="SingleTxtG"/>
              <w:tabs>
                <w:tab w:val="clear" w:pos="1701"/>
                <w:tab w:val="clear" w:pos="2268"/>
                <w:tab w:val="clear" w:pos="2835"/>
              </w:tabs>
              <w:spacing w:before="80" w:after="80" w:line="200" w:lineRule="exact"/>
              <w:ind w:left="57" w:right="28"/>
              <w:jc w:val="right"/>
              <w:rPr>
                <w:bCs/>
                <w:i/>
                <w:sz w:val="16"/>
                <w:lang w:val="en-GB"/>
              </w:rPr>
            </w:pPr>
            <w:r>
              <w:rPr>
                <w:bCs/>
                <w:i/>
                <w:sz w:val="16"/>
                <w:lang w:val="en-GB"/>
              </w:rPr>
              <w:t>Porcentaje</w:t>
            </w:r>
          </w:p>
        </w:tc>
        <w:tc>
          <w:tcPr>
            <w:tcW w:w="709" w:type="dxa"/>
            <w:tcBorders>
              <w:top w:val="single" w:sz="4" w:space="0" w:color="auto"/>
              <w:bottom w:val="single" w:sz="12" w:space="0" w:color="auto"/>
            </w:tcBorders>
            <w:shd w:val="clear" w:color="auto" w:fill="auto"/>
            <w:vAlign w:val="bottom"/>
            <w:hideMark/>
          </w:tcPr>
          <w:p w14:paraId="5FB8D76C" w14:textId="69FEE9AF" w:rsidR="00CD692A" w:rsidRPr="00CD692A" w:rsidRDefault="00CD692A" w:rsidP="00CD692A">
            <w:pPr>
              <w:pStyle w:val="SingleTxtG"/>
              <w:tabs>
                <w:tab w:val="clear" w:pos="1701"/>
                <w:tab w:val="clear" w:pos="2268"/>
                <w:tab w:val="clear" w:pos="2835"/>
              </w:tabs>
              <w:spacing w:before="80" w:after="80" w:line="200" w:lineRule="exact"/>
              <w:ind w:left="57" w:right="28"/>
              <w:jc w:val="right"/>
              <w:rPr>
                <w:bCs/>
                <w:i/>
                <w:sz w:val="16"/>
                <w:lang w:val="en-GB"/>
              </w:rPr>
            </w:pPr>
            <w:r w:rsidRPr="00CD692A">
              <w:rPr>
                <w:i/>
                <w:iCs/>
                <w:sz w:val="16"/>
              </w:rPr>
              <w:t>M</w:t>
            </w:r>
            <w:r>
              <w:rPr>
                <w:i/>
                <w:iCs/>
                <w:sz w:val="16"/>
              </w:rPr>
              <w:t>ujeres</w:t>
            </w:r>
          </w:p>
        </w:tc>
        <w:tc>
          <w:tcPr>
            <w:tcW w:w="851" w:type="dxa"/>
            <w:tcBorders>
              <w:top w:val="single" w:sz="4" w:space="0" w:color="auto"/>
              <w:bottom w:val="single" w:sz="12" w:space="0" w:color="auto"/>
            </w:tcBorders>
            <w:shd w:val="clear" w:color="auto" w:fill="auto"/>
            <w:vAlign w:val="bottom"/>
            <w:hideMark/>
          </w:tcPr>
          <w:p w14:paraId="512D3D8C" w14:textId="7A2469EA" w:rsidR="00CD692A" w:rsidRPr="00CD692A" w:rsidRDefault="00CD692A" w:rsidP="00CD692A">
            <w:pPr>
              <w:pStyle w:val="SingleTxtG"/>
              <w:tabs>
                <w:tab w:val="clear" w:pos="1701"/>
                <w:tab w:val="clear" w:pos="2268"/>
                <w:tab w:val="clear" w:pos="2835"/>
              </w:tabs>
              <w:spacing w:before="80" w:after="80" w:line="200" w:lineRule="exact"/>
              <w:ind w:left="57" w:right="28"/>
              <w:jc w:val="right"/>
              <w:rPr>
                <w:bCs/>
                <w:i/>
                <w:sz w:val="16"/>
                <w:lang w:val="en-GB"/>
              </w:rPr>
            </w:pPr>
            <w:r>
              <w:rPr>
                <w:bCs/>
                <w:i/>
                <w:sz w:val="16"/>
                <w:lang w:val="en-GB"/>
              </w:rPr>
              <w:t>Porcentaje</w:t>
            </w:r>
          </w:p>
        </w:tc>
        <w:tc>
          <w:tcPr>
            <w:tcW w:w="707" w:type="dxa"/>
            <w:tcBorders>
              <w:top w:val="single" w:sz="4" w:space="0" w:color="auto"/>
              <w:bottom w:val="single" w:sz="12" w:space="0" w:color="auto"/>
            </w:tcBorders>
            <w:shd w:val="clear" w:color="auto" w:fill="auto"/>
            <w:vAlign w:val="bottom"/>
            <w:hideMark/>
          </w:tcPr>
          <w:p w14:paraId="4F9F129A" w14:textId="77777777" w:rsidR="00CD692A" w:rsidRPr="00CD692A" w:rsidRDefault="00CD692A" w:rsidP="00CD692A">
            <w:pPr>
              <w:pStyle w:val="SingleTxtG"/>
              <w:tabs>
                <w:tab w:val="clear" w:pos="1701"/>
                <w:tab w:val="clear" w:pos="2268"/>
                <w:tab w:val="clear" w:pos="2835"/>
              </w:tabs>
              <w:spacing w:before="80" w:after="80" w:line="200" w:lineRule="exact"/>
              <w:ind w:left="57" w:right="28"/>
              <w:jc w:val="right"/>
              <w:rPr>
                <w:bCs/>
                <w:i/>
                <w:sz w:val="16"/>
                <w:lang w:val="en-GB"/>
              </w:rPr>
            </w:pPr>
            <w:r w:rsidRPr="00CD692A">
              <w:rPr>
                <w:i/>
                <w:iCs/>
                <w:sz w:val="16"/>
              </w:rPr>
              <w:t>Total</w:t>
            </w:r>
          </w:p>
        </w:tc>
      </w:tr>
      <w:tr w:rsidR="00CD692A" w:rsidRPr="00CD692A" w14:paraId="1490CB98" w14:textId="77777777" w:rsidTr="00CD692A">
        <w:trPr>
          <w:trHeight w:val="240"/>
        </w:trPr>
        <w:tc>
          <w:tcPr>
            <w:tcW w:w="3402" w:type="dxa"/>
            <w:tcBorders>
              <w:top w:val="single" w:sz="12" w:space="0" w:color="auto"/>
            </w:tcBorders>
            <w:shd w:val="clear" w:color="auto" w:fill="auto"/>
            <w:hideMark/>
          </w:tcPr>
          <w:p w14:paraId="31414CEA" w14:textId="7EAEE323" w:rsidR="00CD692A" w:rsidRPr="00CD692A" w:rsidRDefault="00CD692A" w:rsidP="00D24E4F">
            <w:pPr>
              <w:pStyle w:val="SingleTxtG"/>
              <w:tabs>
                <w:tab w:val="clear" w:pos="1701"/>
                <w:tab w:val="clear" w:pos="2268"/>
                <w:tab w:val="clear" w:pos="2835"/>
              </w:tabs>
              <w:spacing w:before="40" w:after="40" w:line="220" w:lineRule="exact"/>
              <w:ind w:left="0" w:right="0"/>
              <w:jc w:val="left"/>
              <w:rPr>
                <w:bCs/>
                <w:sz w:val="18"/>
              </w:rPr>
            </w:pPr>
            <w:r w:rsidRPr="00CD692A">
              <w:rPr>
                <w:sz w:val="18"/>
              </w:rPr>
              <w:t>A</w:t>
            </w:r>
            <w:r w:rsidR="00D24E4F">
              <w:rPr>
                <w:sz w:val="18"/>
              </w:rPr>
              <w:t xml:space="preserve"> </w:t>
            </w:r>
            <w:r w:rsidR="00D24E4F" w:rsidRPr="00D24E4F">
              <w:rPr>
                <w:sz w:val="18"/>
              </w:rPr>
              <w:t>−</w:t>
            </w:r>
            <w:r w:rsidRPr="00CD692A">
              <w:rPr>
                <w:sz w:val="18"/>
              </w:rPr>
              <w:t xml:space="preserve"> Nivel de jefe en la administración pública</w:t>
            </w:r>
          </w:p>
        </w:tc>
        <w:tc>
          <w:tcPr>
            <w:tcW w:w="851" w:type="dxa"/>
            <w:tcBorders>
              <w:top w:val="single" w:sz="12" w:space="0" w:color="auto"/>
            </w:tcBorders>
            <w:shd w:val="clear" w:color="auto" w:fill="auto"/>
            <w:vAlign w:val="bottom"/>
            <w:hideMark/>
          </w:tcPr>
          <w:p w14:paraId="313070AB"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2</w:t>
            </w:r>
          </w:p>
        </w:tc>
        <w:tc>
          <w:tcPr>
            <w:tcW w:w="850" w:type="dxa"/>
            <w:tcBorders>
              <w:top w:val="single" w:sz="12" w:space="0" w:color="auto"/>
            </w:tcBorders>
            <w:shd w:val="clear" w:color="auto" w:fill="auto"/>
            <w:vAlign w:val="bottom"/>
            <w:hideMark/>
          </w:tcPr>
          <w:p w14:paraId="2A5F2AC9"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67</w:t>
            </w:r>
          </w:p>
        </w:tc>
        <w:tc>
          <w:tcPr>
            <w:tcW w:w="709" w:type="dxa"/>
            <w:tcBorders>
              <w:top w:val="single" w:sz="12" w:space="0" w:color="auto"/>
            </w:tcBorders>
            <w:shd w:val="clear" w:color="auto" w:fill="auto"/>
            <w:vAlign w:val="bottom"/>
            <w:hideMark/>
          </w:tcPr>
          <w:p w14:paraId="1FF9329E"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w:t>
            </w:r>
          </w:p>
        </w:tc>
        <w:tc>
          <w:tcPr>
            <w:tcW w:w="851" w:type="dxa"/>
            <w:tcBorders>
              <w:top w:val="single" w:sz="12" w:space="0" w:color="auto"/>
            </w:tcBorders>
            <w:shd w:val="clear" w:color="auto" w:fill="auto"/>
            <w:vAlign w:val="bottom"/>
            <w:hideMark/>
          </w:tcPr>
          <w:p w14:paraId="3617A9D2"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33</w:t>
            </w:r>
          </w:p>
        </w:tc>
        <w:tc>
          <w:tcPr>
            <w:tcW w:w="707" w:type="dxa"/>
            <w:tcBorders>
              <w:top w:val="single" w:sz="12" w:space="0" w:color="auto"/>
            </w:tcBorders>
            <w:shd w:val="clear" w:color="auto" w:fill="auto"/>
            <w:vAlign w:val="bottom"/>
            <w:hideMark/>
          </w:tcPr>
          <w:p w14:paraId="44DAAFA3"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3</w:t>
            </w:r>
          </w:p>
        </w:tc>
      </w:tr>
      <w:tr w:rsidR="00CD692A" w:rsidRPr="00CD692A" w14:paraId="6B4B0465" w14:textId="77777777" w:rsidTr="00CD692A">
        <w:trPr>
          <w:trHeight w:val="240"/>
        </w:trPr>
        <w:tc>
          <w:tcPr>
            <w:tcW w:w="3402" w:type="dxa"/>
            <w:shd w:val="clear" w:color="auto" w:fill="auto"/>
          </w:tcPr>
          <w:p w14:paraId="11DF55B9" w14:textId="0563A421"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B</w:t>
            </w:r>
            <w:r w:rsidR="00D24E4F">
              <w:rPr>
                <w:sz w:val="18"/>
              </w:rPr>
              <w:t xml:space="preserve"> </w:t>
            </w:r>
            <w:r w:rsidR="00D24E4F" w:rsidRPr="00D24E4F">
              <w:rPr>
                <w:sz w:val="18"/>
              </w:rPr>
              <w:t>−</w:t>
            </w:r>
            <w:r w:rsidRPr="00CD692A">
              <w:rPr>
                <w:sz w:val="18"/>
              </w:rPr>
              <w:t xml:space="preserve"> Nivel de jefe adjunto en la administración pública</w:t>
            </w:r>
          </w:p>
        </w:tc>
        <w:tc>
          <w:tcPr>
            <w:tcW w:w="851" w:type="dxa"/>
            <w:shd w:val="clear" w:color="auto" w:fill="auto"/>
            <w:vAlign w:val="bottom"/>
          </w:tcPr>
          <w:p w14:paraId="3FE842F8"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12</w:t>
            </w:r>
          </w:p>
        </w:tc>
        <w:tc>
          <w:tcPr>
            <w:tcW w:w="850" w:type="dxa"/>
            <w:shd w:val="clear" w:color="auto" w:fill="auto"/>
            <w:vAlign w:val="bottom"/>
          </w:tcPr>
          <w:p w14:paraId="4C5DF6BD"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92</w:t>
            </w:r>
          </w:p>
        </w:tc>
        <w:tc>
          <w:tcPr>
            <w:tcW w:w="709" w:type="dxa"/>
            <w:shd w:val="clear" w:color="auto" w:fill="auto"/>
            <w:vAlign w:val="bottom"/>
          </w:tcPr>
          <w:p w14:paraId="4BCF97E9"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w:t>
            </w:r>
          </w:p>
        </w:tc>
        <w:tc>
          <w:tcPr>
            <w:tcW w:w="851" w:type="dxa"/>
            <w:shd w:val="clear" w:color="auto" w:fill="auto"/>
            <w:vAlign w:val="bottom"/>
          </w:tcPr>
          <w:p w14:paraId="7603AB05"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8</w:t>
            </w:r>
          </w:p>
        </w:tc>
        <w:tc>
          <w:tcPr>
            <w:tcW w:w="707" w:type="dxa"/>
            <w:shd w:val="clear" w:color="auto" w:fill="auto"/>
            <w:vAlign w:val="bottom"/>
          </w:tcPr>
          <w:p w14:paraId="05C4D5CE"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13</w:t>
            </w:r>
          </w:p>
        </w:tc>
      </w:tr>
      <w:tr w:rsidR="00CD692A" w:rsidRPr="00CD692A" w14:paraId="2AEE5B53" w14:textId="77777777" w:rsidTr="00CD692A">
        <w:trPr>
          <w:trHeight w:val="240"/>
        </w:trPr>
        <w:tc>
          <w:tcPr>
            <w:tcW w:w="3402" w:type="dxa"/>
            <w:shd w:val="clear" w:color="auto" w:fill="auto"/>
            <w:hideMark/>
          </w:tcPr>
          <w:p w14:paraId="37F47840" w14:textId="3D2A8531"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C</w:t>
            </w:r>
            <w:r w:rsidR="00D24E4F">
              <w:rPr>
                <w:sz w:val="18"/>
              </w:rPr>
              <w:t xml:space="preserve"> </w:t>
            </w:r>
            <w:r w:rsidR="00D24E4F" w:rsidRPr="00D24E4F">
              <w:rPr>
                <w:sz w:val="18"/>
              </w:rPr>
              <w:t>−</w:t>
            </w:r>
            <w:r w:rsidRPr="00CD692A">
              <w:rPr>
                <w:sz w:val="18"/>
              </w:rPr>
              <w:t xml:space="preserve"> Nivel de secretario principal</w:t>
            </w:r>
          </w:p>
        </w:tc>
        <w:tc>
          <w:tcPr>
            <w:tcW w:w="851" w:type="dxa"/>
            <w:shd w:val="clear" w:color="auto" w:fill="auto"/>
            <w:vAlign w:val="bottom"/>
            <w:hideMark/>
          </w:tcPr>
          <w:p w14:paraId="38B5F5E8"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22</w:t>
            </w:r>
          </w:p>
        </w:tc>
        <w:tc>
          <w:tcPr>
            <w:tcW w:w="850" w:type="dxa"/>
            <w:shd w:val="clear" w:color="auto" w:fill="auto"/>
            <w:vAlign w:val="bottom"/>
            <w:hideMark/>
          </w:tcPr>
          <w:p w14:paraId="37A7AA23"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59</w:t>
            </w:r>
          </w:p>
        </w:tc>
        <w:tc>
          <w:tcPr>
            <w:tcW w:w="709" w:type="dxa"/>
            <w:shd w:val="clear" w:color="auto" w:fill="auto"/>
            <w:vAlign w:val="bottom"/>
            <w:hideMark/>
          </w:tcPr>
          <w:p w14:paraId="3636C6EC"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15</w:t>
            </w:r>
          </w:p>
        </w:tc>
        <w:tc>
          <w:tcPr>
            <w:tcW w:w="851" w:type="dxa"/>
            <w:shd w:val="clear" w:color="auto" w:fill="auto"/>
            <w:vAlign w:val="bottom"/>
            <w:hideMark/>
          </w:tcPr>
          <w:p w14:paraId="6E7A2D23"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41</w:t>
            </w:r>
          </w:p>
        </w:tc>
        <w:tc>
          <w:tcPr>
            <w:tcW w:w="707" w:type="dxa"/>
            <w:shd w:val="clear" w:color="auto" w:fill="auto"/>
            <w:vAlign w:val="bottom"/>
            <w:hideMark/>
          </w:tcPr>
          <w:p w14:paraId="60229D03"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37</w:t>
            </w:r>
          </w:p>
        </w:tc>
      </w:tr>
      <w:tr w:rsidR="00CD692A" w:rsidRPr="00CD692A" w14:paraId="1D700E23" w14:textId="77777777" w:rsidTr="00CD692A">
        <w:trPr>
          <w:trHeight w:val="240"/>
        </w:trPr>
        <w:tc>
          <w:tcPr>
            <w:tcW w:w="3402" w:type="dxa"/>
            <w:shd w:val="clear" w:color="auto" w:fill="auto"/>
            <w:hideMark/>
          </w:tcPr>
          <w:p w14:paraId="153253D3" w14:textId="3BC6A10B"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D</w:t>
            </w:r>
            <w:r w:rsidR="00D24E4F">
              <w:rPr>
                <w:sz w:val="18"/>
              </w:rPr>
              <w:t xml:space="preserve"> </w:t>
            </w:r>
            <w:r w:rsidR="00D24E4F" w:rsidRPr="00D24E4F">
              <w:rPr>
                <w:sz w:val="18"/>
              </w:rPr>
              <w:t>−</w:t>
            </w:r>
            <w:r w:rsidRPr="00CD692A">
              <w:rPr>
                <w:sz w:val="18"/>
              </w:rPr>
              <w:t xml:space="preserve"> Nivel de director</w:t>
            </w:r>
          </w:p>
        </w:tc>
        <w:tc>
          <w:tcPr>
            <w:tcW w:w="851" w:type="dxa"/>
            <w:shd w:val="clear" w:color="auto" w:fill="auto"/>
            <w:vAlign w:val="bottom"/>
            <w:hideMark/>
          </w:tcPr>
          <w:p w14:paraId="46C682DE"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143</w:t>
            </w:r>
          </w:p>
        </w:tc>
        <w:tc>
          <w:tcPr>
            <w:tcW w:w="850" w:type="dxa"/>
            <w:shd w:val="clear" w:color="auto" w:fill="auto"/>
            <w:vAlign w:val="bottom"/>
            <w:hideMark/>
          </w:tcPr>
          <w:p w14:paraId="489767D9"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77</w:t>
            </w:r>
          </w:p>
        </w:tc>
        <w:tc>
          <w:tcPr>
            <w:tcW w:w="709" w:type="dxa"/>
            <w:shd w:val="clear" w:color="auto" w:fill="auto"/>
            <w:vAlign w:val="bottom"/>
            <w:hideMark/>
          </w:tcPr>
          <w:p w14:paraId="7377CA91"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42</w:t>
            </w:r>
          </w:p>
        </w:tc>
        <w:tc>
          <w:tcPr>
            <w:tcW w:w="851" w:type="dxa"/>
            <w:shd w:val="clear" w:color="auto" w:fill="auto"/>
            <w:vAlign w:val="bottom"/>
            <w:hideMark/>
          </w:tcPr>
          <w:p w14:paraId="55A31B9A"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23</w:t>
            </w:r>
          </w:p>
        </w:tc>
        <w:tc>
          <w:tcPr>
            <w:tcW w:w="707" w:type="dxa"/>
            <w:shd w:val="clear" w:color="auto" w:fill="auto"/>
            <w:vAlign w:val="bottom"/>
            <w:hideMark/>
          </w:tcPr>
          <w:p w14:paraId="6D66D7C2"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185</w:t>
            </w:r>
          </w:p>
        </w:tc>
      </w:tr>
      <w:tr w:rsidR="00CD692A" w:rsidRPr="00CD692A" w14:paraId="29E06D1A" w14:textId="77777777" w:rsidTr="00CD692A">
        <w:trPr>
          <w:trHeight w:val="240"/>
        </w:trPr>
        <w:tc>
          <w:tcPr>
            <w:tcW w:w="3402" w:type="dxa"/>
            <w:shd w:val="clear" w:color="auto" w:fill="auto"/>
            <w:hideMark/>
          </w:tcPr>
          <w:p w14:paraId="6EDB147A" w14:textId="70D6DCE0"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E</w:t>
            </w:r>
            <w:r w:rsidR="00D24E4F">
              <w:rPr>
                <w:sz w:val="18"/>
              </w:rPr>
              <w:t xml:space="preserve"> </w:t>
            </w:r>
            <w:r w:rsidR="00D24E4F" w:rsidRPr="00D24E4F">
              <w:rPr>
                <w:sz w:val="18"/>
              </w:rPr>
              <w:t>−</w:t>
            </w:r>
            <w:r w:rsidRPr="00CD692A">
              <w:rPr>
                <w:sz w:val="18"/>
              </w:rPr>
              <w:t xml:space="preserve"> Nivel de director adjunto</w:t>
            </w:r>
          </w:p>
        </w:tc>
        <w:tc>
          <w:tcPr>
            <w:tcW w:w="851" w:type="dxa"/>
            <w:shd w:val="clear" w:color="auto" w:fill="auto"/>
            <w:vAlign w:val="bottom"/>
            <w:hideMark/>
          </w:tcPr>
          <w:p w14:paraId="65AD7C43"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375</w:t>
            </w:r>
          </w:p>
        </w:tc>
        <w:tc>
          <w:tcPr>
            <w:tcW w:w="850" w:type="dxa"/>
            <w:shd w:val="clear" w:color="auto" w:fill="auto"/>
            <w:vAlign w:val="bottom"/>
            <w:hideMark/>
          </w:tcPr>
          <w:p w14:paraId="4B84FE91"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72</w:t>
            </w:r>
          </w:p>
        </w:tc>
        <w:tc>
          <w:tcPr>
            <w:tcW w:w="709" w:type="dxa"/>
            <w:shd w:val="clear" w:color="auto" w:fill="auto"/>
            <w:vAlign w:val="bottom"/>
            <w:hideMark/>
          </w:tcPr>
          <w:p w14:paraId="4826CD8D"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147</w:t>
            </w:r>
          </w:p>
        </w:tc>
        <w:tc>
          <w:tcPr>
            <w:tcW w:w="851" w:type="dxa"/>
            <w:shd w:val="clear" w:color="auto" w:fill="auto"/>
            <w:vAlign w:val="bottom"/>
            <w:hideMark/>
          </w:tcPr>
          <w:p w14:paraId="13A88200"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28</w:t>
            </w:r>
          </w:p>
        </w:tc>
        <w:tc>
          <w:tcPr>
            <w:tcW w:w="707" w:type="dxa"/>
            <w:shd w:val="clear" w:color="auto" w:fill="auto"/>
            <w:vAlign w:val="bottom"/>
            <w:hideMark/>
          </w:tcPr>
          <w:p w14:paraId="4290036E"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522</w:t>
            </w:r>
          </w:p>
        </w:tc>
      </w:tr>
      <w:tr w:rsidR="00CD692A" w:rsidRPr="00CD692A" w14:paraId="72B0D0A7" w14:textId="77777777" w:rsidTr="00CD692A">
        <w:trPr>
          <w:trHeight w:val="240"/>
        </w:trPr>
        <w:tc>
          <w:tcPr>
            <w:tcW w:w="3402" w:type="dxa"/>
            <w:tcBorders>
              <w:bottom w:val="single" w:sz="4" w:space="0" w:color="auto"/>
            </w:tcBorders>
            <w:shd w:val="clear" w:color="auto" w:fill="auto"/>
            <w:hideMark/>
          </w:tcPr>
          <w:p w14:paraId="21C645A1" w14:textId="022CFAE7"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F</w:t>
            </w:r>
            <w:r w:rsidR="00D24E4F">
              <w:rPr>
                <w:sz w:val="18"/>
              </w:rPr>
              <w:t xml:space="preserve"> </w:t>
            </w:r>
            <w:r w:rsidR="00D24E4F" w:rsidRPr="00D24E4F">
              <w:rPr>
                <w:sz w:val="18"/>
              </w:rPr>
              <w:t>−</w:t>
            </w:r>
            <w:r w:rsidRPr="00CD692A">
              <w:rPr>
                <w:sz w:val="18"/>
              </w:rPr>
              <w:t xml:space="preserve"> Nivel de oficial jefe</w:t>
            </w:r>
          </w:p>
        </w:tc>
        <w:tc>
          <w:tcPr>
            <w:tcW w:w="851" w:type="dxa"/>
            <w:tcBorders>
              <w:bottom w:val="single" w:sz="4" w:space="0" w:color="auto"/>
            </w:tcBorders>
            <w:shd w:val="clear" w:color="auto" w:fill="auto"/>
            <w:vAlign w:val="bottom"/>
            <w:hideMark/>
          </w:tcPr>
          <w:p w14:paraId="4E69FA65"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608</w:t>
            </w:r>
          </w:p>
        </w:tc>
        <w:tc>
          <w:tcPr>
            <w:tcW w:w="850" w:type="dxa"/>
            <w:tcBorders>
              <w:bottom w:val="single" w:sz="4" w:space="0" w:color="auto"/>
            </w:tcBorders>
            <w:shd w:val="clear" w:color="auto" w:fill="auto"/>
            <w:vAlign w:val="bottom"/>
            <w:hideMark/>
          </w:tcPr>
          <w:p w14:paraId="52B7C46A"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77</w:t>
            </w:r>
          </w:p>
        </w:tc>
        <w:tc>
          <w:tcPr>
            <w:tcW w:w="709" w:type="dxa"/>
            <w:tcBorders>
              <w:bottom w:val="single" w:sz="4" w:space="0" w:color="auto"/>
            </w:tcBorders>
            <w:shd w:val="clear" w:color="auto" w:fill="auto"/>
            <w:vAlign w:val="bottom"/>
            <w:hideMark/>
          </w:tcPr>
          <w:p w14:paraId="6EF6FA89"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181</w:t>
            </w:r>
          </w:p>
        </w:tc>
        <w:tc>
          <w:tcPr>
            <w:tcW w:w="851" w:type="dxa"/>
            <w:tcBorders>
              <w:bottom w:val="single" w:sz="4" w:space="0" w:color="auto"/>
            </w:tcBorders>
            <w:shd w:val="clear" w:color="auto" w:fill="auto"/>
            <w:vAlign w:val="bottom"/>
            <w:hideMark/>
          </w:tcPr>
          <w:p w14:paraId="13F6466B"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23</w:t>
            </w:r>
          </w:p>
        </w:tc>
        <w:tc>
          <w:tcPr>
            <w:tcW w:w="707" w:type="dxa"/>
            <w:tcBorders>
              <w:bottom w:val="single" w:sz="4" w:space="0" w:color="auto"/>
            </w:tcBorders>
            <w:shd w:val="clear" w:color="auto" w:fill="auto"/>
            <w:vAlign w:val="bottom"/>
            <w:hideMark/>
          </w:tcPr>
          <w:p w14:paraId="69F83908" w14:textId="77777777" w:rsidR="00CD692A" w:rsidRPr="00CD692A" w:rsidRDefault="00CD692A" w:rsidP="00CD692A">
            <w:pPr>
              <w:pStyle w:val="SingleTxtG"/>
              <w:tabs>
                <w:tab w:val="clear" w:pos="1701"/>
                <w:tab w:val="clear" w:pos="2268"/>
                <w:tab w:val="clear" w:pos="2835"/>
              </w:tabs>
              <w:spacing w:before="40" w:after="40" w:line="220" w:lineRule="exact"/>
              <w:ind w:left="57" w:right="28"/>
              <w:jc w:val="right"/>
              <w:rPr>
                <w:bCs/>
                <w:sz w:val="18"/>
                <w:lang w:val="en-GB"/>
              </w:rPr>
            </w:pPr>
            <w:r w:rsidRPr="00CD692A">
              <w:rPr>
                <w:sz w:val="18"/>
              </w:rPr>
              <w:t>789</w:t>
            </w:r>
          </w:p>
        </w:tc>
      </w:tr>
      <w:tr w:rsidR="00CD692A" w:rsidRPr="00CD692A" w14:paraId="6655716B" w14:textId="77777777" w:rsidTr="00CD692A">
        <w:trPr>
          <w:trHeight w:val="240"/>
        </w:trPr>
        <w:tc>
          <w:tcPr>
            <w:tcW w:w="3402" w:type="dxa"/>
            <w:tcBorders>
              <w:top w:val="single" w:sz="4" w:space="0" w:color="auto"/>
              <w:bottom w:val="single" w:sz="12" w:space="0" w:color="auto"/>
            </w:tcBorders>
            <w:shd w:val="clear" w:color="auto" w:fill="auto"/>
            <w:hideMark/>
          </w:tcPr>
          <w:p w14:paraId="04419454" w14:textId="77777777" w:rsidR="00CD692A" w:rsidRPr="00CD692A" w:rsidRDefault="00CD692A" w:rsidP="00CD692A">
            <w:pPr>
              <w:pStyle w:val="SingleTxtG"/>
              <w:tabs>
                <w:tab w:val="clear" w:pos="1701"/>
                <w:tab w:val="clear" w:pos="2268"/>
                <w:tab w:val="clear" w:pos="2835"/>
              </w:tabs>
              <w:spacing w:before="80" w:after="80" w:line="220" w:lineRule="exact"/>
              <w:ind w:left="283" w:right="0"/>
              <w:jc w:val="left"/>
              <w:rPr>
                <w:b/>
                <w:bCs/>
                <w:sz w:val="18"/>
                <w:lang w:val="en-GB"/>
              </w:rPr>
            </w:pPr>
            <w:r w:rsidRPr="00CD692A">
              <w:rPr>
                <w:b/>
                <w:bCs/>
                <w:sz w:val="18"/>
              </w:rPr>
              <w:t>Total</w:t>
            </w:r>
          </w:p>
        </w:tc>
        <w:tc>
          <w:tcPr>
            <w:tcW w:w="851" w:type="dxa"/>
            <w:tcBorders>
              <w:top w:val="single" w:sz="4" w:space="0" w:color="auto"/>
              <w:bottom w:val="single" w:sz="12" w:space="0" w:color="auto"/>
            </w:tcBorders>
            <w:shd w:val="clear" w:color="auto" w:fill="auto"/>
            <w:vAlign w:val="bottom"/>
            <w:hideMark/>
          </w:tcPr>
          <w:p w14:paraId="62E3FF27" w14:textId="7719FB0A" w:rsidR="00CD692A" w:rsidRPr="00CD692A" w:rsidRDefault="00CD692A" w:rsidP="00CD692A">
            <w:pPr>
              <w:pStyle w:val="SingleTxtG"/>
              <w:tabs>
                <w:tab w:val="clear" w:pos="1701"/>
                <w:tab w:val="clear" w:pos="2268"/>
                <w:tab w:val="clear" w:pos="2835"/>
              </w:tabs>
              <w:spacing w:before="80" w:after="80" w:line="220" w:lineRule="exact"/>
              <w:ind w:left="0" w:right="28"/>
              <w:jc w:val="right"/>
              <w:rPr>
                <w:b/>
                <w:bCs/>
                <w:sz w:val="18"/>
                <w:lang w:val="en-GB"/>
              </w:rPr>
            </w:pPr>
            <w:r w:rsidRPr="00CD692A">
              <w:rPr>
                <w:b/>
                <w:bCs/>
                <w:sz w:val="18"/>
              </w:rPr>
              <w:t>1</w:t>
            </w:r>
            <w:r>
              <w:rPr>
                <w:b/>
                <w:bCs/>
                <w:sz w:val="18"/>
              </w:rPr>
              <w:t xml:space="preserve"> </w:t>
            </w:r>
            <w:r w:rsidRPr="00CD692A">
              <w:rPr>
                <w:b/>
                <w:bCs/>
                <w:sz w:val="18"/>
              </w:rPr>
              <w:t>162</w:t>
            </w:r>
          </w:p>
        </w:tc>
        <w:tc>
          <w:tcPr>
            <w:tcW w:w="850" w:type="dxa"/>
            <w:tcBorders>
              <w:top w:val="single" w:sz="4" w:space="0" w:color="auto"/>
              <w:bottom w:val="single" w:sz="12" w:space="0" w:color="auto"/>
            </w:tcBorders>
            <w:shd w:val="clear" w:color="auto" w:fill="auto"/>
            <w:vAlign w:val="bottom"/>
            <w:hideMark/>
          </w:tcPr>
          <w:p w14:paraId="5FC0748D" w14:textId="77777777" w:rsidR="00CD692A" w:rsidRPr="00CD692A" w:rsidRDefault="00CD692A" w:rsidP="00CD692A">
            <w:pPr>
              <w:pStyle w:val="SingleTxtG"/>
              <w:tabs>
                <w:tab w:val="clear" w:pos="1701"/>
                <w:tab w:val="clear" w:pos="2268"/>
                <w:tab w:val="clear" w:pos="2835"/>
              </w:tabs>
              <w:spacing w:before="80" w:after="80" w:line="220" w:lineRule="exact"/>
              <w:ind w:left="0" w:right="28"/>
              <w:jc w:val="right"/>
              <w:rPr>
                <w:b/>
                <w:bCs/>
                <w:sz w:val="18"/>
                <w:lang w:val="en-GB"/>
              </w:rPr>
            </w:pPr>
            <w:r w:rsidRPr="00CD692A">
              <w:rPr>
                <w:b/>
                <w:bCs/>
                <w:sz w:val="18"/>
              </w:rPr>
              <w:t>75</w:t>
            </w:r>
          </w:p>
        </w:tc>
        <w:tc>
          <w:tcPr>
            <w:tcW w:w="709" w:type="dxa"/>
            <w:tcBorders>
              <w:top w:val="single" w:sz="4" w:space="0" w:color="auto"/>
              <w:bottom w:val="single" w:sz="12" w:space="0" w:color="auto"/>
            </w:tcBorders>
            <w:shd w:val="clear" w:color="auto" w:fill="auto"/>
            <w:vAlign w:val="bottom"/>
            <w:hideMark/>
          </w:tcPr>
          <w:p w14:paraId="754428F3" w14:textId="77777777" w:rsidR="00CD692A" w:rsidRPr="00CD692A" w:rsidRDefault="00CD692A" w:rsidP="00CD692A">
            <w:pPr>
              <w:pStyle w:val="SingleTxtG"/>
              <w:tabs>
                <w:tab w:val="clear" w:pos="1701"/>
                <w:tab w:val="clear" w:pos="2268"/>
                <w:tab w:val="clear" w:pos="2835"/>
              </w:tabs>
              <w:spacing w:before="80" w:after="80" w:line="220" w:lineRule="exact"/>
              <w:ind w:left="0" w:right="28"/>
              <w:jc w:val="right"/>
              <w:rPr>
                <w:b/>
                <w:bCs/>
                <w:sz w:val="18"/>
                <w:lang w:val="en-GB"/>
              </w:rPr>
            </w:pPr>
            <w:r w:rsidRPr="00CD692A">
              <w:rPr>
                <w:b/>
                <w:bCs/>
                <w:sz w:val="18"/>
              </w:rPr>
              <w:t>387</w:t>
            </w:r>
          </w:p>
        </w:tc>
        <w:tc>
          <w:tcPr>
            <w:tcW w:w="851" w:type="dxa"/>
            <w:tcBorders>
              <w:top w:val="single" w:sz="4" w:space="0" w:color="auto"/>
              <w:bottom w:val="single" w:sz="12" w:space="0" w:color="auto"/>
            </w:tcBorders>
            <w:shd w:val="clear" w:color="auto" w:fill="auto"/>
            <w:vAlign w:val="bottom"/>
            <w:hideMark/>
          </w:tcPr>
          <w:p w14:paraId="52E3E96A" w14:textId="77777777" w:rsidR="00CD692A" w:rsidRPr="00CD692A" w:rsidRDefault="00CD692A" w:rsidP="00CD692A">
            <w:pPr>
              <w:pStyle w:val="SingleTxtG"/>
              <w:tabs>
                <w:tab w:val="clear" w:pos="1701"/>
                <w:tab w:val="clear" w:pos="2268"/>
                <w:tab w:val="clear" w:pos="2835"/>
              </w:tabs>
              <w:spacing w:before="80" w:after="80" w:line="220" w:lineRule="exact"/>
              <w:ind w:left="0" w:right="28"/>
              <w:jc w:val="right"/>
              <w:rPr>
                <w:b/>
                <w:bCs/>
                <w:sz w:val="18"/>
                <w:lang w:val="en-GB"/>
              </w:rPr>
            </w:pPr>
            <w:r w:rsidRPr="00CD692A">
              <w:rPr>
                <w:b/>
                <w:bCs/>
                <w:sz w:val="18"/>
              </w:rPr>
              <w:t>25</w:t>
            </w:r>
          </w:p>
        </w:tc>
        <w:tc>
          <w:tcPr>
            <w:tcW w:w="707" w:type="dxa"/>
            <w:tcBorders>
              <w:top w:val="single" w:sz="4" w:space="0" w:color="auto"/>
              <w:bottom w:val="single" w:sz="12" w:space="0" w:color="auto"/>
            </w:tcBorders>
            <w:shd w:val="clear" w:color="auto" w:fill="auto"/>
            <w:vAlign w:val="bottom"/>
            <w:hideMark/>
          </w:tcPr>
          <w:p w14:paraId="0C7E5A28" w14:textId="0A5F77C1" w:rsidR="00CD692A" w:rsidRPr="00CD692A" w:rsidRDefault="00CD692A" w:rsidP="00CD692A">
            <w:pPr>
              <w:pStyle w:val="SingleTxtG"/>
              <w:tabs>
                <w:tab w:val="clear" w:pos="1701"/>
                <w:tab w:val="clear" w:pos="2268"/>
                <w:tab w:val="clear" w:pos="2835"/>
              </w:tabs>
              <w:spacing w:before="80" w:after="80" w:line="220" w:lineRule="exact"/>
              <w:ind w:left="0" w:right="28"/>
              <w:jc w:val="right"/>
              <w:rPr>
                <w:b/>
                <w:bCs/>
                <w:sz w:val="18"/>
                <w:lang w:val="en-GB"/>
              </w:rPr>
            </w:pPr>
            <w:r w:rsidRPr="00CD692A">
              <w:rPr>
                <w:b/>
                <w:bCs/>
                <w:sz w:val="18"/>
              </w:rPr>
              <w:t>1</w:t>
            </w:r>
            <w:r>
              <w:rPr>
                <w:b/>
                <w:bCs/>
                <w:sz w:val="18"/>
              </w:rPr>
              <w:t xml:space="preserve"> </w:t>
            </w:r>
            <w:r w:rsidRPr="00CD692A">
              <w:rPr>
                <w:b/>
                <w:bCs/>
                <w:sz w:val="18"/>
              </w:rPr>
              <w:t>549</w:t>
            </w:r>
          </w:p>
        </w:tc>
      </w:tr>
    </w:tbl>
    <w:p w14:paraId="76ECFB3F" w14:textId="77777777" w:rsidR="00CD692A" w:rsidRPr="00CD692A" w:rsidRDefault="00CD692A" w:rsidP="00CD692A">
      <w:pPr>
        <w:pStyle w:val="SingleTxtG"/>
        <w:spacing w:before="120" w:after="240"/>
        <w:ind w:firstLine="170"/>
        <w:jc w:val="left"/>
        <w:rPr>
          <w:sz w:val="18"/>
          <w:szCs w:val="18"/>
        </w:rPr>
      </w:pPr>
      <w:r w:rsidRPr="00CD692A">
        <w:rPr>
          <w:i/>
          <w:iCs/>
          <w:sz w:val="18"/>
          <w:szCs w:val="18"/>
        </w:rPr>
        <w:t>Fuente:</w:t>
      </w:r>
      <w:r w:rsidRPr="00CD692A">
        <w:rPr>
          <w:sz w:val="18"/>
          <w:szCs w:val="18"/>
        </w:rPr>
        <w:t xml:space="preserve"> Departamento de Gestión y Desarrollo de Recursos Humanos.</w:t>
      </w:r>
    </w:p>
    <w:p w14:paraId="5FFBD3EF" w14:textId="1A41D3E6" w:rsidR="00CD692A" w:rsidRPr="00CD692A" w:rsidRDefault="00CD692A" w:rsidP="00CD692A">
      <w:pPr>
        <w:pStyle w:val="H23G"/>
      </w:pPr>
      <w:r w:rsidRPr="00CD692A">
        <w:rPr>
          <w:b w:val="0"/>
          <w:bCs/>
        </w:rPr>
        <w:tab/>
      </w:r>
      <w:r w:rsidRPr="00CD692A">
        <w:rPr>
          <w:b w:val="0"/>
          <w:bCs/>
        </w:rPr>
        <w:tab/>
        <w:t>Cuadro 2</w:t>
      </w:r>
      <w:r w:rsidRPr="00CD692A">
        <w:rPr>
          <w:b w:val="0"/>
          <w:bCs/>
        </w:rPr>
        <w:br/>
      </w:r>
      <w:r w:rsidRPr="00CD692A">
        <w:t xml:space="preserve">Perfil de género en los puestos no ejecutivos (por categoría) </w:t>
      </w:r>
      <w:r w:rsidR="00D24E4F" w:rsidRPr="00D24E4F">
        <w:t>—</w:t>
      </w:r>
      <w:r w:rsidRPr="00CD692A">
        <w:t>Administración pública</w:t>
      </w:r>
      <w:r w:rsidR="0085343A">
        <w:t> </w:t>
      </w:r>
      <w:r w:rsidRPr="00CD692A">
        <w:t>e</w:t>
      </w:r>
      <w:r w:rsidR="0085343A">
        <w:t> </w:t>
      </w:r>
      <w:r w:rsidRPr="00CD692A">
        <w:t>instituciones de supervisión</w:t>
      </w:r>
      <w:r w:rsidR="00D24E4F" w:rsidRPr="00D24E4F">
        <w:t>—</w:t>
      </w:r>
      <w:r w:rsidRPr="00CD692A">
        <w:t xml:space="preserve"> </w:t>
      </w:r>
      <w:r w:rsidR="007E7E06">
        <w:t>m</w:t>
      </w:r>
      <w:r w:rsidRPr="00CD692A">
        <w:t>arzo de 2019</w:t>
      </w:r>
    </w:p>
    <w:tbl>
      <w:tblPr>
        <w:tblW w:w="746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77"/>
        <w:gridCol w:w="837"/>
        <w:gridCol w:w="838"/>
        <w:gridCol w:w="838"/>
        <w:gridCol w:w="838"/>
        <w:gridCol w:w="838"/>
      </w:tblGrid>
      <w:tr w:rsidR="00CD692A" w:rsidRPr="00CD692A" w14:paraId="16C611C9" w14:textId="77777777" w:rsidTr="00CD692A">
        <w:trPr>
          <w:trHeight w:val="240"/>
          <w:tblHeader/>
        </w:trPr>
        <w:tc>
          <w:tcPr>
            <w:tcW w:w="3277" w:type="dxa"/>
            <w:tcBorders>
              <w:top w:val="single" w:sz="4" w:space="0" w:color="auto"/>
              <w:bottom w:val="single" w:sz="12" w:space="0" w:color="auto"/>
            </w:tcBorders>
            <w:shd w:val="clear" w:color="auto" w:fill="auto"/>
            <w:noWrap/>
            <w:vAlign w:val="bottom"/>
            <w:hideMark/>
          </w:tcPr>
          <w:p w14:paraId="5AFE5974" w14:textId="77777777" w:rsidR="00CD692A" w:rsidRPr="00CD692A" w:rsidRDefault="00CD692A" w:rsidP="00CD692A">
            <w:pPr>
              <w:pStyle w:val="SingleTxtG"/>
              <w:tabs>
                <w:tab w:val="clear" w:pos="1701"/>
                <w:tab w:val="clear" w:pos="2268"/>
                <w:tab w:val="clear" w:pos="2835"/>
              </w:tabs>
              <w:spacing w:before="80" w:after="80" w:line="200" w:lineRule="exact"/>
              <w:ind w:left="0" w:right="0"/>
              <w:jc w:val="left"/>
              <w:rPr>
                <w:bCs/>
                <w:i/>
                <w:sz w:val="16"/>
                <w:lang w:val="en-GB"/>
              </w:rPr>
            </w:pPr>
            <w:r w:rsidRPr="00CD692A">
              <w:rPr>
                <w:i/>
                <w:iCs/>
                <w:sz w:val="16"/>
              </w:rPr>
              <w:t>Categoría</w:t>
            </w:r>
          </w:p>
        </w:tc>
        <w:tc>
          <w:tcPr>
            <w:tcW w:w="837" w:type="dxa"/>
            <w:tcBorders>
              <w:top w:val="single" w:sz="4" w:space="0" w:color="auto"/>
              <w:bottom w:val="single" w:sz="12" w:space="0" w:color="auto"/>
            </w:tcBorders>
            <w:shd w:val="clear" w:color="auto" w:fill="auto"/>
            <w:noWrap/>
            <w:vAlign w:val="bottom"/>
            <w:hideMark/>
          </w:tcPr>
          <w:p w14:paraId="6ABAAAFA" w14:textId="331A3463" w:rsidR="00CD692A" w:rsidRPr="00CD692A" w:rsidRDefault="00CD692A" w:rsidP="00CD692A">
            <w:pPr>
              <w:pStyle w:val="SingleTxtG"/>
              <w:tabs>
                <w:tab w:val="clear" w:pos="1701"/>
                <w:tab w:val="clear" w:pos="2268"/>
                <w:tab w:val="clear" w:pos="2835"/>
              </w:tabs>
              <w:spacing w:before="80" w:after="80" w:line="200" w:lineRule="exact"/>
              <w:ind w:left="28" w:right="28"/>
              <w:jc w:val="right"/>
              <w:rPr>
                <w:bCs/>
                <w:i/>
                <w:sz w:val="16"/>
                <w:lang w:val="en-GB"/>
              </w:rPr>
            </w:pPr>
            <w:r w:rsidRPr="00CD692A">
              <w:rPr>
                <w:i/>
                <w:iCs/>
                <w:sz w:val="16"/>
              </w:rPr>
              <w:t>H</w:t>
            </w:r>
            <w:r>
              <w:rPr>
                <w:i/>
                <w:iCs/>
                <w:sz w:val="16"/>
              </w:rPr>
              <w:t>ombres</w:t>
            </w:r>
          </w:p>
        </w:tc>
        <w:tc>
          <w:tcPr>
            <w:tcW w:w="838" w:type="dxa"/>
            <w:tcBorders>
              <w:top w:val="single" w:sz="4" w:space="0" w:color="auto"/>
              <w:bottom w:val="single" w:sz="12" w:space="0" w:color="auto"/>
            </w:tcBorders>
            <w:shd w:val="clear" w:color="auto" w:fill="auto"/>
            <w:noWrap/>
            <w:vAlign w:val="bottom"/>
            <w:hideMark/>
          </w:tcPr>
          <w:p w14:paraId="163E31FB" w14:textId="525C4C54" w:rsidR="00CD692A" w:rsidRPr="00CD692A" w:rsidRDefault="00CD692A" w:rsidP="00CD692A">
            <w:pPr>
              <w:pStyle w:val="SingleTxtG"/>
              <w:tabs>
                <w:tab w:val="clear" w:pos="1701"/>
                <w:tab w:val="clear" w:pos="2268"/>
                <w:tab w:val="clear" w:pos="2835"/>
              </w:tabs>
              <w:spacing w:before="80" w:after="80" w:line="200" w:lineRule="exact"/>
              <w:ind w:left="28" w:right="28"/>
              <w:jc w:val="right"/>
              <w:rPr>
                <w:bCs/>
                <w:i/>
                <w:sz w:val="16"/>
                <w:lang w:val="en-GB"/>
              </w:rPr>
            </w:pPr>
            <w:r>
              <w:rPr>
                <w:bCs/>
                <w:i/>
                <w:sz w:val="16"/>
                <w:lang w:val="en-GB"/>
              </w:rPr>
              <w:t>Porcentaje</w:t>
            </w:r>
          </w:p>
        </w:tc>
        <w:tc>
          <w:tcPr>
            <w:tcW w:w="838" w:type="dxa"/>
            <w:tcBorders>
              <w:top w:val="single" w:sz="4" w:space="0" w:color="auto"/>
              <w:bottom w:val="single" w:sz="12" w:space="0" w:color="auto"/>
            </w:tcBorders>
            <w:shd w:val="clear" w:color="auto" w:fill="auto"/>
            <w:noWrap/>
            <w:vAlign w:val="bottom"/>
            <w:hideMark/>
          </w:tcPr>
          <w:p w14:paraId="6B103901" w14:textId="3E2C9DFB" w:rsidR="00CD692A" w:rsidRPr="00CD692A" w:rsidRDefault="00CD692A" w:rsidP="00CD692A">
            <w:pPr>
              <w:pStyle w:val="SingleTxtG"/>
              <w:tabs>
                <w:tab w:val="clear" w:pos="1701"/>
                <w:tab w:val="clear" w:pos="2268"/>
                <w:tab w:val="clear" w:pos="2835"/>
              </w:tabs>
              <w:spacing w:before="80" w:after="80" w:line="200" w:lineRule="exact"/>
              <w:ind w:left="28" w:right="28"/>
              <w:jc w:val="right"/>
              <w:rPr>
                <w:bCs/>
                <w:i/>
                <w:sz w:val="16"/>
                <w:lang w:val="en-GB"/>
              </w:rPr>
            </w:pPr>
            <w:r w:rsidRPr="00CD692A">
              <w:rPr>
                <w:i/>
                <w:iCs/>
                <w:sz w:val="16"/>
              </w:rPr>
              <w:t>M</w:t>
            </w:r>
            <w:r>
              <w:rPr>
                <w:i/>
                <w:iCs/>
                <w:sz w:val="16"/>
              </w:rPr>
              <w:t>ujeres</w:t>
            </w:r>
          </w:p>
        </w:tc>
        <w:tc>
          <w:tcPr>
            <w:tcW w:w="838" w:type="dxa"/>
            <w:tcBorders>
              <w:top w:val="single" w:sz="4" w:space="0" w:color="auto"/>
              <w:bottom w:val="single" w:sz="12" w:space="0" w:color="auto"/>
            </w:tcBorders>
            <w:shd w:val="clear" w:color="auto" w:fill="auto"/>
            <w:noWrap/>
            <w:vAlign w:val="bottom"/>
            <w:hideMark/>
          </w:tcPr>
          <w:p w14:paraId="6867DEDC" w14:textId="5A9BFEC7" w:rsidR="00CD692A" w:rsidRPr="00CD692A" w:rsidRDefault="00CD692A" w:rsidP="00CD692A">
            <w:pPr>
              <w:pStyle w:val="SingleTxtG"/>
              <w:tabs>
                <w:tab w:val="clear" w:pos="1701"/>
                <w:tab w:val="clear" w:pos="2268"/>
                <w:tab w:val="clear" w:pos="2835"/>
              </w:tabs>
              <w:spacing w:before="80" w:after="80" w:line="200" w:lineRule="exact"/>
              <w:ind w:left="28" w:right="28"/>
              <w:jc w:val="right"/>
              <w:rPr>
                <w:bCs/>
                <w:i/>
                <w:sz w:val="16"/>
                <w:lang w:val="en-GB"/>
              </w:rPr>
            </w:pPr>
            <w:r>
              <w:rPr>
                <w:bCs/>
                <w:i/>
                <w:sz w:val="16"/>
                <w:lang w:val="en-GB"/>
              </w:rPr>
              <w:t>Porcentaje</w:t>
            </w:r>
          </w:p>
        </w:tc>
        <w:tc>
          <w:tcPr>
            <w:tcW w:w="838" w:type="dxa"/>
            <w:tcBorders>
              <w:top w:val="single" w:sz="4" w:space="0" w:color="auto"/>
              <w:bottom w:val="single" w:sz="12" w:space="0" w:color="auto"/>
            </w:tcBorders>
            <w:shd w:val="clear" w:color="auto" w:fill="auto"/>
            <w:noWrap/>
            <w:vAlign w:val="bottom"/>
            <w:hideMark/>
          </w:tcPr>
          <w:p w14:paraId="73DD95BB" w14:textId="77777777" w:rsidR="00CD692A" w:rsidRPr="00CD692A" w:rsidRDefault="00CD692A" w:rsidP="00CD692A">
            <w:pPr>
              <w:pStyle w:val="SingleTxtG"/>
              <w:tabs>
                <w:tab w:val="clear" w:pos="1701"/>
                <w:tab w:val="clear" w:pos="2268"/>
                <w:tab w:val="clear" w:pos="2835"/>
              </w:tabs>
              <w:spacing w:before="80" w:after="80" w:line="200" w:lineRule="exact"/>
              <w:ind w:left="28" w:right="28"/>
              <w:jc w:val="right"/>
              <w:rPr>
                <w:bCs/>
                <w:i/>
                <w:sz w:val="16"/>
                <w:lang w:val="en-GB"/>
              </w:rPr>
            </w:pPr>
            <w:r w:rsidRPr="00CD692A">
              <w:rPr>
                <w:i/>
                <w:iCs/>
                <w:sz w:val="16"/>
              </w:rPr>
              <w:t>Total</w:t>
            </w:r>
          </w:p>
        </w:tc>
      </w:tr>
      <w:tr w:rsidR="00CD692A" w:rsidRPr="00CD692A" w14:paraId="707B2D80" w14:textId="77777777" w:rsidTr="00CD692A">
        <w:trPr>
          <w:trHeight w:val="240"/>
        </w:trPr>
        <w:tc>
          <w:tcPr>
            <w:tcW w:w="3277" w:type="dxa"/>
            <w:tcBorders>
              <w:top w:val="single" w:sz="12" w:space="0" w:color="auto"/>
            </w:tcBorders>
            <w:shd w:val="clear" w:color="auto" w:fill="auto"/>
            <w:noWrap/>
            <w:hideMark/>
          </w:tcPr>
          <w:p w14:paraId="47A50065" w14:textId="6B700E57"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G</w:t>
            </w:r>
            <w:r w:rsidR="00D24E4F">
              <w:rPr>
                <w:sz w:val="18"/>
              </w:rPr>
              <w:t xml:space="preserve"> </w:t>
            </w:r>
            <w:r w:rsidR="00D24E4F" w:rsidRPr="00D24E4F">
              <w:rPr>
                <w:sz w:val="18"/>
              </w:rPr>
              <w:t>−</w:t>
            </w:r>
            <w:r w:rsidRPr="00CD692A">
              <w:rPr>
                <w:sz w:val="18"/>
              </w:rPr>
              <w:t xml:space="preserve"> Nivel de oficial principal</w:t>
            </w:r>
          </w:p>
        </w:tc>
        <w:tc>
          <w:tcPr>
            <w:tcW w:w="837" w:type="dxa"/>
            <w:tcBorders>
              <w:top w:val="single" w:sz="12" w:space="0" w:color="auto"/>
            </w:tcBorders>
            <w:shd w:val="clear" w:color="auto" w:fill="auto"/>
            <w:noWrap/>
            <w:vAlign w:val="bottom"/>
            <w:hideMark/>
          </w:tcPr>
          <w:p w14:paraId="200CFB42" w14:textId="32E7360C"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050</w:t>
            </w:r>
          </w:p>
        </w:tc>
        <w:tc>
          <w:tcPr>
            <w:tcW w:w="838" w:type="dxa"/>
            <w:tcBorders>
              <w:top w:val="single" w:sz="12" w:space="0" w:color="auto"/>
            </w:tcBorders>
            <w:shd w:val="clear" w:color="auto" w:fill="auto"/>
            <w:noWrap/>
            <w:vAlign w:val="bottom"/>
            <w:hideMark/>
          </w:tcPr>
          <w:p w14:paraId="2D0FE147"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70</w:t>
            </w:r>
          </w:p>
        </w:tc>
        <w:tc>
          <w:tcPr>
            <w:tcW w:w="838" w:type="dxa"/>
            <w:tcBorders>
              <w:top w:val="single" w:sz="12" w:space="0" w:color="auto"/>
            </w:tcBorders>
            <w:shd w:val="clear" w:color="auto" w:fill="auto"/>
            <w:noWrap/>
            <w:vAlign w:val="bottom"/>
            <w:hideMark/>
          </w:tcPr>
          <w:p w14:paraId="55423383"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448</w:t>
            </w:r>
          </w:p>
        </w:tc>
        <w:tc>
          <w:tcPr>
            <w:tcW w:w="838" w:type="dxa"/>
            <w:tcBorders>
              <w:top w:val="single" w:sz="12" w:space="0" w:color="auto"/>
            </w:tcBorders>
            <w:shd w:val="clear" w:color="auto" w:fill="auto"/>
            <w:noWrap/>
            <w:vAlign w:val="bottom"/>
            <w:hideMark/>
          </w:tcPr>
          <w:p w14:paraId="67BF16CF"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30</w:t>
            </w:r>
          </w:p>
        </w:tc>
        <w:tc>
          <w:tcPr>
            <w:tcW w:w="838" w:type="dxa"/>
            <w:tcBorders>
              <w:top w:val="single" w:sz="12" w:space="0" w:color="auto"/>
            </w:tcBorders>
            <w:shd w:val="clear" w:color="auto" w:fill="auto"/>
            <w:noWrap/>
            <w:vAlign w:val="bottom"/>
            <w:hideMark/>
          </w:tcPr>
          <w:p w14:paraId="28DAE475" w14:textId="0C13FC83"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498</w:t>
            </w:r>
          </w:p>
        </w:tc>
      </w:tr>
      <w:tr w:rsidR="00CD692A" w:rsidRPr="00CD692A" w14:paraId="449715B3" w14:textId="77777777" w:rsidTr="00CD692A">
        <w:trPr>
          <w:trHeight w:val="240"/>
        </w:trPr>
        <w:tc>
          <w:tcPr>
            <w:tcW w:w="3277" w:type="dxa"/>
            <w:shd w:val="clear" w:color="auto" w:fill="auto"/>
            <w:noWrap/>
            <w:hideMark/>
          </w:tcPr>
          <w:p w14:paraId="408D6EE7" w14:textId="1D9B969E"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H</w:t>
            </w:r>
            <w:r w:rsidR="00D24E4F">
              <w:rPr>
                <w:sz w:val="18"/>
              </w:rPr>
              <w:t xml:space="preserve"> </w:t>
            </w:r>
            <w:r w:rsidR="00D24E4F" w:rsidRPr="00D24E4F">
              <w:rPr>
                <w:sz w:val="18"/>
              </w:rPr>
              <w:t>−</w:t>
            </w:r>
            <w:r w:rsidRPr="00CD692A">
              <w:rPr>
                <w:sz w:val="18"/>
              </w:rPr>
              <w:t xml:space="preserve"> Nivel de oficial superior</w:t>
            </w:r>
          </w:p>
        </w:tc>
        <w:tc>
          <w:tcPr>
            <w:tcW w:w="837" w:type="dxa"/>
            <w:shd w:val="clear" w:color="auto" w:fill="auto"/>
            <w:noWrap/>
            <w:vAlign w:val="bottom"/>
            <w:hideMark/>
          </w:tcPr>
          <w:p w14:paraId="0CE460DF" w14:textId="01E16998"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167</w:t>
            </w:r>
          </w:p>
        </w:tc>
        <w:tc>
          <w:tcPr>
            <w:tcW w:w="838" w:type="dxa"/>
            <w:shd w:val="clear" w:color="auto" w:fill="auto"/>
            <w:noWrap/>
            <w:vAlign w:val="bottom"/>
            <w:hideMark/>
          </w:tcPr>
          <w:p w14:paraId="30651365"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67</w:t>
            </w:r>
          </w:p>
        </w:tc>
        <w:tc>
          <w:tcPr>
            <w:tcW w:w="838" w:type="dxa"/>
            <w:shd w:val="clear" w:color="auto" w:fill="auto"/>
            <w:noWrap/>
            <w:vAlign w:val="bottom"/>
            <w:hideMark/>
          </w:tcPr>
          <w:p w14:paraId="30A5CF00"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563</w:t>
            </w:r>
          </w:p>
        </w:tc>
        <w:tc>
          <w:tcPr>
            <w:tcW w:w="838" w:type="dxa"/>
            <w:shd w:val="clear" w:color="auto" w:fill="auto"/>
            <w:noWrap/>
            <w:vAlign w:val="bottom"/>
            <w:hideMark/>
          </w:tcPr>
          <w:p w14:paraId="64030D83"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33</w:t>
            </w:r>
          </w:p>
        </w:tc>
        <w:tc>
          <w:tcPr>
            <w:tcW w:w="838" w:type="dxa"/>
            <w:shd w:val="clear" w:color="auto" w:fill="auto"/>
            <w:noWrap/>
            <w:vAlign w:val="bottom"/>
            <w:hideMark/>
          </w:tcPr>
          <w:p w14:paraId="642A449D" w14:textId="780031D1"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730</w:t>
            </w:r>
          </w:p>
        </w:tc>
      </w:tr>
      <w:tr w:rsidR="00CD692A" w:rsidRPr="00CD692A" w14:paraId="26BEC237" w14:textId="77777777" w:rsidTr="00CD692A">
        <w:trPr>
          <w:trHeight w:val="240"/>
        </w:trPr>
        <w:tc>
          <w:tcPr>
            <w:tcW w:w="3277" w:type="dxa"/>
            <w:shd w:val="clear" w:color="auto" w:fill="auto"/>
            <w:noWrap/>
            <w:hideMark/>
          </w:tcPr>
          <w:p w14:paraId="7328459F" w14:textId="163591AF"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lastRenderedPageBreak/>
              <w:t>I</w:t>
            </w:r>
            <w:r w:rsidR="00D24E4F">
              <w:rPr>
                <w:sz w:val="18"/>
              </w:rPr>
              <w:t xml:space="preserve"> </w:t>
            </w:r>
            <w:r w:rsidR="00D24E4F" w:rsidRPr="00D24E4F">
              <w:rPr>
                <w:sz w:val="18"/>
              </w:rPr>
              <w:t>−</w:t>
            </w:r>
            <w:r w:rsidRPr="00CD692A">
              <w:rPr>
                <w:sz w:val="18"/>
              </w:rPr>
              <w:t xml:space="preserve"> Nivel de oficial</w:t>
            </w:r>
          </w:p>
        </w:tc>
        <w:tc>
          <w:tcPr>
            <w:tcW w:w="837" w:type="dxa"/>
            <w:shd w:val="clear" w:color="auto" w:fill="auto"/>
            <w:noWrap/>
            <w:vAlign w:val="bottom"/>
            <w:hideMark/>
          </w:tcPr>
          <w:p w14:paraId="6B03DD8B" w14:textId="77ED7AB4"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w:t>
            </w:r>
            <w:r>
              <w:rPr>
                <w:sz w:val="18"/>
              </w:rPr>
              <w:t xml:space="preserve"> </w:t>
            </w:r>
            <w:r w:rsidRPr="00CD692A">
              <w:rPr>
                <w:sz w:val="18"/>
              </w:rPr>
              <w:t>563</w:t>
            </w:r>
          </w:p>
        </w:tc>
        <w:tc>
          <w:tcPr>
            <w:tcW w:w="838" w:type="dxa"/>
            <w:shd w:val="clear" w:color="auto" w:fill="auto"/>
            <w:noWrap/>
            <w:vAlign w:val="bottom"/>
            <w:hideMark/>
          </w:tcPr>
          <w:p w14:paraId="0E571635"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66</w:t>
            </w:r>
          </w:p>
        </w:tc>
        <w:tc>
          <w:tcPr>
            <w:tcW w:w="838" w:type="dxa"/>
            <w:shd w:val="clear" w:color="auto" w:fill="auto"/>
            <w:noWrap/>
            <w:vAlign w:val="bottom"/>
            <w:hideMark/>
          </w:tcPr>
          <w:p w14:paraId="3DFBBAB5" w14:textId="68120FF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820</w:t>
            </w:r>
          </w:p>
        </w:tc>
        <w:tc>
          <w:tcPr>
            <w:tcW w:w="838" w:type="dxa"/>
            <w:shd w:val="clear" w:color="auto" w:fill="auto"/>
            <w:noWrap/>
            <w:vAlign w:val="bottom"/>
            <w:hideMark/>
          </w:tcPr>
          <w:p w14:paraId="7D36883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34</w:t>
            </w:r>
          </w:p>
        </w:tc>
        <w:tc>
          <w:tcPr>
            <w:tcW w:w="838" w:type="dxa"/>
            <w:shd w:val="clear" w:color="auto" w:fill="auto"/>
            <w:noWrap/>
            <w:vAlign w:val="bottom"/>
            <w:hideMark/>
          </w:tcPr>
          <w:p w14:paraId="3014BDB6" w14:textId="209C33B6"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8</w:t>
            </w:r>
            <w:r>
              <w:rPr>
                <w:sz w:val="18"/>
              </w:rPr>
              <w:t xml:space="preserve"> </w:t>
            </w:r>
            <w:r w:rsidRPr="00CD692A">
              <w:rPr>
                <w:sz w:val="18"/>
              </w:rPr>
              <w:t>383</w:t>
            </w:r>
          </w:p>
        </w:tc>
      </w:tr>
      <w:tr w:rsidR="00CD692A" w:rsidRPr="00CD692A" w14:paraId="423850CB" w14:textId="77777777" w:rsidTr="00CD692A">
        <w:trPr>
          <w:trHeight w:val="240"/>
        </w:trPr>
        <w:tc>
          <w:tcPr>
            <w:tcW w:w="3277" w:type="dxa"/>
            <w:shd w:val="clear" w:color="auto" w:fill="auto"/>
            <w:noWrap/>
            <w:hideMark/>
          </w:tcPr>
          <w:p w14:paraId="7F2D7C50" w14:textId="27B6B27B"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J</w:t>
            </w:r>
            <w:r w:rsidR="00D24E4F">
              <w:rPr>
                <w:sz w:val="18"/>
              </w:rPr>
              <w:t xml:space="preserve"> </w:t>
            </w:r>
            <w:r w:rsidR="00D24E4F" w:rsidRPr="00D24E4F">
              <w:rPr>
                <w:sz w:val="18"/>
              </w:rPr>
              <w:t>−</w:t>
            </w:r>
            <w:r w:rsidRPr="00CD692A">
              <w:rPr>
                <w:sz w:val="18"/>
              </w:rPr>
              <w:t xml:space="preserve"> Nivel de oficial auxiliar superior</w:t>
            </w:r>
          </w:p>
        </w:tc>
        <w:tc>
          <w:tcPr>
            <w:tcW w:w="837" w:type="dxa"/>
            <w:shd w:val="clear" w:color="auto" w:fill="auto"/>
            <w:noWrap/>
            <w:vAlign w:val="bottom"/>
            <w:hideMark/>
          </w:tcPr>
          <w:p w14:paraId="0F06FC15" w14:textId="63F235F9"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7</w:t>
            </w:r>
            <w:r>
              <w:rPr>
                <w:sz w:val="18"/>
              </w:rPr>
              <w:t xml:space="preserve"> </w:t>
            </w:r>
            <w:r w:rsidRPr="00CD692A">
              <w:rPr>
                <w:sz w:val="18"/>
              </w:rPr>
              <w:t>520</w:t>
            </w:r>
          </w:p>
        </w:tc>
        <w:tc>
          <w:tcPr>
            <w:tcW w:w="838" w:type="dxa"/>
            <w:shd w:val="clear" w:color="auto" w:fill="auto"/>
            <w:noWrap/>
            <w:vAlign w:val="bottom"/>
            <w:hideMark/>
          </w:tcPr>
          <w:p w14:paraId="1A015E37"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64</w:t>
            </w:r>
          </w:p>
        </w:tc>
        <w:tc>
          <w:tcPr>
            <w:tcW w:w="838" w:type="dxa"/>
            <w:shd w:val="clear" w:color="auto" w:fill="auto"/>
            <w:noWrap/>
            <w:vAlign w:val="bottom"/>
            <w:hideMark/>
          </w:tcPr>
          <w:p w14:paraId="41881A61" w14:textId="43C31551"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w:t>
            </w:r>
            <w:r>
              <w:rPr>
                <w:sz w:val="18"/>
              </w:rPr>
              <w:t xml:space="preserve"> </w:t>
            </w:r>
            <w:r w:rsidRPr="00CD692A">
              <w:rPr>
                <w:sz w:val="18"/>
              </w:rPr>
              <w:t>275</w:t>
            </w:r>
          </w:p>
        </w:tc>
        <w:tc>
          <w:tcPr>
            <w:tcW w:w="838" w:type="dxa"/>
            <w:shd w:val="clear" w:color="auto" w:fill="auto"/>
            <w:noWrap/>
            <w:vAlign w:val="bottom"/>
            <w:hideMark/>
          </w:tcPr>
          <w:p w14:paraId="1D68D022"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36</w:t>
            </w:r>
          </w:p>
        </w:tc>
        <w:tc>
          <w:tcPr>
            <w:tcW w:w="838" w:type="dxa"/>
            <w:shd w:val="clear" w:color="auto" w:fill="auto"/>
            <w:noWrap/>
            <w:vAlign w:val="bottom"/>
            <w:hideMark/>
          </w:tcPr>
          <w:p w14:paraId="59057A79" w14:textId="0D8532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11</w:t>
            </w:r>
            <w:r>
              <w:rPr>
                <w:sz w:val="18"/>
              </w:rPr>
              <w:t xml:space="preserve"> </w:t>
            </w:r>
            <w:r w:rsidRPr="00CD692A">
              <w:rPr>
                <w:sz w:val="18"/>
              </w:rPr>
              <w:t>795</w:t>
            </w:r>
          </w:p>
        </w:tc>
      </w:tr>
      <w:tr w:rsidR="00CD692A" w:rsidRPr="00CD692A" w14:paraId="75038810" w14:textId="77777777" w:rsidTr="00CD692A">
        <w:trPr>
          <w:trHeight w:val="240"/>
        </w:trPr>
        <w:tc>
          <w:tcPr>
            <w:tcW w:w="3277" w:type="dxa"/>
            <w:shd w:val="clear" w:color="auto" w:fill="auto"/>
            <w:noWrap/>
            <w:hideMark/>
          </w:tcPr>
          <w:p w14:paraId="0580579D" w14:textId="6D3906C1"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K</w:t>
            </w:r>
            <w:r w:rsidR="00D24E4F">
              <w:rPr>
                <w:sz w:val="18"/>
              </w:rPr>
              <w:t xml:space="preserve"> </w:t>
            </w:r>
            <w:r w:rsidR="00D24E4F" w:rsidRPr="00D24E4F">
              <w:rPr>
                <w:sz w:val="18"/>
              </w:rPr>
              <w:t>−</w:t>
            </w:r>
            <w:r w:rsidRPr="00CD692A">
              <w:rPr>
                <w:sz w:val="18"/>
              </w:rPr>
              <w:t xml:space="preserve"> Nivel de oficial auxiliar</w:t>
            </w:r>
          </w:p>
        </w:tc>
        <w:tc>
          <w:tcPr>
            <w:tcW w:w="837" w:type="dxa"/>
            <w:shd w:val="clear" w:color="auto" w:fill="auto"/>
            <w:noWrap/>
            <w:vAlign w:val="bottom"/>
            <w:hideMark/>
          </w:tcPr>
          <w:p w14:paraId="27ADC9AD" w14:textId="410A031D"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15</w:t>
            </w:r>
            <w:r>
              <w:rPr>
                <w:sz w:val="18"/>
              </w:rPr>
              <w:t xml:space="preserve"> </w:t>
            </w:r>
            <w:r w:rsidRPr="00CD692A">
              <w:rPr>
                <w:sz w:val="18"/>
              </w:rPr>
              <w:t>074</w:t>
            </w:r>
          </w:p>
        </w:tc>
        <w:tc>
          <w:tcPr>
            <w:tcW w:w="838" w:type="dxa"/>
            <w:shd w:val="clear" w:color="auto" w:fill="auto"/>
            <w:noWrap/>
            <w:vAlign w:val="bottom"/>
            <w:hideMark/>
          </w:tcPr>
          <w:p w14:paraId="511EA8B2"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66</w:t>
            </w:r>
          </w:p>
        </w:tc>
        <w:tc>
          <w:tcPr>
            <w:tcW w:w="838" w:type="dxa"/>
            <w:shd w:val="clear" w:color="auto" w:fill="auto"/>
            <w:noWrap/>
            <w:vAlign w:val="bottom"/>
            <w:hideMark/>
          </w:tcPr>
          <w:p w14:paraId="203A8D02" w14:textId="2EA90742"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7</w:t>
            </w:r>
            <w:r>
              <w:rPr>
                <w:sz w:val="18"/>
              </w:rPr>
              <w:t xml:space="preserve"> </w:t>
            </w:r>
            <w:r w:rsidRPr="00CD692A">
              <w:rPr>
                <w:sz w:val="18"/>
              </w:rPr>
              <w:t>792</w:t>
            </w:r>
          </w:p>
        </w:tc>
        <w:tc>
          <w:tcPr>
            <w:tcW w:w="838" w:type="dxa"/>
            <w:shd w:val="clear" w:color="auto" w:fill="auto"/>
            <w:noWrap/>
            <w:vAlign w:val="bottom"/>
            <w:hideMark/>
          </w:tcPr>
          <w:p w14:paraId="01403F20"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34</w:t>
            </w:r>
          </w:p>
        </w:tc>
        <w:tc>
          <w:tcPr>
            <w:tcW w:w="838" w:type="dxa"/>
            <w:shd w:val="clear" w:color="auto" w:fill="auto"/>
            <w:noWrap/>
            <w:vAlign w:val="bottom"/>
            <w:hideMark/>
          </w:tcPr>
          <w:p w14:paraId="18C26759" w14:textId="74C674FB"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22</w:t>
            </w:r>
            <w:r>
              <w:rPr>
                <w:sz w:val="18"/>
              </w:rPr>
              <w:t xml:space="preserve"> </w:t>
            </w:r>
            <w:r w:rsidRPr="00CD692A">
              <w:rPr>
                <w:sz w:val="18"/>
              </w:rPr>
              <w:t>866</w:t>
            </w:r>
          </w:p>
        </w:tc>
      </w:tr>
      <w:tr w:rsidR="00CD692A" w:rsidRPr="00CD692A" w14:paraId="270BD8B2" w14:textId="77777777" w:rsidTr="00CD692A">
        <w:trPr>
          <w:trHeight w:val="240"/>
        </w:trPr>
        <w:tc>
          <w:tcPr>
            <w:tcW w:w="3277" w:type="dxa"/>
            <w:shd w:val="clear" w:color="auto" w:fill="auto"/>
            <w:noWrap/>
            <w:hideMark/>
          </w:tcPr>
          <w:p w14:paraId="2387C523" w14:textId="48CFF3A0"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L</w:t>
            </w:r>
            <w:r w:rsidR="00D24E4F">
              <w:rPr>
                <w:sz w:val="18"/>
              </w:rPr>
              <w:t xml:space="preserve"> </w:t>
            </w:r>
            <w:r w:rsidR="00D24E4F" w:rsidRPr="00D24E4F">
              <w:rPr>
                <w:sz w:val="18"/>
              </w:rPr>
              <w:t>−</w:t>
            </w:r>
            <w:r w:rsidRPr="00CD692A">
              <w:rPr>
                <w:sz w:val="18"/>
              </w:rPr>
              <w:t xml:space="preserve"> Nivel de oficial administrativo superior</w:t>
            </w:r>
          </w:p>
        </w:tc>
        <w:tc>
          <w:tcPr>
            <w:tcW w:w="837" w:type="dxa"/>
            <w:shd w:val="clear" w:color="auto" w:fill="auto"/>
            <w:noWrap/>
            <w:vAlign w:val="bottom"/>
            <w:hideMark/>
          </w:tcPr>
          <w:p w14:paraId="2AA2A090" w14:textId="3B98AEDF"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30</w:t>
            </w:r>
            <w:r>
              <w:rPr>
                <w:sz w:val="18"/>
              </w:rPr>
              <w:t xml:space="preserve"> </w:t>
            </w:r>
            <w:r w:rsidRPr="00CD692A">
              <w:rPr>
                <w:sz w:val="18"/>
              </w:rPr>
              <w:t>222</w:t>
            </w:r>
          </w:p>
        </w:tc>
        <w:tc>
          <w:tcPr>
            <w:tcW w:w="838" w:type="dxa"/>
            <w:shd w:val="clear" w:color="auto" w:fill="auto"/>
            <w:noWrap/>
            <w:vAlign w:val="bottom"/>
            <w:hideMark/>
          </w:tcPr>
          <w:p w14:paraId="3BF68DC7"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58</w:t>
            </w:r>
          </w:p>
        </w:tc>
        <w:tc>
          <w:tcPr>
            <w:tcW w:w="838" w:type="dxa"/>
            <w:shd w:val="clear" w:color="auto" w:fill="auto"/>
            <w:noWrap/>
            <w:vAlign w:val="bottom"/>
            <w:hideMark/>
          </w:tcPr>
          <w:p w14:paraId="7CA9E07C" w14:textId="2F848232"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21</w:t>
            </w:r>
            <w:r>
              <w:rPr>
                <w:sz w:val="18"/>
              </w:rPr>
              <w:t xml:space="preserve"> </w:t>
            </w:r>
            <w:r w:rsidRPr="00CD692A">
              <w:rPr>
                <w:sz w:val="18"/>
              </w:rPr>
              <w:t>628</w:t>
            </w:r>
          </w:p>
        </w:tc>
        <w:tc>
          <w:tcPr>
            <w:tcW w:w="838" w:type="dxa"/>
            <w:shd w:val="clear" w:color="auto" w:fill="auto"/>
            <w:noWrap/>
            <w:vAlign w:val="bottom"/>
            <w:hideMark/>
          </w:tcPr>
          <w:p w14:paraId="1C15E30B"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42</w:t>
            </w:r>
          </w:p>
        </w:tc>
        <w:tc>
          <w:tcPr>
            <w:tcW w:w="838" w:type="dxa"/>
            <w:shd w:val="clear" w:color="auto" w:fill="auto"/>
            <w:noWrap/>
            <w:vAlign w:val="bottom"/>
            <w:hideMark/>
          </w:tcPr>
          <w:p w14:paraId="0EB3E95A" w14:textId="146BA5BB"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51</w:t>
            </w:r>
            <w:r>
              <w:rPr>
                <w:sz w:val="18"/>
              </w:rPr>
              <w:t xml:space="preserve"> </w:t>
            </w:r>
            <w:r w:rsidRPr="00CD692A">
              <w:rPr>
                <w:sz w:val="18"/>
              </w:rPr>
              <w:t>850</w:t>
            </w:r>
          </w:p>
        </w:tc>
      </w:tr>
      <w:tr w:rsidR="00CD692A" w:rsidRPr="00CD692A" w14:paraId="1E91FD67" w14:textId="77777777" w:rsidTr="00CD692A">
        <w:trPr>
          <w:trHeight w:val="240"/>
        </w:trPr>
        <w:tc>
          <w:tcPr>
            <w:tcW w:w="3277" w:type="dxa"/>
            <w:shd w:val="clear" w:color="auto" w:fill="auto"/>
            <w:noWrap/>
            <w:hideMark/>
          </w:tcPr>
          <w:p w14:paraId="0C84E495" w14:textId="3E6C8855"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M</w:t>
            </w:r>
            <w:r w:rsidR="00D24E4F">
              <w:rPr>
                <w:sz w:val="18"/>
              </w:rPr>
              <w:t xml:space="preserve"> </w:t>
            </w:r>
            <w:r w:rsidR="00D24E4F" w:rsidRPr="00D24E4F">
              <w:rPr>
                <w:sz w:val="18"/>
              </w:rPr>
              <w:t>−</w:t>
            </w:r>
            <w:r w:rsidRPr="00CD692A">
              <w:rPr>
                <w:sz w:val="18"/>
              </w:rPr>
              <w:t xml:space="preserve"> Nivel de oficial administrativo</w:t>
            </w:r>
          </w:p>
        </w:tc>
        <w:tc>
          <w:tcPr>
            <w:tcW w:w="837" w:type="dxa"/>
            <w:shd w:val="clear" w:color="auto" w:fill="auto"/>
            <w:noWrap/>
            <w:vAlign w:val="bottom"/>
            <w:hideMark/>
          </w:tcPr>
          <w:p w14:paraId="6141D948" w14:textId="245C65A8"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8</w:t>
            </w:r>
            <w:r>
              <w:rPr>
                <w:sz w:val="18"/>
              </w:rPr>
              <w:t xml:space="preserve"> </w:t>
            </w:r>
            <w:r w:rsidRPr="00CD692A">
              <w:rPr>
                <w:sz w:val="18"/>
              </w:rPr>
              <w:t>669</w:t>
            </w:r>
          </w:p>
        </w:tc>
        <w:tc>
          <w:tcPr>
            <w:tcW w:w="838" w:type="dxa"/>
            <w:shd w:val="clear" w:color="auto" w:fill="auto"/>
            <w:noWrap/>
            <w:vAlign w:val="bottom"/>
            <w:hideMark/>
          </w:tcPr>
          <w:p w14:paraId="36397EFE"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60</w:t>
            </w:r>
          </w:p>
        </w:tc>
        <w:tc>
          <w:tcPr>
            <w:tcW w:w="838" w:type="dxa"/>
            <w:shd w:val="clear" w:color="auto" w:fill="auto"/>
            <w:noWrap/>
            <w:vAlign w:val="bottom"/>
            <w:hideMark/>
          </w:tcPr>
          <w:p w14:paraId="56C995F6" w14:textId="3AD0C541"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w:t>
            </w:r>
            <w:r>
              <w:rPr>
                <w:sz w:val="18"/>
              </w:rPr>
              <w:t xml:space="preserve"> </w:t>
            </w:r>
            <w:r w:rsidRPr="00CD692A">
              <w:rPr>
                <w:sz w:val="18"/>
              </w:rPr>
              <w:t>748</w:t>
            </w:r>
          </w:p>
        </w:tc>
        <w:tc>
          <w:tcPr>
            <w:tcW w:w="838" w:type="dxa"/>
            <w:shd w:val="clear" w:color="auto" w:fill="auto"/>
            <w:noWrap/>
            <w:vAlign w:val="bottom"/>
            <w:hideMark/>
          </w:tcPr>
          <w:p w14:paraId="0E8AE75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40</w:t>
            </w:r>
          </w:p>
        </w:tc>
        <w:tc>
          <w:tcPr>
            <w:tcW w:w="838" w:type="dxa"/>
            <w:shd w:val="clear" w:color="auto" w:fill="auto"/>
            <w:noWrap/>
            <w:vAlign w:val="bottom"/>
            <w:hideMark/>
          </w:tcPr>
          <w:p w14:paraId="01D9E0CE" w14:textId="179B85F8"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14</w:t>
            </w:r>
            <w:r>
              <w:rPr>
                <w:sz w:val="18"/>
              </w:rPr>
              <w:t xml:space="preserve"> </w:t>
            </w:r>
            <w:r w:rsidRPr="00CD692A">
              <w:rPr>
                <w:sz w:val="18"/>
              </w:rPr>
              <w:t>417</w:t>
            </w:r>
          </w:p>
        </w:tc>
      </w:tr>
      <w:tr w:rsidR="00CD692A" w:rsidRPr="00CD692A" w14:paraId="1561F2DE" w14:textId="77777777" w:rsidTr="00CD692A">
        <w:trPr>
          <w:trHeight w:val="240"/>
        </w:trPr>
        <w:tc>
          <w:tcPr>
            <w:tcW w:w="3277" w:type="dxa"/>
            <w:shd w:val="clear" w:color="auto" w:fill="auto"/>
            <w:noWrap/>
            <w:hideMark/>
          </w:tcPr>
          <w:p w14:paraId="61B32598" w14:textId="48A2E5B6"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N</w:t>
            </w:r>
            <w:r w:rsidR="00D24E4F">
              <w:rPr>
                <w:sz w:val="18"/>
              </w:rPr>
              <w:t xml:space="preserve"> </w:t>
            </w:r>
            <w:r w:rsidR="00D24E4F" w:rsidRPr="00D24E4F">
              <w:rPr>
                <w:sz w:val="18"/>
              </w:rPr>
              <w:t>−</w:t>
            </w:r>
            <w:r w:rsidRPr="00CD692A">
              <w:rPr>
                <w:sz w:val="18"/>
              </w:rPr>
              <w:t xml:space="preserve"> Nivel de conductor</w:t>
            </w:r>
          </w:p>
        </w:tc>
        <w:tc>
          <w:tcPr>
            <w:tcW w:w="837" w:type="dxa"/>
            <w:shd w:val="clear" w:color="auto" w:fill="auto"/>
            <w:noWrap/>
            <w:vAlign w:val="bottom"/>
            <w:hideMark/>
          </w:tcPr>
          <w:p w14:paraId="30B62C82" w14:textId="7979DBC6"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526</w:t>
            </w:r>
          </w:p>
        </w:tc>
        <w:tc>
          <w:tcPr>
            <w:tcW w:w="838" w:type="dxa"/>
            <w:shd w:val="clear" w:color="auto" w:fill="auto"/>
            <w:noWrap/>
            <w:vAlign w:val="bottom"/>
            <w:hideMark/>
          </w:tcPr>
          <w:p w14:paraId="57D64D7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84</w:t>
            </w:r>
          </w:p>
        </w:tc>
        <w:tc>
          <w:tcPr>
            <w:tcW w:w="838" w:type="dxa"/>
            <w:shd w:val="clear" w:color="auto" w:fill="auto"/>
            <w:noWrap/>
            <w:vAlign w:val="bottom"/>
            <w:hideMark/>
          </w:tcPr>
          <w:p w14:paraId="5366D10E"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474</w:t>
            </w:r>
          </w:p>
        </w:tc>
        <w:tc>
          <w:tcPr>
            <w:tcW w:w="838" w:type="dxa"/>
            <w:shd w:val="clear" w:color="auto" w:fill="auto"/>
            <w:noWrap/>
            <w:vAlign w:val="bottom"/>
            <w:hideMark/>
          </w:tcPr>
          <w:p w14:paraId="2A6EE579"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16</w:t>
            </w:r>
          </w:p>
        </w:tc>
        <w:tc>
          <w:tcPr>
            <w:tcW w:w="838" w:type="dxa"/>
            <w:shd w:val="clear" w:color="auto" w:fill="auto"/>
            <w:noWrap/>
            <w:vAlign w:val="bottom"/>
            <w:hideMark/>
          </w:tcPr>
          <w:p w14:paraId="7B660F32" w14:textId="0CE088CF"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w:t>
            </w:r>
            <w:r>
              <w:rPr>
                <w:sz w:val="18"/>
              </w:rPr>
              <w:t xml:space="preserve"> </w:t>
            </w:r>
            <w:r w:rsidRPr="00CD692A">
              <w:rPr>
                <w:sz w:val="18"/>
              </w:rPr>
              <w:t>000</w:t>
            </w:r>
          </w:p>
        </w:tc>
      </w:tr>
      <w:tr w:rsidR="00CD692A" w:rsidRPr="00CD692A" w14:paraId="6D0F8EEF" w14:textId="77777777" w:rsidTr="00CD692A">
        <w:trPr>
          <w:trHeight w:val="240"/>
        </w:trPr>
        <w:tc>
          <w:tcPr>
            <w:tcW w:w="3277" w:type="dxa"/>
            <w:shd w:val="clear" w:color="auto" w:fill="auto"/>
            <w:noWrap/>
            <w:hideMark/>
          </w:tcPr>
          <w:p w14:paraId="69AEF24E" w14:textId="53C8FD11"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O</w:t>
            </w:r>
            <w:r w:rsidR="00D24E4F">
              <w:rPr>
                <w:sz w:val="18"/>
              </w:rPr>
              <w:t xml:space="preserve"> </w:t>
            </w:r>
            <w:r w:rsidR="00D24E4F" w:rsidRPr="00D24E4F">
              <w:rPr>
                <w:sz w:val="18"/>
              </w:rPr>
              <w:t>−</w:t>
            </w:r>
            <w:r w:rsidRPr="00CD692A">
              <w:rPr>
                <w:sz w:val="18"/>
              </w:rPr>
              <w:t xml:space="preserve"> Nivel de jefe de mensajeros/guardias de seguridad</w:t>
            </w:r>
          </w:p>
        </w:tc>
        <w:tc>
          <w:tcPr>
            <w:tcW w:w="837" w:type="dxa"/>
            <w:shd w:val="clear" w:color="auto" w:fill="auto"/>
            <w:noWrap/>
            <w:vAlign w:val="bottom"/>
            <w:hideMark/>
          </w:tcPr>
          <w:p w14:paraId="77929B5C" w14:textId="4DF1D6B4"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188</w:t>
            </w:r>
          </w:p>
        </w:tc>
        <w:tc>
          <w:tcPr>
            <w:tcW w:w="838" w:type="dxa"/>
            <w:shd w:val="clear" w:color="auto" w:fill="auto"/>
            <w:noWrap/>
            <w:vAlign w:val="bottom"/>
            <w:hideMark/>
          </w:tcPr>
          <w:p w14:paraId="4E5F1062"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64</w:t>
            </w:r>
          </w:p>
        </w:tc>
        <w:tc>
          <w:tcPr>
            <w:tcW w:w="838" w:type="dxa"/>
            <w:shd w:val="clear" w:color="auto" w:fill="auto"/>
            <w:noWrap/>
            <w:vAlign w:val="bottom"/>
            <w:hideMark/>
          </w:tcPr>
          <w:p w14:paraId="30045219" w14:textId="4A2E7110"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245</w:t>
            </w:r>
          </w:p>
        </w:tc>
        <w:tc>
          <w:tcPr>
            <w:tcW w:w="838" w:type="dxa"/>
            <w:shd w:val="clear" w:color="auto" w:fill="auto"/>
            <w:noWrap/>
            <w:vAlign w:val="bottom"/>
            <w:hideMark/>
          </w:tcPr>
          <w:p w14:paraId="30CE6266"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36</w:t>
            </w:r>
          </w:p>
        </w:tc>
        <w:tc>
          <w:tcPr>
            <w:tcW w:w="838" w:type="dxa"/>
            <w:shd w:val="clear" w:color="auto" w:fill="auto"/>
            <w:noWrap/>
            <w:vAlign w:val="bottom"/>
            <w:hideMark/>
          </w:tcPr>
          <w:p w14:paraId="78A1AA4F" w14:textId="08C561AA"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w:t>
            </w:r>
            <w:r>
              <w:rPr>
                <w:sz w:val="18"/>
              </w:rPr>
              <w:t xml:space="preserve"> </w:t>
            </w:r>
            <w:r w:rsidRPr="00CD692A">
              <w:rPr>
                <w:sz w:val="18"/>
              </w:rPr>
              <w:t>433</w:t>
            </w:r>
          </w:p>
        </w:tc>
      </w:tr>
      <w:tr w:rsidR="00CD692A" w:rsidRPr="00CD692A" w14:paraId="4E51EDCC" w14:textId="77777777" w:rsidTr="00CD692A">
        <w:trPr>
          <w:trHeight w:val="240"/>
        </w:trPr>
        <w:tc>
          <w:tcPr>
            <w:tcW w:w="3277" w:type="dxa"/>
            <w:shd w:val="clear" w:color="auto" w:fill="auto"/>
            <w:noWrap/>
            <w:hideMark/>
          </w:tcPr>
          <w:p w14:paraId="08EB58F2" w14:textId="050D681D"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P</w:t>
            </w:r>
            <w:r w:rsidR="00D24E4F">
              <w:rPr>
                <w:sz w:val="18"/>
              </w:rPr>
              <w:t xml:space="preserve"> </w:t>
            </w:r>
            <w:r w:rsidR="00D24E4F" w:rsidRPr="00D24E4F">
              <w:rPr>
                <w:sz w:val="18"/>
              </w:rPr>
              <w:t>−</w:t>
            </w:r>
            <w:r w:rsidRPr="00CD692A">
              <w:rPr>
                <w:sz w:val="18"/>
              </w:rPr>
              <w:t xml:space="preserve"> Nivel de mensajero/guardia de seguridad</w:t>
            </w:r>
          </w:p>
        </w:tc>
        <w:tc>
          <w:tcPr>
            <w:tcW w:w="837" w:type="dxa"/>
            <w:shd w:val="clear" w:color="auto" w:fill="auto"/>
            <w:noWrap/>
            <w:vAlign w:val="bottom"/>
            <w:hideMark/>
          </w:tcPr>
          <w:p w14:paraId="47BFE19A" w14:textId="1D88CDDA"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4</w:t>
            </w:r>
            <w:r>
              <w:rPr>
                <w:sz w:val="18"/>
              </w:rPr>
              <w:t xml:space="preserve"> </w:t>
            </w:r>
            <w:r w:rsidRPr="00CD692A">
              <w:rPr>
                <w:sz w:val="18"/>
              </w:rPr>
              <w:t>528</w:t>
            </w:r>
          </w:p>
        </w:tc>
        <w:tc>
          <w:tcPr>
            <w:tcW w:w="838" w:type="dxa"/>
            <w:shd w:val="clear" w:color="auto" w:fill="auto"/>
            <w:noWrap/>
            <w:vAlign w:val="bottom"/>
            <w:hideMark/>
          </w:tcPr>
          <w:p w14:paraId="273EB8CC"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63</w:t>
            </w:r>
          </w:p>
        </w:tc>
        <w:tc>
          <w:tcPr>
            <w:tcW w:w="838" w:type="dxa"/>
            <w:shd w:val="clear" w:color="auto" w:fill="auto"/>
            <w:noWrap/>
            <w:vAlign w:val="bottom"/>
            <w:hideMark/>
          </w:tcPr>
          <w:p w14:paraId="2C443A82" w14:textId="593AF473"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614</w:t>
            </w:r>
          </w:p>
        </w:tc>
        <w:tc>
          <w:tcPr>
            <w:tcW w:w="838" w:type="dxa"/>
            <w:shd w:val="clear" w:color="auto" w:fill="auto"/>
            <w:noWrap/>
            <w:vAlign w:val="bottom"/>
            <w:hideMark/>
          </w:tcPr>
          <w:p w14:paraId="5085633E"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37</w:t>
            </w:r>
          </w:p>
        </w:tc>
        <w:tc>
          <w:tcPr>
            <w:tcW w:w="838" w:type="dxa"/>
            <w:shd w:val="clear" w:color="auto" w:fill="auto"/>
            <w:noWrap/>
            <w:vAlign w:val="bottom"/>
            <w:hideMark/>
          </w:tcPr>
          <w:p w14:paraId="283D2F72" w14:textId="0DF9AFEF"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7</w:t>
            </w:r>
            <w:r>
              <w:rPr>
                <w:sz w:val="18"/>
              </w:rPr>
              <w:t xml:space="preserve"> </w:t>
            </w:r>
            <w:r w:rsidRPr="00CD692A">
              <w:rPr>
                <w:sz w:val="18"/>
              </w:rPr>
              <w:t>142</w:t>
            </w:r>
          </w:p>
        </w:tc>
      </w:tr>
      <w:tr w:rsidR="00CD692A" w:rsidRPr="00CD692A" w14:paraId="1327E3AE" w14:textId="77777777" w:rsidTr="00CD692A">
        <w:trPr>
          <w:trHeight w:val="240"/>
        </w:trPr>
        <w:tc>
          <w:tcPr>
            <w:tcW w:w="3277" w:type="dxa"/>
            <w:shd w:val="clear" w:color="auto" w:fill="auto"/>
            <w:noWrap/>
            <w:hideMark/>
          </w:tcPr>
          <w:p w14:paraId="381C8C98" w14:textId="2D726EB8"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Q</w:t>
            </w:r>
            <w:r w:rsidR="00D24E4F">
              <w:rPr>
                <w:sz w:val="18"/>
              </w:rPr>
              <w:t xml:space="preserve"> </w:t>
            </w:r>
            <w:r w:rsidR="00D24E4F" w:rsidRPr="00D24E4F">
              <w:rPr>
                <w:sz w:val="18"/>
              </w:rPr>
              <w:t>−</w:t>
            </w:r>
            <w:r w:rsidRPr="00CD692A">
              <w:rPr>
                <w:sz w:val="18"/>
              </w:rPr>
              <w:t xml:space="preserve"> Nivel de cocinero/jardinero</w:t>
            </w:r>
          </w:p>
        </w:tc>
        <w:tc>
          <w:tcPr>
            <w:tcW w:w="837" w:type="dxa"/>
            <w:shd w:val="clear" w:color="auto" w:fill="auto"/>
            <w:noWrap/>
            <w:vAlign w:val="bottom"/>
            <w:hideMark/>
          </w:tcPr>
          <w:p w14:paraId="3A4A62C2"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964</w:t>
            </w:r>
          </w:p>
        </w:tc>
        <w:tc>
          <w:tcPr>
            <w:tcW w:w="838" w:type="dxa"/>
            <w:shd w:val="clear" w:color="auto" w:fill="auto"/>
            <w:noWrap/>
            <w:vAlign w:val="bottom"/>
            <w:hideMark/>
          </w:tcPr>
          <w:p w14:paraId="52BB8783"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82</w:t>
            </w:r>
          </w:p>
        </w:tc>
        <w:tc>
          <w:tcPr>
            <w:tcW w:w="838" w:type="dxa"/>
            <w:shd w:val="clear" w:color="auto" w:fill="auto"/>
            <w:noWrap/>
            <w:vAlign w:val="bottom"/>
            <w:hideMark/>
          </w:tcPr>
          <w:p w14:paraId="7F4AA106"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209</w:t>
            </w:r>
          </w:p>
        </w:tc>
        <w:tc>
          <w:tcPr>
            <w:tcW w:w="838" w:type="dxa"/>
            <w:shd w:val="clear" w:color="auto" w:fill="auto"/>
            <w:noWrap/>
            <w:vAlign w:val="bottom"/>
            <w:hideMark/>
          </w:tcPr>
          <w:p w14:paraId="6D106DB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18</w:t>
            </w:r>
          </w:p>
        </w:tc>
        <w:tc>
          <w:tcPr>
            <w:tcW w:w="838" w:type="dxa"/>
            <w:shd w:val="clear" w:color="auto" w:fill="auto"/>
            <w:noWrap/>
            <w:vAlign w:val="bottom"/>
            <w:hideMark/>
          </w:tcPr>
          <w:p w14:paraId="2A4E2681" w14:textId="12B8522D"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1</w:t>
            </w:r>
            <w:r>
              <w:rPr>
                <w:sz w:val="18"/>
              </w:rPr>
              <w:t xml:space="preserve"> </w:t>
            </w:r>
            <w:r w:rsidRPr="00CD692A">
              <w:rPr>
                <w:sz w:val="18"/>
              </w:rPr>
              <w:t>173</w:t>
            </w:r>
          </w:p>
        </w:tc>
      </w:tr>
      <w:tr w:rsidR="00CD692A" w:rsidRPr="00CD692A" w14:paraId="0960AF3A" w14:textId="77777777" w:rsidTr="00CD692A">
        <w:trPr>
          <w:trHeight w:val="240"/>
        </w:trPr>
        <w:tc>
          <w:tcPr>
            <w:tcW w:w="3277" w:type="dxa"/>
            <w:tcBorders>
              <w:bottom w:val="single" w:sz="4" w:space="0" w:color="auto"/>
            </w:tcBorders>
            <w:shd w:val="clear" w:color="auto" w:fill="auto"/>
            <w:noWrap/>
            <w:hideMark/>
          </w:tcPr>
          <w:p w14:paraId="7C564241" w14:textId="407E960E" w:rsidR="00CD692A" w:rsidRPr="00CD692A" w:rsidRDefault="00CD692A" w:rsidP="00CD692A">
            <w:pPr>
              <w:pStyle w:val="SingleTxtG"/>
              <w:tabs>
                <w:tab w:val="clear" w:pos="1701"/>
                <w:tab w:val="clear" w:pos="2268"/>
                <w:tab w:val="clear" w:pos="2835"/>
              </w:tabs>
              <w:spacing w:before="40" w:after="40" w:line="220" w:lineRule="exact"/>
              <w:ind w:left="0" w:right="0"/>
              <w:jc w:val="left"/>
              <w:rPr>
                <w:bCs/>
                <w:sz w:val="18"/>
              </w:rPr>
            </w:pPr>
            <w:r w:rsidRPr="00CD692A">
              <w:rPr>
                <w:sz w:val="18"/>
              </w:rPr>
              <w:t>R</w:t>
            </w:r>
            <w:r w:rsidR="00D24E4F">
              <w:rPr>
                <w:sz w:val="18"/>
              </w:rPr>
              <w:t xml:space="preserve"> </w:t>
            </w:r>
            <w:r w:rsidR="00D24E4F" w:rsidRPr="00D24E4F">
              <w:rPr>
                <w:sz w:val="18"/>
              </w:rPr>
              <w:t>−</w:t>
            </w:r>
            <w:r w:rsidRPr="00CD692A">
              <w:rPr>
                <w:sz w:val="18"/>
              </w:rPr>
              <w:t xml:space="preserve"> Nivel de personal no cualificado</w:t>
            </w:r>
          </w:p>
        </w:tc>
        <w:tc>
          <w:tcPr>
            <w:tcW w:w="837" w:type="dxa"/>
            <w:tcBorders>
              <w:bottom w:val="single" w:sz="4" w:space="0" w:color="auto"/>
            </w:tcBorders>
            <w:shd w:val="clear" w:color="auto" w:fill="auto"/>
            <w:noWrap/>
            <w:vAlign w:val="bottom"/>
            <w:hideMark/>
          </w:tcPr>
          <w:p w14:paraId="1438B2B9" w14:textId="4D443149"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056</w:t>
            </w:r>
          </w:p>
        </w:tc>
        <w:tc>
          <w:tcPr>
            <w:tcW w:w="838" w:type="dxa"/>
            <w:tcBorders>
              <w:bottom w:val="single" w:sz="4" w:space="0" w:color="auto"/>
            </w:tcBorders>
            <w:shd w:val="clear" w:color="auto" w:fill="auto"/>
            <w:noWrap/>
            <w:vAlign w:val="bottom"/>
            <w:hideMark/>
          </w:tcPr>
          <w:p w14:paraId="5E2D2777"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79</w:t>
            </w:r>
          </w:p>
        </w:tc>
        <w:tc>
          <w:tcPr>
            <w:tcW w:w="838" w:type="dxa"/>
            <w:tcBorders>
              <w:bottom w:val="single" w:sz="4" w:space="0" w:color="auto"/>
            </w:tcBorders>
            <w:shd w:val="clear" w:color="auto" w:fill="auto"/>
            <w:noWrap/>
            <w:vAlign w:val="bottom"/>
            <w:hideMark/>
          </w:tcPr>
          <w:p w14:paraId="054FEC4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532</w:t>
            </w:r>
          </w:p>
        </w:tc>
        <w:tc>
          <w:tcPr>
            <w:tcW w:w="838" w:type="dxa"/>
            <w:tcBorders>
              <w:bottom w:val="single" w:sz="4" w:space="0" w:color="auto"/>
            </w:tcBorders>
            <w:shd w:val="clear" w:color="auto" w:fill="auto"/>
            <w:noWrap/>
            <w:vAlign w:val="bottom"/>
            <w:hideMark/>
          </w:tcPr>
          <w:p w14:paraId="662836C8" w14:textId="77777777"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21</w:t>
            </w:r>
          </w:p>
        </w:tc>
        <w:tc>
          <w:tcPr>
            <w:tcW w:w="838" w:type="dxa"/>
            <w:tcBorders>
              <w:bottom w:val="single" w:sz="4" w:space="0" w:color="auto"/>
            </w:tcBorders>
            <w:shd w:val="clear" w:color="auto" w:fill="auto"/>
            <w:noWrap/>
            <w:vAlign w:val="bottom"/>
            <w:hideMark/>
          </w:tcPr>
          <w:p w14:paraId="2FCA9270" w14:textId="0AFCC6E9" w:rsidR="00CD692A" w:rsidRPr="00CD692A" w:rsidRDefault="00CD692A" w:rsidP="00CD692A">
            <w:pPr>
              <w:pStyle w:val="SingleTxtG"/>
              <w:tabs>
                <w:tab w:val="clear" w:pos="1701"/>
                <w:tab w:val="clear" w:pos="2268"/>
                <w:tab w:val="clear" w:pos="2835"/>
              </w:tabs>
              <w:spacing w:before="40" w:after="40" w:line="220" w:lineRule="exact"/>
              <w:ind w:left="28" w:right="28"/>
              <w:jc w:val="right"/>
              <w:rPr>
                <w:bCs/>
                <w:sz w:val="18"/>
                <w:lang w:val="en-GB"/>
              </w:rPr>
            </w:pPr>
            <w:r w:rsidRPr="00CD692A">
              <w:rPr>
                <w:sz w:val="18"/>
              </w:rPr>
              <w:t>2</w:t>
            </w:r>
            <w:r>
              <w:rPr>
                <w:sz w:val="18"/>
              </w:rPr>
              <w:t xml:space="preserve"> </w:t>
            </w:r>
            <w:r w:rsidRPr="00CD692A">
              <w:rPr>
                <w:sz w:val="18"/>
              </w:rPr>
              <w:t>588</w:t>
            </w:r>
          </w:p>
        </w:tc>
      </w:tr>
      <w:tr w:rsidR="00CD692A" w:rsidRPr="00CD692A" w14:paraId="64D04EB6" w14:textId="77777777" w:rsidTr="00CD692A">
        <w:trPr>
          <w:trHeight w:val="240"/>
        </w:trPr>
        <w:tc>
          <w:tcPr>
            <w:tcW w:w="3277" w:type="dxa"/>
            <w:tcBorders>
              <w:top w:val="single" w:sz="4" w:space="0" w:color="auto"/>
              <w:bottom w:val="single" w:sz="12" w:space="0" w:color="auto"/>
            </w:tcBorders>
            <w:shd w:val="clear" w:color="auto" w:fill="auto"/>
            <w:noWrap/>
            <w:hideMark/>
          </w:tcPr>
          <w:p w14:paraId="5D2F040F" w14:textId="77777777" w:rsidR="00CD692A" w:rsidRPr="00CD692A" w:rsidRDefault="00CD692A" w:rsidP="00CD692A">
            <w:pPr>
              <w:pStyle w:val="SingleTxtG"/>
              <w:tabs>
                <w:tab w:val="clear" w:pos="1701"/>
                <w:tab w:val="clear" w:pos="2268"/>
                <w:tab w:val="clear" w:pos="2835"/>
              </w:tabs>
              <w:spacing w:before="80" w:after="80" w:line="220" w:lineRule="exact"/>
              <w:ind w:left="283" w:right="0"/>
              <w:jc w:val="left"/>
              <w:rPr>
                <w:b/>
                <w:bCs/>
                <w:sz w:val="18"/>
                <w:lang w:val="en-GB"/>
              </w:rPr>
            </w:pPr>
            <w:r w:rsidRPr="00CD692A">
              <w:rPr>
                <w:b/>
                <w:bCs/>
                <w:sz w:val="18"/>
              </w:rPr>
              <w:t>Total</w:t>
            </w:r>
          </w:p>
        </w:tc>
        <w:tc>
          <w:tcPr>
            <w:tcW w:w="837" w:type="dxa"/>
            <w:tcBorders>
              <w:top w:val="single" w:sz="4" w:space="0" w:color="auto"/>
              <w:bottom w:val="single" w:sz="12" w:space="0" w:color="auto"/>
            </w:tcBorders>
            <w:shd w:val="clear" w:color="auto" w:fill="auto"/>
            <w:noWrap/>
            <w:vAlign w:val="bottom"/>
            <w:hideMark/>
          </w:tcPr>
          <w:p w14:paraId="6FBB91EE" w14:textId="0532560B" w:rsidR="00CD692A" w:rsidRPr="00CD692A" w:rsidRDefault="00CD692A" w:rsidP="00CD692A">
            <w:pPr>
              <w:pStyle w:val="SingleTxtG"/>
              <w:tabs>
                <w:tab w:val="clear" w:pos="1701"/>
                <w:tab w:val="clear" w:pos="2268"/>
                <w:tab w:val="clear" w:pos="2835"/>
              </w:tabs>
              <w:spacing w:before="80" w:after="80" w:line="220" w:lineRule="exact"/>
              <w:ind w:left="28" w:right="28"/>
              <w:jc w:val="right"/>
              <w:rPr>
                <w:b/>
                <w:bCs/>
                <w:sz w:val="18"/>
                <w:lang w:val="en-GB"/>
              </w:rPr>
            </w:pPr>
            <w:r w:rsidRPr="00CD692A">
              <w:rPr>
                <w:b/>
                <w:bCs/>
                <w:sz w:val="18"/>
              </w:rPr>
              <w:t>81</w:t>
            </w:r>
            <w:r>
              <w:rPr>
                <w:b/>
                <w:bCs/>
                <w:sz w:val="18"/>
              </w:rPr>
              <w:t xml:space="preserve"> </w:t>
            </w:r>
            <w:r w:rsidRPr="00CD692A">
              <w:rPr>
                <w:b/>
                <w:bCs/>
                <w:sz w:val="18"/>
              </w:rPr>
              <w:t>527</w:t>
            </w:r>
          </w:p>
        </w:tc>
        <w:tc>
          <w:tcPr>
            <w:tcW w:w="838" w:type="dxa"/>
            <w:tcBorders>
              <w:top w:val="single" w:sz="4" w:space="0" w:color="auto"/>
              <w:bottom w:val="single" w:sz="12" w:space="0" w:color="auto"/>
            </w:tcBorders>
            <w:shd w:val="clear" w:color="auto" w:fill="auto"/>
            <w:noWrap/>
            <w:vAlign w:val="bottom"/>
            <w:hideMark/>
          </w:tcPr>
          <w:p w14:paraId="09DA598A" w14:textId="77777777" w:rsidR="00CD692A" w:rsidRPr="00CD692A" w:rsidRDefault="00CD692A" w:rsidP="00CD692A">
            <w:pPr>
              <w:pStyle w:val="SingleTxtG"/>
              <w:tabs>
                <w:tab w:val="clear" w:pos="1701"/>
                <w:tab w:val="clear" w:pos="2268"/>
                <w:tab w:val="clear" w:pos="2835"/>
              </w:tabs>
              <w:spacing w:before="80" w:after="80" w:line="220" w:lineRule="exact"/>
              <w:ind w:left="28" w:right="28"/>
              <w:jc w:val="right"/>
              <w:rPr>
                <w:b/>
                <w:bCs/>
                <w:sz w:val="18"/>
                <w:lang w:val="en-GB"/>
              </w:rPr>
            </w:pPr>
            <w:r w:rsidRPr="00CD692A">
              <w:rPr>
                <w:b/>
                <w:bCs/>
                <w:sz w:val="18"/>
              </w:rPr>
              <w:t>63</w:t>
            </w:r>
          </w:p>
        </w:tc>
        <w:tc>
          <w:tcPr>
            <w:tcW w:w="838" w:type="dxa"/>
            <w:tcBorders>
              <w:top w:val="single" w:sz="4" w:space="0" w:color="auto"/>
              <w:bottom w:val="single" w:sz="12" w:space="0" w:color="auto"/>
            </w:tcBorders>
            <w:shd w:val="clear" w:color="auto" w:fill="auto"/>
            <w:noWrap/>
            <w:vAlign w:val="bottom"/>
            <w:hideMark/>
          </w:tcPr>
          <w:p w14:paraId="18A9C333" w14:textId="7610AB56" w:rsidR="00CD692A" w:rsidRPr="00CD692A" w:rsidRDefault="00CD692A" w:rsidP="00CD692A">
            <w:pPr>
              <w:pStyle w:val="SingleTxtG"/>
              <w:tabs>
                <w:tab w:val="clear" w:pos="1701"/>
                <w:tab w:val="clear" w:pos="2268"/>
                <w:tab w:val="clear" w:pos="2835"/>
              </w:tabs>
              <w:spacing w:before="80" w:after="80" w:line="220" w:lineRule="exact"/>
              <w:ind w:left="28" w:right="28"/>
              <w:jc w:val="right"/>
              <w:rPr>
                <w:b/>
                <w:bCs/>
                <w:sz w:val="18"/>
                <w:lang w:val="en-GB"/>
              </w:rPr>
            </w:pPr>
            <w:r w:rsidRPr="00CD692A">
              <w:rPr>
                <w:b/>
                <w:bCs/>
                <w:sz w:val="18"/>
              </w:rPr>
              <w:t>48</w:t>
            </w:r>
            <w:r>
              <w:rPr>
                <w:b/>
                <w:bCs/>
                <w:sz w:val="18"/>
              </w:rPr>
              <w:t xml:space="preserve"> </w:t>
            </w:r>
            <w:r w:rsidRPr="00CD692A">
              <w:rPr>
                <w:b/>
                <w:bCs/>
                <w:sz w:val="18"/>
              </w:rPr>
              <w:t>348</w:t>
            </w:r>
          </w:p>
        </w:tc>
        <w:tc>
          <w:tcPr>
            <w:tcW w:w="838" w:type="dxa"/>
            <w:tcBorders>
              <w:top w:val="single" w:sz="4" w:space="0" w:color="auto"/>
              <w:bottom w:val="single" w:sz="12" w:space="0" w:color="auto"/>
            </w:tcBorders>
            <w:shd w:val="clear" w:color="auto" w:fill="auto"/>
            <w:noWrap/>
            <w:vAlign w:val="bottom"/>
            <w:hideMark/>
          </w:tcPr>
          <w:p w14:paraId="43B23A9E" w14:textId="77777777" w:rsidR="00CD692A" w:rsidRPr="00CD692A" w:rsidRDefault="00CD692A" w:rsidP="00CD692A">
            <w:pPr>
              <w:pStyle w:val="SingleTxtG"/>
              <w:tabs>
                <w:tab w:val="clear" w:pos="1701"/>
                <w:tab w:val="clear" w:pos="2268"/>
                <w:tab w:val="clear" w:pos="2835"/>
              </w:tabs>
              <w:spacing w:before="80" w:after="80" w:line="220" w:lineRule="exact"/>
              <w:ind w:left="28" w:right="28"/>
              <w:jc w:val="right"/>
              <w:rPr>
                <w:b/>
                <w:bCs/>
                <w:sz w:val="18"/>
                <w:lang w:val="en-GB"/>
              </w:rPr>
            </w:pPr>
            <w:r w:rsidRPr="00CD692A">
              <w:rPr>
                <w:b/>
                <w:bCs/>
                <w:sz w:val="18"/>
              </w:rPr>
              <w:t>37</w:t>
            </w:r>
          </w:p>
        </w:tc>
        <w:tc>
          <w:tcPr>
            <w:tcW w:w="838" w:type="dxa"/>
            <w:tcBorders>
              <w:top w:val="single" w:sz="4" w:space="0" w:color="auto"/>
              <w:bottom w:val="single" w:sz="12" w:space="0" w:color="auto"/>
            </w:tcBorders>
            <w:shd w:val="clear" w:color="auto" w:fill="auto"/>
            <w:noWrap/>
            <w:vAlign w:val="bottom"/>
            <w:hideMark/>
          </w:tcPr>
          <w:p w14:paraId="277F96FE" w14:textId="609B2C06" w:rsidR="00CD692A" w:rsidRPr="00CD692A" w:rsidRDefault="00CD692A" w:rsidP="00CD692A">
            <w:pPr>
              <w:pStyle w:val="SingleTxtG"/>
              <w:tabs>
                <w:tab w:val="clear" w:pos="1701"/>
                <w:tab w:val="clear" w:pos="2268"/>
                <w:tab w:val="clear" w:pos="2835"/>
              </w:tabs>
              <w:spacing w:before="80" w:after="80" w:line="220" w:lineRule="exact"/>
              <w:ind w:left="28" w:right="28"/>
              <w:jc w:val="right"/>
              <w:rPr>
                <w:b/>
                <w:bCs/>
                <w:sz w:val="18"/>
                <w:lang w:val="en-GB"/>
              </w:rPr>
            </w:pPr>
            <w:r w:rsidRPr="00CD692A">
              <w:rPr>
                <w:b/>
                <w:bCs/>
                <w:sz w:val="18"/>
              </w:rPr>
              <w:t>129</w:t>
            </w:r>
            <w:r>
              <w:rPr>
                <w:b/>
                <w:bCs/>
                <w:sz w:val="18"/>
              </w:rPr>
              <w:t xml:space="preserve"> </w:t>
            </w:r>
            <w:r w:rsidRPr="00CD692A">
              <w:rPr>
                <w:b/>
                <w:bCs/>
                <w:sz w:val="18"/>
              </w:rPr>
              <w:t>875</w:t>
            </w:r>
          </w:p>
        </w:tc>
      </w:tr>
    </w:tbl>
    <w:p w14:paraId="26687E0D" w14:textId="77777777" w:rsidR="00CD692A" w:rsidRPr="00CD692A" w:rsidRDefault="00CD692A" w:rsidP="000832C6">
      <w:pPr>
        <w:pStyle w:val="SingleTxtG"/>
        <w:spacing w:before="120" w:after="240"/>
        <w:ind w:firstLine="170"/>
        <w:jc w:val="left"/>
        <w:rPr>
          <w:sz w:val="18"/>
          <w:szCs w:val="18"/>
        </w:rPr>
      </w:pPr>
      <w:bookmarkStart w:id="7" w:name="_Hlk63780340"/>
      <w:r w:rsidRPr="00CD692A">
        <w:rPr>
          <w:i/>
          <w:iCs/>
          <w:sz w:val="18"/>
          <w:szCs w:val="18"/>
        </w:rPr>
        <w:t>Fuente:</w:t>
      </w:r>
      <w:r w:rsidRPr="00CD692A">
        <w:rPr>
          <w:sz w:val="18"/>
          <w:szCs w:val="18"/>
        </w:rPr>
        <w:t xml:space="preserve"> Departamento de Gestión y Desarrollo de Recursos Humanos.</w:t>
      </w:r>
    </w:p>
    <w:p w14:paraId="6D6EB76D" w14:textId="6A4E1939" w:rsidR="00CD692A" w:rsidRPr="00CD692A" w:rsidRDefault="000832C6" w:rsidP="000832C6">
      <w:pPr>
        <w:pStyle w:val="H1G"/>
      </w:pPr>
      <w:r>
        <w:tab/>
      </w:r>
      <w:r>
        <w:tab/>
      </w:r>
      <w:r w:rsidR="00CD692A" w:rsidRPr="00CD692A">
        <w:t>Artículos 4 y 5</w:t>
      </w:r>
      <w:r>
        <w:br/>
      </w:r>
      <w:r w:rsidR="00CD692A" w:rsidRPr="00CD692A">
        <w:t>Suspensión, restricciones o limitaciones de los derechos económicos, sociales y culturales</w:t>
      </w:r>
    </w:p>
    <w:bookmarkEnd w:id="7"/>
    <w:p w14:paraId="4B7FC749" w14:textId="77777777" w:rsidR="00CD692A" w:rsidRPr="00CD692A" w:rsidRDefault="00CD692A" w:rsidP="00CD692A">
      <w:pPr>
        <w:pStyle w:val="SingleTxtG"/>
        <w:rPr>
          <w:b/>
          <w:bCs/>
        </w:rPr>
      </w:pPr>
      <w:r w:rsidRPr="00CD692A">
        <w:t>21.</w:t>
      </w:r>
      <w:r w:rsidRPr="00CD692A">
        <w:tab/>
        <w:t>La Constitución de Malawi establece específicamente los casos en que se pueden restringir, limitar o suspender los derechos y libertades. El artículo 44 permite restringir o limitar los derechos a condición que las restricciones o limitaciones estén prescritas por ley, sean razonables, estén reconocidas por las normas internacionales de derechos humanos y sean necesarias en una sociedad abierta y democrática.</w:t>
      </w:r>
    </w:p>
    <w:p w14:paraId="000D0A93" w14:textId="77777777" w:rsidR="00CD692A" w:rsidRPr="00CD692A" w:rsidRDefault="00CD692A" w:rsidP="00CD692A">
      <w:pPr>
        <w:pStyle w:val="SingleTxtG"/>
        <w:rPr>
          <w:b/>
          <w:bCs/>
        </w:rPr>
      </w:pPr>
      <w:r w:rsidRPr="00CD692A">
        <w:t>22.</w:t>
      </w:r>
      <w:r w:rsidRPr="00CD692A">
        <w:tab/>
        <w:t>El artículo 44, párrafo 2, de la Constitución prohíbe además las restricciones y limitaciones que invalidan el contenido esencial del derecho o la libertad en cuestión.</w:t>
      </w:r>
    </w:p>
    <w:p w14:paraId="0F5B4EB8" w14:textId="77777777" w:rsidR="00CD692A" w:rsidRPr="00CD692A" w:rsidRDefault="00CD692A" w:rsidP="00CD692A">
      <w:pPr>
        <w:pStyle w:val="SingleTxtG"/>
        <w:rPr>
          <w:bCs/>
        </w:rPr>
      </w:pPr>
      <w:r w:rsidRPr="00CD692A">
        <w:t>23.</w:t>
      </w:r>
      <w:r w:rsidRPr="00CD692A">
        <w:tab/>
        <w:t>El artículo 45 de la Constitución establece además que no se puede suspender ningún derecho a menos que se haya declarado el estado de emergencia</w:t>
      </w:r>
      <w:r w:rsidRPr="00BB5EDD">
        <w:rPr>
          <w:sz w:val="18"/>
          <w:szCs w:val="18"/>
          <w:vertAlign w:val="superscript"/>
        </w:rPr>
        <w:footnoteReference w:id="2"/>
      </w:r>
      <w:r w:rsidRPr="00CD692A">
        <w:t>. Este artículo establece asimismo que, incluso en estado de emergencia, no podrán ser objeto de ninguna restricción, entre otros, los derechos a la igualdad y al reconocimiento ante la ley, a la libertad de conciencia, de creencia, de pensamiento y de religión, y a la libertad académica. Dichas excepciones serán permisibles también en un estado de emergencia únicamente si no son incompatibles con las obligaciones contraídas por Malawi en virtud del derecho internacional.</w:t>
      </w:r>
    </w:p>
    <w:p w14:paraId="3CE7ADDB" w14:textId="67462D5B" w:rsidR="00CD692A" w:rsidRPr="00CD692A" w:rsidRDefault="000832C6" w:rsidP="000832C6">
      <w:pPr>
        <w:pStyle w:val="HChG"/>
      </w:pPr>
      <w:r>
        <w:tab/>
      </w:r>
      <w:r>
        <w:tab/>
      </w:r>
      <w:r w:rsidR="00CD692A" w:rsidRPr="00CD692A">
        <w:t>Parte III</w:t>
      </w:r>
    </w:p>
    <w:p w14:paraId="2FAD7E16" w14:textId="0D7BB9F9" w:rsidR="00CD692A" w:rsidRPr="00CD692A" w:rsidRDefault="000832C6" w:rsidP="000832C6">
      <w:pPr>
        <w:pStyle w:val="H1G"/>
      </w:pPr>
      <w:bookmarkStart w:id="8" w:name="_Hlk63780366"/>
      <w:r>
        <w:tab/>
      </w:r>
      <w:r>
        <w:tab/>
      </w:r>
      <w:r w:rsidR="00CD692A" w:rsidRPr="00CD692A">
        <w:t>Artículo 6</w:t>
      </w:r>
      <w:r>
        <w:br/>
      </w:r>
      <w:r w:rsidR="00CD692A" w:rsidRPr="00CD692A">
        <w:t>Derecho a trabajar</w:t>
      </w:r>
    </w:p>
    <w:bookmarkEnd w:id="8"/>
    <w:p w14:paraId="2DCAD342" w14:textId="77777777" w:rsidR="00CD692A" w:rsidRPr="00CD692A" w:rsidRDefault="00CD692A" w:rsidP="00CD692A">
      <w:pPr>
        <w:pStyle w:val="SingleTxtG"/>
        <w:rPr>
          <w:bCs/>
        </w:rPr>
      </w:pPr>
      <w:r w:rsidRPr="00CD692A">
        <w:t>24.</w:t>
      </w:r>
      <w:r w:rsidRPr="00CD692A">
        <w:tab/>
        <w:t>El artículo 29 de la Constitución de Malawi garantiza el derecho al desarrollo. El contenido del derecho al desarrollo incluye el derecho a trabajar libremente para ganarse la vida.</w:t>
      </w:r>
    </w:p>
    <w:p w14:paraId="59174678" w14:textId="77777777" w:rsidR="00CD692A" w:rsidRPr="00CD692A" w:rsidRDefault="00CD692A" w:rsidP="00CD692A">
      <w:pPr>
        <w:pStyle w:val="SingleTxtG"/>
        <w:rPr>
          <w:bCs/>
        </w:rPr>
      </w:pPr>
      <w:r w:rsidRPr="00CD692A">
        <w:lastRenderedPageBreak/>
        <w:t>25.</w:t>
      </w:r>
      <w:r w:rsidRPr="00CD692A">
        <w:tab/>
        <w:t>El Ministerio de Trabajo, en colaboración con la Organización Internacional del Trabajo (OIT), en el marco de la Declaración de la OIT relativa a los principios y derechos fundamentales en el trabajo y su seguimiento, encargó a la Oficina Nacional de Estadística la realización de una encuesta en 2015, cuyos resultados se publicaron en 2017. Esta encuesta reveló que la tasa de ocupación (número de personas que están empleadas como porcentaje del total de la población en edad de trabajar) era del 39,1 % y que la tasa de desempleo era del 28,7 %. La tasa de participación de los jóvenes en la población activa de Malawi era del 46,1 % y la tasa de desempleo juvenil era del 40,5 %</w:t>
      </w:r>
      <w:r w:rsidRPr="00BB5EDD">
        <w:rPr>
          <w:sz w:val="18"/>
          <w:szCs w:val="18"/>
          <w:vertAlign w:val="superscript"/>
        </w:rPr>
        <w:footnoteReference w:id="3"/>
      </w:r>
      <w:r w:rsidRPr="00CD692A">
        <w:t>.</w:t>
      </w:r>
      <w:bookmarkStart w:id="9" w:name="_Hlk41554505"/>
      <w:bookmarkStart w:id="10" w:name="_Hlk41554524"/>
      <w:bookmarkEnd w:id="9"/>
      <w:bookmarkEnd w:id="10"/>
    </w:p>
    <w:p w14:paraId="6CF74BF9" w14:textId="32F445ED" w:rsidR="00CD692A" w:rsidRPr="00CD692A" w:rsidRDefault="00CD692A" w:rsidP="00CD692A">
      <w:pPr>
        <w:pStyle w:val="SingleTxtG"/>
        <w:rPr>
          <w:bCs/>
        </w:rPr>
      </w:pPr>
      <w:r w:rsidRPr="00CD692A">
        <w:t>26.</w:t>
      </w:r>
      <w:r w:rsidRPr="00CD692A">
        <w:tab/>
        <w:t>El Censo de Población y Vivienda de Malawi de 2018 reveló que de la población activa del país (compuesta por todas las personas de 15 a 64 años), el 72 % estaba económicamente activa y el 28 %, económicamente inactiva. Además, de una fuerza laboral de 6.614.065 personas, el 81,5 % estaban empleadas y el 18,5</w:t>
      </w:r>
      <w:r w:rsidR="001F12BD">
        <w:t xml:space="preserve"> </w:t>
      </w:r>
      <w:r w:rsidRPr="00CD692A">
        <w:t>%, desempleadas.</w:t>
      </w:r>
      <w:bookmarkStart w:id="11" w:name="_Hlk41554656"/>
      <w:bookmarkEnd w:id="11"/>
    </w:p>
    <w:p w14:paraId="06ED9991" w14:textId="35A6298A" w:rsidR="00CD692A" w:rsidRPr="00CD692A" w:rsidRDefault="000832C6" w:rsidP="000832C6">
      <w:pPr>
        <w:pStyle w:val="H23G"/>
      </w:pPr>
      <w:r w:rsidRPr="000832C6">
        <w:rPr>
          <w:b w:val="0"/>
          <w:bCs/>
        </w:rPr>
        <w:tab/>
      </w:r>
      <w:r w:rsidRPr="000832C6">
        <w:rPr>
          <w:b w:val="0"/>
          <w:bCs/>
        </w:rPr>
        <w:tab/>
      </w:r>
      <w:r w:rsidR="00CD692A" w:rsidRPr="000832C6">
        <w:rPr>
          <w:b w:val="0"/>
          <w:bCs/>
        </w:rPr>
        <w:t>Cuadro 3</w:t>
      </w:r>
      <w:r w:rsidRPr="000832C6">
        <w:rPr>
          <w:b w:val="0"/>
          <w:bCs/>
        </w:rPr>
        <w:br/>
      </w:r>
      <w:r w:rsidR="00CD692A" w:rsidRPr="00CD692A">
        <w:t>Población en edad de trabajar por sexo, 2018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1"/>
        <w:gridCol w:w="1841"/>
        <w:gridCol w:w="1784"/>
        <w:gridCol w:w="1784"/>
      </w:tblGrid>
      <w:tr w:rsidR="000832C6" w:rsidRPr="000832C6" w14:paraId="0382F7C0" w14:textId="77777777" w:rsidTr="000832C6">
        <w:trPr>
          <w:trHeight w:val="240"/>
          <w:tblHeader/>
        </w:trPr>
        <w:tc>
          <w:tcPr>
            <w:tcW w:w="1961" w:type="dxa"/>
            <w:tcBorders>
              <w:top w:val="single" w:sz="4" w:space="0" w:color="auto"/>
              <w:bottom w:val="single" w:sz="12" w:space="0" w:color="auto"/>
            </w:tcBorders>
            <w:shd w:val="clear" w:color="auto" w:fill="auto"/>
            <w:vAlign w:val="bottom"/>
          </w:tcPr>
          <w:p w14:paraId="6428FBE2" w14:textId="77777777" w:rsidR="00CD692A" w:rsidRPr="00CD692A" w:rsidRDefault="00CD692A" w:rsidP="000832C6">
            <w:pPr>
              <w:pStyle w:val="SingleTxtG"/>
              <w:tabs>
                <w:tab w:val="clear" w:pos="1701"/>
                <w:tab w:val="clear" w:pos="2268"/>
                <w:tab w:val="clear" w:pos="2835"/>
              </w:tabs>
              <w:spacing w:before="80" w:after="80" w:line="200" w:lineRule="exact"/>
              <w:ind w:left="0" w:right="0"/>
              <w:jc w:val="left"/>
              <w:rPr>
                <w:bCs/>
                <w:i/>
                <w:sz w:val="16"/>
                <w:lang w:val="en-GB"/>
              </w:rPr>
            </w:pPr>
            <w:r w:rsidRPr="00CD692A">
              <w:rPr>
                <w:i/>
                <w:iCs/>
                <w:sz w:val="16"/>
              </w:rPr>
              <w:t>Población</w:t>
            </w:r>
          </w:p>
        </w:tc>
        <w:tc>
          <w:tcPr>
            <w:tcW w:w="1841" w:type="dxa"/>
            <w:tcBorders>
              <w:top w:val="single" w:sz="4" w:space="0" w:color="auto"/>
              <w:bottom w:val="single" w:sz="12" w:space="0" w:color="auto"/>
            </w:tcBorders>
            <w:shd w:val="clear" w:color="auto" w:fill="auto"/>
            <w:vAlign w:val="bottom"/>
          </w:tcPr>
          <w:p w14:paraId="1353ED63" w14:textId="77777777" w:rsidR="00CD692A" w:rsidRPr="00CD692A" w:rsidRDefault="00CD692A" w:rsidP="00D766F9">
            <w:pPr>
              <w:pStyle w:val="SingleTxtG"/>
              <w:tabs>
                <w:tab w:val="clear" w:pos="1701"/>
                <w:tab w:val="clear" w:pos="2268"/>
                <w:tab w:val="clear" w:pos="2835"/>
              </w:tabs>
              <w:spacing w:before="80" w:after="80" w:line="200" w:lineRule="exact"/>
              <w:ind w:left="113" w:right="28"/>
              <w:jc w:val="right"/>
              <w:rPr>
                <w:bCs/>
                <w:i/>
                <w:sz w:val="16"/>
                <w:lang w:val="en-GB"/>
              </w:rPr>
            </w:pPr>
            <w:r w:rsidRPr="00CD692A">
              <w:rPr>
                <w:i/>
                <w:iCs/>
                <w:sz w:val="16"/>
              </w:rPr>
              <w:t>Total</w:t>
            </w:r>
          </w:p>
        </w:tc>
        <w:tc>
          <w:tcPr>
            <w:tcW w:w="1784" w:type="dxa"/>
            <w:tcBorders>
              <w:top w:val="single" w:sz="4" w:space="0" w:color="auto"/>
              <w:bottom w:val="single" w:sz="12" w:space="0" w:color="auto"/>
            </w:tcBorders>
            <w:shd w:val="clear" w:color="auto" w:fill="auto"/>
            <w:vAlign w:val="bottom"/>
          </w:tcPr>
          <w:p w14:paraId="15C6B21A" w14:textId="77777777" w:rsidR="00CD692A" w:rsidRPr="00CD692A" w:rsidRDefault="00CD692A" w:rsidP="00D766F9">
            <w:pPr>
              <w:pStyle w:val="SingleTxtG"/>
              <w:tabs>
                <w:tab w:val="clear" w:pos="1701"/>
                <w:tab w:val="clear" w:pos="2268"/>
                <w:tab w:val="clear" w:pos="2835"/>
              </w:tabs>
              <w:spacing w:before="80" w:after="80" w:line="200" w:lineRule="exact"/>
              <w:ind w:left="113" w:right="28"/>
              <w:jc w:val="right"/>
              <w:rPr>
                <w:bCs/>
                <w:i/>
                <w:sz w:val="16"/>
                <w:lang w:val="en-GB"/>
              </w:rPr>
            </w:pPr>
            <w:r w:rsidRPr="00CD692A">
              <w:rPr>
                <w:i/>
                <w:iCs/>
                <w:sz w:val="16"/>
              </w:rPr>
              <w:t>Hombres</w:t>
            </w:r>
          </w:p>
        </w:tc>
        <w:tc>
          <w:tcPr>
            <w:tcW w:w="1784" w:type="dxa"/>
            <w:tcBorders>
              <w:top w:val="single" w:sz="4" w:space="0" w:color="auto"/>
              <w:bottom w:val="single" w:sz="12" w:space="0" w:color="auto"/>
            </w:tcBorders>
            <w:shd w:val="clear" w:color="auto" w:fill="auto"/>
            <w:vAlign w:val="bottom"/>
          </w:tcPr>
          <w:p w14:paraId="02AB5FB3" w14:textId="77777777" w:rsidR="00CD692A" w:rsidRPr="00CD692A" w:rsidRDefault="00CD692A" w:rsidP="00D766F9">
            <w:pPr>
              <w:pStyle w:val="SingleTxtG"/>
              <w:tabs>
                <w:tab w:val="clear" w:pos="1701"/>
                <w:tab w:val="clear" w:pos="2268"/>
                <w:tab w:val="clear" w:pos="2835"/>
              </w:tabs>
              <w:spacing w:before="80" w:after="80" w:line="200" w:lineRule="exact"/>
              <w:ind w:left="113" w:right="28"/>
              <w:jc w:val="right"/>
              <w:rPr>
                <w:bCs/>
                <w:i/>
                <w:sz w:val="16"/>
                <w:lang w:val="en-GB"/>
              </w:rPr>
            </w:pPr>
            <w:r w:rsidRPr="00CD692A">
              <w:rPr>
                <w:i/>
                <w:iCs/>
                <w:sz w:val="16"/>
              </w:rPr>
              <w:t>Mujeres</w:t>
            </w:r>
          </w:p>
        </w:tc>
      </w:tr>
      <w:tr w:rsidR="000832C6" w:rsidRPr="00CD692A" w14:paraId="68AC53A7" w14:textId="77777777" w:rsidTr="000832C6">
        <w:trPr>
          <w:trHeight w:val="240"/>
        </w:trPr>
        <w:tc>
          <w:tcPr>
            <w:tcW w:w="1961" w:type="dxa"/>
            <w:shd w:val="clear" w:color="auto" w:fill="auto"/>
          </w:tcPr>
          <w:p w14:paraId="65F86E85"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p>
        </w:tc>
        <w:tc>
          <w:tcPr>
            <w:tcW w:w="1841" w:type="dxa"/>
            <w:shd w:val="clear" w:color="auto" w:fill="auto"/>
            <w:vAlign w:val="bottom"/>
          </w:tcPr>
          <w:p w14:paraId="06B4D05E" w14:textId="6204DDFA"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17</w:t>
            </w:r>
            <w:r w:rsidR="00D766F9">
              <w:rPr>
                <w:sz w:val="18"/>
              </w:rPr>
              <w:t xml:space="preserve"> </w:t>
            </w:r>
            <w:r w:rsidRPr="00CD692A">
              <w:rPr>
                <w:sz w:val="18"/>
              </w:rPr>
              <w:t>563</w:t>
            </w:r>
            <w:r w:rsidR="00D766F9">
              <w:rPr>
                <w:sz w:val="18"/>
              </w:rPr>
              <w:t xml:space="preserve"> </w:t>
            </w:r>
            <w:r w:rsidRPr="00CD692A">
              <w:rPr>
                <w:sz w:val="18"/>
              </w:rPr>
              <w:t>749</w:t>
            </w:r>
          </w:p>
        </w:tc>
        <w:tc>
          <w:tcPr>
            <w:tcW w:w="1784" w:type="dxa"/>
            <w:shd w:val="clear" w:color="auto" w:fill="auto"/>
            <w:vAlign w:val="bottom"/>
          </w:tcPr>
          <w:p w14:paraId="61AA56C6" w14:textId="6E7FF6BD"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8</w:t>
            </w:r>
            <w:r w:rsidR="00D766F9">
              <w:rPr>
                <w:sz w:val="18"/>
              </w:rPr>
              <w:t xml:space="preserve"> </w:t>
            </w:r>
            <w:r w:rsidRPr="00CD692A">
              <w:rPr>
                <w:sz w:val="18"/>
              </w:rPr>
              <w:t>521</w:t>
            </w:r>
            <w:r w:rsidR="00D766F9">
              <w:rPr>
                <w:sz w:val="18"/>
              </w:rPr>
              <w:t xml:space="preserve"> </w:t>
            </w:r>
            <w:r w:rsidRPr="00CD692A">
              <w:rPr>
                <w:sz w:val="18"/>
              </w:rPr>
              <w:t>460</w:t>
            </w:r>
          </w:p>
        </w:tc>
        <w:tc>
          <w:tcPr>
            <w:tcW w:w="1784" w:type="dxa"/>
            <w:shd w:val="clear" w:color="auto" w:fill="auto"/>
            <w:vAlign w:val="bottom"/>
          </w:tcPr>
          <w:p w14:paraId="5ECFE5B6" w14:textId="787D1797"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9</w:t>
            </w:r>
            <w:r w:rsidR="00D766F9">
              <w:rPr>
                <w:sz w:val="18"/>
              </w:rPr>
              <w:t xml:space="preserve"> </w:t>
            </w:r>
            <w:r w:rsidRPr="00CD692A">
              <w:rPr>
                <w:sz w:val="18"/>
              </w:rPr>
              <w:t>042</w:t>
            </w:r>
            <w:r w:rsidR="00D766F9">
              <w:rPr>
                <w:sz w:val="18"/>
              </w:rPr>
              <w:t xml:space="preserve"> </w:t>
            </w:r>
            <w:r w:rsidRPr="00CD692A">
              <w:rPr>
                <w:sz w:val="18"/>
              </w:rPr>
              <w:t>289</w:t>
            </w:r>
          </w:p>
        </w:tc>
      </w:tr>
      <w:tr w:rsidR="000832C6" w:rsidRPr="00CD692A" w14:paraId="3A3E3C74" w14:textId="77777777" w:rsidTr="000832C6">
        <w:trPr>
          <w:trHeight w:val="240"/>
        </w:trPr>
        <w:tc>
          <w:tcPr>
            <w:tcW w:w="1961" w:type="dxa"/>
            <w:shd w:val="clear" w:color="auto" w:fill="auto"/>
          </w:tcPr>
          <w:p w14:paraId="36121405"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rPr>
            </w:pPr>
            <w:r w:rsidRPr="00CD692A">
              <w:rPr>
                <w:sz w:val="18"/>
              </w:rPr>
              <w:t xml:space="preserve">En edad de trabajar </w:t>
            </w:r>
          </w:p>
        </w:tc>
        <w:tc>
          <w:tcPr>
            <w:tcW w:w="1841" w:type="dxa"/>
            <w:shd w:val="clear" w:color="auto" w:fill="auto"/>
            <w:vAlign w:val="bottom"/>
          </w:tcPr>
          <w:p w14:paraId="6E96E24C" w14:textId="2BAB1C7D"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9</w:t>
            </w:r>
            <w:r w:rsidR="00D766F9">
              <w:rPr>
                <w:sz w:val="18"/>
              </w:rPr>
              <w:t xml:space="preserve"> </w:t>
            </w:r>
            <w:r w:rsidRPr="00CD692A">
              <w:rPr>
                <w:sz w:val="18"/>
              </w:rPr>
              <w:t>188</w:t>
            </w:r>
            <w:r w:rsidR="00D766F9">
              <w:rPr>
                <w:sz w:val="18"/>
              </w:rPr>
              <w:t xml:space="preserve"> </w:t>
            </w:r>
            <w:r w:rsidRPr="00CD692A">
              <w:rPr>
                <w:sz w:val="18"/>
              </w:rPr>
              <w:t>275</w:t>
            </w:r>
          </w:p>
        </w:tc>
        <w:tc>
          <w:tcPr>
            <w:tcW w:w="1784" w:type="dxa"/>
            <w:shd w:val="clear" w:color="auto" w:fill="auto"/>
            <w:vAlign w:val="bottom"/>
          </w:tcPr>
          <w:p w14:paraId="2D747FB0" w14:textId="27D3F4CD"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4</w:t>
            </w:r>
            <w:r w:rsidR="00D766F9">
              <w:rPr>
                <w:sz w:val="18"/>
              </w:rPr>
              <w:t xml:space="preserve"> </w:t>
            </w:r>
            <w:r w:rsidRPr="00CD692A">
              <w:rPr>
                <w:sz w:val="18"/>
              </w:rPr>
              <w:t>431</w:t>
            </w:r>
            <w:r w:rsidR="00D766F9">
              <w:rPr>
                <w:sz w:val="18"/>
              </w:rPr>
              <w:t xml:space="preserve"> </w:t>
            </w:r>
            <w:r w:rsidRPr="00CD692A">
              <w:rPr>
                <w:sz w:val="18"/>
              </w:rPr>
              <w:t>102</w:t>
            </w:r>
          </w:p>
        </w:tc>
        <w:tc>
          <w:tcPr>
            <w:tcW w:w="1784" w:type="dxa"/>
            <w:shd w:val="clear" w:color="auto" w:fill="auto"/>
            <w:vAlign w:val="bottom"/>
          </w:tcPr>
          <w:p w14:paraId="69534300" w14:textId="598E18E0"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4</w:t>
            </w:r>
            <w:r w:rsidR="00D766F9">
              <w:rPr>
                <w:sz w:val="18"/>
              </w:rPr>
              <w:t xml:space="preserve"> </w:t>
            </w:r>
            <w:r w:rsidRPr="00CD692A">
              <w:rPr>
                <w:sz w:val="18"/>
              </w:rPr>
              <w:t>757</w:t>
            </w:r>
            <w:r w:rsidR="00D766F9">
              <w:rPr>
                <w:sz w:val="18"/>
              </w:rPr>
              <w:t xml:space="preserve"> </w:t>
            </w:r>
            <w:r w:rsidRPr="00CD692A">
              <w:rPr>
                <w:sz w:val="18"/>
              </w:rPr>
              <w:t>173</w:t>
            </w:r>
          </w:p>
        </w:tc>
      </w:tr>
      <w:tr w:rsidR="000832C6" w:rsidRPr="00CD692A" w14:paraId="15915EC3" w14:textId="77777777" w:rsidTr="000832C6">
        <w:trPr>
          <w:trHeight w:val="240"/>
        </w:trPr>
        <w:tc>
          <w:tcPr>
            <w:tcW w:w="1961" w:type="dxa"/>
            <w:shd w:val="clear" w:color="auto" w:fill="auto"/>
          </w:tcPr>
          <w:p w14:paraId="00A205BC"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Económicamente activa</w:t>
            </w:r>
          </w:p>
        </w:tc>
        <w:tc>
          <w:tcPr>
            <w:tcW w:w="1841" w:type="dxa"/>
            <w:shd w:val="clear" w:color="auto" w:fill="auto"/>
            <w:vAlign w:val="bottom"/>
          </w:tcPr>
          <w:p w14:paraId="62C2BDBC" w14:textId="7DA6CD09"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6</w:t>
            </w:r>
            <w:r w:rsidR="00D766F9">
              <w:rPr>
                <w:sz w:val="18"/>
              </w:rPr>
              <w:t xml:space="preserve"> </w:t>
            </w:r>
            <w:r w:rsidRPr="00CD692A">
              <w:rPr>
                <w:sz w:val="18"/>
              </w:rPr>
              <w:t>614</w:t>
            </w:r>
            <w:r w:rsidR="00D766F9">
              <w:rPr>
                <w:sz w:val="18"/>
              </w:rPr>
              <w:t xml:space="preserve"> </w:t>
            </w:r>
            <w:r w:rsidRPr="00CD692A">
              <w:rPr>
                <w:sz w:val="18"/>
              </w:rPr>
              <w:t>065</w:t>
            </w:r>
          </w:p>
        </w:tc>
        <w:tc>
          <w:tcPr>
            <w:tcW w:w="1784" w:type="dxa"/>
            <w:shd w:val="clear" w:color="auto" w:fill="auto"/>
            <w:vAlign w:val="bottom"/>
          </w:tcPr>
          <w:p w14:paraId="63F5B73A" w14:textId="1B9E965A"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3</w:t>
            </w:r>
            <w:r w:rsidR="00D766F9">
              <w:rPr>
                <w:sz w:val="18"/>
              </w:rPr>
              <w:t xml:space="preserve"> </w:t>
            </w:r>
            <w:r w:rsidRPr="00CD692A">
              <w:rPr>
                <w:sz w:val="18"/>
              </w:rPr>
              <w:t>242</w:t>
            </w:r>
            <w:r w:rsidR="00D766F9">
              <w:rPr>
                <w:sz w:val="18"/>
              </w:rPr>
              <w:t xml:space="preserve"> </w:t>
            </w:r>
            <w:r w:rsidRPr="00CD692A">
              <w:rPr>
                <w:sz w:val="18"/>
              </w:rPr>
              <w:t>280</w:t>
            </w:r>
          </w:p>
        </w:tc>
        <w:tc>
          <w:tcPr>
            <w:tcW w:w="1784" w:type="dxa"/>
            <w:shd w:val="clear" w:color="auto" w:fill="auto"/>
            <w:vAlign w:val="bottom"/>
          </w:tcPr>
          <w:p w14:paraId="648320E2" w14:textId="278D689E"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3</w:t>
            </w:r>
            <w:r w:rsidR="00D766F9">
              <w:rPr>
                <w:sz w:val="18"/>
              </w:rPr>
              <w:t xml:space="preserve"> </w:t>
            </w:r>
            <w:r w:rsidRPr="00CD692A">
              <w:rPr>
                <w:sz w:val="18"/>
              </w:rPr>
              <w:t>371</w:t>
            </w:r>
            <w:r w:rsidR="00D766F9">
              <w:rPr>
                <w:sz w:val="18"/>
              </w:rPr>
              <w:t xml:space="preserve"> </w:t>
            </w:r>
            <w:r w:rsidRPr="00CD692A">
              <w:rPr>
                <w:sz w:val="18"/>
              </w:rPr>
              <w:t>785</w:t>
            </w:r>
          </w:p>
        </w:tc>
      </w:tr>
      <w:tr w:rsidR="000832C6" w:rsidRPr="00CD692A" w14:paraId="44A7239B" w14:textId="77777777" w:rsidTr="000832C6">
        <w:trPr>
          <w:trHeight w:val="240"/>
        </w:trPr>
        <w:tc>
          <w:tcPr>
            <w:tcW w:w="1961" w:type="dxa"/>
            <w:shd w:val="clear" w:color="auto" w:fill="auto"/>
          </w:tcPr>
          <w:p w14:paraId="04ED1E75"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Económicamente inactiva</w:t>
            </w:r>
          </w:p>
        </w:tc>
        <w:tc>
          <w:tcPr>
            <w:tcW w:w="1841" w:type="dxa"/>
            <w:shd w:val="clear" w:color="auto" w:fill="auto"/>
            <w:vAlign w:val="bottom"/>
          </w:tcPr>
          <w:p w14:paraId="17B62A26" w14:textId="106FC27D"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2</w:t>
            </w:r>
            <w:r w:rsidR="00D766F9">
              <w:rPr>
                <w:sz w:val="18"/>
              </w:rPr>
              <w:t xml:space="preserve"> </w:t>
            </w:r>
            <w:r w:rsidRPr="00CD692A">
              <w:rPr>
                <w:sz w:val="18"/>
              </w:rPr>
              <w:t>574</w:t>
            </w:r>
            <w:r w:rsidR="00D766F9">
              <w:rPr>
                <w:sz w:val="18"/>
              </w:rPr>
              <w:t xml:space="preserve"> </w:t>
            </w:r>
            <w:r w:rsidRPr="00CD692A">
              <w:rPr>
                <w:sz w:val="18"/>
              </w:rPr>
              <w:t>210</w:t>
            </w:r>
          </w:p>
        </w:tc>
        <w:tc>
          <w:tcPr>
            <w:tcW w:w="1784" w:type="dxa"/>
            <w:shd w:val="clear" w:color="auto" w:fill="auto"/>
            <w:vAlign w:val="bottom"/>
          </w:tcPr>
          <w:p w14:paraId="427BBDC2" w14:textId="416FC2DB"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1</w:t>
            </w:r>
            <w:r w:rsidR="00D766F9">
              <w:rPr>
                <w:sz w:val="18"/>
              </w:rPr>
              <w:t xml:space="preserve"> </w:t>
            </w:r>
            <w:r w:rsidRPr="00CD692A">
              <w:rPr>
                <w:sz w:val="18"/>
              </w:rPr>
              <w:t>188</w:t>
            </w:r>
            <w:r w:rsidR="00D766F9">
              <w:rPr>
                <w:sz w:val="18"/>
              </w:rPr>
              <w:t xml:space="preserve"> </w:t>
            </w:r>
            <w:r w:rsidRPr="00CD692A">
              <w:rPr>
                <w:sz w:val="18"/>
              </w:rPr>
              <w:t>822</w:t>
            </w:r>
          </w:p>
        </w:tc>
        <w:tc>
          <w:tcPr>
            <w:tcW w:w="1784" w:type="dxa"/>
            <w:shd w:val="clear" w:color="auto" w:fill="auto"/>
            <w:vAlign w:val="bottom"/>
          </w:tcPr>
          <w:p w14:paraId="202BA008" w14:textId="183D4CE6"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1</w:t>
            </w:r>
            <w:r w:rsidR="00D766F9">
              <w:rPr>
                <w:sz w:val="18"/>
              </w:rPr>
              <w:t xml:space="preserve"> </w:t>
            </w:r>
            <w:r w:rsidRPr="00CD692A">
              <w:rPr>
                <w:sz w:val="18"/>
              </w:rPr>
              <w:t>385</w:t>
            </w:r>
            <w:r w:rsidR="00D766F9">
              <w:rPr>
                <w:sz w:val="18"/>
              </w:rPr>
              <w:t xml:space="preserve"> </w:t>
            </w:r>
            <w:r w:rsidRPr="00CD692A">
              <w:rPr>
                <w:sz w:val="18"/>
              </w:rPr>
              <w:t>388</w:t>
            </w:r>
          </w:p>
        </w:tc>
      </w:tr>
      <w:tr w:rsidR="000832C6" w:rsidRPr="00BB6658" w14:paraId="39123B2E" w14:textId="77777777" w:rsidTr="000832C6">
        <w:trPr>
          <w:trHeight w:val="240"/>
        </w:trPr>
        <w:tc>
          <w:tcPr>
            <w:tcW w:w="7370" w:type="dxa"/>
            <w:gridSpan w:val="4"/>
            <w:shd w:val="clear" w:color="auto" w:fill="auto"/>
          </w:tcPr>
          <w:p w14:paraId="5B0DBCD6" w14:textId="77777777" w:rsidR="00CD692A" w:rsidRPr="00BB6658" w:rsidRDefault="00CD692A" w:rsidP="00BB6658">
            <w:pPr>
              <w:pStyle w:val="SingleTxtG"/>
              <w:tabs>
                <w:tab w:val="clear" w:pos="1701"/>
                <w:tab w:val="clear" w:pos="2268"/>
                <w:tab w:val="clear" w:pos="2835"/>
              </w:tabs>
              <w:spacing w:before="80" w:after="80" w:line="200" w:lineRule="exact"/>
              <w:ind w:left="0" w:right="0"/>
              <w:jc w:val="left"/>
              <w:rPr>
                <w:i/>
                <w:iCs/>
                <w:sz w:val="16"/>
              </w:rPr>
            </w:pPr>
            <w:r w:rsidRPr="00BB6658">
              <w:rPr>
                <w:i/>
                <w:iCs/>
                <w:sz w:val="16"/>
              </w:rPr>
              <w:t>Ocupación y desempleo</w:t>
            </w:r>
          </w:p>
        </w:tc>
      </w:tr>
      <w:tr w:rsidR="000832C6" w:rsidRPr="00CD692A" w14:paraId="437D6175" w14:textId="77777777" w:rsidTr="000832C6">
        <w:trPr>
          <w:trHeight w:val="240"/>
        </w:trPr>
        <w:tc>
          <w:tcPr>
            <w:tcW w:w="1961" w:type="dxa"/>
            <w:shd w:val="clear" w:color="auto" w:fill="auto"/>
          </w:tcPr>
          <w:p w14:paraId="0B751A99"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Fuerza laboral</w:t>
            </w:r>
          </w:p>
        </w:tc>
        <w:tc>
          <w:tcPr>
            <w:tcW w:w="1841" w:type="dxa"/>
            <w:shd w:val="clear" w:color="auto" w:fill="auto"/>
            <w:vAlign w:val="bottom"/>
          </w:tcPr>
          <w:p w14:paraId="268A0C9E" w14:textId="47659972"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6</w:t>
            </w:r>
            <w:r w:rsidR="00D766F9">
              <w:rPr>
                <w:sz w:val="18"/>
              </w:rPr>
              <w:t xml:space="preserve"> </w:t>
            </w:r>
            <w:r w:rsidRPr="00CD692A">
              <w:rPr>
                <w:sz w:val="18"/>
              </w:rPr>
              <w:t>614</w:t>
            </w:r>
            <w:r w:rsidR="00D766F9">
              <w:rPr>
                <w:sz w:val="18"/>
              </w:rPr>
              <w:t xml:space="preserve"> </w:t>
            </w:r>
            <w:r w:rsidRPr="00CD692A">
              <w:rPr>
                <w:sz w:val="18"/>
              </w:rPr>
              <w:t>065</w:t>
            </w:r>
          </w:p>
        </w:tc>
        <w:tc>
          <w:tcPr>
            <w:tcW w:w="1784" w:type="dxa"/>
            <w:shd w:val="clear" w:color="auto" w:fill="auto"/>
            <w:vAlign w:val="bottom"/>
          </w:tcPr>
          <w:p w14:paraId="1912C33F" w14:textId="5F6C21CF"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3</w:t>
            </w:r>
            <w:r w:rsidR="00D766F9">
              <w:rPr>
                <w:sz w:val="18"/>
              </w:rPr>
              <w:t xml:space="preserve"> </w:t>
            </w:r>
            <w:r w:rsidRPr="00CD692A">
              <w:rPr>
                <w:sz w:val="18"/>
              </w:rPr>
              <w:t>242</w:t>
            </w:r>
            <w:r w:rsidR="00D766F9">
              <w:rPr>
                <w:sz w:val="18"/>
              </w:rPr>
              <w:t xml:space="preserve"> </w:t>
            </w:r>
            <w:r w:rsidRPr="00CD692A">
              <w:rPr>
                <w:sz w:val="18"/>
              </w:rPr>
              <w:t>280</w:t>
            </w:r>
          </w:p>
        </w:tc>
        <w:tc>
          <w:tcPr>
            <w:tcW w:w="1784" w:type="dxa"/>
            <w:shd w:val="clear" w:color="auto" w:fill="auto"/>
            <w:vAlign w:val="bottom"/>
          </w:tcPr>
          <w:p w14:paraId="7FD9040D" w14:textId="3B3F2B48"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3</w:t>
            </w:r>
            <w:r w:rsidR="00D766F9">
              <w:rPr>
                <w:sz w:val="18"/>
              </w:rPr>
              <w:t xml:space="preserve"> </w:t>
            </w:r>
            <w:r w:rsidRPr="00CD692A">
              <w:rPr>
                <w:sz w:val="18"/>
              </w:rPr>
              <w:t>371</w:t>
            </w:r>
            <w:r w:rsidR="00D766F9">
              <w:rPr>
                <w:sz w:val="18"/>
              </w:rPr>
              <w:t xml:space="preserve"> </w:t>
            </w:r>
            <w:r w:rsidRPr="00CD692A">
              <w:rPr>
                <w:sz w:val="18"/>
              </w:rPr>
              <w:t>785</w:t>
            </w:r>
          </w:p>
        </w:tc>
      </w:tr>
      <w:tr w:rsidR="000832C6" w:rsidRPr="00CD692A" w14:paraId="7A38E4FB" w14:textId="77777777" w:rsidTr="000832C6">
        <w:trPr>
          <w:trHeight w:val="240"/>
        </w:trPr>
        <w:tc>
          <w:tcPr>
            <w:tcW w:w="1961" w:type="dxa"/>
            <w:shd w:val="clear" w:color="auto" w:fill="auto"/>
          </w:tcPr>
          <w:p w14:paraId="3C108D5C"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 xml:space="preserve">Ocupada </w:t>
            </w:r>
          </w:p>
        </w:tc>
        <w:tc>
          <w:tcPr>
            <w:tcW w:w="1841" w:type="dxa"/>
            <w:shd w:val="clear" w:color="auto" w:fill="auto"/>
            <w:vAlign w:val="bottom"/>
          </w:tcPr>
          <w:p w14:paraId="620BE3AD" w14:textId="44ED9145"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5</w:t>
            </w:r>
            <w:r w:rsidR="00D766F9">
              <w:rPr>
                <w:sz w:val="18"/>
              </w:rPr>
              <w:t xml:space="preserve"> </w:t>
            </w:r>
            <w:r w:rsidRPr="00CD692A">
              <w:rPr>
                <w:sz w:val="18"/>
              </w:rPr>
              <w:t>389</w:t>
            </w:r>
            <w:r w:rsidR="00D766F9">
              <w:rPr>
                <w:sz w:val="18"/>
              </w:rPr>
              <w:t xml:space="preserve"> </w:t>
            </w:r>
            <w:r w:rsidRPr="00CD692A">
              <w:rPr>
                <w:sz w:val="18"/>
              </w:rPr>
              <w:t>463</w:t>
            </w:r>
          </w:p>
        </w:tc>
        <w:tc>
          <w:tcPr>
            <w:tcW w:w="1784" w:type="dxa"/>
            <w:shd w:val="clear" w:color="auto" w:fill="auto"/>
            <w:vAlign w:val="bottom"/>
          </w:tcPr>
          <w:p w14:paraId="7D2A5B34" w14:textId="2CC40384"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2</w:t>
            </w:r>
            <w:r w:rsidR="00D766F9">
              <w:rPr>
                <w:sz w:val="18"/>
              </w:rPr>
              <w:t xml:space="preserve"> </w:t>
            </w:r>
            <w:r w:rsidRPr="00CD692A">
              <w:rPr>
                <w:sz w:val="18"/>
              </w:rPr>
              <w:t>702</w:t>
            </w:r>
            <w:r w:rsidR="00D766F9">
              <w:rPr>
                <w:sz w:val="18"/>
              </w:rPr>
              <w:t xml:space="preserve"> </w:t>
            </w:r>
            <w:r w:rsidRPr="00CD692A">
              <w:rPr>
                <w:sz w:val="18"/>
              </w:rPr>
              <w:t>506</w:t>
            </w:r>
          </w:p>
        </w:tc>
        <w:tc>
          <w:tcPr>
            <w:tcW w:w="1784" w:type="dxa"/>
            <w:shd w:val="clear" w:color="auto" w:fill="auto"/>
            <w:vAlign w:val="bottom"/>
          </w:tcPr>
          <w:p w14:paraId="5CF9E7A7" w14:textId="5B2035B8"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2</w:t>
            </w:r>
            <w:r w:rsidR="00D766F9">
              <w:rPr>
                <w:sz w:val="18"/>
              </w:rPr>
              <w:t xml:space="preserve"> </w:t>
            </w:r>
            <w:r w:rsidRPr="00CD692A">
              <w:rPr>
                <w:sz w:val="18"/>
              </w:rPr>
              <w:t>686</w:t>
            </w:r>
            <w:r w:rsidR="00D766F9">
              <w:rPr>
                <w:sz w:val="18"/>
              </w:rPr>
              <w:t xml:space="preserve"> </w:t>
            </w:r>
            <w:r w:rsidRPr="00CD692A">
              <w:rPr>
                <w:sz w:val="18"/>
              </w:rPr>
              <w:t>957</w:t>
            </w:r>
          </w:p>
        </w:tc>
      </w:tr>
      <w:tr w:rsidR="000832C6" w:rsidRPr="00CD692A" w14:paraId="2A6FBAD8" w14:textId="77777777" w:rsidTr="000832C6">
        <w:trPr>
          <w:trHeight w:val="240"/>
        </w:trPr>
        <w:tc>
          <w:tcPr>
            <w:tcW w:w="1961" w:type="dxa"/>
            <w:tcBorders>
              <w:bottom w:val="single" w:sz="12" w:space="0" w:color="auto"/>
            </w:tcBorders>
            <w:shd w:val="clear" w:color="auto" w:fill="auto"/>
          </w:tcPr>
          <w:p w14:paraId="73B55FED" w14:textId="77777777" w:rsidR="00CD692A" w:rsidRPr="00CD692A" w:rsidRDefault="00CD692A" w:rsidP="000832C6">
            <w:pPr>
              <w:pStyle w:val="SingleTxtG"/>
              <w:tabs>
                <w:tab w:val="clear" w:pos="1701"/>
                <w:tab w:val="clear" w:pos="2268"/>
                <w:tab w:val="clear" w:pos="2835"/>
              </w:tabs>
              <w:spacing w:before="40" w:after="40" w:line="220" w:lineRule="exact"/>
              <w:ind w:left="0" w:right="0"/>
              <w:jc w:val="left"/>
              <w:rPr>
                <w:bCs/>
                <w:sz w:val="18"/>
                <w:lang w:val="en-GB"/>
              </w:rPr>
            </w:pPr>
            <w:r w:rsidRPr="00CD692A">
              <w:rPr>
                <w:sz w:val="18"/>
              </w:rPr>
              <w:t>Desempleada</w:t>
            </w:r>
          </w:p>
        </w:tc>
        <w:tc>
          <w:tcPr>
            <w:tcW w:w="1841" w:type="dxa"/>
            <w:tcBorders>
              <w:bottom w:val="single" w:sz="12" w:space="0" w:color="auto"/>
            </w:tcBorders>
            <w:shd w:val="clear" w:color="auto" w:fill="auto"/>
            <w:vAlign w:val="bottom"/>
          </w:tcPr>
          <w:p w14:paraId="102DF2EC" w14:textId="6E41AAB5"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1</w:t>
            </w:r>
            <w:r w:rsidR="00D766F9">
              <w:rPr>
                <w:sz w:val="18"/>
              </w:rPr>
              <w:t xml:space="preserve"> </w:t>
            </w:r>
            <w:r w:rsidRPr="00CD692A">
              <w:rPr>
                <w:sz w:val="18"/>
              </w:rPr>
              <w:t>224</w:t>
            </w:r>
            <w:r w:rsidR="00D766F9">
              <w:rPr>
                <w:sz w:val="18"/>
              </w:rPr>
              <w:t xml:space="preserve"> </w:t>
            </w:r>
            <w:r w:rsidRPr="00CD692A">
              <w:rPr>
                <w:sz w:val="18"/>
              </w:rPr>
              <w:t>602</w:t>
            </w:r>
          </w:p>
        </w:tc>
        <w:tc>
          <w:tcPr>
            <w:tcW w:w="1784" w:type="dxa"/>
            <w:tcBorders>
              <w:bottom w:val="single" w:sz="12" w:space="0" w:color="auto"/>
            </w:tcBorders>
            <w:shd w:val="clear" w:color="auto" w:fill="auto"/>
            <w:vAlign w:val="bottom"/>
          </w:tcPr>
          <w:p w14:paraId="4DCD09E5" w14:textId="4D9D9AB3" w:rsidR="00CD692A" w:rsidRPr="00CD692A" w:rsidRDefault="00CD692A" w:rsidP="00D766F9">
            <w:pPr>
              <w:pStyle w:val="SingleTxtG"/>
              <w:tabs>
                <w:tab w:val="clear" w:pos="1701"/>
                <w:tab w:val="clear" w:pos="2268"/>
                <w:tab w:val="clear" w:pos="2835"/>
              </w:tabs>
              <w:spacing w:before="40" w:after="40" w:line="220" w:lineRule="exact"/>
              <w:ind w:left="113" w:right="28"/>
              <w:jc w:val="right"/>
              <w:rPr>
                <w:bCs/>
                <w:sz w:val="18"/>
                <w:lang w:val="en-GB"/>
              </w:rPr>
            </w:pPr>
            <w:r w:rsidRPr="00CD692A">
              <w:rPr>
                <w:sz w:val="18"/>
              </w:rPr>
              <w:t>539</w:t>
            </w:r>
            <w:r w:rsidR="00D766F9">
              <w:rPr>
                <w:sz w:val="18"/>
              </w:rPr>
              <w:t xml:space="preserve"> </w:t>
            </w:r>
            <w:r w:rsidRPr="00CD692A">
              <w:rPr>
                <w:sz w:val="18"/>
              </w:rPr>
              <w:t>774</w:t>
            </w:r>
          </w:p>
        </w:tc>
        <w:tc>
          <w:tcPr>
            <w:tcW w:w="1784" w:type="dxa"/>
            <w:tcBorders>
              <w:bottom w:val="single" w:sz="12" w:space="0" w:color="auto"/>
            </w:tcBorders>
            <w:shd w:val="clear" w:color="auto" w:fill="auto"/>
            <w:vAlign w:val="bottom"/>
          </w:tcPr>
          <w:p w14:paraId="4E017EF1" w14:textId="10D9B66E" w:rsidR="00CD692A" w:rsidRPr="00CD692A" w:rsidRDefault="00CD692A" w:rsidP="00D766F9">
            <w:pPr>
              <w:pStyle w:val="SingleTxtG"/>
              <w:tabs>
                <w:tab w:val="clear" w:pos="1701"/>
                <w:tab w:val="clear" w:pos="2268"/>
                <w:tab w:val="clear" w:pos="2835"/>
              </w:tabs>
              <w:spacing w:before="40" w:after="40" w:line="220" w:lineRule="exact"/>
              <w:ind w:left="113" w:right="28"/>
              <w:jc w:val="right"/>
              <w:rPr>
                <w:sz w:val="18"/>
                <w:lang w:val="en-GB"/>
              </w:rPr>
            </w:pPr>
            <w:r w:rsidRPr="00CD692A">
              <w:rPr>
                <w:sz w:val="18"/>
              </w:rPr>
              <w:t>684</w:t>
            </w:r>
            <w:r w:rsidR="00D766F9">
              <w:rPr>
                <w:sz w:val="18"/>
              </w:rPr>
              <w:t xml:space="preserve"> </w:t>
            </w:r>
            <w:r w:rsidRPr="00CD692A">
              <w:rPr>
                <w:sz w:val="18"/>
              </w:rPr>
              <w:t>828</w:t>
            </w:r>
          </w:p>
        </w:tc>
      </w:tr>
    </w:tbl>
    <w:p w14:paraId="1B5FBB66" w14:textId="77777777" w:rsidR="00CD692A" w:rsidRPr="00CD692A" w:rsidRDefault="00CD692A" w:rsidP="000832C6">
      <w:pPr>
        <w:pStyle w:val="SingleTxtG"/>
        <w:spacing w:before="120" w:after="240"/>
        <w:ind w:firstLine="170"/>
        <w:jc w:val="left"/>
        <w:rPr>
          <w:sz w:val="18"/>
          <w:szCs w:val="18"/>
        </w:rPr>
      </w:pPr>
      <w:r w:rsidRPr="00CD692A">
        <w:rPr>
          <w:i/>
          <w:iCs/>
          <w:sz w:val="18"/>
          <w:szCs w:val="18"/>
        </w:rPr>
        <w:t>Fuente:</w:t>
      </w:r>
      <w:r w:rsidRPr="00CD692A">
        <w:rPr>
          <w:sz w:val="18"/>
          <w:szCs w:val="18"/>
        </w:rPr>
        <w:t xml:space="preserve"> Censo de Población y Vivienda de Malawi, 2018.</w:t>
      </w:r>
    </w:p>
    <w:p w14:paraId="42A5041B" w14:textId="492CA44F" w:rsidR="00CD692A" w:rsidRPr="00CD692A" w:rsidRDefault="00CD692A" w:rsidP="00CD692A">
      <w:pPr>
        <w:pStyle w:val="SingleTxtG"/>
        <w:rPr>
          <w:bCs/>
        </w:rPr>
      </w:pPr>
      <w:r w:rsidRPr="00CD692A">
        <w:t>27.</w:t>
      </w:r>
      <w:r w:rsidRPr="00CD692A">
        <w:tab/>
        <w:t>El Censo de Población y Vivienda de Malawi de 2018 también reveló que la tasa de actividad era del 72 % a nivel nacional, del 69 % en las zonas urbanas y del 73 % en las zonas rurales. A nivel de las regiones, la tasa de actividad era del 72 % en la región septentrional, del 70</w:t>
      </w:r>
      <w:r w:rsidR="001F12BD">
        <w:t xml:space="preserve"> </w:t>
      </w:r>
      <w:r w:rsidRPr="00CD692A">
        <w:t>% en la central y del 74</w:t>
      </w:r>
      <w:r w:rsidR="001F12BD">
        <w:t xml:space="preserve"> </w:t>
      </w:r>
      <w:r w:rsidRPr="00CD692A">
        <w:t>% en la meridional.</w:t>
      </w:r>
    </w:p>
    <w:p w14:paraId="17E48ECC" w14:textId="017CA41F" w:rsidR="00CD692A" w:rsidRPr="00CD692A" w:rsidRDefault="00D766F9" w:rsidP="00D766F9">
      <w:pPr>
        <w:pStyle w:val="H23G"/>
      </w:pPr>
      <w:r w:rsidRPr="00D766F9">
        <w:rPr>
          <w:b w:val="0"/>
          <w:bCs/>
        </w:rPr>
        <w:tab/>
      </w:r>
      <w:r w:rsidRPr="00D766F9">
        <w:rPr>
          <w:b w:val="0"/>
          <w:bCs/>
        </w:rPr>
        <w:tab/>
      </w:r>
      <w:r w:rsidR="00CD692A" w:rsidRPr="00D766F9">
        <w:rPr>
          <w:b w:val="0"/>
          <w:bCs/>
        </w:rPr>
        <w:t>Cuadro 4</w:t>
      </w:r>
      <w:r w:rsidRPr="00D766F9">
        <w:rPr>
          <w:b w:val="0"/>
          <w:bCs/>
        </w:rPr>
        <w:br/>
      </w:r>
      <w:r w:rsidR="00CD692A" w:rsidRPr="00CD692A">
        <w:t>Tasa de actividad por zonas (urbanas o rurales) y por regiones, 2018</w:t>
      </w:r>
    </w:p>
    <w:p w14:paraId="3646D7C4" w14:textId="77777777" w:rsidR="00CD692A" w:rsidRPr="00CD692A" w:rsidRDefault="00CD692A" w:rsidP="00CD692A">
      <w:pPr>
        <w:pStyle w:val="SingleTxtG"/>
        <w:rPr>
          <w:bCs/>
          <w:lang w:val="en-GB"/>
        </w:rPr>
      </w:pPr>
      <w:r w:rsidRPr="00CD692A">
        <w:rPr>
          <w:noProof/>
        </w:rPr>
        <w:drawing>
          <wp:inline distT="0" distB="0" distL="0" distR="0" wp14:anchorId="74F31B3C" wp14:editId="1ECF9A9B">
            <wp:extent cx="4724251" cy="1334157"/>
            <wp:effectExtent l="0" t="0" r="635"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4482" cy="1362463"/>
                    </a:xfrm>
                    <a:prstGeom prst="rect">
                      <a:avLst/>
                    </a:prstGeom>
                    <a:noFill/>
                  </pic:spPr>
                </pic:pic>
              </a:graphicData>
            </a:graphic>
          </wp:inline>
        </w:drawing>
      </w:r>
      <w:r w:rsidRPr="00CD692A">
        <w:rPr>
          <w:bCs/>
          <w:noProof/>
        </w:rPr>
        <w:drawing>
          <wp:inline distT="0" distB="0" distL="0" distR="0" wp14:anchorId="28B2A8FE" wp14:editId="5198EAF1">
            <wp:extent cx="4723709" cy="1075765"/>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9760" cy="1109026"/>
                    </a:xfrm>
                    <a:prstGeom prst="rect">
                      <a:avLst/>
                    </a:prstGeom>
                    <a:noFill/>
                    <a:ln>
                      <a:noFill/>
                    </a:ln>
                  </pic:spPr>
                </pic:pic>
              </a:graphicData>
            </a:graphic>
          </wp:inline>
        </w:drawing>
      </w:r>
    </w:p>
    <w:p w14:paraId="56D041C2" w14:textId="77777777" w:rsidR="00CD692A" w:rsidRPr="00CD692A" w:rsidRDefault="00CD692A" w:rsidP="00D766F9">
      <w:pPr>
        <w:pStyle w:val="SingleTxtG"/>
        <w:spacing w:before="120" w:after="240"/>
        <w:ind w:firstLine="170"/>
        <w:jc w:val="left"/>
        <w:rPr>
          <w:sz w:val="18"/>
          <w:szCs w:val="18"/>
        </w:rPr>
      </w:pPr>
      <w:r w:rsidRPr="00CD692A">
        <w:rPr>
          <w:i/>
          <w:iCs/>
          <w:sz w:val="18"/>
          <w:szCs w:val="18"/>
        </w:rPr>
        <w:t>Fuente:</w:t>
      </w:r>
      <w:r w:rsidRPr="00CD692A">
        <w:rPr>
          <w:sz w:val="18"/>
          <w:szCs w:val="18"/>
        </w:rPr>
        <w:t xml:space="preserve"> Censo de Población y Vivienda de Malawi, 2018.</w:t>
      </w:r>
    </w:p>
    <w:p w14:paraId="0E779B3A" w14:textId="47DC9F7E" w:rsidR="00CD692A" w:rsidRPr="00CD692A" w:rsidRDefault="00D766F9" w:rsidP="00D766F9">
      <w:pPr>
        <w:pStyle w:val="H23G"/>
      </w:pPr>
      <w:r>
        <w:lastRenderedPageBreak/>
        <w:tab/>
      </w:r>
      <w:r>
        <w:tab/>
      </w:r>
      <w:r w:rsidR="00CD692A" w:rsidRPr="00CD692A">
        <w:t>Mejora del acceso a las oportunidades de empleo</w:t>
      </w:r>
    </w:p>
    <w:p w14:paraId="1D8ABB31" w14:textId="77777777" w:rsidR="00CD692A" w:rsidRPr="00CD692A" w:rsidRDefault="00CD692A" w:rsidP="00CD692A">
      <w:pPr>
        <w:pStyle w:val="SingleTxtG"/>
        <w:rPr>
          <w:bCs/>
        </w:rPr>
      </w:pPr>
      <w:r w:rsidRPr="00CD692A">
        <w:t>28.</w:t>
      </w:r>
      <w:r w:rsidRPr="00CD692A">
        <w:tab/>
        <w:t>A fin de mejorar el acceso a las oportunidades de empleo, el Gobierno, a través del Ministerio de Trabajo, ha desarrollado políticas como la Política Nacional de Empleo y Trabajo. La Política se propone realizar gestiones destinadas específicamente a promover el crecimiento del empleo tanto en cuanto a la calidad como la cantidad, y de forma directa o indirecta. La Política proporciona un marco para promover el empleo productivo y decente en la economía y un mayor cumplimiento de las normas laborales por parte de empleadores, inversores y trabajadores. También pretende liberar el potencial de Malawi para emprender una senda de desarrollo más inclusiva, favorable a los pobres y rica en empleo, reforzando así el vínculo entre el crecimiento económico y la creación de empleo, por un lado, y la reducción de la pobreza, por otro. En la elaboración de la Política se previó su vinculación con la Tercera Estrategia de Crecimiento y Desarrollo de Malawi y con la Agenda 2063, en lo que se refiere a la creación de empleo con miras a impulsar el crecimiento económico.</w:t>
      </w:r>
      <w:bookmarkStart w:id="12" w:name="_Hlk43356506"/>
      <w:bookmarkStart w:id="13" w:name="_Hlk41556550"/>
      <w:bookmarkEnd w:id="12"/>
      <w:bookmarkEnd w:id="13"/>
    </w:p>
    <w:p w14:paraId="6E3C0656" w14:textId="77777777" w:rsidR="00CD692A" w:rsidRPr="00CD692A" w:rsidRDefault="00CD692A" w:rsidP="00CD692A">
      <w:pPr>
        <w:pStyle w:val="SingleTxtG"/>
        <w:rPr>
          <w:bCs/>
        </w:rPr>
      </w:pPr>
      <w:r w:rsidRPr="00CD692A">
        <w:t>29.</w:t>
      </w:r>
      <w:r w:rsidRPr="00CD692A">
        <w:tab/>
        <w:t>Además, en 2018, el Gobierno, a través del Ministerio de Trabajo y con el apoyo del Banco Africano de Desarrollo (BAfD), comenzó a implementar el Proyecto de Empleos para Jóvenes, destinado a emplear a graduados de diferentes universidades y escuelas superiores y de formación profesional como pasantes en diferentes Ministerios y Departamentos del Gobierno. El objetivo del Proyecto es dotar a los nuevos graduados de las competencias necesarias en el mercado laboral de Malawi. La segunda fase del Proyecto terminó en enero de 2020. En el programa de pasantías se dio empleo a unos 2.227 jóvenes.</w:t>
      </w:r>
      <w:bookmarkStart w:id="14" w:name="_Hlk41556716"/>
      <w:bookmarkEnd w:id="14"/>
    </w:p>
    <w:p w14:paraId="0FCC12A6" w14:textId="19C141F1" w:rsidR="00CD692A" w:rsidRPr="00CD692A" w:rsidRDefault="00D766F9" w:rsidP="00D766F9">
      <w:pPr>
        <w:pStyle w:val="H23G"/>
      </w:pPr>
      <w:r>
        <w:tab/>
      </w:r>
      <w:r>
        <w:tab/>
      </w:r>
      <w:r w:rsidR="00CD692A" w:rsidRPr="00CD692A">
        <w:t>Trabajo infantil</w:t>
      </w:r>
    </w:p>
    <w:p w14:paraId="22F41218" w14:textId="1201668C" w:rsidR="00CD692A" w:rsidRPr="00CD692A" w:rsidRDefault="00CD692A" w:rsidP="00CD692A">
      <w:pPr>
        <w:pStyle w:val="SingleTxtG"/>
        <w:rPr>
          <w:bCs/>
        </w:rPr>
      </w:pPr>
      <w:r w:rsidRPr="00CD692A">
        <w:t>30.</w:t>
      </w:r>
      <w:r w:rsidRPr="00CD692A">
        <w:tab/>
        <w:t>En su labor de promoción del derecho al trabajo, el Gobierno de Malawi también se asegura de que no se emplee a niños. El trabajo infantil está prohibido en Malawi en virtud de las disposiciones del artículo 23, párrafo 4, de la Constitución, así como las del artículo</w:t>
      </w:r>
      <w:r w:rsidR="00FA172B">
        <w:t> </w:t>
      </w:r>
      <w:r w:rsidRPr="00CD692A">
        <w:t>21 de la Ley de Educación (cap. 30:01 de las Leyes de Malawi) y las de la Ley de Atención, Protección y Justicia de Menores (cap. 26:03 de las Leyes de Malawi). En todas las disposiciones que se acaban de mencionar se establece que siempre se debe dar prioridad al bienestar de los niños y que estos nunca deben estar expuestos a condiciones que lo pongan en peligro.</w:t>
      </w:r>
    </w:p>
    <w:p w14:paraId="0866E782" w14:textId="3C82760D" w:rsidR="00CD692A" w:rsidRPr="00CD692A" w:rsidRDefault="00CD692A" w:rsidP="00CD692A">
      <w:pPr>
        <w:pStyle w:val="SingleTxtG"/>
      </w:pPr>
      <w:r w:rsidRPr="00CD692A">
        <w:t>31.</w:t>
      </w:r>
      <w:r w:rsidRPr="00CD692A">
        <w:tab/>
        <w:t>La Encuesta sobre el Trabajo de 2015, reveló que el 38 % de los niños de entre 5 y 17</w:t>
      </w:r>
      <w:r w:rsidR="00FA172B">
        <w:t> </w:t>
      </w:r>
      <w:r w:rsidRPr="00CD692A">
        <w:t>años realizaban trabajo infantil.</w:t>
      </w:r>
    </w:p>
    <w:p w14:paraId="6ECC0FF6" w14:textId="6FDC51E4" w:rsidR="00CD692A" w:rsidRPr="00CD692A" w:rsidRDefault="00CD692A" w:rsidP="00CD692A">
      <w:pPr>
        <w:pStyle w:val="SingleTxtG"/>
      </w:pPr>
      <w:r w:rsidRPr="00CD692A">
        <w:t>32.</w:t>
      </w:r>
      <w:r w:rsidRPr="00CD692A">
        <w:tab/>
        <w:t>Por grupos de edad, el trabajo infantil era más frecuente entre el grupo de niños de</w:t>
      </w:r>
      <w:r w:rsidR="00FA172B">
        <w:t> </w:t>
      </w:r>
      <w:r w:rsidRPr="00CD692A">
        <w:t>10</w:t>
      </w:r>
      <w:r w:rsidR="00FA172B">
        <w:t> </w:t>
      </w:r>
      <w:r w:rsidRPr="00CD692A">
        <w:t>a 13 años (55 %), seguido del de niños de 5 a 9 años (30 %) y del de niños de 14 a 17 años (29</w:t>
      </w:r>
      <w:r w:rsidR="00FA172B">
        <w:t> </w:t>
      </w:r>
      <w:r w:rsidRPr="00CD692A">
        <w:t>%).</w:t>
      </w:r>
    </w:p>
    <w:p w14:paraId="3498D96B" w14:textId="7B453FE4" w:rsidR="00CD692A" w:rsidRPr="00CD692A" w:rsidRDefault="00D766F9" w:rsidP="00D766F9">
      <w:pPr>
        <w:pStyle w:val="H23G"/>
      </w:pPr>
      <w:r w:rsidRPr="00D766F9">
        <w:rPr>
          <w:b w:val="0"/>
          <w:bCs/>
        </w:rPr>
        <w:tab/>
      </w:r>
      <w:r w:rsidRPr="00D766F9">
        <w:rPr>
          <w:b w:val="0"/>
          <w:bCs/>
        </w:rPr>
        <w:tab/>
      </w:r>
      <w:r w:rsidR="00CD692A" w:rsidRPr="00D766F9">
        <w:rPr>
          <w:b w:val="0"/>
          <w:bCs/>
        </w:rPr>
        <w:t>Cuadro 5</w:t>
      </w:r>
      <w:r w:rsidRPr="00D766F9">
        <w:rPr>
          <w:b w:val="0"/>
          <w:bCs/>
        </w:rPr>
        <w:br/>
      </w:r>
      <w:r w:rsidR="00CD692A" w:rsidRPr="00CD692A">
        <w:t xml:space="preserve">Porcentaje de niños que realizan trabajo infantil, por grupos de edad y sexo </w:t>
      </w:r>
    </w:p>
    <w:p w14:paraId="66D9A1C1" w14:textId="77777777" w:rsidR="00CD692A" w:rsidRPr="00CD692A" w:rsidRDefault="00CD692A" w:rsidP="00CD692A">
      <w:pPr>
        <w:pStyle w:val="SingleTxtG"/>
        <w:rPr>
          <w:lang w:val="en-GB"/>
        </w:rPr>
      </w:pPr>
      <w:r w:rsidRPr="00CD692A">
        <w:rPr>
          <w:lang w:val="en-GB"/>
        </w:rPr>
        <w:object w:dxaOrig="11510" w:dyaOrig="5149" w14:anchorId="158EEF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2pt;height:165.25pt" o:ole="">
            <v:imagedata r:id="rId10" o:title=""/>
          </v:shape>
          <o:OLEObject Type="Embed" ProgID="Word.Document.12" ShapeID="_x0000_i1025" DrawAspect="Content" ObjectID="_1732437066" r:id="rId11"/>
        </w:object>
      </w:r>
    </w:p>
    <w:p w14:paraId="461F58AE" w14:textId="77777777" w:rsidR="00CD692A" w:rsidRPr="00CD692A" w:rsidRDefault="00CD692A" w:rsidP="00D766F9">
      <w:pPr>
        <w:pStyle w:val="SingleTxtG"/>
        <w:spacing w:before="120" w:after="240"/>
        <w:ind w:firstLine="170"/>
        <w:jc w:val="left"/>
        <w:rPr>
          <w:sz w:val="18"/>
          <w:szCs w:val="18"/>
        </w:rPr>
      </w:pPr>
      <w:r w:rsidRPr="00CD692A">
        <w:rPr>
          <w:i/>
          <w:iCs/>
          <w:sz w:val="18"/>
          <w:szCs w:val="18"/>
        </w:rPr>
        <w:t>Fuente:</w:t>
      </w:r>
      <w:r w:rsidRPr="00CD692A">
        <w:rPr>
          <w:sz w:val="18"/>
          <w:szCs w:val="18"/>
        </w:rPr>
        <w:t xml:space="preserve"> Informe de la Encuesta Nacional sobre el Trabajo Infantil, de 2015.</w:t>
      </w:r>
    </w:p>
    <w:p w14:paraId="3B99F6CF" w14:textId="77777777" w:rsidR="00CD692A" w:rsidRPr="00CD692A" w:rsidRDefault="00CD692A" w:rsidP="00CD692A">
      <w:pPr>
        <w:pStyle w:val="SingleTxtG"/>
        <w:rPr>
          <w:b/>
        </w:rPr>
      </w:pPr>
      <w:r w:rsidRPr="00CD692A">
        <w:lastRenderedPageBreak/>
        <w:t>33.</w:t>
      </w:r>
      <w:r w:rsidRPr="00CD692A">
        <w:tab/>
        <w:t>La Encuesta también puso de manifiesto que los trabajos no peligrosos eran realizados por el 15,8 % de los niños de 5 a 9 años y por el 29,2 % de los niños de 10 a 13 años; y que los trabajos peligrosos eran realizados por el 38,7 % de los niños de 10 a 13 años.</w:t>
      </w:r>
    </w:p>
    <w:p w14:paraId="2E7E1CE9" w14:textId="5D837D2E" w:rsidR="00CD692A" w:rsidRPr="00CD692A" w:rsidRDefault="00D766F9" w:rsidP="00D766F9">
      <w:pPr>
        <w:pStyle w:val="H23G"/>
      </w:pPr>
      <w:r w:rsidRPr="00D766F9">
        <w:rPr>
          <w:b w:val="0"/>
          <w:bCs/>
        </w:rPr>
        <w:tab/>
      </w:r>
      <w:r w:rsidRPr="00D766F9">
        <w:rPr>
          <w:b w:val="0"/>
          <w:bCs/>
        </w:rPr>
        <w:tab/>
      </w:r>
      <w:r w:rsidR="00CD692A" w:rsidRPr="00D766F9">
        <w:rPr>
          <w:b w:val="0"/>
          <w:bCs/>
        </w:rPr>
        <w:t>Cuadro 6</w:t>
      </w:r>
      <w:r w:rsidRPr="00D766F9">
        <w:rPr>
          <w:b w:val="0"/>
          <w:bCs/>
        </w:rPr>
        <w:br/>
      </w:r>
      <w:r w:rsidR="00CD692A" w:rsidRPr="00CD692A">
        <w:t>Porcentaje de niños que realizan trabajo infantil, por categorías de trabajo peligroso</w:t>
      </w:r>
      <w:r>
        <w:t> </w:t>
      </w:r>
      <w:r w:rsidR="00CD692A" w:rsidRPr="00CD692A">
        <w:t>y</w:t>
      </w:r>
      <w:r>
        <w:t> </w:t>
      </w:r>
      <w:r w:rsidR="00CD692A" w:rsidRPr="00CD692A">
        <w:t>no peligroso, y por sexo</w:t>
      </w:r>
    </w:p>
    <w:bookmarkStart w:id="15" w:name="_MON_1717416522"/>
    <w:bookmarkEnd w:id="15"/>
    <w:p w14:paraId="3727EBD7" w14:textId="1E501CD2" w:rsidR="00CD692A" w:rsidRPr="00CD692A" w:rsidRDefault="00FA172B" w:rsidP="00D766F9">
      <w:pPr>
        <w:pStyle w:val="SingleTxtG"/>
        <w:ind w:left="0"/>
      </w:pPr>
      <w:r w:rsidRPr="00CD692A">
        <w:object w:dxaOrig="11510" w:dyaOrig="4361" w14:anchorId="277B2F6D">
          <v:shape id="_x0000_i1026" type="#_x0000_t75" style="width:454.1pt;height:184.85pt" o:ole="">
            <v:imagedata r:id="rId12" o:title=""/>
          </v:shape>
          <o:OLEObject Type="Embed" ProgID="Word.Document.12" ShapeID="_x0000_i1026" DrawAspect="Content" ObjectID="_1732437067" r:id="rId13"/>
        </w:object>
      </w:r>
    </w:p>
    <w:p w14:paraId="118F5EBD" w14:textId="77777777" w:rsidR="00CD692A" w:rsidRPr="00CD692A" w:rsidRDefault="00CD692A" w:rsidP="00D766F9">
      <w:pPr>
        <w:pStyle w:val="SingleTxtG"/>
        <w:spacing w:before="120" w:after="240"/>
        <w:ind w:firstLine="170"/>
        <w:jc w:val="left"/>
        <w:rPr>
          <w:sz w:val="18"/>
          <w:szCs w:val="18"/>
        </w:rPr>
      </w:pPr>
      <w:r w:rsidRPr="00CD692A">
        <w:rPr>
          <w:i/>
          <w:iCs/>
          <w:sz w:val="18"/>
          <w:szCs w:val="18"/>
        </w:rPr>
        <w:t>Fuente:</w:t>
      </w:r>
      <w:r w:rsidRPr="00CD692A">
        <w:rPr>
          <w:sz w:val="18"/>
          <w:szCs w:val="18"/>
        </w:rPr>
        <w:t xml:space="preserve"> Informe de la Encuesta Nacional sobre el Trabajo Infantil, de 2015.</w:t>
      </w:r>
    </w:p>
    <w:p w14:paraId="578E6173" w14:textId="429470DF" w:rsidR="00CD692A" w:rsidRPr="00CD692A" w:rsidRDefault="00CD692A" w:rsidP="00FA172B">
      <w:pPr>
        <w:pStyle w:val="H23G"/>
        <w:ind w:left="0" w:right="566" w:firstLine="0"/>
      </w:pPr>
      <w:r w:rsidRPr="00D766F9">
        <w:rPr>
          <w:b w:val="0"/>
          <w:bCs/>
        </w:rPr>
        <w:t>Cuadro 7</w:t>
      </w:r>
      <w:r w:rsidR="00D766F9" w:rsidRPr="00D766F9">
        <w:rPr>
          <w:b w:val="0"/>
          <w:bCs/>
        </w:rPr>
        <w:br/>
      </w:r>
      <w:r w:rsidRPr="00CD692A">
        <w:t>Distribución de los niños (</w:t>
      </w:r>
      <w:r w:rsidR="00FA172B">
        <w:t xml:space="preserve">de </w:t>
      </w:r>
      <w:r w:rsidRPr="00CD692A">
        <w:t>5 a 17 años) que realizan trabajos peligrosos por sector de actividad, sexo y</w:t>
      </w:r>
      <w:r w:rsidR="00FA172B">
        <w:t> </w:t>
      </w:r>
      <w:r w:rsidRPr="00CD692A">
        <w:t>grupo de edad</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1958"/>
        <w:gridCol w:w="904"/>
        <w:gridCol w:w="904"/>
        <w:gridCol w:w="1055"/>
        <w:gridCol w:w="905"/>
        <w:gridCol w:w="904"/>
        <w:gridCol w:w="905"/>
        <w:gridCol w:w="1162"/>
        <w:gridCol w:w="942"/>
      </w:tblGrid>
      <w:tr w:rsidR="00D766F9" w:rsidRPr="00D766F9" w14:paraId="12C09AD8" w14:textId="77777777" w:rsidTr="00A662CC">
        <w:trPr>
          <w:trHeight w:val="240"/>
          <w:tblHeader/>
        </w:trPr>
        <w:tc>
          <w:tcPr>
            <w:tcW w:w="1958" w:type="dxa"/>
            <w:tcBorders>
              <w:top w:val="single" w:sz="4" w:space="0" w:color="auto"/>
              <w:bottom w:val="single" w:sz="12" w:space="0" w:color="auto"/>
            </w:tcBorders>
            <w:shd w:val="clear" w:color="auto" w:fill="auto"/>
            <w:vAlign w:val="bottom"/>
          </w:tcPr>
          <w:p w14:paraId="0C3D5F0F" w14:textId="77777777" w:rsidR="00D766F9" w:rsidRPr="00CD692A" w:rsidRDefault="00D766F9" w:rsidP="00D766F9">
            <w:pPr>
              <w:pStyle w:val="SingleTxtG"/>
              <w:tabs>
                <w:tab w:val="clear" w:pos="1701"/>
                <w:tab w:val="clear" w:pos="2268"/>
                <w:tab w:val="clear" w:pos="2835"/>
              </w:tabs>
              <w:spacing w:before="80" w:after="80" w:line="200" w:lineRule="exact"/>
              <w:ind w:left="0" w:right="0"/>
              <w:jc w:val="left"/>
              <w:rPr>
                <w:i/>
                <w:sz w:val="16"/>
              </w:rPr>
            </w:pPr>
            <w:r w:rsidRPr="00CD692A">
              <w:rPr>
                <w:i/>
                <w:iCs/>
                <w:sz w:val="16"/>
              </w:rPr>
              <w:t>Sector de actividad</w:t>
            </w:r>
          </w:p>
        </w:tc>
        <w:tc>
          <w:tcPr>
            <w:tcW w:w="1808" w:type="dxa"/>
            <w:gridSpan w:val="2"/>
            <w:tcBorders>
              <w:top w:val="single" w:sz="4" w:space="0" w:color="auto"/>
              <w:bottom w:val="single" w:sz="12" w:space="0" w:color="auto"/>
            </w:tcBorders>
            <w:shd w:val="clear" w:color="auto" w:fill="auto"/>
            <w:vAlign w:val="bottom"/>
          </w:tcPr>
          <w:p w14:paraId="7383BAC7" w14:textId="707D5120" w:rsidR="00D766F9" w:rsidRPr="00CD692A" w:rsidRDefault="00BB6658" w:rsidP="00D766F9">
            <w:pPr>
              <w:pStyle w:val="SingleTxtG"/>
              <w:tabs>
                <w:tab w:val="clear" w:pos="1701"/>
                <w:tab w:val="clear" w:pos="2268"/>
                <w:tab w:val="clear" w:pos="2835"/>
              </w:tabs>
              <w:spacing w:before="80" w:after="80" w:line="200" w:lineRule="exact"/>
              <w:ind w:left="28" w:right="28"/>
              <w:jc w:val="center"/>
              <w:rPr>
                <w:i/>
                <w:sz w:val="16"/>
              </w:rPr>
            </w:pPr>
            <w:r>
              <w:rPr>
                <w:i/>
                <w:iCs/>
                <w:sz w:val="16"/>
              </w:rPr>
              <w:t xml:space="preserve">De </w:t>
            </w:r>
            <w:r w:rsidR="00D766F9" w:rsidRPr="00CD692A">
              <w:rPr>
                <w:i/>
                <w:iCs/>
                <w:sz w:val="16"/>
              </w:rPr>
              <w:t>5 a 9 años</w:t>
            </w:r>
          </w:p>
        </w:tc>
        <w:tc>
          <w:tcPr>
            <w:tcW w:w="1960" w:type="dxa"/>
            <w:gridSpan w:val="2"/>
            <w:tcBorders>
              <w:top w:val="single" w:sz="4" w:space="0" w:color="auto"/>
              <w:bottom w:val="single" w:sz="12" w:space="0" w:color="auto"/>
            </w:tcBorders>
            <w:shd w:val="clear" w:color="auto" w:fill="auto"/>
            <w:vAlign w:val="bottom"/>
          </w:tcPr>
          <w:p w14:paraId="09ADFB19" w14:textId="4AE33EB7" w:rsidR="00D766F9" w:rsidRPr="00CD692A" w:rsidRDefault="00BB6658" w:rsidP="00D766F9">
            <w:pPr>
              <w:pStyle w:val="SingleTxtG"/>
              <w:tabs>
                <w:tab w:val="clear" w:pos="1701"/>
                <w:tab w:val="clear" w:pos="2268"/>
                <w:tab w:val="clear" w:pos="2835"/>
              </w:tabs>
              <w:spacing w:before="80" w:after="80" w:line="200" w:lineRule="exact"/>
              <w:ind w:left="28" w:right="28"/>
              <w:jc w:val="center"/>
              <w:rPr>
                <w:i/>
                <w:sz w:val="16"/>
                <w:lang w:val="en-GB"/>
              </w:rPr>
            </w:pPr>
            <w:r>
              <w:rPr>
                <w:i/>
                <w:iCs/>
                <w:sz w:val="16"/>
              </w:rPr>
              <w:t>De 1</w:t>
            </w:r>
            <w:r w:rsidR="00D766F9" w:rsidRPr="00CD692A">
              <w:rPr>
                <w:i/>
                <w:iCs/>
                <w:sz w:val="16"/>
              </w:rPr>
              <w:t>0 a 13 años</w:t>
            </w:r>
          </w:p>
        </w:tc>
        <w:tc>
          <w:tcPr>
            <w:tcW w:w="1809" w:type="dxa"/>
            <w:gridSpan w:val="2"/>
            <w:tcBorders>
              <w:top w:val="single" w:sz="4" w:space="0" w:color="auto"/>
              <w:bottom w:val="single" w:sz="12" w:space="0" w:color="auto"/>
            </w:tcBorders>
            <w:shd w:val="clear" w:color="auto" w:fill="auto"/>
            <w:vAlign w:val="bottom"/>
          </w:tcPr>
          <w:p w14:paraId="3107E719" w14:textId="6E88E4F3" w:rsidR="00D766F9" w:rsidRPr="00CD692A" w:rsidRDefault="00BB6658" w:rsidP="00D766F9">
            <w:pPr>
              <w:pStyle w:val="SingleTxtG"/>
              <w:tabs>
                <w:tab w:val="clear" w:pos="1701"/>
                <w:tab w:val="clear" w:pos="2268"/>
                <w:tab w:val="clear" w:pos="2835"/>
              </w:tabs>
              <w:spacing w:before="80" w:after="80" w:line="200" w:lineRule="exact"/>
              <w:ind w:left="28" w:right="28"/>
              <w:jc w:val="center"/>
              <w:rPr>
                <w:i/>
                <w:sz w:val="16"/>
                <w:lang w:val="en-GB"/>
              </w:rPr>
            </w:pPr>
            <w:r>
              <w:rPr>
                <w:i/>
                <w:iCs/>
                <w:sz w:val="16"/>
              </w:rPr>
              <w:t xml:space="preserve">De </w:t>
            </w:r>
            <w:r w:rsidR="00D766F9" w:rsidRPr="00CD692A">
              <w:rPr>
                <w:i/>
                <w:iCs/>
                <w:sz w:val="16"/>
              </w:rPr>
              <w:t>14 a 17 años</w:t>
            </w:r>
          </w:p>
        </w:tc>
        <w:tc>
          <w:tcPr>
            <w:tcW w:w="2104" w:type="dxa"/>
            <w:gridSpan w:val="2"/>
            <w:tcBorders>
              <w:top w:val="single" w:sz="4" w:space="0" w:color="auto"/>
              <w:bottom w:val="single" w:sz="12" w:space="0" w:color="auto"/>
            </w:tcBorders>
            <w:shd w:val="clear" w:color="auto" w:fill="auto"/>
            <w:vAlign w:val="bottom"/>
          </w:tcPr>
          <w:p w14:paraId="17397816" w14:textId="77777777" w:rsidR="00D766F9" w:rsidRPr="00CD692A" w:rsidRDefault="00D766F9" w:rsidP="00FA172B">
            <w:pPr>
              <w:pStyle w:val="SingleTxtG"/>
              <w:tabs>
                <w:tab w:val="clear" w:pos="1701"/>
                <w:tab w:val="clear" w:pos="2268"/>
                <w:tab w:val="clear" w:pos="2835"/>
              </w:tabs>
              <w:spacing w:before="80" w:after="80" w:line="200" w:lineRule="exact"/>
              <w:ind w:left="28" w:right="28"/>
              <w:jc w:val="center"/>
              <w:rPr>
                <w:i/>
                <w:sz w:val="16"/>
                <w:lang w:val="en-GB"/>
              </w:rPr>
            </w:pPr>
            <w:r w:rsidRPr="00CD692A">
              <w:rPr>
                <w:i/>
                <w:iCs/>
                <w:sz w:val="16"/>
              </w:rPr>
              <w:t>Total</w:t>
            </w:r>
          </w:p>
        </w:tc>
      </w:tr>
      <w:tr w:rsidR="00D766F9" w:rsidRPr="00D766F9" w14:paraId="071B55BF" w14:textId="77777777" w:rsidTr="00D766F9">
        <w:trPr>
          <w:trHeight w:val="240"/>
        </w:trPr>
        <w:tc>
          <w:tcPr>
            <w:tcW w:w="1958" w:type="dxa"/>
            <w:tcBorders>
              <w:top w:val="single" w:sz="12" w:space="0" w:color="auto"/>
              <w:bottom w:val="single" w:sz="4" w:space="0" w:color="auto"/>
            </w:tcBorders>
            <w:shd w:val="clear" w:color="auto" w:fill="auto"/>
          </w:tcPr>
          <w:p w14:paraId="02010273" w14:textId="77777777" w:rsidR="00CD692A" w:rsidRPr="00CD692A" w:rsidRDefault="00CD692A" w:rsidP="00D766F9">
            <w:pPr>
              <w:pStyle w:val="SingleTxtG"/>
              <w:tabs>
                <w:tab w:val="clear" w:pos="1701"/>
                <w:tab w:val="clear" w:pos="2268"/>
                <w:tab w:val="clear" w:pos="2835"/>
              </w:tabs>
              <w:spacing w:before="80" w:after="80" w:line="220" w:lineRule="exact"/>
              <w:ind w:left="283" w:right="0"/>
              <w:jc w:val="left"/>
              <w:rPr>
                <w:b/>
                <w:sz w:val="18"/>
                <w:lang w:val="en-GB"/>
              </w:rPr>
            </w:pPr>
            <w:r w:rsidRPr="00CD692A">
              <w:rPr>
                <w:b/>
                <w:bCs/>
                <w:sz w:val="18"/>
              </w:rPr>
              <w:t>Total</w:t>
            </w:r>
          </w:p>
        </w:tc>
        <w:tc>
          <w:tcPr>
            <w:tcW w:w="904" w:type="dxa"/>
            <w:tcBorders>
              <w:top w:val="single" w:sz="12" w:space="0" w:color="auto"/>
              <w:bottom w:val="single" w:sz="4" w:space="0" w:color="auto"/>
            </w:tcBorders>
            <w:shd w:val="clear" w:color="auto" w:fill="auto"/>
            <w:vAlign w:val="bottom"/>
          </w:tcPr>
          <w:p w14:paraId="7BC7AF2B" w14:textId="45D4BAEB"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371</w:t>
            </w:r>
            <w:r w:rsidR="00BB6658">
              <w:rPr>
                <w:b/>
                <w:bCs/>
                <w:sz w:val="18"/>
              </w:rPr>
              <w:t xml:space="preserve"> </w:t>
            </w:r>
            <w:r w:rsidRPr="00CD692A">
              <w:rPr>
                <w:b/>
                <w:bCs/>
                <w:sz w:val="18"/>
              </w:rPr>
              <w:t>112</w:t>
            </w:r>
          </w:p>
        </w:tc>
        <w:tc>
          <w:tcPr>
            <w:tcW w:w="904" w:type="dxa"/>
            <w:tcBorders>
              <w:top w:val="single" w:sz="12" w:space="0" w:color="auto"/>
              <w:bottom w:val="single" w:sz="4" w:space="0" w:color="auto"/>
            </w:tcBorders>
            <w:shd w:val="clear" w:color="auto" w:fill="auto"/>
            <w:vAlign w:val="bottom"/>
          </w:tcPr>
          <w:p w14:paraId="36980A12"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055" w:type="dxa"/>
            <w:tcBorders>
              <w:top w:val="single" w:sz="12" w:space="0" w:color="auto"/>
              <w:bottom w:val="single" w:sz="4" w:space="0" w:color="auto"/>
            </w:tcBorders>
            <w:shd w:val="clear" w:color="auto" w:fill="auto"/>
            <w:vAlign w:val="bottom"/>
          </w:tcPr>
          <w:p w14:paraId="01C73247" w14:textId="45CDBBC3"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391</w:t>
            </w:r>
            <w:r w:rsidR="00BB6658">
              <w:rPr>
                <w:b/>
                <w:bCs/>
                <w:sz w:val="18"/>
              </w:rPr>
              <w:t xml:space="preserve"> </w:t>
            </w:r>
            <w:r w:rsidRPr="00CD692A">
              <w:rPr>
                <w:b/>
                <w:bCs/>
                <w:sz w:val="18"/>
              </w:rPr>
              <w:t>191</w:t>
            </w:r>
          </w:p>
        </w:tc>
        <w:tc>
          <w:tcPr>
            <w:tcW w:w="905" w:type="dxa"/>
            <w:tcBorders>
              <w:top w:val="single" w:sz="12" w:space="0" w:color="auto"/>
              <w:bottom w:val="single" w:sz="4" w:space="0" w:color="auto"/>
            </w:tcBorders>
            <w:shd w:val="clear" w:color="auto" w:fill="auto"/>
            <w:vAlign w:val="bottom"/>
          </w:tcPr>
          <w:p w14:paraId="51E08A2F"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904" w:type="dxa"/>
            <w:tcBorders>
              <w:top w:val="single" w:sz="12" w:space="0" w:color="auto"/>
              <w:bottom w:val="single" w:sz="4" w:space="0" w:color="auto"/>
            </w:tcBorders>
            <w:shd w:val="clear" w:color="auto" w:fill="auto"/>
            <w:vAlign w:val="bottom"/>
          </w:tcPr>
          <w:p w14:paraId="2E22165A" w14:textId="700292C0"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401</w:t>
            </w:r>
            <w:r w:rsidR="00BB6658">
              <w:rPr>
                <w:b/>
                <w:bCs/>
                <w:sz w:val="18"/>
              </w:rPr>
              <w:t xml:space="preserve"> </w:t>
            </w:r>
            <w:r w:rsidRPr="00CD692A">
              <w:rPr>
                <w:b/>
                <w:bCs/>
                <w:sz w:val="18"/>
              </w:rPr>
              <w:t>336</w:t>
            </w:r>
          </w:p>
        </w:tc>
        <w:tc>
          <w:tcPr>
            <w:tcW w:w="905" w:type="dxa"/>
            <w:tcBorders>
              <w:top w:val="single" w:sz="12" w:space="0" w:color="auto"/>
              <w:bottom w:val="single" w:sz="4" w:space="0" w:color="auto"/>
            </w:tcBorders>
            <w:shd w:val="clear" w:color="auto" w:fill="auto"/>
            <w:vAlign w:val="bottom"/>
          </w:tcPr>
          <w:p w14:paraId="6CC04D0A"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162" w:type="dxa"/>
            <w:tcBorders>
              <w:top w:val="single" w:sz="12" w:space="0" w:color="auto"/>
              <w:bottom w:val="single" w:sz="4" w:space="0" w:color="auto"/>
            </w:tcBorders>
            <w:shd w:val="clear" w:color="auto" w:fill="auto"/>
            <w:vAlign w:val="bottom"/>
          </w:tcPr>
          <w:p w14:paraId="28586A60" w14:textId="566A9274"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w:t>
            </w:r>
            <w:r w:rsidR="00BB6658">
              <w:rPr>
                <w:b/>
                <w:bCs/>
                <w:sz w:val="18"/>
              </w:rPr>
              <w:t xml:space="preserve"> </w:t>
            </w:r>
            <w:r w:rsidRPr="00CD692A">
              <w:rPr>
                <w:b/>
                <w:bCs/>
                <w:sz w:val="18"/>
              </w:rPr>
              <w:t>163</w:t>
            </w:r>
            <w:r w:rsidR="00BB6658">
              <w:rPr>
                <w:b/>
                <w:bCs/>
                <w:sz w:val="18"/>
              </w:rPr>
              <w:t xml:space="preserve"> </w:t>
            </w:r>
            <w:r w:rsidRPr="00CD692A">
              <w:rPr>
                <w:b/>
                <w:bCs/>
                <w:sz w:val="18"/>
              </w:rPr>
              <w:t>639</w:t>
            </w:r>
          </w:p>
        </w:tc>
        <w:tc>
          <w:tcPr>
            <w:tcW w:w="942" w:type="dxa"/>
            <w:tcBorders>
              <w:top w:val="single" w:sz="12" w:space="0" w:color="auto"/>
              <w:bottom w:val="single" w:sz="4" w:space="0" w:color="auto"/>
            </w:tcBorders>
            <w:shd w:val="clear" w:color="auto" w:fill="auto"/>
            <w:vAlign w:val="bottom"/>
          </w:tcPr>
          <w:p w14:paraId="62F5B486"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r>
      <w:tr w:rsidR="00D766F9" w:rsidRPr="00D766F9" w14:paraId="5DC455A6" w14:textId="77777777" w:rsidTr="00D766F9">
        <w:trPr>
          <w:trHeight w:val="240"/>
        </w:trPr>
        <w:tc>
          <w:tcPr>
            <w:tcW w:w="1958" w:type="dxa"/>
            <w:tcBorders>
              <w:top w:val="single" w:sz="4" w:space="0" w:color="auto"/>
            </w:tcBorders>
            <w:shd w:val="clear" w:color="auto" w:fill="auto"/>
          </w:tcPr>
          <w:p w14:paraId="3EB5246D"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Agricultura, silvicultura y pesca</w:t>
            </w:r>
          </w:p>
        </w:tc>
        <w:tc>
          <w:tcPr>
            <w:tcW w:w="904" w:type="dxa"/>
            <w:tcBorders>
              <w:top w:val="single" w:sz="4" w:space="0" w:color="auto"/>
            </w:tcBorders>
            <w:shd w:val="clear" w:color="auto" w:fill="auto"/>
            <w:vAlign w:val="bottom"/>
          </w:tcPr>
          <w:p w14:paraId="46435199" w14:textId="6BCA6D4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175</w:t>
            </w:r>
            <w:r w:rsidR="00BB6658">
              <w:rPr>
                <w:sz w:val="18"/>
              </w:rPr>
              <w:t xml:space="preserve"> </w:t>
            </w:r>
            <w:r w:rsidRPr="00CD692A">
              <w:rPr>
                <w:sz w:val="18"/>
              </w:rPr>
              <w:t>354</w:t>
            </w:r>
          </w:p>
        </w:tc>
        <w:tc>
          <w:tcPr>
            <w:tcW w:w="904" w:type="dxa"/>
            <w:tcBorders>
              <w:top w:val="single" w:sz="4" w:space="0" w:color="auto"/>
            </w:tcBorders>
            <w:shd w:val="clear" w:color="auto" w:fill="auto"/>
            <w:vAlign w:val="bottom"/>
          </w:tcPr>
          <w:p w14:paraId="1F9E38E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47,3 %</w:t>
            </w:r>
          </w:p>
        </w:tc>
        <w:tc>
          <w:tcPr>
            <w:tcW w:w="1055" w:type="dxa"/>
            <w:tcBorders>
              <w:top w:val="single" w:sz="4" w:space="0" w:color="auto"/>
            </w:tcBorders>
            <w:shd w:val="clear" w:color="auto" w:fill="auto"/>
            <w:vAlign w:val="bottom"/>
          </w:tcPr>
          <w:p w14:paraId="13FA5D26" w14:textId="67CF30C8"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263</w:t>
            </w:r>
            <w:r w:rsidR="00BB6658">
              <w:rPr>
                <w:sz w:val="18"/>
              </w:rPr>
              <w:t xml:space="preserve"> </w:t>
            </w:r>
            <w:r w:rsidRPr="00CD692A">
              <w:rPr>
                <w:sz w:val="18"/>
              </w:rPr>
              <w:t>967</w:t>
            </w:r>
          </w:p>
        </w:tc>
        <w:tc>
          <w:tcPr>
            <w:tcW w:w="905" w:type="dxa"/>
            <w:tcBorders>
              <w:top w:val="single" w:sz="4" w:space="0" w:color="auto"/>
            </w:tcBorders>
            <w:shd w:val="clear" w:color="auto" w:fill="auto"/>
            <w:vAlign w:val="bottom"/>
          </w:tcPr>
          <w:p w14:paraId="06D4431D"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67,5 %</w:t>
            </w:r>
          </w:p>
        </w:tc>
        <w:tc>
          <w:tcPr>
            <w:tcW w:w="904" w:type="dxa"/>
            <w:tcBorders>
              <w:top w:val="single" w:sz="4" w:space="0" w:color="auto"/>
            </w:tcBorders>
            <w:shd w:val="clear" w:color="auto" w:fill="auto"/>
            <w:vAlign w:val="bottom"/>
          </w:tcPr>
          <w:p w14:paraId="181F6DE1" w14:textId="213842CC"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330</w:t>
            </w:r>
            <w:r w:rsidR="00BB6658">
              <w:rPr>
                <w:sz w:val="18"/>
              </w:rPr>
              <w:t xml:space="preserve"> </w:t>
            </w:r>
            <w:r w:rsidRPr="00CD692A">
              <w:rPr>
                <w:sz w:val="18"/>
              </w:rPr>
              <w:t>606</w:t>
            </w:r>
          </w:p>
        </w:tc>
        <w:tc>
          <w:tcPr>
            <w:tcW w:w="905" w:type="dxa"/>
            <w:tcBorders>
              <w:top w:val="single" w:sz="4" w:space="0" w:color="auto"/>
            </w:tcBorders>
            <w:shd w:val="clear" w:color="auto" w:fill="auto"/>
            <w:vAlign w:val="bottom"/>
          </w:tcPr>
          <w:p w14:paraId="08C70903"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82,4 %</w:t>
            </w:r>
          </w:p>
        </w:tc>
        <w:tc>
          <w:tcPr>
            <w:tcW w:w="1162" w:type="dxa"/>
            <w:tcBorders>
              <w:top w:val="single" w:sz="4" w:space="0" w:color="auto"/>
            </w:tcBorders>
            <w:shd w:val="clear" w:color="auto" w:fill="auto"/>
            <w:vAlign w:val="bottom"/>
          </w:tcPr>
          <w:p w14:paraId="56B17B60" w14:textId="43947CE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769</w:t>
            </w:r>
            <w:r w:rsidR="00BB6658">
              <w:rPr>
                <w:sz w:val="18"/>
              </w:rPr>
              <w:t xml:space="preserve"> </w:t>
            </w:r>
            <w:r w:rsidRPr="00CD692A">
              <w:rPr>
                <w:sz w:val="18"/>
              </w:rPr>
              <w:t>927</w:t>
            </w:r>
          </w:p>
        </w:tc>
        <w:tc>
          <w:tcPr>
            <w:tcW w:w="942" w:type="dxa"/>
            <w:tcBorders>
              <w:top w:val="single" w:sz="4" w:space="0" w:color="auto"/>
            </w:tcBorders>
            <w:shd w:val="clear" w:color="auto" w:fill="auto"/>
            <w:vAlign w:val="bottom"/>
          </w:tcPr>
          <w:p w14:paraId="71D6F00F"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66,2 %</w:t>
            </w:r>
          </w:p>
        </w:tc>
      </w:tr>
      <w:tr w:rsidR="00D766F9" w:rsidRPr="00D766F9" w14:paraId="51BEF633" w14:textId="77777777" w:rsidTr="00D766F9">
        <w:trPr>
          <w:trHeight w:val="240"/>
        </w:trPr>
        <w:tc>
          <w:tcPr>
            <w:tcW w:w="1958" w:type="dxa"/>
            <w:shd w:val="clear" w:color="auto" w:fill="auto"/>
          </w:tcPr>
          <w:p w14:paraId="5016B837"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Construcción</w:t>
            </w:r>
          </w:p>
        </w:tc>
        <w:tc>
          <w:tcPr>
            <w:tcW w:w="904" w:type="dxa"/>
            <w:shd w:val="clear" w:color="auto" w:fill="auto"/>
            <w:vAlign w:val="bottom"/>
          </w:tcPr>
          <w:p w14:paraId="12A5F9F0" w14:textId="6188D61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w:t>
            </w:r>
            <w:r w:rsidR="00BB6658">
              <w:rPr>
                <w:sz w:val="18"/>
              </w:rPr>
              <w:t xml:space="preserve"> </w:t>
            </w:r>
            <w:r w:rsidRPr="00CD692A">
              <w:rPr>
                <w:sz w:val="18"/>
              </w:rPr>
              <w:t>709</w:t>
            </w:r>
          </w:p>
        </w:tc>
        <w:tc>
          <w:tcPr>
            <w:tcW w:w="904" w:type="dxa"/>
            <w:shd w:val="clear" w:color="auto" w:fill="auto"/>
            <w:vAlign w:val="bottom"/>
          </w:tcPr>
          <w:p w14:paraId="04722B8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2,3 %</w:t>
            </w:r>
          </w:p>
        </w:tc>
        <w:tc>
          <w:tcPr>
            <w:tcW w:w="1055" w:type="dxa"/>
            <w:shd w:val="clear" w:color="auto" w:fill="auto"/>
            <w:vAlign w:val="bottom"/>
          </w:tcPr>
          <w:p w14:paraId="2AFBB9FF" w14:textId="4BEAD4A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12</w:t>
            </w:r>
            <w:r w:rsidR="00BB6658">
              <w:rPr>
                <w:sz w:val="18"/>
              </w:rPr>
              <w:t xml:space="preserve"> </w:t>
            </w:r>
            <w:r w:rsidRPr="00CD692A">
              <w:rPr>
                <w:sz w:val="18"/>
              </w:rPr>
              <w:t>996</w:t>
            </w:r>
          </w:p>
        </w:tc>
        <w:tc>
          <w:tcPr>
            <w:tcW w:w="905" w:type="dxa"/>
            <w:shd w:val="clear" w:color="auto" w:fill="auto"/>
            <w:vAlign w:val="bottom"/>
          </w:tcPr>
          <w:p w14:paraId="161B4614"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3,3 %</w:t>
            </w:r>
          </w:p>
        </w:tc>
        <w:tc>
          <w:tcPr>
            <w:tcW w:w="904" w:type="dxa"/>
            <w:shd w:val="clear" w:color="auto" w:fill="auto"/>
            <w:vAlign w:val="bottom"/>
          </w:tcPr>
          <w:p w14:paraId="2F5C29F5" w14:textId="65A9ECD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15</w:t>
            </w:r>
            <w:r w:rsidR="00BB6658">
              <w:rPr>
                <w:sz w:val="18"/>
              </w:rPr>
              <w:t xml:space="preserve"> </w:t>
            </w:r>
            <w:r w:rsidRPr="00CD692A">
              <w:rPr>
                <w:sz w:val="18"/>
              </w:rPr>
              <w:t>052</w:t>
            </w:r>
          </w:p>
        </w:tc>
        <w:tc>
          <w:tcPr>
            <w:tcW w:w="905" w:type="dxa"/>
            <w:shd w:val="clear" w:color="auto" w:fill="auto"/>
            <w:vAlign w:val="bottom"/>
          </w:tcPr>
          <w:p w14:paraId="7DC27AC9"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3,8 %</w:t>
            </w:r>
          </w:p>
        </w:tc>
        <w:tc>
          <w:tcPr>
            <w:tcW w:w="1162" w:type="dxa"/>
            <w:shd w:val="clear" w:color="auto" w:fill="auto"/>
            <w:vAlign w:val="bottom"/>
          </w:tcPr>
          <w:p w14:paraId="28ED689B" w14:textId="2E4B0FF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36</w:t>
            </w:r>
            <w:r w:rsidR="00BB6658">
              <w:rPr>
                <w:sz w:val="18"/>
              </w:rPr>
              <w:t xml:space="preserve"> </w:t>
            </w:r>
            <w:r w:rsidRPr="00CD692A">
              <w:rPr>
                <w:sz w:val="18"/>
              </w:rPr>
              <w:t>757</w:t>
            </w:r>
          </w:p>
        </w:tc>
        <w:tc>
          <w:tcPr>
            <w:tcW w:w="942" w:type="dxa"/>
            <w:shd w:val="clear" w:color="auto" w:fill="auto"/>
            <w:vAlign w:val="bottom"/>
          </w:tcPr>
          <w:p w14:paraId="36D2D841"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3,2 %</w:t>
            </w:r>
          </w:p>
        </w:tc>
      </w:tr>
      <w:tr w:rsidR="00D766F9" w:rsidRPr="00D766F9" w14:paraId="2608F29F" w14:textId="77777777" w:rsidTr="00D766F9">
        <w:trPr>
          <w:trHeight w:val="240"/>
        </w:trPr>
        <w:tc>
          <w:tcPr>
            <w:tcW w:w="1958" w:type="dxa"/>
            <w:shd w:val="clear" w:color="auto" w:fill="auto"/>
          </w:tcPr>
          <w:p w14:paraId="25F7F266"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Comercio mayorista y minorista</w:t>
            </w:r>
          </w:p>
        </w:tc>
        <w:tc>
          <w:tcPr>
            <w:tcW w:w="904" w:type="dxa"/>
            <w:shd w:val="clear" w:color="auto" w:fill="auto"/>
            <w:vAlign w:val="bottom"/>
          </w:tcPr>
          <w:p w14:paraId="341AEDCD" w14:textId="427ACFC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w:t>
            </w:r>
            <w:r w:rsidR="00BB6658">
              <w:rPr>
                <w:sz w:val="18"/>
              </w:rPr>
              <w:t xml:space="preserve"> </w:t>
            </w:r>
            <w:r w:rsidRPr="00CD692A">
              <w:rPr>
                <w:sz w:val="18"/>
              </w:rPr>
              <w:t>471</w:t>
            </w:r>
          </w:p>
        </w:tc>
        <w:tc>
          <w:tcPr>
            <w:tcW w:w="904" w:type="dxa"/>
            <w:shd w:val="clear" w:color="auto" w:fill="auto"/>
            <w:vAlign w:val="bottom"/>
          </w:tcPr>
          <w:p w14:paraId="0821948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0,9 %</w:t>
            </w:r>
          </w:p>
        </w:tc>
        <w:tc>
          <w:tcPr>
            <w:tcW w:w="1055" w:type="dxa"/>
            <w:shd w:val="clear" w:color="auto" w:fill="auto"/>
            <w:vAlign w:val="bottom"/>
          </w:tcPr>
          <w:p w14:paraId="0B4C150E" w14:textId="0B7C9AC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13</w:t>
            </w:r>
            <w:r w:rsidR="00BB6658">
              <w:rPr>
                <w:sz w:val="18"/>
              </w:rPr>
              <w:t xml:space="preserve"> </w:t>
            </w:r>
            <w:r w:rsidRPr="00CD692A">
              <w:rPr>
                <w:sz w:val="18"/>
              </w:rPr>
              <w:t>294</w:t>
            </w:r>
          </w:p>
        </w:tc>
        <w:tc>
          <w:tcPr>
            <w:tcW w:w="905" w:type="dxa"/>
            <w:shd w:val="clear" w:color="auto" w:fill="auto"/>
            <w:vAlign w:val="bottom"/>
          </w:tcPr>
          <w:p w14:paraId="00D05FEE"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3,4 %</w:t>
            </w:r>
          </w:p>
        </w:tc>
        <w:tc>
          <w:tcPr>
            <w:tcW w:w="904" w:type="dxa"/>
            <w:shd w:val="clear" w:color="auto" w:fill="auto"/>
            <w:vAlign w:val="bottom"/>
          </w:tcPr>
          <w:p w14:paraId="54FCD685" w14:textId="3CCB948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15</w:t>
            </w:r>
            <w:r w:rsidR="00BB6658">
              <w:rPr>
                <w:sz w:val="18"/>
              </w:rPr>
              <w:t xml:space="preserve"> </w:t>
            </w:r>
            <w:r w:rsidRPr="00CD692A">
              <w:rPr>
                <w:sz w:val="18"/>
              </w:rPr>
              <w:t>620</w:t>
            </w:r>
          </w:p>
        </w:tc>
        <w:tc>
          <w:tcPr>
            <w:tcW w:w="905" w:type="dxa"/>
            <w:shd w:val="clear" w:color="auto" w:fill="auto"/>
            <w:vAlign w:val="bottom"/>
          </w:tcPr>
          <w:p w14:paraId="02BE9AD7"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3,9 %</w:t>
            </w:r>
          </w:p>
        </w:tc>
        <w:tc>
          <w:tcPr>
            <w:tcW w:w="1162" w:type="dxa"/>
            <w:shd w:val="clear" w:color="auto" w:fill="auto"/>
            <w:vAlign w:val="bottom"/>
          </w:tcPr>
          <w:p w14:paraId="6546E5F9" w14:textId="5C52FF8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32</w:t>
            </w:r>
            <w:r w:rsidR="00BB6658">
              <w:rPr>
                <w:sz w:val="18"/>
              </w:rPr>
              <w:t xml:space="preserve"> </w:t>
            </w:r>
            <w:r w:rsidRPr="00CD692A">
              <w:rPr>
                <w:sz w:val="18"/>
              </w:rPr>
              <w:t>385</w:t>
            </w:r>
          </w:p>
        </w:tc>
        <w:tc>
          <w:tcPr>
            <w:tcW w:w="942" w:type="dxa"/>
            <w:shd w:val="clear" w:color="auto" w:fill="auto"/>
            <w:vAlign w:val="bottom"/>
          </w:tcPr>
          <w:p w14:paraId="6BF16051"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2,8 %</w:t>
            </w:r>
          </w:p>
        </w:tc>
      </w:tr>
      <w:tr w:rsidR="00D766F9" w:rsidRPr="00D766F9" w14:paraId="7BEC6EA1" w14:textId="77777777" w:rsidTr="00D766F9">
        <w:trPr>
          <w:trHeight w:val="240"/>
        </w:trPr>
        <w:tc>
          <w:tcPr>
            <w:tcW w:w="1958" w:type="dxa"/>
            <w:shd w:val="clear" w:color="auto" w:fill="auto"/>
          </w:tcPr>
          <w:p w14:paraId="40508684"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Trabajo doméstico</w:t>
            </w:r>
          </w:p>
        </w:tc>
        <w:tc>
          <w:tcPr>
            <w:tcW w:w="904" w:type="dxa"/>
            <w:shd w:val="clear" w:color="auto" w:fill="auto"/>
            <w:vAlign w:val="bottom"/>
          </w:tcPr>
          <w:p w14:paraId="6C455E1A" w14:textId="716D8B71"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180</w:t>
            </w:r>
            <w:r w:rsidR="00BB6658">
              <w:rPr>
                <w:sz w:val="18"/>
              </w:rPr>
              <w:t xml:space="preserve"> </w:t>
            </w:r>
            <w:r w:rsidRPr="00CD692A">
              <w:rPr>
                <w:sz w:val="18"/>
              </w:rPr>
              <w:t>550</w:t>
            </w:r>
          </w:p>
        </w:tc>
        <w:tc>
          <w:tcPr>
            <w:tcW w:w="904" w:type="dxa"/>
            <w:shd w:val="clear" w:color="auto" w:fill="auto"/>
            <w:vAlign w:val="bottom"/>
          </w:tcPr>
          <w:p w14:paraId="3C37F7B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48,7 %</w:t>
            </w:r>
          </w:p>
        </w:tc>
        <w:tc>
          <w:tcPr>
            <w:tcW w:w="1055" w:type="dxa"/>
            <w:shd w:val="clear" w:color="auto" w:fill="auto"/>
            <w:vAlign w:val="bottom"/>
          </w:tcPr>
          <w:p w14:paraId="4A271374" w14:textId="080C1CA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99</w:t>
            </w:r>
            <w:r w:rsidR="00BB6658">
              <w:rPr>
                <w:sz w:val="18"/>
              </w:rPr>
              <w:t xml:space="preserve"> </w:t>
            </w:r>
            <w:r w:rsidRPr="00CD692A">
              <w:rPr>
                <w:sz w:val="18"/>
              </w:rPr>
              <w:t>896</w:t>
            </w:r>
          </w:p>
        </w:tc>
        <w:tc>
          <w:tcPr>
            <w:tcW w:w="905" w:type="dxa"/>
            <w:shd w:val="clear" w:color="auto" w:fill="auto"/>
            <w:vAlign w:val="bottom"/>
          </w:tcPr>
          <w:p w14:paraId="5822192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25,5 %</w:t>
            </w:r>
          </w:p>
        </w:tc>
        <w:tc>
          <w:tcPr>
            <w:tcW w:w="904" w:type="dxa"/>
            <w:shd w:val="clear" w:color="auto" w:fill="auto"/>
            <w:vAlign w:val="bottom"/>
          </w:tcPr>
          <w:p w14:paraId="2F2C39CC" w14:textId="293A304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38</w:t>
            </w:r>
            <w:r w:rsidR="00BB6658">
              <w:rPr>
                <w:sz w:val="18"/>
              </w:rPr>
              <w:t xml:space="preserve"> </w:t>
            </w:r>
            <w:r w:rsidRPr="00CD692A">
              <w:rPr>
                <w:sz w:val="18"/>
              </w:rPr>
              <w:t>677</w:t>
            </w:r>
          </w:p>
        </w:tc>
        <w:tc>
          <w:tcPr>
            <w:tcW w:w="905" w:type="dxa"/>
            <w:shd w:val="clear" w:color="auto" w:fill="auto"/>
            <w:vAlign w:val="bottom"/>
          </w:tcPr>
          <w:p w14:paraId="4EB2234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9,6 %</w:t>
            </w:r>
          </w:p>
        </w:tc>
        <w:tc>
          <w:tcPr>
            <w:tcW w:w="1162" w:type="dxa"/>
            <w:shd w:val="clear" w:color="auto" w:fill="auto"/>
            <w:vAlign w:val="bottom"/>
          </w:tcPr>
          <w:p w14:paraId="22FFF7F1" w14:textId="7D508F63"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319</w:t>
            </w:r>
            <w:r w:rsidR="00BB6658">
              <w:rPr>
                <w:sz w:val="18"/>
              </w:rPr>
              <w:t xml:space="preserve"> </w:t>
            </w:r>
            <w:r w:rsidRPr="00CD692A">
              <w:rPr>
                <w:sz w:val="18"/>
              </w:rPr>
              <w:t>123</w:t>
            </w:r>
          </w:p>
        </w:tc>
        <w:tc>
          <w:tcPr>
            <w:tcW w:w="942" w:type="dxa"/>
            <w:shd w:val="clear" w:color="auto" w:fill="auto"/>
            <w:vAlign w:val="bottom"/>
          </w:tcPr>
          <w:p w14:paraId="50D7A547"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27,4 %</w:t>
            </w:r>
          </w:p>
        </w:tc>
      </w:tr>
      <w:tr w:rsidR="00D766F9" w:rsidRPr="00D766F9" w14:paraId="291710A9" w14:textId="77777777" w:rsidTr="00D766F9">
        <w:trPr>
          <w:trHeight w:val="240"/>
        </w:trPr>
        <w:tc>
          <w:tcPr>
            <w:tcW w:w="1958" w:type="dxa"/>
            <w:shd w:val="clear" w:color="auto" w:fill="auto"/>
          </w:tcPr>
          <w:p w14:paraId="385D0E86"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Otros sectores</w:t>
            </w:r>
          </w:p>
        </w:tc>
        <w:tc>
          <w:tcPr>
            <w:tcW w:w="904" w:type="dxa"/>
            <w:shd w:val="clear" w:color="auto" w:fill="auto"/>
            <w:vAlign w:val="bottom"/>
          </w:tcPr>
          <w:p w14:paraId="65030438" w14:textId="23F571E3"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w:t>
            </w:r>
            <w:r w:rsidR="00BB6658">
              <w:rPr>
                <w:sz w:val="18"/>
              </w:rPr>
              <w:t xml:space="preserve"> </w:t>
            </w:r>
            <w:r w:rsidRPr="00CD692A">
              <w:rPr>
                <w:sz w:val="18"/>
              </w:rPr>
              <w:t>028</w:t>
            </w:r>
          </w:p>
        </w:tc>
        <w:tc>
          <w:tcPr>
            <w:tcW w:w="904" w:type="dxa"/>
            <w:shd w:val="clear" w:color="auto" w:fill="auto"/>
            <w:vAlign w:val="bottom"/>
          </w:tcPr>
          <w:p w14:paraId="3FC5B48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0,8 %</w:t>
            </w:r>
          </w:p>
        </w:tc>
        <w:tc>
          <w:tcPr>
            <w:tcW w:w="1055" w:type="dxa"/>
            <w:shd w:val="clear" w:color="auto" w:fill="auto"/>
            <w:vAlign w:val="bottom"/>
          </w:tcPr>
          <w:p w14:paraId="1EAAA2BD" w14:textId="2A92B66C"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038</w:t>
            </w:r>
          </w:p>
        </w:tc>
        <w:tc>
          <w:tcPr>
            <w:tcW w:w="905" w:type="dxa"/>
            <w:shd w:val="clear" w:color="auto" w:fill="auto"/>
            <w:vAlign w:val="bottom"/>
          </w:tcPr>
          <w:p w14:paraId="1331F964"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0,3 %</w:t>
            </w:r>
          </w:p>
        </w:tc>
        <w:tc>
          <w:tcPr>
            <w:tcW w:w="904" w:type="dxa"/>
            <w:shd w:val="clear" w:color="auto" w:fill="auto"/>
            <w:vAlign w:val="bottom"/>
          </w:tcPr>
          <w:p w14:paraId="7F3924CD" w14:textId="47C96062"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381</w:t>
            </w:r>
          </w:p>
        </w:tc>
        <w:tc>
          <w:tcPr>
            <w:tcW w:w="905" w:type="dxa"/>
            <w:shd w:val="clear" w:color="auto" w:fill="auto"/>
            <w:vAlign w:val="bottom"/>
          </w:tcPr>
          <w:p w14:paraId="4E45C48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0,3 %</w:t>
            </w:r>
          </w:p>
        </w:tc>
        <w:tc>
          <w:tcPr>
            <w:tcW w:w="1162" w:type="dxa"/>
            <w:shd w:val="clear" w:color="auto" w:fill="auto"/>
            <w:vAlign w:val="bottom"/>
          </w:tcPr>
          <w:p w14:paraId="659088C4" w14:textId="30D323DB"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w:t>
            </w:r>
            <w:r w:rsidR="00BB6658">
              <w:rPr>
                <w:sz w:val="18"/>
              </w:rPr>
              <w:t xml:space="preserve"> </w:t>
            </w:r>
            <w:r w:rsidRPr="00CD692A">
              <w:rPr>
                <w:sz w:val="18"/>
              </w:rPr>
              <w:t>447</w:t>
            </w:r>
          </w:p>
        </w:tc>
        <w:tc>
          <w:tcPr>
            <w:tcW w:w="942" w:type="dxa"/>
            <w:shd w:val="clear" w:color="auto" w:fill="auto"/>
            <w:vAlign w:val="bottom"/>
          </w:tcPr>
          <w:p w14:paraId="74DBA35D"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0,5 %</w:t>
            </w:r>
          </w:p>
        </w:tc>
      </w:tr>
      <w:tr w:rsidR="00D766F9" w:rsidRPr="00D766F9" w14:paraId="34786012" w14:textId="77777777" w:rsidTr="00D766F9">
        <w:trPr>
          <w:trHeight w:val="240"/>
        </w:trPr>
        <w:tc>
          <w:tcPr>
            <w:tcW w:w="1958" w:type="dxa"/>
            <w:tcBorders>
              <w:bottom w:val="single" w:sz="4" w:space="0" w:color="auto"/>
            </w:tcBorders>
            <w:shd w:val="clear" w:color="auto" w:fill="auto"/>
          </w:tcPr>
          <w:p w14:paraId="74E6F031"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b/>
                <w:sz w:val="18"/>
                <w:lang w:val="en-GB"/>
              </w:rPr>
            </w:pPr>
            <w:r w:rsidRPr="00CD692A">
              <w:rPr>
                <w:b/>
                <w:sz w:val="18"/>
              </w:rPr>
              <w:t>Niños</w:t>
            </w:r>
          </w:p>
        </w:tc>
        <w:tc>
          <w:tcPr>
            <w:tcW w:w="904" w:type="dxa"/>
            <w:tcBorders>
              <w:bottom w:val="single" w:sz="4" w:space="0" w:color="auto"/>
            </w:tcBorders>
            <w:shd w:val="clear" w:color="auto" w:fill="auto"/>
            <w:vAlign w:val="bottom"/>
          </w:tcPr>
          <w:p w14:paraId="5A998EF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4" w:type="dxa"/>
            <w:tcBorders>
              <w:bottom w:val="single" w:sz="4" w:space="0" w:color="auto"/>
            </w:tcBorders>
            <w:shd w:val="clear" w:color="auto" w:fill="auto"/>
            <w:vAlign w:val="bottom"/>
          </w:tcPr>
          <w:p w14:paraId="500EB40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1055" w:type="dxa"/>
            <w:tcBorders>
              <w:bottom w:val="single" w:sz="4" w:space="0" w:color="auto"/>
            </w:tcBorders>
            <w:shd w:val="clear" w:color="auto" w:fill="auto"/>
            <w:vAlign w:val="bottom"/>
          </w:tcPr>
          <w:p w14:paraId="5F1C8A7D"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5" w:type="dxa"/>
            <w:tcBorders>
              <w:bottom w:val="single" w:sz="4" w:space="0" w:color="auto"/>
            </w:tcBorders>
            <w:shd w:val="clear" w:color="auto" w:fill="auto"/>
            <w:vAlign w:val="bottom"/>
          </w:tcPr>
          <w:p w14:paraId="64F9CE7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4" w:type="dxa"/>
            <w:tcBorders>
              <w:bottom w:val="single" w:sz="4" w:space="0" w:color="auto"/>
            </w:tcBorders>
            <w:shd w:val="clear" w:color="auto" w:fill="auto"/>
            <w:vAlign w:val="bottom"/>
          </w:tcPr>
          <w:p w14:paraId="5E72FBD4"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5" w:type="dxa"/>
            <w:tcBorders>
              <w:bottom w:val="single" w:sz="4" w:space="0" w:color="auto"/>
            </w:tcBorders>
            <w:shd w:val="clear" w:color="auto" w:fill="auto"/>
            <w:vAlign w:val="bottom"/>
          </w:tcPr>
          <w:p w14:paraId="7C33E83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1162" w:type="dxa"/>
            <w:tcBorders>
              <w:bottom w:val="single" w:sz="4" w:space="0" w:color="auto"/>
            </w:tcBorders>
            <w:shd w:val="clear" w:color="auto" w:fill="auto"/>
            <w:vAlign w:val="bottom"/>
          </w:tcPr>
          <w:p w14:paraId="6E60EEB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42" w:type="dxa"/>
            <w:tcBorders>
              <w:bottom w:val="single" w:sz="4" w:space="0" w:color="auto"/>
            </w:tcBorders>
            <w:shd w:val="clear" w:color="auto" w:fill="auto"/>
            <w:vAlign w:val="bottom"/>
          </w:tcPr>
          <w:p w14:paraId="17B2767D"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r>
      <w:tr w:rsidR="00D766F9" w:rsidRPr="00D766F9" w14:paraId="32174E84" w14:textId="77777777" w:rsidTr="00D766F9">
        <w:trPr>
          <w:trHeight w:val="240"/>
        </w:trPr>
        <w:tc>
          <w:tcPr>
            <w:tcW w:w="1958" w:type="dxa"/>
            <w:tcBorders>
              <w:top w:val="single" w:sz="4" w:space="0" w:color="auto"/>
              <w:bottom w:val="single" w:sz="4" w:space="0" w:color="auto"/>
            </w:tcBorders>
            <w:shd w:val="clear" w:color="auto" w:fill="auto"/>
          </w:tcPr>
          <w:p w14:paraId="090A5108" w14:textId="77777777" w:rsidR="00CD692A" w:rsidRPr="00CD692A" w:rsidRDefault="00CD692A" w:rsidP="00D766F9">
            <w:pPr>
              <w:pStyle w:val="SingleTxtG"/>
              <w:tabs>
                <w:tab w:val="clear" w:pos="1701"/>
                <w:tab w:val="clear" w:pos="2268"/>
                <w:tab w:val="clear" w:pos="2835"/>
              </w:tabs>
              <w:spacing w:before="80" w:after="80" w:line="220" w:lineRule="exact"/>
              <w:ind w:left="283" w:right="0"/>
              <w:jc w:val="left"/>
              <w:rPr>
                <w:b/>
                <w:sz w:val="18"/>
                <w:lang w:val="en-GB"/>
              </w:rPr>
            </w:pPr>
            <w:r w:rsidRPr="00CD692A">
              <w:rPr>
                <w:b/>
                <w:bCs/>
                <w:sz w:val="18"/>
              </w:rPr>
              <w:t>Total</w:t>
            </w:r>
          </w:p>
        </w:tc>
        <w:tc>
          <w:tcPr>
            <w:tcW w:w="904" w:type="dxa"/>
            <w:tcBorders>
              <w:top w:val="single" w:sz="4" w:space="0" w:color="auto"/>
              <w:bottom w:val="single" w:sz="4" w:space="0" w:color="auto"/>
            </w:tcBorders>
            <w:shd w:val="clear" w:color="auto" w:fill="auto"/>
            <w:vAlign w:val="bottom"/>
          </w:tcPr>
          <w:p w14:paraId="6BD3661D" w14:textId="15CC9391"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189</w:t>
            </w:r>
            <w:r w:rsidR="00BB6658">
              <w:rPr>
                <w:b/>
                <w:bCs/>
                <w:sz w:val="18"/>
              </w:rPr>
              <w:t xml:space="preserve"> </w:t>
            </w:r>
            <w:r w:rsidRPr="00CD692A">
              <w:rPr>
                <w:b/>
                <w:bCs/>
                <w:sz w:val="18"/>
              </w:rPr>
              <w:t>391</w:t>
            </w:r>
          </w:p>
        </w:tc>
        <w:tc>
          <w:tcPr>
            <w:tcW w:w="904" w:type="dxa"/>
            <w:tcBorders>
              <w:top w:val="single" w:sz="4" w:space="0" w:color="auto"/>
              <w:bottom w:val="single" w:sz="4" w:space="0" w:color="auto"/>
            </w:tcBorders>
            <w:shd w:val="clear" w:color="auto" w:fill="auto"/>
            <w:vAlign w:val="bottom"/>
          </w:tcPr>
          <w:p w14:paraId="280147F2"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055" w:type="dxa"/>
            <w:tcBorders>
              <w:top w:val="single" w:sz="4" w:space="0" w:color="auto"/>
              <w:bottom w:val="single" w:sz="4" w:space="0" w:color="auto"/>
            </w:tcBorders>
            <w:shd w:val="clear" w:color="auto" w:fill="auto"/>
            <w:vAlign w:val="bottom"/>
          </w:tcPr>
          <w:p w14:paraId="5431C77C" w14:textId="662EA96A"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223</w:t>
            </w:r>
            <w:r w:rsidR="00BB6658">
              <w:rPr>
                <w:b/>
                <w:bCs/>
                <w:sz w:val="18"/>
              </w:rPr>
              <w:t xml:space="preserve"> </w:t>
            </w:r>
            <w:r w:rsidRPr="00CD692A">
              <w:rPr>
                <w:b/>
                <w:bCs/>
                <w:sz w:val="18"/>
              </w:rPr>
              <w:t>592</w:t>
            </w:r>
          </w:p>
        </w:tc>
        <w:tc>
          <w:tcPr>
            <w:tcW w:w="905" w:type="dxa"/>
            <w:tcBorders>
              <w:top w:val="single" w:sz="4" w:space="0" w:color="auto"/>
              <w:bottom w:val="single" w:sz="4" w:space="0" w:color="auto"/>
            </w:tcBorders>
            <w:shd w:val="clear" w:color="auto" w:fill="auto"/>
            <w:vAlign w:val="bottom"/>
          </w:tcPr>
          <w:p w14:paraId="14BEBF35"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904" w:type="dxa"/>
            <w:tcBorders>
              <w:top w:val="single" w:sz="4" w:space="0" w:color="auto"/>
              <w:bottom w:val="single" w:sz="4" w:space="0" w:color="auto"/>
            </w:tcBorders>
            <w:shd w:val="clear" w:color="auto" w:fill="auto"/>
            <w:vAlign w:val="bottom"/>
          </w:tcPr>
          <w:p w14:paraId="74BA21F4" w14:textId="017D4F99"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211</w:t>
            </w:r>
            <w:r w:rsidR="00BB6658">
              <w:rPr>
                <w:b/>
                <w:bCs/>
                <w:sz w:val="18"/>
              </w:rPr>
              <w:t xml:space="preserve"> </w:t>
            </w:r>
            <w:r w:rsidRPr="00CD692A">
              <w:rPr>
                <w:b/>
                <w:bCs/>
                <w:sz w:val="18"/>
              </w:rPr>
              <w:t>575</w:t>
            </w:r>
          </w:p>
        </w:tc>
        <w:tc>
          <w:tcPr>
            <w:tcW w:w="905" w:type="dxa"/>
            <w:tcBorders>
              <w:top w:val="single" w:sz="4" w:space="0" w:color="auto"/>
              <w:bottom w:val="single" w:sz="4" w:space="0" w:color="auto"/>
            </w:tcBorders>
            <w:shd w:val="clear" w:color="auto" w:fill="auto"/>
            <w:vAlign w:val="bottom"/>
          </w:tcPr>
          <w:p w14:paraId="23B57558"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162" w:type="dxa"/>
            <w:tcBorders>
              <w:top w:val="single" w:sz="4" w:space="0" w:color="auto"/>
              <w:bottom w:val="single" w:sz="4" w:space="0" w:color="auto"/>
            </w:tcBorders>
            <w:shd w:val="clear" w:color="auto" w:fill="auto"/>
            <w:vAlign w:val="bottom"/>
          </w:tcPr>
          <w:p w14:paraId="0363736F" w14:textId="5E71CE15"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624</w:t>
            </w:r>
            <w:r w:rsidR="00BB6658">
              <w:rPr>
                <w:b/>
                <w:bCs/>
                <w:sz w:val="18"/>
              </w:rPr>
              <w:t xml:space="preserve"> </w:t>
            </w:r>
            <w:r w:rsidRPr="00CD692A">
              <w:rPr>
                <w:b/>
                <w:bCs/>
                <w:sz w:val="18"/>
              </w:rPr>
              <w:t>558</w:t>
            </w:r>
          </w:p>
        </w:tc>
        <w:tc>
          <w:tcPr>
            <w:tcW w:w="942" w:type="dxa"/>
            <w:tcBorders>
              <w:top w:val="single" w:sz="4" w:space="0" w:color="auto"/>
              <w:bottom w:val="single" w:sz="4" w:space="0" w:color="auto"/>
            </w:tcBorders>
            <w:shd w:val="clear" w:color="auto" w:fill="auto"/>
            <w:vAlign w:val="bottom"/>
          </w:tcPr>
          <w:p w14:paraId="19502139"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r>
      <w:tr w:rsidR="00D766F9" w:rsidRPr="00D766F9" w14:paraId="374C31E7" w14:textId="77777777" w:rsidTr="00D766F9">
        <w:trPr>
          <w:trHeight w:val="240"/>
        </w:trPr>
        <w:tc>
          <w:tcPr>
            <w:tcW w:w="1958" w:type="dxa"/>
            <w:tcBorders>
              <w:top w:val="single" w:sz="4" w:space="0" w:color="auto"/>
            </w:tcBorders>
            <w:shd w:val="clear" w:color="auto" w:fill="auto"/>
          </w:tcPr>
          <w:p w14:paraId="432BEA61"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Agricultura, silvicultura y pesca</w:t>
            </w:r>
          </w:p>
        </w:tc>
        <w:tc>
          <w:tcPr>
            <w:tcW w:w="904" w:type="dxa"/>
            <w:tcBorders>
              <w:top w:val="single" w:sz="4" w:space="0" w:color="auto"/>
            </w:tcBorders>
            <w:shd w:val="clear" w:color="auto" w:fill="auto"/>
            <w:vAlign w:val="bottom"/>
          </w:tcPr>
          <w:p w14:paraId="06CB6F92" w14:textId="2E55ECF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100</w:t>
            </w:r>
            <w:r w:rsidR="00BB6658">
              <w:rPr>
                <w:sz w:val="18"/>
              </w:rPr>
              <w:t xml:space="preserve"> </w:t>
            </w:r>
            <w:r w:rsidRPr="00CD692A">
              <w:rPr>
                <w:sz w:val="18"/>
              </w:rPr>
              <w:t>848</w:t>
            </w:r>
          </w:p>
        </w:tc>
        <w:tc>
          <w:tcPr>
            <w:tcW w:w="904" w:type="dxa"/>
            <w:tcBorders>
              <w:top w:val="single" w:sz="4" w:space="0" w:color="auto"/>
            </w:tcBorders>
            <w:shd w:val="clear" w:color="auto" w:fill="auto"/>
            <w:vAlign w:val="bottom"/>
          </w:tcPr>
          <w:p w14:paraId="4583EFD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53,2 %</w:t>
            </w:r>
          </w:p>
        </w:tc>
        <w:tc>
          <w:tcPr>
            <w:tcW w:w="1055" w:type="dxa"/>
            <w:tcBorders>
              <w:top w:val="single" w:sz="4" w:space="0" w:color="auto"/>
            </w:tcBorders>
            <w:shd w:val="clear" w:color="auto" w:fill="auto"/>
            <w:vAlign w:val="bottom"/>
          </w:tcPr>
          <w:p w14:paraId="71949644" w14:textId="52C148F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156</w:t>
            </w:r>
            <w:r w:rsidR="00BB6658">
              <w:rPr>
                <w:sz w:val="18"/>
              </w:rPr>
              <w:t xml:space="preserve"> </w:t>
            </w:r>
            <w:r w:rsidRPr="00CD692A">
              <w:rPr>
                <w:sz w:val="18"/>
              </w:rPr>
              <w:t>669</w:t>
            </w:r>
          </w:p>
        </w:tc>
        <w:tc>
          <w:tcPr>
            <w:tcW w:w="905" w:type="dxa"/>
            <w:tcBorders>
              <w:top w:val="single" w:sz="4" w:space="0" w:color="auto"/>
            </w:tcBorders>
            <w:shd w:val="clear" w:color="auto" w:fill="auto"/>
            <w:vAlign w:val="bottom"/>
          </w:tcPr>
          <w:p w14:paraId="6C55B16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70,1 %</w:t>
            </w:r>
          </w:p>
        </w:tc>
        <w:tc>
          <w:tcPr>
            <w:tcW w:w="904" w:type="dxa"/>
            <w:tcBorders>
              <w:top w:val="single" w:sz="4" w:space="0" w:color="auto"/>
            </w:tcBorders>
            <w:shd w:val="clear" w:color="auto" w:fill="auto"/>
            <w:vAlign w:val="bottom"/>
          </w:tcPr>
          <w:p w14:paraId="2E82A7B0" w14:textId="50D3522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174</w:t>
            </w:r>
            <w:r w:rsidR="00BB6658">
              <w:rPr>
                <w:sz w:val="18"/>
              </w:rPr>
              <w:t xml:space="preserve"> </w:t>
            </w:r>
            <w:r w:rsidRPr="00CD692A">
              <w:rPr>
                <w:sz w:val="18"/>
              </w:rPr>
              <w:t>818</w:t>
            </w:r>
          </w:p>
        </w:tc>
        <w:tc>
          <w:tcPr>
            <w:tcW w:w="905" w:type="dxa"/>
            <w:tcBorders>
              <w:top w:val="single" w:sz="4" w:space="0" w:color="auto"/>
            </w:tcBorders>
            <w:shd w:val="clear" w:color="auto" w:fill="auto"/>
            <w:vAlign w:val="bottom"/>
          </w:tcPr>
          <w:p w14:paraId="6567CF7F"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82,6 %</w:t>
            </w:r>
          </w:p>
        </w:tc>
        <w:tc>
          <w:tcPr>
            <w:tcW w:w="1162" w:type="dxa"/>
            <w:tcBorders>
              <w:top w:val="single" w:sz="4" w:space="0" w:color="auto"/>
            </w:tcBorders>
            <w:shd w:val="clear" w:color="auto" w:fill="auto"/>
            <w:vAlign w:val="bottom"/>
          </w:tcPr>
          <w:p w14:paraId="5A901CB1" w14:textId="6E15797A"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432</w:t>
            </w:r>
            <w:r w:rsidR="00BB6658">
              <w:rPr>
                <w:sz w:val="18"/>
              </w:rPr>
              <w:t xml:space="preserve"> </w:t>
            </w:r>
            <w:r w:rsidRPr="00CD692A">
              <w:rPr>
                <w:sz w:val="18"/>
              </w:rPr>
              <w:t>335</w:t>
            </w:r>
          </w:p>
        </w:tc>
        <w:tc>
          <w:tcPr>
            <w:tcW w:w="942" w:type="dxa"/>
            <w:tcBorders>
              <w:top w:val="single" w:sz="4" w:space="0" w:color="auto"/>
            </w:tcBorders>
            <w:shd w:val="clear" w:color="auto" w:fill="auto"/>
            <w:vAlign w:val="bottom"/>
          </w:tcPr>
          <w:p w14:paraId="65A99F2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69,2 %</w:t>
            </w:r>
          </w:p>
        </w:tc>
      </w:tr>
      <w:tr w:rsidR="00D766F9" w:rsidRPr="00D766F9" w14:paraId="2D31D6FA" w14:textId="77777777" w:rsidTr="00D766F9">
        <w:trPr>
          <w:trHeight w:val="240"/>
        </w:trPr>
        <w:tc>
          <w:tcPr>
            <w:tcW w:w="1958" w:type="dxa"/>
            <w:shd w:val="clear" w:color="auto" w:fill="auto"/>
          </w:tcPr>
          <w:p w14:paraId="0123395F"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Construcción</w:t>
            </w:r>
          </w:p>
        </w:tc>
        <w:tc>
          <w:tcPr>
            <w:tcW w:w="904" w:type="dxa"/>
            <w:shd w:val="clear" w:color="auto" w:fill="auto"/>
            <w:vAlign w:val="bottom"/>
          </w:tcPr>
          <w:p w14:paraId="3F5CABCE" w14:textId="2A92CD1A"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w:t>
            </w:r>
            <w:r w:rsidR="00BB6658">
              <w:rPr>
                <w:sz w:val="18"/>
              </w:rPr>
              <w:t xml:space="preserve"> </w:t>
            </w:r>
            <w:r w:rsidRPr="00CD692A">
              <w:rPr>
                <w:sz w:val="18"/>
              </w:rPr>
              <w:t>917</w:t>
            </w:r>
          </w:p>
        </w:tc>
        <w:tc>
          <w:tcPr>
            <w:tcW w:w="904" w:type="dxa"/>
            <w:shd w:val="clear" w:color="auto" w:fill="auto"/>
            <w:vAlign w:val="bottom"/>
          </w:tcPr>
          <w:p w14:paraId="6137E3D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2,6 %</w:t>
            </w:r>
          </w:p>
        </w:tc>
        <w:tc>
          <w:tcPr>
            <w:tcW w:w="1055" w:type="dxa"/>
            <w:shd w:val="clear" w:color="auto" w:fill="auto"/>
            <w:vAlign w:val="bottom"/>
          </w:tcPr>
          <w:p w14:paraId="382B9009" w14:textId="29BF2CC2"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w:t>
            </w:r>
            <w:r w:rsidR="00BB6658">
              <w:rPr>
                <w:sz w:val="18"/>
              </w:rPr>
              <w:t xml:space="preserve"> </w:t>
            </w:r>
            <w:r w:rsidRPr="00CD692A">
              <w:rPr>
                <w:sz w:val="18"/>
              </w:rPr>
              <w:t>100</w:t>
            </w:r>
          </w:p>
        </w:tc>
        <w:tc>
          <w:tcPr>
            <w:tcW w:w="905" w:type="dxa"/>
            <w:shd w:val="clear" w:color="auto" w:fill="auto"/>
            <w:vAlign w:val="bottom"/>
          </w:tcPr>
          <w:p w14:paraId="7A416B34"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4,1 %</w:t>
            </w:r>
          </w:p>
        </w:tc>
        <w:tc>
          <w:tcPr>
            <w:tcW w:w="904" w:type="dxa"/>
            <w:shd w:val="clear" w:color="auto" w:fill="auto"/>
            <w:vAlign w:val="bottom"/>
          </w:tcPr>
          <w:p w14:paraId="3ABAA419" w14:textId="70E2DDB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w:t>
            </w:r>
            <w:r w:rsidR="00BB6658">
              <w:rPr>
                <w:sz w:val="18"/>
              </w:rPr>
              <w:t xml:space="preserve"> </w:t>
            </w:r>
            <w:r w:rsidRPr="00CD692A">
              <w:rPr>
                <w:sz w:val="18"/>
              </w:rPr>
              <w:t>686</w:t>
            </w:r>
          </w:p>
        </w:tc>
        <w:tc>
          <w:tcPr>
            <w:tcW w:w="905" w:type="dxa"/>
            <w:shd w:val="clear" w:color="auto" w:fill="auto"/>
            <w:vAlign w:val="bottom"/>
          </w:tcPr>
          <w:p w14:paraId="253636D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4,1 %</w:t>
            </w:r>
          </w:p>
        </w:tc>
        <w:tc>
          <w:tcPr>
            <w:tcW w:w="1162" w:type="dxa"/>
            <w:shd w:val="clear" w:color="auto" w:fill="auto"/>
            <w:vAlign w:val="bottom"/>
          </w:tcPr>
          <w:p w14:paraId="2BE19A56" w14:textId="20AA7C2C"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22</w:t>
            </w:r>
            <w:r w:rsidR="00BB6658">
              <w:rPr>
                <w:sz w:val="18"/>
              </w:rPr>
              <w:t xml:space="preserve"> </w:t>
            </w:r>
            <w:r w:rsidRPr="00CD692A">
              <w:rPr>
                <w:sz w:val="18"/>
              </w:rPr>
              <w:t>703</w:t>
            </w:r>
          </w:p>
        </w:tc>
        <w:tc>
          <w:tcPr>
            <w:tcW w:w="942" w:type="dxa"/>
            <w:shd w:val="clear" w:color="auto" w:fill="auto"/>
            <w:vAlign w:val="bottom"/>
          </w:tcPr>
          <w:p w14:paraId="08EAA7BE"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3,6 %</w:t>
            </w:r>
          </w:p>
        </w:tc>
      </w:tr>
      <w:tr w:rsidR="00D766F9" w:rsidRPr="00D766F9" w14:paraId="2D5B1924" w14:textId="77777777" w:rsidTr="00D766F9">
        <w:trPr>
          <w:trHeight w:val="240"/>
        </w:trPr>
        <w:tc>
          <w:tcPr>
            <w:tcW w:w="1958" w:type="dxa"/>
            <w:shd w:val="clear" w:color="auto" w:fill="auto"/>
          </w:tcPr>
          <w:p w14:paraId="6C10FC13"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Comercio mayorista y minorista</w:t>
            </w:r>
          </w:p>
        </w:tc>
        <w:tc>
          <w:tcPr>
            <w:tcW w:w="904" w:type="dxa"/>
            <w:shd w:val="clear" w:color="auto" w:fill="auto"/>
            <w:vAlign w:val="bottom"/>
          </w:tcPr>
          <w:p w14:paraId="62A35B23" w14:textId="56313576"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w:t>
            </w:r>
            <w:r w:rsidR="00BB6658">
              <w:rPr>
                <w:sz w:val="18"/>
              </w:rPr>
              <w:t xml:space="preserve"> </w:t>
            </w:r>
            <w:r w:rsidRPr="00CD692A">
              <w:rPr>
                <w:sz w:val="18"/>
              </w:rPr>
              <w:t>150</w:t>
            </w:r>
          </w:p>
        </w:tc>
        <w:tc>
          <w:tcPr>
            <w:tcW w:w="904" w:type="dxa"/>
            <w:shd w:val="clear" w:color="auto" w:fill="auto"/>
            <w:vAlign w:val="bottom"/>
          </w:tcPr>
          <w:p w14:paraId="2FEC3FD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1,1 %</w:t>
            </w:r>
          </w:p>
        </w:tc>
        <w:tc>
          <w:tcPr>
            <w:tcW w:w="1055" w:type="dxa"/>
            <w:shd w:val="clear" w:color="auto" w:fill="auto"/>
            <w:vAlign w:val="bottom"/>
          </w:tcPr>
          <w:p w14:paraId="15599A5C" w14:textId="08D9DA70"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w:t>
            </w:r>
            <w:r w:rsidR="00BB6658">
              <w:rPr>
                <w:sz w:val="18"/>
              </w:rPr>
              <w:t xml:space="preserve"> </w:t>
            </w:r>
            <w:r w:rsidRPr="00CD692A">
              <w:rPr>
                <w:sz w:val="18"/>
              </w:rPr>
              <w:t>599</w:t>
            </w:r>
          </w:p>
        </w:tc>
        <w:tc>
          <w:tcPr>
            <w:tcW w:w="905" w:type="dxa"/>
            <w:shd w:val="clear" w:color="auto" w:fill="auto"/>
            <w:vAlign w:val="bottom"/>
          </w:tcPr>
          <w:p w14:paraId="298375F1"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3 %</w:t>
            </w:r>
          </w:p>
        </w:tc>
        <w:tc>
          <w:tcPr>
            <w:tcW w:w="904" w:type="dxa"/>
            <w:shd w:val="clear" w:color="auto" w:fill="auto"/>
            <w:vAlign w:val="bottom"/>
          </w:tcPr>
          <w:p w14:paraId="33507312" w14:textId="4603DDD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w:t>
            </w:r>
            <w:r w:rsidR="00BB6658">
              <w:rPr>
                <w:sz w:val="18"/>
              </w:rPr>
              <w:t xml:space="preserve"> </w:t>
            </w:r>
            <w:r w:rsidRPr="00CD692A">
              <w:rPr>
                <w:sz w:val="18"/>
              </w:rPr>
              <w:t>568</w:t>
            </w:r>
          </w:p>
        </w:tc>
        <w:tc>
          <w:tcPr>
            <w:tcW w:w="905" w:type="dxa"/>
            <w:shd w:val="clear" w:color="auto" w:fill="auto"/>
            <w:vAlign w:val="bottom"/>
          </w:tcPr>
          <w:p w14:paraId="305B4F2F"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4,5 %</w:t>
            </w:r>
          </w:p>
        </w:tc>
        <w:tc>
          <w:tcPr>
            <w:tcW w:w="1162" w:type="dxa"/>
            <w:shd w:val="clear" w:color="auto" w:fill="auto"/>
            <w:vAlign w:val="bottom"/>
          </w:tcPr>
          <w:p w14:paraId="39F98927" w14:textId="6F878378"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18</w:t>
            </w:r>
            <w:r w:rsidR="00BB6658">
              <w:rPr>
                <w:sz w:val="18"/>
              </w:rPr>
              <w:t xml:space="preserve"> </w:t>
            </w:r>
            <w:r w:rsidRPr="00CD692A">
              <w:rPr>
                <w:sz w:val="18"/>
              </w:rPr>
              <w:t>317</w:t>
            </w:r>
          </w:p>
        </w:tc>
        <w:tc>
          <w:tcPr>
            <w:tcW w:w="942" w:type="dxa"/>
            <w:shd w:val="clear" w:color="auto" w:fill="auto"/>
            <w:vAlign w:val="bottom"/>
          </w:tcPr>
          <w:p w14:paraId="350F772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2,9 %</w:t>
            </w:r>
          </w:p>
        </w:tc>
      </w:tr>
      <w:tr w:rsidR="00D766F9" w:rsidRPr="00D766F9" w14:paraId="1E3B2F47" w14:textId="77777777" w:rsidTr="00D766F9">
        <w:trPr>
          <w:trHeight w:val="240"/>
        </w:trPr>
        <w:tc>
          <w:tcPr>
            <w:tcW w:w="1958" w:type="dxa"/>
            <w:shd w:val="clear" w:color="auto" w:fill="auto"/>
          </w:tcPr>
          <w:p w14:paraId="1AE04B3A"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Trabajo doméstico</w:t>
            </w:r>
          </w:p>
        </w:tc>
        <w:tc>
          <w:tcPr>
            <w:tcW w:w="904" w:type="dxa"/>
            <w:shd w:val="clear" w:color="auto" w:fill="auto"/>
            <w:vAlign w:val="bottom"/>
          </w:tcPr>
          <w:p w14:paraId="29B2BF0C" w14:textId="66E5A3C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79</w:t>
            </w:r>
            <w:r w:rsidR="00BB6658">
              <w:rPr>
                <w:sz w:val="18"/>
              </w:rPr>
              <w:t xml:space="preserve"> </w:t>
            </w:r>
            <w:r w:rsidRPr="00CD692A">
              <w:rPr>
                <w:sz w:val="18"/>
              </w:rPr>
              <w:t>854</w:t>
            </w:r>
          </w:p>
        </w:tc>
        <w:tc>
          <w:tcPr>
            <w:tcW w:w="904" w:type="dxa"/>
            <w:shd w:val="clear" w:color="auto" w:fill="auto"/>
            <w:vAlign w:val="bottom"/>
          </w:tcPr>
          <w:p w14:paraId="4957F41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42,2 %</w:t>
            </w:r>
          </w:p>
        </w:tc>
        <w:tc>
          <w:tcPr>
            <w:tcW w:w="1055" w:type="dxa"/>
            <w:shd w:val="clear" w:color="auto" w:fill="auto"/>
            <w:vAlign w:val="bottom"/>
          </w:tcPr>
          <w:p w14:paraId="4E3B1FAB" w14:textId="4E265B1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51</w:t>
            </w:r>
            <w:r w:rsidR="00BB6658">
              <w:rPr>
                <w:sz w:val="18"/>
              </w:rPr>
              <w:t xml:space="preserve"> </w:t>
            </w:r>
            <w:r w:rsidRPr="00CD692A">
              <w:rPr>
                <w:sz w:val="18"/>
              </w:rPr>
              <w:t>224</w:t>
            </w:r>
          </w:p>
        </w:tc>
        <w:tc>
          <w:tcPr>
            <w:tcW w:w="905" w:type="dxa"/>
            <w:shd w:val="clear" w:color="auto" w:fill="auto"/>
            <w:vAlign w:val="bottom"/>
          </w:tcPr>
          <w:p w14:paraId="4D3AC7C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22,9 %</w:t>
            </w:r>
          </w:p>
        </w:tc>
        <w:tc>
          <w:tcPr>
            <w:tcW w:w="904" w:type="dxa"/>
            <w:shd w:val="clear" w:color="auto" w:fill="auto"/>
            <w:vAlign w:val="bottom"/>
          </w:tcPr>
          <w:p w14:paraId="630DE86A" w14:textId="7A082F6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w:t>
            </w:r>
            <w:r w:rsidR="00BB6658">
              <w:rPr>
                <w:sz w:val="18"/>
              </w:rPr>
              <w:t xml:space="preserve"> </w:t>
            </w:r>
            <w:r w:rsidRPr="00CD692A">
              <w:rPr>
                <w:sz w:val="18"/>
              </w:rPr>
              <w:t>572</w:t>
            </w:r>
          </w:p>
        </w:tc>
        <w:tc>
          <w:tcPr>
            <w:tcW w:w="905" w:type="dxa"/>
            <w:shd w:val="clear" w:color="auto" w:fill="auto"/>
            <w:vAlign w:val="bottom"/>
          </w:tcPr>
          <w:p w14:paraId="279A184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8,3 %</w:t>
            </w:r>
          </w:p>
        </w:tc>
        <w:tc>
          <w:tcPr>
            <w:tcW w:w="1162" w:type="dxa"/>
            <w:shd w:val="clear" w:color="auto" w:fill="auto"/>
            <w:vAlign w:val="bottom"/>
          </w:tcPr>
          <w:p w14:paraId="5DA2399A" w14:textId="23C0849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148</w:t>
            </w:r>
            <w:r w:rsidR="00BB6658">
              <w:rPr>
                <w:sz w:val="18"/>
              </w:rPr>
              <w:t xml:space="preserve"> </w:t>
            </w:r>
            <w:r w:rsidRPr="00CD692A">
              <w:rPr>
                <w:sz w:val="18"/>
              </w:rPr>
              <w:t>650</w:t>
            </w:r>
          </w:p>
        </w:tc>
        <w:tc>
          <w:tcPr>
            <w:tcW w:w="942" w:type="dxa"/>
            <w:shd w:val="clear" w:color="auto" w:fill="auto"/>
            <w:vAlign w:val="bottom"/>
          </w:tcPr>
          <w:p w14:paraId="3388B2AC"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23,8 %</w:t>
            </w:r>
          </w:p>
        </w:tc>
      </w:tr>
      <w:tr w:rsidR="00D766F9" w:rsidRPr="00D766F9" w14:paraId="27A7768E" w14:textId="77777777" w:rsidTr="00D766F9">
        <w:trPr>
          <w:trHeight w:val="240"/>
        </w:trPr>
        <w:tc>
          <w:tcPr>
            <w:tcW w:w="1958" w:type="dxa"/>
            <w:shd w:val="clear" w:color="auto" w:fill="auto"/>
          </w:tcPr>
          <w:p w14:paraId="5F917282"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Otros sectores</w:t>
            </w:r>
          </w:p>
        </w:tc>
        <w:tc>
          <w:tcPr>
            <w:tcW w:w="904" w:type="dxa"/>
            <w:shd w:val="clear" w:color="auto" w:fill="auto"/>
            <w:vAlign w:val="bottom"/>
          </w:tcPr>
          <w:p w14:paraId="69E2DC83" w14:textId="719EC551"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622</w:t>
            </w:r>
          </w:p>
        </w:tc>
        <w:tc>
          <w:tcPr>
            <w:tcW w:w="904" w:type="dxa"/>
            <w:shd w:val="clear" w:color="auto" w:fill="auto"/>
            <w:vAlign w:val="bottom"/>
          </w:tcPr>
          <w:p w14:paraId="3F326E06"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0,9 %</w:t>
            </w:r>
          </w:p>
        </w:tc>
        <w:tc>
          <w:tcPr>
            <w:tcW w:w="1055" w:type="dxa"/>
            <w:shd w:val="clear" w:color="auto" w:fill="auto"/>
            <w:vAlign w:val="bottom"/>
          </w:tcPr>
          <w:p w14:paraId="0CB3AD41"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w:t>
            </w:r>
          </w:p>
        </w:tc>
        <w:tc>
          <w:tcPr>
            <w:tcW w:w="905" w:type="dxa"/>
            <w:shd w:val="clear" w:color="auto" w:fill="auto"/>
            <w:vAlign w:val="bottom"/>
          </w:tcPr>
          <w:p w14:paraId="640A5E9E"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0 %</w:t>
            </w:r>
          </w:p>
        </w:tc>
        <w:tc>
          <w:tcPr>
            <w:tcW w:w="904" w:type="dxa"/>
            <w:shd w:val="clear" w:color="auto" w:fill="auto"/>
            <w:vAlign w:val="bottom"/>
          </w:tcPr>
          <w:p w14:paraId="7CDCC297"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931</w:t>
            </w:r>
          </w:p>
        </w:tc>
        <w:tc>
          <w:tcPr>
            <w:tcW w:w="905" w:type="dxa"/>
            <w:shd w:val="clear" w:color="auto" w:fill="auto"/>
            <w:vAlign w:val="bottom"/>
          </w:tcPr>
          <w:p w14:paraId="3C2209F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0,4 %</w:t>
            </w:r>
          </w:p>
        </w:tc>
        <w:tc>
          <w:tcPr>
            <w:tcW w:w="1162" w:type="dxa"/>
            <w:shd w:val="clear" w:color="auto" w:fill="auto"/>
            <w:vAlign w:val="bottom"/>
          </w:tcPr>
          <w:p w14:paraId="00E57DB0" w14:textId="12DAE0F8"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w:t>
            </w:r>
            <w:r w:rsidR="00BB6658">
              <w:rPr>
                <w:sz w:val="18"/>
              </w:rPr>
              <w:t xml:space="preserve"> </w:t>
            </w:r>
            <w:r w:rsidRPr="00CD692A">
              <w:rPr>
                <w:sz w:val="18"/>
              </w:rPr>
              <w:t>553</w:t>
            </w:r>
          </w:p>
        </w:tc>
        <w:tc>
          <w:tcPr>
            <w:tcW w:w="942" w:type="dxa"/>
            <w:shd w:val="clear" w:color="auto" w:fill="auto"/>
            <w:vAlign w:val="bottom"/>
          </w:tcPr>
          <w:p w14:paraId="7F136F7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0,4 %</w:t>
            </w:r>
          </w:p>
        </w:tc>
      </w:tr>
      <w:tr w:rsidR="00D766F9" w:rsidRPr="00D766F9" w14:paraId="49CEA679" w14:textId="77777777" w:rsidTr="00D766F9">
        <w:trPr>
          <w:trHeight w:val="240"/>
        </w:trPr>
        <w:tc>
          <w:tcPr>
            <w:tcW w:w="1958" w:type="dxa"/>
            <w:tcBorders>
              <w:bottom w:val="single" w:sz="4" w:space="0" w:color="auto"/>
            </w:tcBorders>
            <w:shd w:val="clear" w:color="auto" w:fill="auto"/>
          </w:tcPr>
          <w:p w14:paraId="5E7BFAA1"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b/>
                <w:sz w:val="18"/>
                <w:lang w:val="en-GB"/>
              </w:rPr>
            </w:pPr>
            <w:r w:rsidRPr="00CD692A">
              <w:rPr>
                <w:b/>
                <w:sz w:val="18"/>
              </w:rPr>
              <w:t>Niñas</w:t>
            </w:r>
          </w:p>
        </w:tc>
        <w:tc>
          <w:tcPr>
            <w:tcW w:w="904" w:type="dxa"/>
            <w:tcBorders>
              <w:bottom w:val="single" w:sz="4" w:space="0" w:color="auto"/>
            </w:tcBorders>
            <w:shd w:val="clear" w:color="auto" w:fill="auto"/>
            <w:vAlign w:val="bottom"/>
          </w:tcPr>
          <w:p w14:paraId="554AD28C"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4" w:type="dxa"/>
            <w:tcBorders>
              <w:bottom w:val="single" w:sz="4" w:space="0" w:color="auto"/>
            </w:tcBorders>
            <w:shd w:val="clear" w:color="auto" w:fill="auto"/>
            <w:vAlign w:val="bottom"/>
          </w:tcPr>
          <w:p w14:paraId="327C1974"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1055" w:type="dxa"/>
            <w:tcBorders>
              <w:bottom w:val="single" w:sz="4" w:space="0" w:color="auto"/>
            </w:tcBorders>
            <w:shd w:val="clear" w:color="auto" w:fill="auto"/>
            <w:vAlign w:val="bottom"/>
          </w:tcPr>
          <w:p w14:paraId="5DE953C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5" w:type="dxa"/>
            <w:tcBorders>
              <w:bottom w:val="single" w:sz="4" w:space="0" w:color="auto"/>
            </w:tcBorders>
            <w:shd w:val="clear" w:color="auto" w:fill="auto"/>
            <w:vAlign w:val="bottom"/>
          </w:tcPr>
          <w:p w14:paraId="5B3EDA1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4" w:type="dxa"/>
            <w:tcBorders>
              <w:bottom w:val="single" w:sz="4" w:space="0" w:color="auto"/>
            </w:tcBorders>
            <w:shd w:val="clear" w:color="auto" w:fill="auto"/>
            <w:vAlign w:val="bottom"/>
          </w:tcPr>
          <w:p w14:paraId="1540BEE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05" w:type="dxa"/>
            <w:tcBorders>
              <w:bottom w:val="single" w:sz="4" w:space="0" w:color="auto"/>
            </w:tcBorders>
            <w:shd w:val="clear" w:color="auto" w:fill="auto"/>
            <w:vAlign w:val="bottom"/>
          </w:tcPr>
          <w:p w14:paraId="6FE88001"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1162" w:type="dxa"/>
            <w:tcBorders>
              <w:bottom w:val="single" w:sz="4" w:space="0" w:color="auto"/>
            </w:tcBorders>
            <w:shd w:val="clear" w:color="auto" w:fill="auto"/>
            <w:vAlign w:val="bottom"/>
          </w:tcPr>
          <w:p w14:paraId="4583894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c>
          <w:tcPr>
            <w:tcW w:w="942" w:type="dxa"/>
            <w:tcBorders>
              <w:bottom w:val="single" w:sz="4" w:space="0" w:color="auto"/>
            </w:tcBorders>
            <w:shd w:val="clear" w:color="auto" w:fill="auto"/>
            <w:vAlign w:val="bottom"/>
          </w:tcPr>
          <w:p w14:paraId="6235ECE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p>
        </w:tc>
      </w:tr>
      <w:tr w:rsidR="00D766F9" w:rsidRPr="00D766F9" w14:paraId="31B1B7F7" w14:textId="77777777" w:rsidTr="00D766F9">
        <w:trPr>
          <w:trHeight w:val="240"/>
        </w:trPr>
        <w:tc>
          <w:tcPr>
            <w:tcW w:w="1958" w:type="dxa"/>
            <w:tcBorders>
              <w:top w:val="single" w:sz="4" w:space="0" w:color="auto"/>
              <w:bottom w:val="single" w:sz="4" w:space="0" w:color="auto"/>
            </w:tcBorders>
            <w:shd w:val="clear" w:color="auto" w:fill="auto"/>
          </w:tcPr>
          <w:p w14:paraId="17D54527" w14:textId="77777777" w:rsidR="00CD692A" w:rsidRPr="00CD692A" w:rsidRDefault="00CD692A" w:rsidP="00D766F9">
            <w:pPr>
              <w:pStyle w:val="SingleTxtG"/>
              <w:tabs>
                <w:tab w:val="clear" w:pos="1701"/>
                <w:tab w:val="clear" w:pos="2268"/>
                <w:tab w:val="clear" w:pos="2835"/>
              </w:tabs>
              <w:spacing w:before="80" w:after="80" w:line="220" w:lineRule="exact"/>
              <w:ind w:left="283" w:right="0"/>
              <w:jc w:val="left"/>
              <w:rPr>
                <w:b/>
                <w:sz w:val="18"/>
                <w:lang w:val="en-GB"/>
              </w:rPr>
            </w:pPr>
            <w:r w:rsidRPr="00CD692A">
              <w:rPr>
                <w:b/>
                <w:bCs/>
                <w:sz w:val="18"/>
              </w:rPr>
              <w:t>Total</w:t>
            </w:r>
          </w:p>
        </w:tc>
        <w:tc>
          <w:tcPr>
            <w:tcW w:w="904" w:type="dxa"/>
            <w:tcBorders>
              <w:top w:val="single" w:sz="4" w:space="0" w:color="auto"/>
              <w:bottom w:val="single" w:sz="4" w:space="0" w:color="auto"/>
            </w:tcBorders>
            <w:shd w:val="clear" w:color="auto" w:fill="auto"/>
            <w:vAlign w:val="bottom"/>
          </w:tcPr>
          <w:p w14:paraId="6BCAB0CC" w14:textId="6B6CB77F"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181</w:t>
            </w:r>
            <w:r w:rsidR="00BB6658">
              <w:rPr>
                <w:b/>
                <w:bCs/>
                <w:sz w:val="18"/>
              </w:rPr>
              <w:t xml:space="preserve"> </w:t>
            </w:r>
            <w:r w:rsidRPr="00CD692A">
              <w:rPr>
                <w:b/>
                <w:bCs/>
                <w:sz w:val="18"/>
              </w:rPr>
              <w:t>722</w:t>
            </w:r>
          </w:p>
        </w:tc>
        <w:tc>
          <w:tcPr>
            <w:tcW w:w="904" w:type="dxa"/>
            <w:tcBorders>
              <w:top w:val="single" w:sz="4" w:space="0" w:color="auto"/>
              <w:bottom w:val="single" w:sz="4" w:space="0" w:color="auto"/>
            </w:tcBorders>
            <w:shd w:val="clear" w:color="auto" w:fill="auto"/>
            <w:vAlign w:val="bottom"/>
          </w:tcPr>
          <w:p w14:paraId="59ED74D3"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055" w:type="dxa"/>
            <w:tcBorders>
              <w:top w:val="single" w:sz="4" w:space="0" w:color="auto"/>
              <w:bottom w:val="single" w:sz="4" w:space="0" w:color="auto"/>
            </w:tcBorders>
            <w:shd w:val="clear" w:color="auto" w:fill="auto"/>
            <w:vAlign w:val="bottom"/>
          </w:tcPr>
          <w:p w14:paraId="05A7A018" w14:textId="5AE4F80B"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167</w:t>
            </w:r>
            <w:r w:rsidR="00BB6658">
              <w:rPr>
                <w:b/>
                <w:bCs/>
                <w:sz w:val="18"/>
              </w:rPr>
              <w:t xml:space="preserve"> </w:t>
            </w:r>
            <w:r w:rsidRPr="00CD692A">
              <w:rPr>
                <w:b/>
                <w:bCs/>
                <w:sz w:val="18"/>
              </w:rPr>
              <w:t>599</w:t>
            </w:r>
          </w:p>
        </w:tc>
        <w:tc>
          <w:tcPr>
            <w:tcW w:w="905" w:type="dxa"/>
            <w:tcBorders>
              <w:top w:val="single" w:sz="4" w:space="0" w:color="auto"/>
              <w:bottom w:val="single" w:sz="4" w:space="0" w:color="auto"/>
            </w:tcBorders>
            <w:shd w:val="clear" w:color="auto" w:fill="auto"/>
            <w:vAlign w:val="bottom"/>
          </w:tcPr>
          <w:p w14:paraId="0AB5593E"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904" w:type="dxa"/>
            <w:tcBorders>
              <w:top w:val="single" w:sz="4" w:space="0" w:color="auto"/>
              <w:bottom w:val="single" w:sz="4" w:space="0" w:color="auto"/>
            </w:tcBorders>
            <w:shd w:val="clear" w:color="auto" w:fill="auto"/>
            <w:vAlign w:val="bottom"/>
          </w:tcPr>
          <w:p w14:paraId="6A2D4C8E" w14:textId="06916546"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189</w:t>
            </w:r>
            <w:r w:rsidR="00BB6658">
              <w:rPr>
                <w:b/>
                <w:bCs/>
                <w:sz w:val="18"/>
              </w:rPr>
              <w:t xml:space="preserve"> </w:t>
            </w:r>
            <w:r w:rsidRPr="00CD692A">
              <w:rPr>
                <w:b/>
                <w:bCs/>
                <w:sz w:val="18"/>
              </w:rPr>
              <w:t>761</w:t>
            </w:r>
          </w:p>
        </w:tc>
        <w:tc>
          <w:tcPr>
            <w:tcW w:w="905" w:type="dxa"/>
            <w:tcBorders>
              <w:top w:val="single" w:sz="4" w:space="0" w:color="auto"/>
              <w:bottom w:val="single" w:sz="4" w:space="0" w:color="auto"/>
            </w:tcBorders>
            <w:shd w:val="clear" w:color="auto" w:fill="auto"/>
            <w:vAlign w:val="bottom"/>
          </w:tcPr>
          <w:p w14:paraId="66DEC3CB"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c>
          <w:tcPr>
            <w:tcW w:w="1162" w:type="dxa"/>
            <w:tcBorders>
              <w:top w:val="single" w:sz="4" w:space="0" w:color="auto"/>
              <w:bottom w:val="single" w:sz="4" w:space="0" w:color="auto"/>
            </w:tcBorders>
            <w:shd w:val="clear" w:color="auto" w:fill="auto"/>
            <w:vAlign w:val="bottom"/>
          </w:tcPr>
          <w:p w14:paraId="0B0A2548" w14:textId="3CA0C809"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539</w:t>
            </w:r>
            <w:r w:rsidR="00BB6658">
              <w:rPr>
                <w:b/>
                <w:bCs/>
                <w:sz w:val="18"/>
              </w:rPr>
              <w:t xml:space="preserve"> </w:t>
            </w:r>
            <w:r w:rsidRPr="00CD692A">
              <w:rPr>
                <w:b/>
                <w:bCs/>
                <w:sz w:val="18"/>
              </w:rPr>
              <w:t>082</w:t>
            </w:r>
          </w:p>
        </w:tc>
        <w:tc>
          <w:tcPr>
            <w:tcW w:w="942" w:type="dxa"/>
            <w:tcBorders>
              <w:top w:val="single" w:sz="4" w:space="0" w:color="auto"/>
              <w:bottom w:val="single" w:sz="4" w:space="0" w:color="auto"/>
            </w:tcBorders>
            <w:shd w:val="clear" w:color="auto" w:fill="auto"/>
            <w:vAlign w:val="bottom"/>
          </w:tcPr>
          <w:p w14:paraId="1F44E92A" w14:textId="77777777" w:rsidR="00CD692A" w:rsidRPr="00CD692A" w:rsidRDefault="00CD692A" w:rsidP="00D766F9">
            <w:pPr>
              <w:pStyle w:val="SingleTxtG"/>
              <w:tabs>
                <w:tab w:val="clear" w:pos="1701"/>
                <w:tab w:val="clear" w:pos="2268"/>
                <w:tab w:val="clear" w:pos="2835"/>
              </w:tabs>
              <w:spacing w:before="80" w:after="80" w:line="220" w:lineRule="exact"/>
              <w:ind w:left="28" w:right="28"/>
              <w:jc w:val="right"/>
              <w:rPr>
                <w:b/>
                <w:sz w:val="18"/>
                <w:lang w:val="en-GB"/>
              </w:rPr>
            </w:pPr>
            <w:r w:rsidRPr="00CD692A">
              <w:rPr>
                <w:b/>
                <w:bCs/>
                <w:sz w:val="18"/>
              </w:rPr>
              <w:t>100 %</w:t>
            </w:r>
          </w:p>
        </w:tc>
      </w:tr>
      <w:tr w:rsidR="00D766F9" w:rsidRPr="00D766F9" w14:paraId="50B2C69A" w14:textId="77777777" w:rsidTr="00D766F9">
        <w:trPr>
          <w:trHeight w:val="240"/>
        </w:trPr>
        <w:tc>
          <w:tcPr>
            <w:tcW w:w="1958" w:type="dxa"/>
            <w:tcBorders>
              <w:top w:val="single" w:sz="4" w:space="0" w:color="auto"/>
            </w:tcBorders>
            <w:shd w:val="clear" w:color="auto" w:fill="auto"/>
          </w:tcPr>
          <w:p w14:paraId="09EB520E"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Agricultura, silvicultura y pesca</w:t>
            </w:r>
          </w:p>
        </w:tc>
        <w:tc>
          <w:tcPr>
            <w:tcW w:w="904" w:type="dxa"/>
            <w:tcBorders>
              <w:top w:val="single" w:sz="4" w:space="0" w:color="auto"/>
            </w:tcBorders>
            <w:shd w:val="clear" w:color="auto" w:fill="auto"/>
            <w:vAlign w:val="bottom"/>
          </w:tcPr>
          <w:p w14:paraId="23B795F7" w14:textId="0DCDD415"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74</w:t>
            </w:r>
            <w:r w:rsidR="00BB6658">
              <w:rPr>
                <w:sz w:val="18"/>
              </w:rPr>
              <w:t xml:space="preserve"> </w:t>
            </w:r>
            <w:r w:rsidRPr="00CD692A">
              <w:rPr>
                <w:sz w:val="18"/>
              </w:rPr>
              <w:t>506</w:t>
            </w:r>
          </w:p>
        </w:tc>
        <w:tc>
          <w:tcPr>
            <w:tcW w:w="904" w:type="dxa"/>
            <w:tcBorders>
              <w:top w:val="single" w:sz="4" w:space="0" w:color="auto"/>
            </w:tcBorders>
            <w:shd w:val="clear" w:color="auto" w:fill="auto"/>
            <w:vAlign w:val="bottom"/>
          </w:tcPr>
          <w:p w14:paraId="5500E505" w14:textId="51463EAA"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41 %</w:t>
            </w:r>
          </w:p>
        </w:tc>
        <w:tc>
          <w:tcPr>
            <w:tcW w:w="1055" w:type="dxa"/>
            <w:tcBorders>
              <w:top w:val="single" w:sz="4" w:space="0" w:color="auto"/>
            </w:tcBorders>
            <w:shd w:val="clear" w:color="auto" w:fill="auto"/>
            <w:vAlign w:val="bottom"/>
          </w:tcPr>
          <w:p w14:paraId="1E5EC4D0" w14:textId="4597BEE8"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107</w:t>
            </w:r>
            <w:r w:rsidR="00BB6658">
              <w:rPr>
                <w:sz w:val="18"/>
              </w:rPr>
              <w:t xml:space="preserve"> </w:t>
            </w:r>
            <w:r w:rsidRPr="00CD692A">
              <w:rPr>
                <w:sz w:val="18"/>
              </w:rPr>
              <w:t>298</w:t>
            </w:r>
          </w:p>
        </w:tc>
        <w:tc>
          <w:tcPr>
            <w:tcW w:w="905" w:type="dxa"/>
            <w:tcBorders>
              <w:top w:val="single" w:sz="4" w:space="0" w:color="auto"/>
            </w:tcBorders>
            <w:shd w:val="clear" w:color="auto" w:fill="auto"/>
            <w:vAlign w:val="bottom"/>
          </w:tcPr>
          <w:p w14:paraId="34B12AC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64 %</w:t>
            </w:r>
          </w:p>
        </w:tc>
        <w:tc>
          <w:tcPr>
            <w:tcW w:w="904" w:type="dxa"/>
            <w:tcBorders>
              <w:top w:val="single" w:sz="4" w:space="0" w:color="auto"/>
            </w:tcBorders>
            <w:shd w:val="clear" w:color="auto" w:fill="auto"/>
            <w:vAlign w:val="bottom"/>
          </w:tcPr>
          <w:p w14:paraId="0BC36F50" w14:textId="7AE8832C"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155</w:t>
            </w:r>
            <w:r w:rsidR="00BB6658">
              <w:rPr>
                <w:sz w:val="18"/>
              </w:rPr>
              <w:t xml:space="preserve"> </w:t>
            </w:r>
            <w:r w:rsidRPr="00CD692A">
              <w:rPr>
                <w:sz w:val="18"/>
              </w:rPr>
              <w:t>788</w:t>
            </w:r>
          </w:p>
        </w:tc>
        <w:tc>
          <w:tcPr>
            <w:tcW w:w="905" w:type="dxa"/>
            <w:tcBorders>
              <w:top w:val="single" w:sz="4" w:space="0" w:color="auto"/>
            </w:tcBorders>
            <w:shd w:val="clear" w:color="auto" w:fill="auto"/>
            <w:vAlign w:val="bottom"/>
          </w:tcPr>
          <w:p w14:paraId="6392011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82,1 %</w:t>
            </w:r>
          </w:p>
        </w:tc>
        <w:tc>
          <w:tcPr>
            <w:tcW w:w="1162" w:type="dxa"/>
            <w:tcBorders>
              <w:top w:val="single" w:sz="4" w:space="0" w:color="auto"/>
            </w:tcBorders>
            <w:shd w:val="clear" w:color="auto" w:fill="auto"/>
            <w:vAlign w:val="bottom"/>
          </w:tcPr>
          <w:p w14:paraId="733FBB12" w14:textId="3D677472"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337</w:t>
            </w:r>
            <w:r w:rsidR="00BB6658">
              <w:rPr>
                <w:sz w:val="18"/>
              </w:rPr>
              <w:t xml:space="preserve"> </w:t>
            </w:r>
            <w:r w:rsidRPr="00CD692A">
              <w:rPr>
                <w:sz w:val="18"/>
              </w:rPr>
              <w:t>592</w:t>
            </w:r>
          </w:p>
        </w:tc>
        <w:tc>
          <w:tcPr>
            <w:tcW w:w="942" w:type="dxa"/>
            <w:tcBorders>
              <w:top w:val="single" w:sz="4" w:space="0" w:color="auto"/>
            </w:tcBorders>
            <w:shd w:val="clear" w:color="auto" w:fill="auto"/>
            <w:vAlign w:val="bottom"/>
          </w:tcPr>
          <w:p w14:paraId="6EF88FD5"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62, 6 %</w:t>
            </w:r>
          </w:p>
        </w:tc>
      </w:tr>
      <w:tr w:rsidR="00D766F9" w:rsidRPr="00D766F9" w14:paraId="248BE962" w14:textId="77777777" w:rsidTr="00D766F9">
        <w:trPr>
          <w:trHeight w:val="240"/>
        </w:trPr>
        <w:tc>
          <w:tcPr>
            <w:tcW w:w="1958" w:type="dxa"/>
            <w:shd w:val="clear" w:color="auto" w:fill="auto"/>
          </w:tcPr>
          <w:p w14:paraId="7579F542"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Construcción</w:t>
            </w:r>
          </w:p>
        </w:tc>
        <w:tc>
          <w:tcPr>
            <w:tcW w:w="904" w:type="dxa"/>
            <w:shd w:val="clear" w:color="auto" w:fill="auto"/>
            <w:vAlign w:val="bottom"/>
          </w:tcPr>
          <w:p w14:paraId="62C2D3B8" w14:textId="0B11C1FC"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w:t>
            </w:r>
            <w:r w:rsidR="00BB6658">
              <w:rPr>
                <w:sz w:val="18"/>
              </w:rPr>
              <w:t xml:space="preserve"> </w:t>
            </w:r>
            <w:r w:rsidRPr="00CD692A">
              <w:rPr>
                <w:sz w:val="18"/>
              </w:rPr>
              <w:t>792</w:t>
            </w:r>
          </w:p>
        </w:tc>
        <w:tc>
          <w:tcPr>
            <w:tcW w:w="904" w:type="dxa"/>
            <w:shd w:val="clear" w:color="auto" w:fill="auto"/>
            <w:vAlign w:val="bottom"/>
          </w:tcPr>
          <w:p w14:paraId="674125AA"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2,1 %</w:t>
            </w:r>
          </w:p>
        </w:tc>
        <w:tc>
          <w:tcPr>
            <w:tcW w:w="1055" w:type="dxa"/>
            <w:shd w:val="clear" w:color="auto" w:fill="auto"/>
            <w:vAlign w:val="bottom"/>
          </w:tcPr>
          <w:p w14:paraId="494ED335" w14:textId="462F93B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w:t>
            </w:r>
            <w:r w:rsidR="00BB6658">
              <w:rPr>
                <w:sz w:val="18"/>
              </w:rPr>
              <w:t xml:space="preserve"> </w:t>
            </w:r>
            <w:r w:rsidRPr="00CD692A">
              <w:rPr>
                <w:sz w:val="18"/>
              </w:rPr>
              <w:t>896</w:t>
            </w:r>
          </w:p>
        </w:tc>
        <w:tc>
          <w:tcPr>
            <w:tcW w:w="905" w:type="dxa"/>
            <w:shd w:val="clear" w:color="auto" w:fill="auto"/>
            <w:vAlign w:val="bottom"/>
          </w:tcPr>
          <w:p w14:paraId="70097A0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2,3 %</w:t>
            </w:r>
          </w:p>
        </w:tc>
        <w:tc>
          <w:tcPr>
            <w:tcW w:w="904" w:type="dxa"/>
            <w:shd w:val="clear" w:color="auto" w:fill="auto"/>
            <w:vAlign w:val="bottom"/>
          </w:tcPr>
          <w:p w14:paraId="369B86AF" w14:textId="4B058C7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w:t>
            </w:r>
            <w:r w:rsidR="00BB6658">
              <w:rPr>
                <w:sz w:val="18"/>
              </w:rPr>
              <w:t xml:space="preserve"> </w:t>
            </w:r>
            <w:r w:rsidRPr="00CD692A">
              <w:rPr>
                <w:sz w:val="18"/>
              </w:rPr>
              <w:t>366</w:t>
            </w:r>
          </w:p>
        </w:tc>
        <w:tc>
          <w:tcPr>
            <w:tcW w:w="905" w:type="dxa"/>
            <w:shd w:val="clear" w:color="auto" w:fill="auto"/>
            <w:vAlign w:val="bottom"/>
          </w:tcPr>
          <w:p w14:paraId="078AB22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3,4 %</w:t>
            </w:r>
          </w:p>
        </w:tc>
        <w:tc>
          <w:tcPr>
            <w:tcW w:w="1162" w:type="dxa"/>
            <w:shd w:val="clear" w:color="auto" w:fill="auto"/>
            <w:vAlign w:val="bottom"/>
          </w:tcPr>
          <w:p w14:paraId="6EE06B8F" w14:textId="1E46DDAB"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14</w:t>
            </w:r>
            <w:r w:rsidR="00BB6658">
              <w:rPr>
                <w:sz w:val="18"/>
              </w:rPr>
              <w:t xml:space="preserve"> </w:t>
            </w:r>
            <w:r w:rsidRPr="00CD692A">
              <w:rPr>
                <w:sz w:val="18"/>
              </w:rPr>
              <w:t>054</w:t>
            </w:r>
          </w:p>
        </w:tc>
        <w:tc>
          <w:tcPr>
            <w:tcW w:w="942" w:type="dxa"/>
            <w:shd w:val="clear" w:color="auto" w:fill="auto"/>
            <w:vAlign w:val="bottom"/>
          </w:tcPr>
          <w:p w14:paraId="328B4968"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2,6 %</w:t>
            </w:r>
          </w:p>
        </w:tc>
      </w:tr>
      <w:tr w:rsidR="00D766F9" w:rsidRPr="00D766F9" w14:paraId="228F6622" w14:textId="77777777" w:rsidTr="00D766F9">
        <w:trPr>
          <w:trHeight w:val="240"/>
        </w:trPr>
        <w:tc>
          <w:tcPr>
            <w:tcW w:w="1958" w:type="dxa"/>
            <w:shd w:val="clear" w:color="auto" w:fill="auto"/>
          </w:tcPr>
          <w:p w14:paraId="26851CD6"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lastRenderedPageBreak/>
              <w:t>Comercio mayorista y minorista</w:t>
            </w:r>
          </w:p>
        </w:tc>
        <w:tc>
          <w:tcPr>
            <w:tcW w:w="904" w:type="dxa"/>
            <w:shd w:val="clear" w:color="auto" w:fill="auto"/>
            <w:vAlign w:val="bottom"/>
          </w:tcPr>
          <w:p w14:paraId="5BAFF51D" w14:textId="23ACBA0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321</w:t>
            </w:r>
          </w:p>
        </w:tc>
        <w:tc>
          <w:tcPr>
            <w:tcW w:w="904" w:type="dxa"/>
            <w:shd w:val="clear" w:color="auto" w:fill="auto"/>
            <w:vAlign w:val="bottom"/>
          </w:tcPr>
          <w:p w14:paraId="085B3C4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0,7 %</w:t>
            </w:r>
          </w:p>
        </w:tc>
        <w:tc>
          <w:tcPr>
            <w:tcW w:w="1055" w:type="dxa"/>
            <w:shd w:val="clear" w:color="auto" w:fill="auto"/>
            <w:vAlign w:val="bottom"/>
          </w:tcPr>
          <w:p w14:paraId="2F24CC29" w14:textId="73C27D8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w:t>
            </w:r>
            <w:r w:rsidR="00BB6658">
              <w:rPr>
                <w:sz w:val="18"/>
              </w:rPr>
              <w:t xml:space="preserve"> </w:t>
            </w:r>
            <w:r w:rsidRPr="00CD692A">
              <w:rPr>
                <w:sz w:val="18"/>
              </w:rPr>
              <w:t>695</w:t>
            </w:r>
          </w:p>
        </w:tc>
        <w:tc>
          <w:tcPr>
            <w:tcW w:w="905" w:type="dxa"/>
            <w:shd w:val="clear" w:color="auto" w:fill="auto"/>
            <w:vAlign w:val="bottom"/>
          </w:tcPr>
          <w:p w14:paraId="31B8FC3D"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4 %</w:t>
            </w:r>
          </w:p>
        </w:tc>
        <w:tc>
          <w:tcPr>
            <w:tcW w:w="904" w:type="dxa"/>
            <w:shd w:val="clear" w:color="auto" w:fill="auto"/>
            <w:vAlign w:val="bottom"/>
          </w:tcPr>
          <w:p w14:paraId="20B1849B" w14:textId="46D60D35"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w:t>
            </w:r>
            <w:r w:rsidR="00BB6658">
              <w:rPr>
                <w:sz w:val="18"/>
              </w:rPr>
              <w:t xml:space="preserve"> </w:t>
            </w:r>
            <w:r w:rsidRPr="00CD692A">
              <w:rPr>
                <w:sz w:val="18"/>
              </w:rPr>
              <w:t>052</w:t>
            </w:r>
          </w:p>
        </w:tc>
        <w:tc>
          <w:tcPr>
            <w:tcW w:w="905" w:type="dxa"/>
            <w:shd w:val="clear" w:color="auto" w:fill="auto"/>
            <w:vAlign w:val="bottom"/>
          </w:tcPr>
          <w:p w14:paraId="5538FCF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3,2 %</w:t>
            </w:r>
          </w:p>
        </w:tc>
        <w:tc>
          <w:tcPr>
            <w:tcW w:w="1162" w:type="dxa"/>
            <w:shd w:val="clear" w:color="auto" w:fill="auto"/>
            <w:vAlign w:val="bottom"/>
          </w:tcPr>
          <w:p w14:paraId="064E1EC0" w14:textId="5E8F13BA"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14</w:t>
            </w:r>
            <w:r w:rsidR="00BB6658">
              <w:rPr>
                <w:sz w:val="18"/>
              </w:rPr>
              <w:t xml:space="preserve"> </w:t>
            </w:r>
            <w:r w:rsidRPr="00CD692A">
              <w:rPr>
                <w:sz w:val="18"/>
              </w:rPr>
              <w:t>068</w:t>
            </w:r>
          </w:p>
        </w:tc>
        <w:tc>
          <w:tcPr>
            <w:tcW w:w="942" w:type="dxa"/>
            <w:shd w:val="clear" w:color="auto" w:fill="auto"/>
            <w:vAlign w:val="bottom"/>
          </w:tcPr>
          <w:p w14:paraId="7DFE5EFF"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2,6 %</w:t>
            </w:r>
          </w:p>
        </w:tc>
      </w:tr>
      <w:tr w:rsidR="00D766F9" w:rsidRPr="00D766F9" w14:paraId="2CB38E79" w14:textId="77777777" w:rsidTr="00D766F9">
        <w:trPr>
          <w:trHeight w:val="240"/>
        </w:trPr>
        <w:tc>
          <w:tcPr>
            <w:tcW w:w="1958" w:type="dxa"/>
            <w:shd w:val="clear" w:color="auto" w:fill="auto"/>
          </w:tcPr>
          <w:p w14:paraId="724DE5D0"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Trabajo doméstico</w:t>
            </w:r>
          </w:p>
        </w:tc>
        <w:tc>
          <w:tcPr>
            <w:tcW w:w="904" w:type="dxa"/>
            <w:shd w:val="clear" w:color="auto" w:fill="auto"/>
            <w:vAlign w:val="bottom"/>
          </w:tcPr>
          <w:p w14:paraId="317656FF" w14:textId="14D3DE9E"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100</w:t>
            </w:r>
            <w:r w:rsidR="00BB6658">
              <w:rPr>
                <w:sz w:val="18"/>
              </w:rPr>
              <w:t xml:space="preserve"> </w:t>
            </w:r>
            <w:r w:rsidRPr="00CD692A">
              <w:rPr>
                <w:sz w:val="18"/>
              </w:rPr>
              <w:t>697</w:t>
            </w:r>
          </w:p>
        </w:tc>
        <w:tc>
          <w:tcPr>
            <w:tcW w:w="904" w:type="dxa"/>
            <w:shd w:val="clear" w:color="auto" w:fill="auto"/>
            <w:vAlign w:val="bottom"/>
          </w:tcPr>
          <w:p w14:paraId="23F446FC"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55,4 %</w:t>
            </w:r>
          </w:p>
        </w:tc>
        <w:tc>
          <w:tcPr>
            <w:tcW w:w="1055" w:type="dxa"/>
            <w:shd w:val="clear" w:color="auto" w:fill="auto"/>
            <w:vAlign w:val="bottom"/>
          </w:tcPr>
          <w:p w14:paraId="6D53FCEC" w14:textId="439FBFA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48</w:t>
            </w:r>
            <w:r w:rsidR="00BB6658">
              <w:rPr>
                <w:sz w:val="18"/>
              </w:rPr>
              <w:t xml:space="preserve"> </w:t>
            </w:r>
            <w:r w:rsidRPr="00CD692A">
              <w:rPr>
                <w:sz w:val="18"/>
              </w:rPr>
              <w:t>672</w:t>
            </w:r>
          </w:p>
        </w:tc>
        <w:tc>
          <w:tcPr>
            <w:tcW w:w="905" w:type="dxa"/>
            <w:shd w:val="clear" w:color="auto" w:fill="auto"/>
            <w:vAlign w:val="bottom"/>
          </w:tcPr>
          <w:p w14:paraId="4A1ADF99"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29 %</w:t>
            </w:r>
          </w:p>
        </w:tc>
        <w:tc>
          <w:tcPr>
            <w:tcW w:w="904" w:type="dxa"/>
            <w:shd w:val="clear" w:color="auto" w:fill="auto"/>
            <w:vAlign w:val="bottom"/>
          </w:tcPr>
          <w:p w14:paraId="0400BFC9" w14:textId="2CCCF710"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w:t>
            </w:r>
            <w:r w:rsidR="00BB6658">
              <w:rPr>
                <w:sz w:val="18"/>
              </w:rPr>
              <w:t xml:space="preserve"> </w:t>
            </w:r>
            <w:r w:rsidRPr="00CD692A">
              <w:rPr>
                <w:sz w:val="18"/>
              </w:rPr>
              <w:t>105</w:t>
            </w:r>
          </w:p>
        </w:tc>
        <w:tc>
          <w:tcPr>
            <w:tcW w:w="905" w:type="dxa"/>
            <w:shd w:val="clear" w:color="auto" w:fill="auto"/>
            <w:vAlign w:val="bottom"/>
          </w:tcPr>
          <w:p w14:paraId="2BCA3546"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11,1 %</w:t>
            </w:r>
          </w:p>
        </w:tc>
        <w:tc>
          <w:tcPr>
            <w:tcW w:w="1162" w:type="dxa"/>
            <w:shd w:val="clear" w:color="auto" w:fill="auto"/>
            <w:vAlign w:val="bottom"/>
          </w:tcPr>
          <w:p w14:paraId="076A7B33" w14:textId="7B5B49F3"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170</w:t>
            </w:r>
            <w:r w:rsidR="00BB6658">
              <w:rPr>
                <w:sz w:val="18"/>
              </w:rPr>
              <w:t xml:space="preserve"> </w:t>
            </w:r>
            <w:r w:rsidRPr="00CD692A">
              <w:rPr>
                <w:sz w:val="18"/>
              </w:rPr>
              <w:t>474</w:t>
            </w:r>
          </w:p>
        </w:tc>
        <w:tc>
          <w:tcPr>
            <w:tcW w:w="942" w:type="dxa"/>
            <w:shd w:val="clear" w:color="auto" w:fill="auto"/>
            <w:vAlign w:val="bottom"/>
          </w:tcPr>
          <w:p w14:paraId="1B0512E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31,6 %</w:t>
            </w:r>
          </w:p>
        </w:tc>
      </w:tr>
      <w:tr w:rsidR="00D766F9" w:rsidRPr="00D766F9" w14:paraId="33A8C7DD" w14:textId="77777777" w:rsidTr="00D766F9">
        <w:trPr>
          <w:trHeight w:val="240"/>
        </w:trPr>
        <w:tc>
          <w:tcPr>
            <w:tcW w:w="1958" w:type="dxa"/>
            <w:tcBorders>
              <w:bottom w:val="single" w:sz="12" w:space="0" w:color="auto"/>
            </w:tcBorders>
            <w:shd w:val="clear" w:color="auto" w:fill="auto"/>
          </w:tcPr>
          <w:p w14:paraId="7F6D8E45" w14:textId="77777777" w:rsidR="00CD692A" w:rsidRPr="00CD692A" w:rsidRDefault="00CD692A" w:rsidP="00D766F9">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Otros sectores</w:t>
            </w:r>
          </w:p>
        </w:tc>
        <w:tc>
          <w:tcPr>
            <w:tcW w:w="904" w:type="dxa"/>
            <w:tcBorders>
              <w:bottom w:val="single" w:sz="12" w:space="0" w:color="auto"/>
            </w:tcBorders>
            <w:shd w:val="clear" w:color="auto" w:fill="auto"/>
            <w:vAlign w:val="bottom"/>
          </w:tcPr>
          <w:p w14:paraId="28F7F6DC" w14:textId="06748979"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406</w:t>
            </w:r>
          </w:p>
        </w:tc>
        <w:tc>
          <w:tcPr>
            <w:tcW w:w="904" w:type="dxa"/>
            <w:tcBorders>
              <w:bottom w:val="single" w:sz="12" w:space="0" w:color="auto"/>
            </w:tcBorders>
            <w:shd w:val="clear" w:color="auto" w:fill="auto"/>
            <w:vAlign w:val="bottom"/>
          </w:tcPr>
          <w:p w14:paraId="4BC63142"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0,8 %</w:t>
            </w:r>
          </w:p>
        </w:tc>
        <w:tc>
          <w:tcPr>
            <w:tcW w:w="1055" w:type="dxa"/>
            <w:tcBorders>
              <w:bottom w:val="single" w:sz="12" w:space="0" w:color="auto"/>
            </w:tcBorders>
            <w:shd w:val="clear" w:color="auto" w:fill="auto"/>
            <w:vAlign w:val="bottom"/>
          </w:tcPr>
          <w:p w14:paraId="0D5C9AEE" w14:textId="5CA44E33"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r w:rsidR="00BB6658">
              <w:rPr>
                <w:sz w:val="18"/>
              </w:rPr>
              <w:t xml:space="preserve"> </w:t>
            </w:r>
            <w:r w:rsidRPr="00CD692A">
              <w:rPr>
                <w:sz w:val="18"/>
              </w:rPr>
              <w:t>038</w:t>
            </w:r>
          </w:p>
        </w:tc>
        <w:tc>
          <w:tcPr>
            <w:tcW w:w="905" w:type="dxa"/>
            <w:tcBorders>
              <w:bottom w:val="single" w:sz="12" w:space="0" w:color="auto"/>
            </w:tcBorders>
            <w:shd w:val="clear" w:color="auto" w:fill="auto"/>
            <w:vAlign w:val="bottom"/>
          </w:tcPr>
          <w:p w14:paraId="34B049CB"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0,6 %</w:t>
            </w:r>
          </w:p>
        </w:tc>
        <w:tc>
          <w:tcPr>
            <w:tcW w:w="904" w:type="dxa"/>
            <w:tcBorders>
              <w:bottom w:val="single" w:sz="12" w:space="0" w:color="auto"/>
            </w:tcBorders>
            <w:shd w:val="clear" w:color="auto" w:fill="auto"/>
            <w:vAlign w:val="bottom"/>
          </w:tcPr>
          <w:p w14:paraId="6A0BC676"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450</w:t>
            </w:r>
          </w:p>
        </w:tc>
        <w:tc>
          <w:tcPr>
            <w:tcW w:w="905" w:type="dxa"/>
            <w:tcBorders>
              <w:bottom w:val="single" w:sz="12" w:space="0" w:color="auto"/>
            </w:tcBorders>
            <w:shd w:val="clear" w:color="auto" w:fill="auto"/>
            <w:vAlign w:val="bottom"/>
          </w:tcPr>
          <w:p w14:paraId="60C99546"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0,2 %</w:t>
            </w:r>
          </w:p>
        </w:tc>
        <w:tc>
          <w:tcPr>
            <w:tcW w:w="1162" w:type="dxa"/>
            <w:tcBorders>
              <w:bottom w:val="single" w:sz="12" w:space="0" w:color="auto"/>
            </w:tcBorders>
            <w:shd w:val="clear" w:color="auto" w:fill="auto"/>
            <w:vAlign w:val="bottom"/>
          </w:tcPr>
          <w:p w14:paraId="30709AA9" w14:textId="3A1F9D14"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w:t>
            </w:r>
            <w:r w:rsidR="00BB6658">
              <w:rPr>
                <w:sz w:val="18"/>
              </w:rPr>
              <w:t xml:space="preserve"> </w:t>
            </w:r>
            <w:r w:rsidRPr="00CD692A">
              <w:rPr>
                <w:sz w:val="18"/>
              </w:rPr>
              <w:t>894</w:t>
            </w:r>
          </w:p>
        </w:tc>
        <w:tc>
          <w:tcPr>
            <w:tcW w:w="942" w:type="dxa"/>
            <w:tcBorders>
              <w:bottom w:val="single" w:sz="12" w:space="0" w:color="auto"/>
            </w:tcBorders>
            <w:shd w:val="clear" w:color="auto" w:fill="auto"/>
            <w:vAlign w:val="bottom"/>
          </w:tcPr>
          <w:p w14:paraId="6AEA2560" w14:textId="77777777" w:rsidR="00CD692A" w:rsidRPr="00CD692A" w:rsidRDefault="00CD692A" w:rsidP="00D766F9">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0,5 %</w:t>
            </w:r>
          </w:p>
        </w:tc>
      </w:tr>
    </w:tbl>
    <w:p w14:paraId="6D084A04" w14:textId="77777777" w:rsidR="00CD692A" w:rsidRPr="00CD692A" w:rsidRDefault="00CD692A" w:rsidP="00D766F9">
      <w:pPr>
        <w:pStyle w:val="SingleTxtG"/>
        <w:spacing w:before="120" w:after="240"/>
        <w:ind w:left="0" w:firstLine="170"/>
        <w:jc w:val="left"/>
        <w:rPr>
          <w:sz w:val="18"/>
          <w:szCs w:val="18"/>
        </w:rPr>
      </w:pPr>
      <w:r w:rsidRPr="00CD692A">
        <w:rPr>
          <w:i/>
          <w:iCs/>
          <w:sz w:val="18"/>
          <w:szCs w:val="18"/>
        </w:rPr>
        <w:t>Fuente:</w:t>
      </w:r>
      <w:r w:rsidRPr="00CD692A">
        <w:rPr>
          <w:sz w:val="18"/>
          <w:szCs w:val="18"/>
        </w:rPr>
        <w:t xml:space="preserve"> Informe de la Encuesta Nacional sobre el Trabajo Infantil, de 2015.</w:t>
      </w:r>
    </w:p>
    <w:p w14:paraId="720C6865" w14:textId="32C09217" w:rsidR="00CD692A" w:rsidRPr="00CD692A" w:rsidRDefault="00CD692A" w:rsidP="0046610E">
      <w:pPr>
        <w:pStyle w:val="SingleTxtG"/>
        <w:spacing w:after="130"/>
        <w:rPr>
          <w:bCs/>
        </w:rPr>
      </w:pPr>
      <w:r w:rsidRPr="00CD692A">
        <w:t>34.</w:t>
      </w:r>
      <w:r w:rsidRPr="00CD692A">
        <w:tab/>
        <w:t>A fin de reducir y eliminar la prevalencia del trabajo infantil, el Gobierno ha aplicado medidas legislativas y de política.</w:t>
      </w:r>
    </w:p>
    <w:p w14:paraId="610DEF17" w14:textId="30E3B375" w:rsidR="00CD692A" w:rsidRPr="00CD692A" w:rsidRDefault="00CD692A" w:rsidP="0046610E">
      <w:pPr>
        <w:pStyle w:val="SingleTxtG"/>
        <w:spacing w:after="130"/>
        <w:rPr>
          <w:bCs/>
        </w:rPr>
      </w:pPr>
      <w:r w:rsidRPr="00CD692A">
        <w:t>35.</w:t>
      </w:r>
      <w:r w:rsidRPr="00CD692A">
        <w:tab/>
        <w:t>Entre las medidas legislativas figuran la promulgación de la Ley de Empleo, que establece en 14 años la edad mínima de admisión al empleo. Esta disposición está en consonancia con el Convenio de la OIT sobre la Edad Mínima de Admisión al Empleo (núm.</w:t>
      </w:r>
      <w:r w:rsidR="00FA172B">
        <w:t> </w:t>
      </w:r>
      <w:r w:rsidRPr="00CD692A">
        <w:t>138). El Gobierno también elaboró la Lista de Trabajos Peligrosos para los Niños, y promulgó la Orden conexa de 2012. En la lista se especifican las características de los trabajos cuya realización está prohibida para los niños de entre 5 y 17 años. Dicha lista se ajusta además al Convenio de la OIT sobre las Peores Formas de Trabajo Infantil (núm. 182), en el que se establece que los Estados partes deben incorporar el Convenio a la legislación nacional enumerando los tipos de trabajo cuya realización está prohibida para los niños de entre 5 y</w:t>
      </w:r>
      <w:r w:rsidR="00FA172B">
        <w:t> </w:t>
      </w:r>
      <w:r w:rsidRPr="00CD692A">
        <w:t>17</w:t>
      </w:r>
      <w:r w:rsidR="00FA172B">
        <w:t> </w:t>
      </w:r>
      <w:r w:rsidRPr="00CD692A">
        <w:t>años.</w:t>
      </w:r>
    </w:p>
    <w:p w14:paraId="6E9A1DB2" w14:textId="77777777" w:rsidR="00CD692A" w:rsidRPr="00CD692A" w:rsidRDefault="00CD692A" w:rsidP="0046610E">
      <w:pPr>
        <w:pStyle w:val="SingleTxtG"/>
        <w:spacing w:after="130"/>
        <w:rPr>
          <w:bCs/>
        </w:rPr>
      </w:pPr>
      <w:r w:rsidRPr="00CD692A">
        <w:t>36.</w:t>
      </w:r>
      <w:r w:rsidRPr="00CD692A">
        <w:tab/>
        <w:t xml:space="preserve">Entre las medidas de política que el Gobierno de Malawi ha aplicado figura la elaboración del Código Nacional de Conducta sobre el Trabajo Infantil. Este Código es una herramienta que orienta a las instituciones en relación con la eliminación del trabajo infantil. El Gobierno también elaboró el Plan de Acción Nacional sobre el Trabajo Infantil, que es un documento general relativo a esta labor en Malawi. Este Plan de Acción, que se aplicó de 2010 a 2016, se está revisando actualmente junto con el Programa de Trabajo Decente de Malawi, otro documento importante para la eliminación del trabajo infantil. Este Programa promueve el trabajo decente para los adultos, de modo que puedan mantener la escolaridad de sus hijos y evitar así que realicen actividades de trabajo infantil. </w:t>
      </w:r>
      <w:bookmarkStart w:id="16" w:name="_Hlk41557743"/>
      <w:bookmarkEnd w:id="16"/>
    </w:p>
    <w:p w14:paraId="2972156D" w14:textId="2A331FB1" w:rsidR="00CD692A" w:rsidRPr="00CD692A" w:rsidRDefault="00CD692A" w:rsidP="0046610E">
      <w:pPr>
        <w:pStyle w:val="SingleTxtG"/>
        <w:spacing w:after="130"/>
        <w:rPr>
          <w:bCs/>
        </w:rPr>
      </w:pPr>
      <w:r w:rsidRPr="00CD692A">
        <w:t>37.</w:t>
      </w:r>
      <w:r w:rsidRPr="00CD692A">
        <w:tab/>
        <w:t xml:space="preserve">Además, el Gobierno, a través del Ministerio de Trabajo, ha colaborado con diferentes instituciones en la aplicación de varios programas, como el programa de Eliminación del Trabajo Infantil </w:t>
      </w:r>
      <w:r w:rsidR="00D24E4F" w:rsidRPr="00D24E4F">
        <w:rPr>
          <w:sz w:val="18"/>
        </w:rPr>
        <w:t>−</w:t>
      </w:r>
      <w:r w:rsidRPr="00CD692A">
        <w:t xml:space="preserve"> Medidas para un Cambio Real, financiado por la ECLT Foundation (Fundación para la Eliminación del Trabajo Infantil en el Cultivo del Tabaco). Este programa se aplicó en tres distritos, a saber, Mchinji, Ntchisi y Rumphi. El programa estaba destinado específicamente a beneficiar a las comunidades a través de actividades de provisión de seguridad alimentaria, sensibilización y promoción, y de la mejora de la educación mediante la restauración de los edificios escolares y la construcción de otros nuevos. Por otra parte, preveía proporcionar espacios seguros a los niños retirados del trabajo infantil, con miras a su rehabilitación antes del regreso a sus hogares o de su retorno a la escuela. Uno de estos espacios se construyó en el distrito de Rumphi. El programa, que está en su tercera fase, seguirá funcionando durante los próximos cuatro años.</w:t>
      </w:r>
      <w:bookmarkStart w:id="17" w:name="_Hlk41558804"/>
      <w:bookmarkEnd w:id="17"/>
    </w:p>
    <w:p w14:paraId="18ACAF79" w14:textId="0F23F87F" w:rsidR="00CD692A" w:rsidRPr="00CD692A" w:rsidRDefault="00CD692A" w:rsidP="0046610E">
      <w:pPr>
        <w:pStyle w:val="SingleTxtG"/>
        <w:spacing w:after="130"/>
        <w:rPr>
          <w:bCs/>
        </w:rPr>
      </w:pPr>
      <w:r w:rsidRPr="00CD692A">
        <w:t>38.</w:t>
      </w:r>
      <w:r w:rsidRPr="00CD692A">
        <w:tab/>
        <w:t>Otro programa es el de Logro de la Reducción del Trabajo Infantil en Apoyo a la Educación. Este programa fue financiado por Japan Tobacco International (JTI). El programa fue implementado por dos asociados, a saber, la OIT y Winrock International. La primera fase se centró en dos distritos de las zonas de cultivo de tabaco: Lilongwe y Ntcheu. En estos distritos, el programa estaba dirigido a beneficiar a las comunidades mediante, entre otras cosas, la prestación de servicios de educación, concienciación y promoción, y el establecimiento de leyes, políticas y un marco regulatorio. Esto ha ayudado a las comunidades a empoderarse económicamente. Mediante los servicios locales de ahorro y préstamo que se les proporcionaron, las comunidades pudieron dedicase a la cría de ganado caprino y la avicultura y a otros negocios a pequeña escala. La OIT pondrá en marcha otro programa sobre la eliminación del trabajo infantil que se centrará en los distritos que producen cultivos de oleaginosas como el cacahuete, la soja y el girasol.</w:t>
      </w:r>
      <w:bookmarkStart w:id="18" w:name="_Hlk41559060"/>
      <w:bookmarkEnd w:id="18"/>
    </w:p>
    <w:p w14:paraId="33D46344" w14:textId="77777777" w:rsidR="00CD692A" w:rsidRPr="00CD692A" w:rsidRDefault="00CD692A" w:rsidP="0046610E">
      <w:pPr>
        <w:pStyle w:val="SingleTxtG"/>
        <w:keepNext/>
        <w:keepLines/>
        <w:rPr>
          <w:bCs/>
        </w:rPr>
      </w:pPr>
      <w:r w:rsidRPr="00CD692A">
        <w:lastRenderedPageBreak/>
        <w:t>39.</w:t>
      </w:r>
      <w:r w:rsidRPr="00CD692A">
        <w:tab/>
        <w:t>El Ministerio de Trabajo también ha desarrollado la Política Nacional de Trabajo Infantil, que se encuentra en una fase avanzada, a la espera de la aprobación del Consejo de Ministros. Una vez aprobada la política, será una herramienta de orientación para la eliminación del trabajo infantil en Malawi.</w:t>
      </w:r>
    </w:p>
    <w:p w14:paraId="75F0E4EB" w14:textId="16F82CA0" w:rsidR="00CD692A" w:rsidRPr="00CD692A" w:rsidRDefault="00340AF0" w:rsidP="00340AF0">
      <w:pPr>
        <w:pStyle w:val="H23G"/>
      </w:pPr>
      <w:r>
        <w:tab/>
      </w:r>
      <w:r>
        <w:tab/>
      </w:r>
      <w:r w:rsidR="00CD692A" w:rsidRPr="00CD692A">
        <w:t>Economía informal</w:t>
      </w:r>
    </w:p>
    <w:p w14:paraId="358AF492" w14:textId="77777777" w:rsidR="00CD692A" w:rsidRPr="00CD692A" w:rsidRDefault="00CD692A" w:rsidP="00B54946">
      <w:pPr>
        <w:pStyle w:val="SingleTxtG"/>
        <w:spacing w:after="130"/>
        <w:rPr>
          <w:bCs/>
        </w:rPr>
      </w:pPr>
      <w:r w:rsidRPr="00CD692A">
        <w:t>40.</w:t>
      </w:r>
      <w:r w:rsidRPr="00CD692A">
        <w:tab/>
        <w:t>La economía informal comprende las microempresas, los trabajadores a domicilio y las actividades que proporcionan ingresos mínimos de supervivencia, como la venta ambulante, el trabajo doméstico y otros trabajos de este tipo que no están cubiertos por las normas establecidas del sector formal. El sector informal abarca un amplio abanico de actividades del mercado laboral y desempeña un papel decisivo en la economía malawiana.</w:t>
      </w:r>
    </w:p>
    <w:p w14:paraId="2ED55FC7" w14:textId="77777777" w:rsidR="00CD692A" w:rsidRPr="00CD692A" w:rsidRDefault="00CD692A" w:rsidP="00B54946">
      <w:pPr>
        <w:pStyle w:val="SingleTxtG"/>
        <w:spacing w:after="130"/>
        <w:rPr>
          <w:bCs/>
        </w:rPr>
      </w:pPr>
      <w:r w:rsidRPr="00CD692A">
        <w:t>41.</w:t>
      </w:r>
      <w:r w:rsidRPr="00CD692A">
        <w:tab/>
        <w:t>El Censo de Población y Vivienda de 2018 recogió información sobre los pequeños negocios operados por cualquier miembro del hogar. De los 3.984.981 hogares de Malawi, 651.357 tenían algún tipo de negocio, lo que representa el 16,3 % de todos los hogares. El cuadro 8 muestra que el 44 % de los negocios que poseen los hogares venden los productos en la misma forma en que los compraron; el 16 % los compra para venderlos, pero les añade valor antes de venderlos; el 15 % los fabrica y los vende; el 7 % los cultiva y los vende; y el 15 % los revende después de cocinarlos, empaquetarlos en una nueva presentación o transformarlos en una nueva categoría de productos, actividades que suponen un nivel de industria, así sea ligera, especialmente si se tiene en cuenta que el comercio de alimentos está muy extendido en Malawi.</w:t>
      </w:r>
    </w:p>
    <w:p w14:paraId="7C941F38" w14:textId="23B26B4D" w:rsidR="00CD692A" w:rsidRPr="00CD692A" w:rsidRDefault="00340AF0" w:rsidP="00340AF0">
      <w:pPr>
        <w:pStyle w:val="H23G"/>
      </w:pPr>
      <w:r w:rsidRPr="00340AF0">
        <w:rPr>
          <w:b w:val="0"/>
          <w:bCs/>
        </w:rPr>
        <w:tab/>
      </w:r>
      <w:r w:rsidRPr="00340AF0">
        <w:rPr>
          <w:b w:val="0"/>
          <w:bCs/>
        </w:rPr>
        <w:tab/>
      </w:r>
      <w:r w:rsidR="00CD692A" w:rsidRPr="00340AF0">
        <w:rPr>
          <w:b w:val="0"/>
          <w:bCs/>
        </w:rPr>
        <w:t>Cuadro 8</w:t>
      </w:r>
      <w:r w:rsidRPr="00340AF0">
        <w:rPr>
          <w:b w:val="0"/>
          <w:bCs/>
        </w:rPr>
        <w:br/>
      </w:r>
      <w:r w:rsidR="00CD692A" w:rsidRPr="00CD692A">
        <w:t>Porcentaje de hogares poseedores de negocios, por actividad principal del</w:t>
      </w:r>
      <w:r w:rsidR="00B54946">
        <w:t> </w:t>
      </w:r>
      <w:r w:rsidR="00CD692A" w:rsidRPr="00CD692A">
        <w:t>negocio,</w:t>
      </w:r>
      <w:r w:rsidR="00B54946">
        <w:t> </w:t>
      </w:r>
      <w:r w:rsidR="00CD692A" w:rsidRPr="00CD692A">
        <w:t>2018</w:t>
      </w:r>
    </w:p>
    <w:p w14:paraId="597EA06D" w14:textId="77777777" w:rsidR="00CD692A" w:rsidRPr="00CD692A" w:rsidRDefault="00CD692A" w:rsidP="00CD692A">
      <w:pPr>
        <w:pStyle w:val="SingleTxtG"/>
        <w:rPr>
          <w:bCs/>
          <w:lang w:val="en-GB"/>
        </w:rPr>
      </w:pPr>
      <w:r w:rsidRPr="00CD692A">
        <w:rPr>
          <w:i/>
          <w:noProof/>
        </w:rPr>
        <w:drawing>
          <wp:inline distT="0" distB="0" distL="0" distR="0" wp14:anchorId="3B414F3D" wp14:editId="76A612C9">
            <wp:extent cx="4685706" cy="2379338"/>
            <wp:effectExtent l="0" t="0" r="63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08107" cy="2390713"/>
                    </a:xfrm>
                    <a:prstGeom prst="rect">
                      <a:avLst/>
                    </a:prstGeom>
                    <a:noFill/>
                    <a:ln>
                      <a:noFill/>
                    </a:ln>
                  </pic:spPr>
                </pic:pic>
              </a:graphicData>
            </a:graphic>
          </wp:inline>
        </w:drawing>
      </w:r>
    </w:p>
    <w:p w14:paraId="69DD63D1" w14:textId="77777777" w:rsidR="00CD692A" w:rsidRPr="00CD692A" w:rsidRDefault="00CD692A" w:rsidP="00340AF0">
      <w:pPr>
        <w:pStyle w:val="SingleTxtG"/>
        <w:spacing w:before="120" w:after="240"/>
        <w:ind w:firstLine="170"/>
        <w:jc w:val="left"/>
        <w:rPr>
          <w:sz w:val="18"/>
          <w:szCs w:val="18"/>
        </w:rPr>
      </w:pPr>
      <w:r w:rsidRPr="00CD692A">
        <w:rPr>
          <w:i/>
          <w:sz w:val="18"/>
          <w:szCs w:val="18"/>
        </w:rPr>
        <w:t>Fuente</w:t>
      </w:r>
      <w:r w:rsidRPr="00CD692A">
        <w:rPr>
          <w:i/>
          <w:iCs/>
          <w:sz w:val="18"/>
          <w:szCs w:val="18"/>
        </w:rPr>
        <w:t>:</w:t>
      </w:r>
      <w:r w:rsidRPr="00CD692A">
        <w:rPr>
          <w:sz w:val="18"/>
          <w:szCs w:val="18"/>
        </w:rPr>
        <w:t xml:space="preserve"> Censo de Población y Vivienda, 2018.</w:t>
      </w:r>
    </w:p>
    <w:p w14:paraId="6D4B2A2E" w14:textId="77777777" w:rsidR="00CD692A" w:rsidRPr="00CD692A" w:rsidRDefault="00CD692A" w:rsidP="00CD692A">
      <w:pPr>
        <w:pStyle w:val="SingleTxtG"/>
        <w:rPr>
          <w:bCs/>
        </w:rPr>
      </w:pPr>
      <w:r w:rsidRPr="00CD692A">
        <w:t>42.</w:t>
      </w:r>
      <w:r w:rsidRPr="00CD692A">
        <w:tab/>
        <w:t>Para garantizar el bienestar de las personas que trabajan en el sector informal, se han establecido sindicatos, como el Sindicato del Sector Informal de Malawi, afiliado al Congreso de Sindicatos de Malawi, que en 2012 tenía aproximadamente 14.550 miembros. Los miembros del Sindicato del Sector Informal de Malawi son trabajadores a domicilio, vendedores ambulantes, recicladores, trabajadores de la construcción, trabajadores domésticos y pequeños productores de té. El Sindicato tiene como objetivo asistir, representar y educar a sus miembros para mejorar sus negocios y proteger sus derechos e intereses.</w:t>
      </w:r>
      <w:bookmarkStart w:id="19" w:name="_Hlk41559763"/>
      <w:bookmarkStart w:id="20" w:name="_Hlk41559782"/>
      <w:bookmarkEnd w:id="19"/>
      <w:bookmarkEnd w:id="20"/>
    </w:p>
    <w:p w14:paraId="07F48005" w14:textId="7E365467" w:rsidR="00CD692A" w:rsidRPr="00CD692A" w:rsidRDefault="00340AF0" w:rsidP="00B54946">
      <w:pPr>
        <w:pStyle w:val="H1G"/>
      </w:pPr>
      <w:bookmarkStart w:id="21" w:name="_Hlk63780407"/>
      <w:r>
        <w:lastRenderedPageBreak/>
        <w:tab/>
      </w:r>
      <w:r>
        <w:tab/>
      </w:r>
      <w:r w:rsidR="00CD692A" w:rsidRPr="00CD692A">
        <w:t>Artículo 7</w:t>
      </w:r>
      <w:r>
        <w:br/>
      </w:r>
      <w:r w:rsidR="00CD692A" w:rsidRPr="00CD692A">
        <w:t>Derecho a condiciones equitativas y satisfactorias de trabajo</w:t>
      </w:r>
    </w:p>
    <w:bookmarkEnd w:id="21"/>
    <w:p w14:paraId="49DFED73" w14:textId="77777777" w:rsidR="00CD692A" w:rsidRPr="00CD692A" w:rsidRDefault="00CD692A" w:rsidP="00B54946">
      <w:pPr>
        <w:pStyle w:val="SingleTxtG"/>
        <w:keepNext/>
        <w:keepLines/>
        <w:rPr>
          <w:bCs/>
        </w:rPr>
      </w:pPr>
      <w:r w:rsidRPr="00CD692A">
        <w:t>43.</w:t>
      </w:r>
      <w:r w:rsidRPr="00CD692A">
        <w:tab/>
        <w:t>La Constitución de Malawi, en su artículo 31, párrafo 1, garantiza a toda persona el derecho a prácticas laborales equitativas y seguras y a una remuneración justa. Además, en su artículo 31, párrafo 3, establece que toda persona tendrá derecho a salarios justos y a igual remuneración por trabajo de igual valor sin distinción ni discriminación de ningún tipo, en particular por razón de sexo, discapacidad o raza.</w:t>
      </w:r>
    </w:p>
    <w:p w14:paraId="2EA52002" w14:textId="77777777" w:rsidR="00CD692A" w:rsidRPr="00CD692A" w:rsidRDefault="00CD692A" w:rsidP="00CD692A">
      <w:pPr>
        <w:pStyle w:val="SingleTxtG"/>
        <w:rPr>
          <w:bCs/>
        </w:rPr>
      </w:pPr>
      <w:r w:rsidRPr="00CD692A">
        <w:t>44.</w:t>
      </w:r>
      <w:r w:rsidRPr="00CD692A">
        <w:tab/>
        <w:t>A fin de desarrollar las disposiciones constitucionales, la Ley de Empleo establece las normas mínimas aplicables en los centros de trabajo. El artículo 4 de la Ley prohíbe el trabajo forzoso. El artículo 5 prohíbe la discriminación de cualquier empleado o posible empleado por motivos de raza, color, sexo, idioma, religión, opinión política o de otro tipo, nacionalidad, origen étnico o social, discapacidad, patrimonio, nacimiento, estado civil o de otro tipo, o responsabilidades familiares, en lo que respecta a la contratación, la capacitación, el ascenso, las condiciones de empleo, la terminación de la relación laboral u otras cuestiones derivadas de esta.</w:t>
      </w:r>
    </w:p>
    <w:p w14:paraId="0FC9AE4B" w14:textId="77777777" w:rsidR="00CD692A" w:rsidRPr="00CD692A" w:rsidRDefault="00CD692A" w:rsidP="00CD692A">
      <w:pPr>
        <w:pStyle w:val="SingleTxtG"/>
        <w:rPr>
          <w:bCs/>
        </w:rPr>
      </w:pPr>
      <w:r w:rsidRPr="00CD692A">
        <w:t>45.</w:t>
      </w:r>
      <w:r w:rsidRPr="00CD692A">
        <w:tab/>
        <w:t>Además, la Ley de Igualdad de Género, en su artículo 7, establece el deber del Gobierno de adoptar medidas activas para garantizar que los empleadores hayan desarrollado y apliquen políticas y procedimientos adecuados para eliminar el acoso sexual en el lugar de trabajo. Toda persona que haya sido objeto de acoso sexual en el lugar de trabajo puede presentar una queja sobre su ocurrencia y tener la garantía de que se tomarán las medidas disciplinarias adecuadas contra los autores. A estos se les puede imputar la comisión de dicho delito que puede ser sancionada con una multa de 1.000.000 de kwacha y una pena de prisión de cinco años</w:t>
      </w:r>
      <w:r w:rsidRPr="00BB5EDD">
        <w:rPr>
          <w:sz w:val="18"/>
          <w:szCs w:val="18"/>
          <w:vertAlign w:val="superscript"/>
        </w:rPr>
        <w:footnoteReference w:id="4"/>
      </w:r>
      <w:r w:rsidRPr="00CD692A">
        <w:t>. Una persona que haya sido objeto de acoso sexual en el lugar de trabajo no tiene que agotar los procedimientos internos conexos antes de que pueda iniciarse el ejercicio de la acción penal o del procedimiento civil</w:t>
      </w:r>
      <w:r w:rsidRPr="00BB5EDD">
        <w:rPr>
          <w:sz w:val="18"/>
          <w:szCs w:val="18"/>
          <w:vertAlign w:val="superscript"/>
        </w:rPr>
        <w:footnoteReference w:id="5"/>
      </w:r>
      <w:r w:rsidRPr="00CD692A">
        <w:t xml:space="preserve"> con respecto al delito.</w:t>
      </w:r>
    </w:p>
    <w:p w14:paraId="47302440" w14:textId="20B22D29" w:rsidR="00CD692A" w:rsidRPr="00CD692A" w:rsidRDefault="00CD692A" w:rsidP="00CD692A">
      <w:pPr>
        <w:pStyle w:val="SingleTxtG"/>
        <w:rPr>
          <w:bCs/>
        </w:rPr>
      </w:pPr>
      <w:r w:rsidRPr="00CD692A">
        <w:t>46.</w:t>
      </w:r>
      <w:r w:rsidRPr="00CD692A">
        <w:tab/>
        <w:t>Por otro lado, la parte III de la Ley de Empleo prevé la creación del Comisionado de Trabajo y de inspectores del trabajo cuya función es garantizar, mediante la inspección de los lugares de trabajo, el cumplimiento de las normas mínimas en materia de condiciones de trabajo satisfactorias. Esta labor está a cargo de inspectores de trabajo que dependen del Ministerio de Trabajo, Juventud, Deporte y Desarrollo de los Recursos Humanos. Cada lugar de trabajo debe ser inspeccionado al menos dos veces cada ejercicio económico.</w:t>
      </w:r>
    </w:p>
    <w:p w14:paraId="1CEB7D26" w14:textId="77777777" w:rsidR="00CD692A" w:rsidRPr="00CD692A" w:rsidRDefault="00CD692A" w:rsidP="00CD692A">
      <w:pPr>
        <w:pStyle w:val="SingleTxtG"/>
        <w:rPr>
          <w:bCs/>
        </w:rPr>
      </w:pPr>
      <w:r w:rsidRPr="00CD692A">
        <w:t>47.</w:t>
      </w:r>
      <w:r w:rsidRPr="00CD692A">
        <w:tab/>
        <w:t>Las partes V y VI de la Ley establecen los requisitos mínimos de las condiciones de empleo justas y equitativas, como la provisión de indemnizaciones por separación del servicio y los días de licencia, incluida la de maternidad. La parte VIII de la Ley establece el procedimiento para imponer sanciones disciplinarias y despedir a un empleado respetando sus derechos. Por ejemplo, el artículo 57 de la Ley establece que se deben dar a conocer al empleado los motivos del despido. Antes del despido, debe darse al trabajador la oportunidad de defenderse.</w:t>
      </w:r>
    </w:p>
    <w:p w14:paraId="112CE2BD" w14:textId="77777777" w:rsidR="00CD692A" w:rsidRPr="00CD692A" w:rsidRDefault="00CD692A" w:rsidP="00CD692A">
      <w:pPr>
        <w:pStyle w:val="SingleTxtG"/>
        <w:rPr>
          <w:bCs/>
        </w:rPr>
      </w:pPr>
      <w:r w:rsidRPr="00CD692A">
        <w:t>48.</w:t>
      </w:r>
      <w:r w:rsidRPr="00CD692A">
        <w:tab/>
        <w:t>El bienestar de los trabajadores está contemplado también en otras leyes, como la Ley de Pensiones, de 2011, que obliga a todos los empleadores a los que esta se aplica a proporcionar una pensión a todos sus empleados. Además, la Ley garantiza que todos los empleados de Malawi reciban, en su debido momento, las prestaciones de jubilación y complementarias; promueve la seguridad, la solidez y la gestión prudente de las cajas de pensión que proporcionan prestaciones por jubilación y por muerte a los afiliados y beneficiarios; y fomenta el fortalecimiento del ahorro nacional en apoyo del crecimiento económico y el desarrollo del país.</w:t>
      </w:r>
    </w:p>
    <w:p w14:paraId="02032E87" w14:textId="06C2FF75" w:rsidR="00CD692A" w:rsidRPr="00CD692A" w:rsidRDefault="00CD692A" w:rsidP="00CD692A">
      <w:pPr>
        <w:pStyle w:val="SingleTxtG"/>
        <w:rPr>
          <w:bCs/>
        </w:rPr>
      </w:pPr>
      <w:r w:rsidRPr="00CD692A">
        <w:t>49.</w:t>
      </w:r>
      <w:r w:rsidRPr="00CD692A">
        <w:tab/>
        <w:t xml:space="preserve">Cuando un empleado considera que se ha vulnerado su derecho a prácticas laborales justas, puede interponer una reclamación ante un tribunal especializado, el Tribunal de Relaciones Laborales, establecido para tratar asuntos laborales. Este </w:t>
      </w:r>
      <w:r w:rsidR="00440DCA">
        <w:t>t</w:t>
      </w:r>
      <w:r w:rsidRPr="00CD692A">
        <w:t xml:space="preserve">ribunal está integrado por un presidente, un vicepresidente, ambos nombrados por el Presidente del Tribunal </w:t>
      </w:r>
      <w:r w:rsidRPr="00CD692A">
        <w:lastRenderedPageBreak/>
        <w:t>Supremo a propuesta de la Comisión del Servicio Judicial, y otras personas, máximo 20, que constituyen un panel de empleados y empleadores.</w:t>
      </w:r>
    </w:p>
    <w:p w14:paraId="4F1C978E" w14:textId="77777777" w:rsidR="00CD692A" w:rsidRPr="00CD692A" w:rsidRDefault="00CD692A" w:rsidP="00CD692A">
      <w:pPr>
        <w:pStyle w:val="SingleTxtG"/>
        <w:rPr>
          <w:bCs/>
        </w:rPr>
      </w:pPr>
      <w:r w:rsidRPr="00CD692A">
        <w:t>50.</w:t>
      </w:r>
      <w:r w:rsidRPr="00CD692A">
        <w:tab/>
        <w:t>A nivel de políticas, también se prevén medidas para garantizar que los empleados disfruten de condiciones equitativas y satisfactorias de trabajo, establecidas en la Política Nacional de Empleo y Trabajo.</w:t>
      </w:r>
    </w:p>
    <w:p w14:paraId="6B6D7237" w14:textId="23186BF5" w:rsidR="00CD692A" w:rsidRPr="00CD692A" w:rsidRDefault="00340AF0" w:rsidP="00340AF0">
      <w:pPr>
        <w:pStyle w:val="H1G"/>
      </w:pPr>
      <w:bookmarkStart w:id="22" w:name="_Hlk63780431"/>
      <w:r>
        <w:tab/>
      </w:r>
      <w:r>
        <w:tab/>
      </w:r>
      <w:r w:rsidR="00CD692A" w:rsidRPr="00CD692A">
        <w:t>Artículo 8</w:t>
      </w:r>
      <w:r>
        <w:br/>
      </w:r>
      <w:r w:rsidR="00CD692A" w:rsidRPr="00CD692A">
        <w:t>Derecho a afiliarse a sindicatos</w:t>
      </w:r>
    </w:p>
    <w:bookmarkEnd w:id="22"/>
    <w:p w14:paraId="60C39F6A" w14:textId="77777777" w:rsidR="00CD692A" w:rsidRPr="00CD692A" w:rsidRDefault="00CD692A" w:rsidP="00CD692A">
      <w:pPr>
        <w:pStyle w:val="SingleTxtG"/>
        <w:rPr>
          <w:bCs/>
        </w:rPr>
      </w:pPr>
      <w:r w:rsidRPr="00CD692A">
        <w:t>51.</w:t>
      </w:r>
      <w:r w:rsidRPr="00CD692A">
        <w:tab/>
        <w:t>La Constitución de Malawi, en su artículo 31, párrafo 2, garantiza a toda persona el derecho a fundar sindicatos y afiliarse a ellos o a no hacerlo. Además, en su artículo 32, garantiza a toda persona el derecho a la libertad de asociación, que incluye la libertad de fundar asociaciones y el derecho a fundar sindicatos. La libertad de afiliación sindical incluye la libertad de no afiliarse a un sindicato y el derecho a no ser obligado a hacerlo.</w:t>
      </w:r>
    </w:p>
    <w:p w14:paraId="4BC79407" w14:textId="77777777" w:rsidR="00CD692A" w:rsidRPr="00CD692A" w:rsidRDefault="00CD692A" w:rsidP="00CD692A">
      <w:pPr>
        <w:pStyle w:val="SingleTxtG"/>
        <w:rPr>
          <w:bCs/>
        </w:rPr>
      </w:pPr>
      <w:r w:rsidRPr="00CD692A">
        <w:t>52.</w:t>
      </w:r>
      <w:r w:rsidRPr="00CD692A">
        <w:tab/>
        <w:t>La Ley de Relaciones Laborales desarrolla el derecho de afiliación a los sindicatos. La Ley tiene por objeto promover relaciones laborales sólidas mediante la protección y promoción de la libertad de asociación, el fomento de la negociación colectiva efectiva y la promoción de una solución de controversias ordenada y rápida, que conduzca a la justicia social y al desarrollo económico. La Ley se aplica tanto a las instituciones públicas como a las privadas.</w:t>
      </w:r>
    </w:p>
    <w:p w14:paraId="4286A74F" w14:textId="77777777" w:rsidR="00CD692A" w:rsidRPr="00CD692A" w:rsidRDefault="00CD692A" w:rsidP="00CD692A">
      <w:pPr>
        <w:pStyle w:val="SingleTxtG"/>
      </w:pPr>
      <w:r w:rsidRPr="00CD692A">
        <w:t>53.</w:t>
      </w:r>
      <w:r w:rsidRPr="00CD692A">
        <w:tab/>
        <w:t>La Ley también prohíbe cualquier tipo de discriminación en los estatutos de los sindicatos o de las organizaciones empresariales</w:t>
      </w:r>
      <w:r w:rsidRPr="00BB5EDD">
        <w:rPr>
          <w:sz w:val="18"/>
          <w:szCs w:val="18"/>
          <w:vertAlign w:val="superscript"/>
        </w:rPr>
        <w:footnoteReference w:id="6"/>
      </w:r>
      <w:r w:rsidRPr="00CD692A">
        <w:t>. Sin embargo, esto no excluye cualquier disposición, programa o actividad destinados a mejorar las condiciones de las personas o grupos desfavorecidos</w:t>
      </w:r>
      <w:r w:rsidRPr="00BB5EDD">
        <w:rPr>
          <w:sz w:val="18"/>
          <w:szCs w:val="18"/>
          <w:vertAlign w:val="superscript"/>
        </w:rPr>
        <w:footnoteReference w:id="7"/>
      </w:r>
      <w:r w:rsidRPr="00CD692A">
        <w:t>.</w:t>
      </w:r>
    </w:p>
    <w:p w14:paraId="42CD6893" w14:textId="75A0F3A2" w:rsidR="00CD692A" w:rsidRPr="00CD692A" w:rsidRDefault="00CD692A" w:rsidP="00CD692A">
      <w:pPr>
        <w:pStyle w:val="SingleTxtG"/>
        <w:rPr>
          <w:bCs/>
        </w:rPr>
      </w:pPr>
      <w:r w:rsidRPr="00CD692A">
        <w:t>54.</w:t>
      </w:r>
      <w:r w:rsidRPr="00CD692A">
        <w:tab/>
        <w:t xml:space="preserve">La Ley de Relaciones Laborales también brinda a las partes que consideran que se infringe su libertad de asociación y los derechos conexos señalados anteriormente la posibilidad de interponer recursos ante el Tribunal de Relaciones Laborales, que está facultado para dictar las órdenes que considere necesarias para garantizar el cumplimiento de las disposiciones de dicha Ley. Por ejemplo, en la causa </w:t>
      </w:r>
      <w:r w:rsidRPr="00CD692A">
        <w:rPr>
          <w:i/>
          <w:iCs/>
        </w:rPr>
        <w:t>Trade Union Members v. N.S.C.M. Milling Division</w:t>
      </w:r>
      <w:r w:rsidRPr="00CD692A">
        <w:t>,</w:t>
      </w:r>
      <w:r w:rsidRPr="00CD692A">
        <w:rPr>
          <w:i/>
          <w:iCs/>
        </w:rPr>
        <w:t xml:space="preserve"> </w:t>
      </w:r>
      <w:r w:rsidRPr="00CD692A">
        <w:t>asunto núm. 8 de</w:t>
      </w:r>
      <w:r w:rsidR="00D24E4F">
        <w:t xml:space="preserve"> </w:t>
      </w:r>
      <w:r w:rsidRPr="00CD692A">
        <w:t xml:space="preserve">1999 [2001], los demandantes que participaban en una huelga legal fueron despedidos por su empleador por haber participado en ella. El </w:t>
      </w:r>
      <w:r w:rsidR="00440DCA">
        <w:t>t</w:t>
      </w:r>
      <w:r w:rsidRPr="00CD692A">
        <w:t>ribunal consideró que su despido era improcedente y condenó a los empleadores a indemnizar a los empleados.</w:t>
      </w:r>
    </w:p>
    <w:p w14:paraId="5D31B84D" w14:textId="77777777" w:rsidR="00CD692A" w:rsidRPr="00CD692A" w:rsidRDefault="00CD692A" w:rsidP="00CD692A">
      <w:pPr>
        <w:pStyle w:val="SingleTxtG"/>
        <w:rPr>
          <w:bCs/>
        </w:rPr>
      </w:pPr>
      <w:r w:rsidRPr="00CD692A">
        <w:t>55.</w:t>
      </w:r>
      <w:r w:rsidRPr="00CD692A">
        <w:tab/>
        <w:t>El Congreso de Sindicatos de Malawi es un actor de importancia decisiva en la reivindicación de los derechos sindicales. Su objetivo es promover el crecimiento de los movimientos sindicales en Malawi y contribuir así al ejercicio efectivo de los derechos de los trabajadores, la justicia social y la mejora de las condiciones de trabajo, mediante actividades de educación, establecimiento de redes de contacto, investigación, organización, promoción y colaboración en materia de políticas.</w:t>
      </w:r>
    </w:p>
    <w:p w14:paraId="57784733" w14:textId="77777777" w:rsidR="00CD692A" w:rsidRPr="00CD692A" w:rsidRDefault="00CD692A" w:rsidP="00CD692A">
      <w:pPr>
        <w:pStyle w:val="SingleTxtG"/>
        <w:rPr>
          <w:bCs/>
        </w:rPr>
      </w:pPr>
      <w:r w:rsidRPr="00CD692A">
        <w:t>56.</w:t>
      </w:r>
      <w:r w:rsidRPr="00CD692A">
        <w:tab/>
        <w:t>El Congreso cuenta con 24 sindicatos afiliados, como el Sindicato del Sector Informal de Malawi, el Sindicato de Aparceros y Aliados Tabacaleros y el Sindicato de Funcionarios, entre otros. El Congreso asesora a los sindicatos afiliados para reivindicar los derechos laborales de sus miembros.</w:t>
      </w:r>
    </w:p>
    <w:p w14:paraId="3C505894" w14:textId="77777777" w:rsidR="00CD692A" w:rsidRPr="00CD692A" w:rsidRDefault="00CD692A" w:rsidP="00CD692A">
      <w:pPr>
        <w:pStyle w:val="SingleTxtG"/>
        <w:rPr>
          <w:bCs/>
        </w:rPr>
      </w:pPr>
      <w:r w:rsidRPr="00CD692A">
        <w:t>57.</w:t>
      </w:r>
      <w:r w:rsidRPr="00CD692A">
        <w:tab/>
        <w:t xml:space="preserve">La Encuesta sobre el Trabajo de Malawi, de 2013, estableció que la afiliación a sindicatos y asociaciones de empleados entre los trabajadores es baja. De la totalidad de los asalariados, el 6 % y el 4 % están afiliados a sindicatos y asociaciones de trabajadores, respectivamente. Los asalariados que ocupan cargos de administración o de apoyo administrativo o se desempeñan como especialistas tienen porcentajes de afiliación a asociaciones de empleados y sindicatos desproporcionadamente altos en comparación con los trabajadores de otras ocupaciones. Entre los asalariados que no están afiliados a sindicatos o asociaciones de trabajadores, la razón más frecuente para no afiliarse es el desconocimiento </w:t>
      </w:r>
      <w:r w:rsidRPr="00CD692A">
        <w:lastRenderedPageBreak/>
        <w:t>de la existencia del sindicato o de la asociación de empleados (52 %) y el no conocer ningún sindicato al que afiliarse en su lugar de trabajo (22 %).</w:t>
      </w:r>
    </w:p>
    <w:p w14:paraId="7C00857B" w14:textId="4F7968F7" w:rsidR="00CD692A" w:rsidRPr="00CD692A" w:rsidRDefault="00CD692A" w:rsidP="00750E61">
      <w:pPr>
        <w:pStyle w:val="H23G"/>
        <w:ind w:left="0" w:firstLine="0"/>
      </w:pPr>
      <w:r w:rsidRPr="00340AF0">
        <w:rPr>
          <w:b w:val="0"/>
          <w:bCs/>
        </w:rPr>
        <w:t>Cuadro 9</w:t>
      </w:r>
      <w:r w:rsidR="00340AF0" w:rsidRPr="00340AF0">
        <w:rPr>
          <w:b w:val="0"/>
          <w:bCs/>
        </w:rPr>
        <w:br/>
      </w:r>
      <w:r w:rsidRPr="00CD692A">
        <w:t>Porcentaje de afiliación a sindicatos y asociaciones de empleados por ocupación</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3119"/>
        <w:gridCol w:w="675"/>
        <w:gridCol w:w="705"/>
        <w:gridCol w:w="766"/>
        <w:gridCol w:w="705"/>
        <w:gridCol w:w="705"/>
        <w:gridCol w:w="766"/>
        <w:gridCol w:w="705"/>
        <w:gridCol w:w="705"/>
        <w:gridCol w:w="788"/>
      </w:tblGrid>
      <w:tr w:rsidR="00340AF0" w:rsidRPr="00340AF0" w14:paraId="58E4A3B5" w14:textId="77777777" w:rsidTr="0085343A">
        <w:trPr>
          <w:trHeight w:val="240"/>
          <w:tblHeader/>
        </w:trPr>
        <w:tc>
          <w:tcPr>
            <w:tcW w:w="3119" w:type="dxa"/>
            <w:vMerge w:val="restart"/>
            <w:tcBorders>
              <w:top w:val="single" w:sz="4" w:space="0" w:color="auto"/>
              <w:bottom w:val="single" w:sz="4" w:space="0" w:color="auto"/>
            </w:tcBorders>
            <w:shd w:val="clear" w:color="auto" w:fill="auto"/>
            <w:vAlign w:val="bottom"/>
          </w:tcPr>
          <w:p w14:paraId="3B0DB399" w14:textId="77777777" w:rsidR="00CD692A" w:rsidRPr="00CD692A" w:rsidRDefault="00CD692A" w:rsidP="00340AF0">
            <w:pPr>
              <w:pStyle w:val="SingleTxtG"/>
              <w:tabs>
                <w:tab w:val="clear" w:pos="1701"/>
                <w:tab w:val="clear" w:pos="2268"/>
                <w:tab w:val="clear" w:pos="2835"/>
              </w:tabs>
              <w:spacing w:before="80" w:after="80" w:line="200" w:lineRule="exact"/>
              <w:ind w:left="0" w:right="0"/>
              <w:jc w:val="left"/>
              <w:rPr>
                <w:i/>
                <w:sz w:val="16"/>
                <w:lang w:val="en-GB"/>
              </w:rPr>
            </w:pPr>
            <w:r w:rsidRPr="00CD692A">
              <w:rPr>
                <w:i/>
                <w:iCs/>
                <w:sz w:val="16"/>
              </w:rPr>
              <w:t>Ocupación</w:t>
            </w:r>
          </w:p>
        </w:tc>
        <w:tc>
          <w:tcPr>
            <w:tcW w:w="2146" w:type="dxa"/>
            <w:gridSpan w:val="3"/>
            <w:tcBorders>
              <w:top w:val="single" w:sz="4" w:space="0" w:color="auto"/>
              <w:bottom w:val="single" w:sz="4" w:space="0" w:color="auto"/>
              <w:right w:val="single" w:sz="24" w:space="0" w:color="FFFFFF" w:themeColor="background1"/>
            </w:tcBorders>
            <w:shd w:val="clear" w:color="auto" w:fill="auto"/>
            <w:vAlign w:val="bottom"/>
          </w:tcPr>
          <w:p w14:paraId="17AFCE6D" w14:textId="77777777" w:rsidR="00CD692A" w:rsidRPr="00CD692A" w:rsidRDefault="00CD692A" w:rsidP="00750E61">
            <w:pPr>
              <w:pStyle w:val="SingleTxtG"/>
              <w:tabs>
                <w:tab w:val="clear" w:pos="1701"/>
                <w:tab w:val="clear" w:pos="2268"/>
                <w:tab w:val="clear" w:pos="2835"/>
              </w:tabs>
              <w:spacing w:before="80" w:after="80" w:line="200" w:lineRule="exact"/>
              <w:ind w:left="0" w:right="0"/>
              <w:jc w:val="center"/>
              <w:rPr>
                <w:i/>
                <w:sz w:val="16"/>
                <w:lang w:val="en-GB"/>
              </w:rPr>
            </w:pPr>
            <w:r w:rsidRPr="00CD692A">
              <w:rPr>
                <w:i/>
                <w:iCs/>
                <w:sz w:val="16"/>
              </w:rPr>
              <w:t>Afiliación a un sindicato</w:t>
            </w:r>
          </w:p>
        </w:tc>
        <w:tc>
          <w:tcPr>
            <w:tcW w:w="21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8ED6E8" w14:textId="77777777" w:rsidR="00CD692A" w:rsidRPr="00CD692A" w:rsidRDefault="00CD692A" w:rsidP="00750E61">
            <w:pPr>
              <w:pStyle w:val="SingleTxtG"/>
              <w:tabs>
                <w:tab w:val="clear" w:pos="1701"/>
                <w:tab w:val="clear" w:pos="2268"/>
                <w:tab w:val="clear" w:pos="2835"/>
              </w:tabs>
              <w:spacing w:before="80" w:after="80" w:line="200" w:lineRule="exact"/>
              <w:ind w:left="0" w:right="0"/>
              <w:jc w:val="center"/>
              <w:rPr>
                <w:i/>
                <w:sz w:val="16"/>
                <w:lang w:val="en-GB"/>
              </w:rPr>
            </w:pPr>
            <w:r w:rsidRPr="00CD692A">
              <w:rPr>
                <w:i/>
                <w:iCs/>
                <w:sz w:val="16"/>
              </w:rPr>
              <w:t>Asociación de empleados</w:t>
            </w:r>
          </w:p>
        </w:tc>
        <w:tc>
          <w:tcPr>
            <w:tcW w:w="2198" w:type="dxa"/>
            <w:gridSpan w:val="3"/>
            <w:tcBorders>
              <w:top w:val="single" w:sz="4" w:space="0" w:color="auto"/>
              <w:left w:val="single" w:sz="24" w:space="0" w:color="FFFFFF" w:themeColor="background1"/>
              <w:bottom w:val="single" w:sz="4" w:space="0" w:color="auto"/>
            </w:tcBorders>
            <w:shd w:val="clear" w:color="auto" w:fill="auto"/>
            <w:vAlign w:val="bottom"/>
          </w:tcPr>
          <w:p w14:paraId="58D75BAB" w14:textId="77777777" w:rsidR="00CD692A" w:rsidRPr="00CD692A" w:rsidRDefault="00CD692A" w:rsidP="00750E61">
            <w:pPr>
              <w:pStyle w:val="SingleTxtG"/>
              <w:tabs>
                <w:tab w:val="clear" w:pos="1701"/>
                <w:tab w:val="clear" w:pos="2268"/>
                <w:tab w:val="clear" w:pos="2835"/>
              </w:tabs>
              <w:spacing w:before="80" w:after="80" w:line="200" w:lineRule="exact"/>
              <w:ind w:left="0" w:right="0"/>
              <w:jc w:val="center"/>
              <w:rPr>
                <w:i/>
                <w:sz w:val="16"/>
                <w:lang w:val="en-GB"/>
              </w:rPr>
            </w:pPr>
            <w:r w:rsidRPr="00CD692A">
              <w:rPr>
                <w:i/>
                <w:iCs/>
                <w:sz w:val="16"/>
              </w:rPr>
              <w:t>Negociación colectiva</w:t>
            </w:r>
          </w:p>
        </w:tc>
      </w:tr>
      <w:tr w:rsidR="00340AF0" w:rsidRPr="00340AF0" w14:paraId="3EC11632" w14:textId="77777777" w:rsidTr="0085343A">
        <w:trPr>
          <w:trHeight w:val="240"/>
        </w:trPr>
        <w:tc>
          <w:tcPr>
            <w:tcW w:w="3119" w:type="dxa"/>
            <w:vMerge/>
            <w:tcBorders>
              <w:top w:val="single" w:sz="4" w:space="0" w:color="auto"/>
              <w:bottom w:val="single" w:sz="12" w:space="0" w:color="auto"/>
            </w:tcBorders>
            <w:shd w:val="clear" w:color="auto" w:fill="auto"/>
            <w:vAlign w:val="bottom"/>
          </w:tcPr>
          <w:p w14:paraId="566948DE"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p>
        </w:tc>
        <w:tc>
          <w:tcPr>
            <w:tcW w:w="675" w:type="dxa"/>
            <w:tcBorders>
              <w:top w:val="single" w:sz="4" w:space="0" w:color="auto"/>
              <w:bottom w:val="single" w:sz="12" w:space="0" w:color="auto"/>
            </w:tcBorders>
            <w:shd w:val="clear" w:color="auto" w:fill="auto"/>
            <w:vAlign w:val="bottom"/>
          </w:tcPr>
          <w:p w14:paraId="201D5EFE"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Ambos</w:t>
            </w:r>
          </w:p>
        </w:tc>
        <w:tc>
          <w:tcPr>
            <w:tcW w:w="705" w:type="dxa"/>
            <w:tcBorders>
              <w:top w:val="single" w:sz="4" w:space="0" w:color="auto"/>
              <w:bottom w:val="single" w:sz="12" w:space="0" w:color="auto"/>
            </w:tcBorders>
            <w:shd w:val="clear" w:color="auto" w:fill="auto"/>
            <w:vAlign w:val="bottom"/>
          </w:tcPr>
          <w:p w14:paraId="21D1F0CB"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Hombres</w:t>
            </w:r>
          </w:p>
        </w:tc>
        <w:tc>
          <w:tcPr>
            <w:tcW w:w="766" w:type="dxa"/>
            <w:tcBorders>
              <w:top w:val="single" w:sz="4" w:space="0" w:color="auto"/>
              <w:bottom w:val="single" w:sz="12" w:space="0" w:color="auto"/>
              <w:right w:val="single" w:sz="24" w:space="0" w:color="FFFFFF" w:themeColor="background1"/>
            </w:tcBorders>
            <w:shd w:val="clear" w:color="auto" w:fill="auto"/>
            <w:vAlign w:val="bottom"/>
          </w:tcPr>
          <w:p w14:paraId="0E0F7045"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Mujeres</w:t>
            </w:r>
          </w:p>
        </w:tc>
        <w:tc>
          <w:tcPr>
            <w:tcW w:w="705" w:type="dxa"/>
            <w:tcBorders>
              <w:top w:val="single" w:sz="4" w:space="0" w:color="auto"/>
              <w:left w:val="single" w:sz="24" w:space="0" w:color="FFFFFF" w:themeColor="background1"/>
              <w:bottom w:val="single" w:sz="12" w:space="0" w:color="auto"/>
            </w:tcBorders>
            <w:shd w:val="clear" w:color="auto" w:fill="auto"/>
            <w:vAlign w:val="bottom"/>
          </w:tcPr>
          <w:p w14:paraId="0152B65A"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Ambos</w:t>
            </w:r>
          </w:p>
        </w:tc>
        <w:tc>
          <w:tcPr>
            <w:tcW w:w="705" w:type="dxa"/>
            <w:tcBorders>
              <w:top w:val="single" w:sz="4" w:space="0" w:color="auto"/>
              <w:bottom w:val="single" w:sz="12" w:space="0" w:color="auto"/>
            </w:tcBorders>
            <w:shd w:val="clear" w:color="auto" w:fill="auto"/>
            <w:vAlign w:val="bottom"/>
          </w:tcPr>
          <w:p w14:paraId="5D2A3F69"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Hombres</w:t>
            </w:r>
          </w:p>
        </w:tc>
        <w:tc>
          <w:tcPr>
            <w:tcW w:w="766" w:type="dxa"/>
            <w:tcBorders>
              <w:top w:val="single" w:sz="4" w:space="0" w:color="auto"/>
              <w:bottom w:val="single" w:sz="12" w:space="0" w:color="auto"/>
              <w:right w:val="single" w:sz="24" w:space="0" w:color="FFFFFF" w:themeColor="background1"/>
            </w:tcBorders>
            <w:shd w:val="clear" w:color="auto" w:fill="auto"/>
            <w:vAlign w:val="bottom"/>
          </w:tcPr>
          <w:p w14:paraId="38CF7923"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Mujeres</w:t>
            </w:r>
          </w:p>
        </w:tc>
        <w:tc>
          <w:tcPr>
            <w:tcW w:w="705" w:type="dxa"/>
            <w:tcBorders>
              <w:top w:val="single" w:sz="4" w:space="0" w:color="auto"/>
              <w:left w:val="single" w:sz="24" w:space="0" w:color="FFFFFF" w:themeColor="background1"/>
              <w:bottom w:val="single" w:sz="12" w:space="0" w:color="auto"/>
            </w:tcBorders>
            <w:shd w:val="clear" w:color="auto" w:fill="auto"/>
            <w:vAlign w:val="bottom"/>
          </w:tcPr>
          <w:p w14:paraId="0A66F86D"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Ambos</w:t>
            </w:r>
          </w:p>
        </w:tc>
        <w:tc>
          <w:tcPr>
            <w:tcW w:w="705" w:type="dxa"/>
            <w:tcBorders>
              <w:top w:val="single" w:sz="4" w:space="0" w:color="auto"/>
              <w:bottom w:val="single" w:sz="12" w:space="0" w:color="auto"/>
            </w:tcBorders>
            <w:shd w:val="clear" w:color="auto" w:fill="auto"/>
            <w:vAlign w:val="bottom"/>
          </w:tcPr>
          <w:p w14:paraId="2B5536BB"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Hombres</w:t>
            </w:r>
          </w:p>
        </w:tc>
        <w:tc>
          <w:tcPr>
            <w:tcW w:w="788" w:type="dxa"/>
            <w:tcBorders>
              <w:top w:val="single" w:sz="4" w:space="0" w:color="auto"/>
              <w:bottom w:val="single" w:sz="12" w:space="0" w:color="auto"/>
            </w:tcBorders>
            <w:shd w:val="clear" w:color="auto" w:fill="auto"/>
            <w:vAlign w:val="bottom"/>
          </w:tcPr>
          <w:p w14:paraId="7F216232" w14:textId="77777777" w:rsidR="00CD692A" w:rsidRPr="00CD692A" w:rsidRDefault="00CD692A" w:rsidP="00750E61">
            <w:pPr>
              <w:pStyle w:val="SingleTxtG"/>
              <w:tabs>
                <w:tab w:val="clear" w:pos="1701"/>
                <w:tab w:val="clear" w:pos="2268"/>
                <w:tab w:val="clear" w:pos="2835"/>
              </w:tabs>
              <w:spacing w:before="80" w:after="80" w:line="200" w:lineRule="exact"/>
              <w:ind w:left="28" w:right="28"/>
              <w:jc w:val="right"/>
              <w:rPr>
                <w:i/>
                <w:iCs/>
                <w:sz w:val="16"/>
              </w:rPr>
            </w:pPr>
            <w:r w:rsidRPr="00CD692A">
              <w:rPr>
                <w:i/>
                <w:iCs/>
                <w:sz w:val="16"/>
              </w:rPr>
              <w:t>Mujeres</w:t>
            </w:r>
          </w:p>
        </w:tc>
      </w:tr>
      <w:tr w:rsidR="00340AF0" w:rsidRPr="00750E61" w14:paraId="0355BD23" w14:textId="77777777" w:rsidTr="00750E61">
        <w:trPr>
          <w:trHeight w:val="240"/>
        </w:trPr>
        <w:tc>
          <w:tcPr>
            <w:tcW w:w="3119" w:type="dxa"/>
            <w:tcBorders>
              <w:top w:val="single" w:sz="12" w:space="0" w:color="auto"/>
              <w:bottom w:val="single" w:sz="4" w:space="0" w:color="auto"/>
            </w:tcBorders>
            <w:shd w:val="clear" w:color="auto" w:fill="auto"/>
          </w:tcPr>
          <w:p w14:paraId="107D43B9" w14:textId="77777777" w:rsidR="00CD692A" w:rsidRPr="00750E61" w:rsidRDefault="00CD692A" w:rsidP="00750E61">
            <w:pPr>
              <w:pStyle w:val="SingleTxtG"/>
              <w:tabs>
                <w:tab w:val="clear" w:pos="1701"/>
                <w:tab w:val="clear" w:pos="2268"/>
                <w:tab w:val="clear" w:pos="2835"/>
              </w:tabs>
              <w:spacing w:before="80" w:after="80" w:line="220" w:lineRule="exact"/>
              <w:ind w:left="283" w:right="0"/>
              <w:jc w:val="left"/>
              <w:rPr>
                <w:b/>
                <w:sz w:val="18"/>
                <w:lang w:val="en-GB"/>
              </w:rPr>
            </w:pPr>
            <w:r w:rsidRPr="00750E61">
              <w:rPr>
                <w:b/>
                <w:bCs/>
                <w:sz w:val="18"/>
              </w:rPr>
              <w:t>Total</w:t>
            </w:r>
          </w:p>
        </w:tc>
        <w:tc>
          <w:tcPr>
            <w:tcW w:w="675" w:type="dxa"/>
            <w:tcBorders>
              <w:top w:val="single" w:sz="12" w:space="0" w:color="auto"/>
              <w:bottom w:val="single" w:sz="4" w:space="0" w:color="auto"/>
            </w:tcBorders>
            <w:shd w:val="clear" w:color="auto" w:fill="auto"/>
            <w:vAlign w:val="bottom"/>
          </w:tcPr>
          <w:p w14:paraId="309BD598"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5,5</w:t>
            </w:r>
          </w:p>
        </w:tc>
        <w:tc>
          <w:tcPr>
            <w:tcW w:w="705" w:type="dxa"/>
            <w:tcBorders>
              <w:top w:val="single" w:sz="12" w:space="0" w:color="auto"/>
              <w:bottom w:val="single" w:sz="4" w:space="0" w:color="auto"/>
            </w:tcBorders>
            <w:shd w:val="clear" w:color="auto" w:fill="auto"/>
            <w:vAlign w:val="bottom"/>
          </w:tcPr>
          <w:p w14:paraId="655DE356"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6,8</w:t>
            </w:r>
          </w:p>
        </w:tc>
        <w:tc>
          <w:tcPr>
            <w:tcW w:w="766" w:type="dxa"/>
            <w:tcBorders>
              <w:top w:val="single" w:sz="12" w:space="0" w:color="auto"/>
              <w:bottom w:val="single" w:sz="4" w:space="0" w:color="auto"/>
            </w:tcBorders>
            <w:shd w:val="clear" w:color="auto" w:fill="auto"/>
            <w:vAlign w:val="bottom"/>
          </w:tcPr>
          <w:p w14:paraId="5DE74025"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3,6</w:t>
            </w:r>
          </w:p>
        </w:tc>
        <w:tc>
          <w:tcPr>
            <w:tcW w:w="705" w:type="dxa"/>
            <w:tcBorders>
              <w:top w:val="single" w:sz="12" w:space="0" w:color="auto"/>
              <w:bottom w:val="single" w:sz="4" w:space="0" w:color="auto"/>
            </w:tcBorders>
            <w:shd w:val="clear" w:color="auto" w:fill="auto"/>
            <w:vAlign w:val="bottom"/>
          </w:tcPr>
          <w:p w14:paraId="0B94A67C"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3,6</w:t>
            </w:r>
          </w:p>
        </w:tc>
        <w:tc>
          <w:tcPr>
            <w:tcW w:w="705" w:type="dxa"/>
            <w:tcBorders>
              <w:top w:val="single" w:sz="12" w:space="0" w:color="auto"/>
              <w:bottom w:val="single" w:sz="4" w:space="0" w:color="auto"/>
            </w:tcBorders>
            <w:shd w:val="clear" w:color="auto" w:fill="auto"/>
            <w:vAlign w:val="bottom"/>
          </w:tcPr>
          <w:p w14:paraId="60C38AC2"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4,1</w:t>
            </w:r>
          </w:p>
        </w:tc>
        <w:tc>
          <w:tcPr>
            <w:tcW w:w="766" w:type="dxa"/>
            <w:tcBorders>
              <w:top w:val="single" w:sz="12" w:space="0" w:color="auto"/>
              <w:bottom w:val="single" w:sz="4" w:space="0" w:color="auto"/>
            </w:tcBorders>
            <w:shd w:val="clear" w:color="auto" w:fill="auto"/>
            <w:vAlign w:val="bottom"/>
          </w:tcPr>
          <w:p w14:paraId="48AF18A8"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2,9</w:t>
            </w:r>
          </w:p>
        </w:tc>
        <w:tc>
          <w:tcPr>
            <w:tcW w:w="705" w:type="dxa"/>
            <w:tcBorders>
              <w:top w:val="single" w:sz="12" w:space="0" w:color="auto"/>
              <w:bottom w:val="single" w:sz="4" w:space="0" w:color="auto"/>
            </w:tcBorders>
            <w:shd w:val="clear" w:color="auto" w:fill="auto"/>
            <w:vAlign w:val="bottom"/>
          </w:tcPr>
          <w:p w14:paraId="0051B941"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18,1</w:t>
            </w:r>
          </w:p>
        </w:tc>
        <w:tc>
          <w:tcPr>
            <w:tcW w:w="705" w:type="dxa"/>
            <w:tcBorders>
              <w:top w:val="single" w:sz="12" w:space="0" w:color="auto"/>
              <w:bottom w:val="single" w:sz="4" w:space="0" w:color="auto"/>
            </w:tcBorders>
            <w:shd w:val="clear" w:color="auto" w:fill="auto"/>
            <w:vAlign w:val="bottom"/>
          </w:tcPr>
          <w:p w14:paraId="5A3CAC62"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21,6</w:t>
            </w:r>
          </w:p>
        </w:tc>
        <w:tc>
          <w:tcPr>
            <w:tcW w:w="788" w:type="dxa"/>
            <w:tcBorders>
              <w:top w:val="single" w:sz="12" w:space="0" w:color="auto"/>
              <w:bottom w:val="single" w:sz="4" w:space="0" w:color="auto"/>
            </w:tcBorders>
            <w:shd w:val="clear" w:color="auto" w:fill="auto"/>
            <w:vAlign w:val="bottom"/>
          </w:tcPr>
          <w:p w14:paraId="64AE072A" w14:textId="77777777" w:rsidR="00CD692A" w:rsidRPr="00750E61" w:rsidRDefault="00CD692A" w:rsidP="00750E61">
            <w:pPr>
              <w:pStyle w:val="SingleTxtG"/>
              <w:tabs>
                <w:tab w:val="clear" w:pos="1701"/>
                <w:tab w:val="clear" w:pos="2268"/>
                <w:tab w:val="clear" w:pos="2835"/>
              </w:tabs>
              <w:spacing w:before="80" w:after="80" w:line="220" w:lineRule="exact"/>
              <w:ind w:left="28" w:right="28"/>
              <w:jc w:val="right"/>
              <w:rPr>
                <w:b/>
                <w:sz w:val="18"/>
                <w:lang w:val="en-GB"/>
              </w:rPr>
            </w:pPr>
            <w:r w:rsidRPr="00750E61">
              <w:rPr>
                <w:b/>
                <w:bCs/>
                <w:sz w:val="18"/>
              </w:rPr>
              <w:t>13,3</w:t>
            </w:r>
          </w:p>
        </w:tc>
      </w:tr>
      <w:tr w:rsidR="00340AF0" w:rsidRPr="00340AF0" w14:paraId="01E8572C" w14:textId="77777777" w:rsidTr="00750E61">
        <w:trPr>
          <w:trHeight w:val="240"/>
        </w:trPr>
        <w:tc>
          <w:tcPr>
            <w:tcW w:w="3119" w:type="dxa"/>
            <w:tcBorders>
              <w:top w:val="single" w:sz="4" w:space="0" w:color="auto"/>
            </w:tcBorders>
            <w:shd w:val="clear" w:color="auto" w:fill="auto"/>
          </w:tcPr>
          <w:p w14:paraId="0B45AA41"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Administradores</w:t>
            </w:r>
          </w:p>
        </w:tc>
        <w:tc>
          <w:tcPr>
            <w:tcW w:w="675" w:type="dxa"/>
            <w:tcBorders>
              <w:top w:val="single" w:sz="4" w:space="0" w:color="auto"/>
            </w:tcBorders>
            <w:shd w:val="clear" w:color="auto" w:fill="auto"/>
            <w:vAlign w:val="bottom"/>
          </w:tcPr>
          <w:p w14:paraId="0AA13E7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19,9</w:t>
            </w:r>
          </w:p>
        </w:tc>
        <w:tc>
          <w:tcPr>
            <w:tcW w:w="705" w:type="dxa"/>
            <w:tcBorders>
              <w:top w:val="single" w:sz="4" w:space="0" w:color="auto"/>
            </w:tcBorders>
            <w:shd w:val="clear" w:color="auto" w:fill="auto"/>
            <w:vAlign w:val="bottom"/>
          </w:tcPr>
          <w:p w14:paraId="66E6B75E"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20,3</w:t>
            </w:r>
          </w:p>
        </w:tc>
        <w:tc>
          <w:tcPr>
            <w:tcW w:w="766" w:type="dxa"/>
            <w:tcBorders>
              <w:top w:val="single" w:sz="4" w:space="0" w:color="auto"/>
            </w:tcBorders>
            <w:shd w:val="clear" w:color="auto" w:fill="auto"/>
            <w:vAlign w:val="bottom"/>
          </w:tcPr>
          <w:p w14:paraId="3C158450"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17,4</w:t>
            </w:r>
          </w:p>
        </w:tc>
        <w:tc>
          <w:tcPr>
            <w:tcW w:w="705" w:type="dxa"/>
            <w:tcBorders>
              <w:top w:val="single" w:sz="4" w:space="0" w:color="auto"/>
            </w:tcBorders>
            <w:shd w:val="clear" w:color="auto" w:fill="auto"/>
            <w:vAlign w:val="bottom"/>
          </w:tcPr>
          <w:p w14:paraId="2081D1D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13,9</w:t>
            </w:r>
          </w:p>
        </w:tc>
        <w:tc>
          <w:tcPr>
            <w:tcW w:w="705" w:type="dxa"/>
            <w:tcBorders>
              <w:top w:val="single" w:sz="4" w:space="0" w:color="auto"/>
            </w:tcBorders>
            <w:shd w:val="clear" w:color="auto" w:fill="auto"/>
            <w:vAlign w:val="bottom"/>
          </w:tcPr>
          <w:p w14:paraId="2F5D2590"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15</w:t>
            </w:r>
          </w:p>
        </w:tc>
        <w:tc>
          <w:tcPr>
            <w:tcW w:w="766" w:type="dxa"/>
            <w:tcBorders>
              <w:top w:val="single" w:sz="4" w:space="0" w:color="auto"/>
            </w:tcBorders>
            <w:shd w:val="clear" w:color="auto" w:fill="auto"/>
            <w:vAlign w:val="bottom"/>
          </w:tcPr>
          <w:p w14:paraId="2376DF14"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7,7</w:t>
            </w:r>
          </w:p>
        </w:tc>
        <w:tc>
          <w:tcPr>
            <w:tcW w:w="705" w:type="dxa"/>
            <w:tcBorders>
              <w:top w:val="single" w:sz="4" w:space="0" w:color="auto"/>
            </w:tcBorders>
            <w:shd w:val="clear" w:color="auto" w:fill="auto"/>
            <w:vAlign w:val="bottom"/>
          </w:tcPr>
          <w:p w14:paraId="2258CCF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56,1</w:t>
            </w:r>
          </w:p>
        </w:tc>
        <w:tc>
          <w:tcPr>
            <w:tcW w:w="705" w:type="dxa"/>
            <w:tcBorders>
              <w:top w:val="single" w:sz="4" w:space="0" w:color="auto"/>
            </w:tcBorders>
            <w:shd w:val="clear" w:color="auto" w:fill="auto"/>
            <w:vAlign w:val="bottom"/>
          </w:tcPr>
          <w:p w14:paraId="43BC239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57,6</w:t>
            </w:r>
          </w:p>
        </w:tc>
        <w:tc>
          <w:tcPr>
            <w:tcW w:w="788" w:type="dxa"/>
            <w:tcBorders>
              <w:top w:val="single" w:sz="4" w:space="0" w:color="auto"/>
            </w:tcBorders>
            <w:shd w:val="clear" w:color="auto" w:fill="auto"/>
            <w:vAlign w:val="bottom"/>
          </w:tcPr>
          <w:p w14:paraId="23AEBF2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47,8</w:t>
            </w:r>
          </w:p>
        </w:tc>
      </w:tr>
      <w:tr w:rsidR="00340AF0" w:rsidRPr="00340AF0" w14:paraId="6BADC213" w14:textId="77777777" w:rsidTr="00750E61">
        <w:trPr>
          <w:trHeight w:val="240"/>
        </w:trPr>
        <w:tc>
          <w:tcPr>
            <w:tcW w:w="3119" w:type="dxa"/>
            <w:shd w:val="clear" w:color="auto" w:fill="auto"/>
          </w:tcPr>
          <w:p w14:paraId="4964ED34"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Especialistas</w:t>
            </w:r>
          </w:p>
        </w:tc>
        <w:tc>
          <w:tcPr>
            <w:tcW w:w="675" w:type="dxa"/>
            <w:shd w:val="clear" w:color="auto" w:fill="auto"/>
            <w:vAlign w:val="bottom"/>
          </w:tcPr>
          <w:p w14:paraId="3FECC2E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22,8</w:t>
            </w:r>
          </w:p>
        </w:tc>
        <w:tc>
          <w:tcPr>
            <w:tcW w:w="705" w:type="dxa"/>
            <w:shd w:val="clear" w:color="auto" w:fill="auto"/>
            <w:vAlign w:val="bottom"/>
          </w:tcPr>
          <w:p w14:paraId="78FDEEA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24,4</w:t>
            </w:r>
          </w:p>
        </w:tc>
        <w:tc>
          <w:tcPr>
            <w:tcW w:w="766" w:type="dxa"/>
            <w:shd w:val="clear" w:color="auto" w:fill="auto"/>
            <w:vAlign w:val="bottom"/>
          </w:tcPr>
          <w:p w14:paraId="40BA9673"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20,2</w:t>
            </w:r>
          </w:p>
        </w:tc>
        <w:tc>
          <w:tcPr>
            <w:tcW w:w="705" w:type="dxa"/>
            <w:shd w:val="clear" w:color="auto" w:fill="auto"/>
            <w:vAlign w:val="bottom"/>
          </w:tcPr>
          <w:p w14:paraId="512AA2C0"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22,8</w:t>
            </w:r>
          </w:p>
        </w:tc>
        <w:tc>
          <w:tcPr>
            <w:tcW w:w="705" w:type="dxa"/>
            <w:shd w:val="clear" w:color="auto" w:fill="auto"/>
            <w:vAlign w:val="bottom"/>
          </w:tcPr>
          <w:p w14:paraId="6BB28BF2"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w:t>
            </w:r>
          </w:p>
        </w:tc>
        <w:tc>
          <w:tcPr>
            <w:tcW w:w="766" w:type="dxa"/>
            <w:shd w:val="clear" w:color="auto" w:fill="auto"/>
            <w:vAlign w:val="bottom"/>
          </w:tcPr>
          <w:p w14:paraId="3BAFA7D8"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25,9</w:t>
            </w:r>
          </w:p>
        </w:tc>
        <w:tc>
          <w:tcPr>
            <w:tcW w:w="705" w:type="dxa"/>
            <w:shd w:val="clear" w:color="auto" w:fill="auto"/>
            <w:vAlign w:val="bottom"/>
          </w:tcPr>
          <w:p w14:paraId="5CC6D6B8"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56,8</w:t>
            </w:r>
          </w:p>
        </w:tc>
        <w:tc>
          <w:tcPr>
            <w:tcW w:w="705" w:type="dxa"/>
            <w:shd w:val="clear" w:color="auto" w:fill="auto"/>
            <w:vAlign w:val="bottom"/>
          </w:tcPr>
          <w:p w14:paraId="5328351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55,8</w:t>
            </w:r>
          </w:p>
        </w:tc>
        <w:tc>
          <w:tcPr>
            <w:tcW w:w="788" w:type="dxa"/>
            <w:shd w:val="clear" w:color="auto" w:fill="auto"/>
            <w:vAlign w:val="bottom"/>
          </w:tcPr>
          <w:p w14:paraId="4889DB45"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58,5</w:t>
            </w:r>
          </w:p>
        </w:tc>
      </w:tr>
      <w:tr w:rsidR="00340AF0" w:rsidRPr="00340AF0" w14:paraId="211C8A8F" w14:textId="77777777" w:rsidTr="00750E61">
        <w:trPr>
          <w:trHeight w:val="240"/>
        </w:trPr>
        <w:tc>
          <w:tcPr>
            <w:tcW w:w="3119" w:type="dxa"/>
            <w:shd w:val="clear" w:color="auto" w:fill="auto"/>
          </w:tcPr>
          <w:p w14:paraId="03FB5535"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Técnicos y especialistas adjuntos</w:t>
            </w:r>
          </w:p>
        </w:tc>
        <w:tc>
          <w:tcPr>
            <w:tcW w:w="675" w:type="dxa"/>
            <w:shd w:val="clear" w:color="auto" w:fill="auto"/>
            <w:vAlign w:val="bottom"/>
          </w:tcPr>
          <w:p w14:paraId="5C0080E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3,4</w:t>
            </w:r>
          </w:p>
        </w:tc>
        <w:tc>
          <w:tcPr>
            <w:tcW w:w="705" w:type="dxa"/>
            <w:shd w:val="clear" w:color="auto" w:fill="auto"/>
            <w:vAlign w:val="bottom"/>
          </w:tcPr>
          <w:p w14:paraId="1A5F30E3"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w:t>
            </w:r>
          </w:p>
        </w:tc>
        <w:tc>
          <w:tcPr>
            <w:tcW w:w="766" w:type="dxa"/>
            <w:shd w:val="clear" w:color="auto" w:fill="auto"/>
            <w:vAlign w:val="bottom"/>
          </w:tcPr>
          <w:p w14:paraId="50E322B2"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14,1</w:t>
            </w:r>
          </w:p>
        </w:tc>
        <w:tc>
          <w:tcPr>
            <w:tcW w:w="705" w:type="dxa"/>
            <w:shd w:val="clear" w:color="auto" w:fill="auto"/>
            <w:vAlign w:val="bottom"/>
          </w:tcPr>
          <w:p w14:paraId="34B6E34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1,7</w:t>
            </w:r>
          </w:p>
        </w:tc>
        <w:tc>
          <w:tcPr>
            <w:tcW w:w="705" w:type="dxa"/>
            <w:shd w:val="clear" w:color="auto" w:fill="auto"/>
            <w:vAlign w:val="bottom"/>
          </w:tcPr>
          <w:p w14:paraId="6739E1B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w:t>
            </w:r>
          </w:p>
        </w:tc>
        <w:tc>
          <w:tcPr>
            <w:tcW w:w="766" w:type="dxa"/>
            <w:shd w:val="clear" w:color="auto" w:fill="auto"/>
            <w:vAlign w:val="bottom"/>
          </w:tcPr>
          <w:p w14:paraId="32965D1D"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lang w:val="en-GB"/>
              </w:rPr>
              <w:t>-</w:t>
            </w:r>
          </w:p>
        </w:tc>
        <w:tc>
          <w:tcPr>
            <w:tcW w:w="705" w:type="dxa"/>
            <w:shd w:val="clear" w:color="auto" w:fill="auto"/>
            <w:vAlign w:val="bottom"/>
          </w:tcPr>
          <w:p w14:paraId="4D7EFD9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33,6</w:t>
            </w:r>
          </w:p>
        </w:tc>
        <w:tc>
          <w:tcPr>
            <w:tcW w:w="705" w:type="dxa"/>
            <w:shd w:val="clear" w:color="auto" w:fill="auto"/>
            <w:vAlign w:val="bottom"/>
          </w:tcPr>
          <w:p w14:paraId="1BD49FA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34,9</w:t>
            </w:r>
          </w:p>
        </w:tc>
        <w:tc>
          <w:tcPr>
            <w:tcW w:w="788" w:type="dxa"/>
            <w:shd w:val="clear" w:color="auto" w:fill="auto"/>
            <w:vAlign w:val="bottom"/>
          </w:tcPr>
          <w:p w14:paraId="46FE33F8"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28</w:t>
            </w:r>
          </w:p>
        </w:tc>
      </w:tr>
      <w:tr w:rsidR="00340AF0" w:rsidRPr="00340AF0" w14:paraId="183F5E9E" w14:textId="77777777" w:rsidTr="00750E61">
        <w:trPr>
          <w:trHeight w:val="240"/>
        </w:trPr>
        <w:tc>
          <w:tcPr>
            <w:tcW w:w="3119" w:type="dxa"/>
            <w:shd w:val="clear" w:color="auto" w:fill="auto"/>
          </w:tcPr>
          <w:p w14:paraId="5EFC6524"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Empleados de apoyo administrativo</w:t>
            </w:r>
          </w:p>
        </w:tc>
        <w:tc>
          <w:tcPr>
            <w:tcW w:w="675" w:type="dxa"/>
            <w:shd w:val="clear" w:color="auto" w:fill="auto"/>
            <w:vAlign w:val="bottom"/>
          </w:tcPr>
          <w:p w14:paraId="13C10413"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23,3</w:t>
            </w:r>
          </w:p>
        </w:tc>
        <w:tc>
          <w:tcPr>
            <w:tcW w:w="705" w:type="dxa"/>
            <w:shd w:val="clear" w:color="auto" w:fill="auto"/>
            <w:vAlign w:val="bottom"/>
          </w:tcPr>
          <w:p w14:paraId="6EC61940"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23,2</w:t>
            </w:r>
          </w:p>
        </w:tc>
        <w:tc>
          <w:tcPr>
            <w:tcW w:w="766" w:type="dxa"/>
            <w:shd w:val="clear" w:color="auto" w:fill="auto"/>
            <w:vAlign w:val="bottom"/>
          </w:tcPr>
          <w:p w14:paraId="40C3AFF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23,5</w:t>
            </w:r>
          </w:p>
        </w:tc>
        <w:tc>
          <w:tcPr>
            <w:tcW w:w="705" w:type="dxa"/>
            <w:shd w:val="clear" w:color="auto" w:fill="auto"/>
            <w:vAlign w:val="bottom"/>
          </w:tcPr>
          <w:p w14:paraId="2E42C9E3"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6,1</w:t>
            </w:r>
          </w:p>
        </w:tc>
        <w:tc>
          <w:tcPr>
            <w:tcW w:w="705" w:type="dxa"/>
            <w:shd w:val="clear" w:color="auto" w:fill="auto"/>
            <w:vAlign w:val="bottom"/>
          </w:tcPr>
          <w:p w14:paraId="5347C88E"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5,6</w:t>
            </w:r>
          </w:p>
        </w:tc>
        <w:tc>
          <w:tcPr>
            <w:tcW w:w="766" w:type="dxa"/>
            <w:shd w:val="clear" w:color="auto" w:fill="auto"/>
            <w:vAlign w:val="bottom"/>
          </w:tcPr>
          <w:p w14:paraId="03E5C72E"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6,8</w:t>
            </w:r>
          </w:p>
        </w:tc>
        <w:tc>
          <w:tcPr>
            <w:tcW w:w="705" w:type="dxa"/>
            <w:shd w:val="clear" w:color="auto" w:fill="auto"/>
            <w:vAlign w:val="bottom"/>
          </w:tcPr>
          <w:p w14:paraId="2116F02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44,7</w:t>
            </w:r>
          </w:p>
        </w:tc>
        <w:tc>
          <w:tcPr>
            <w:tcW w:w="705" w:type="dxa"/>
            <w:shd w:val="clear" w:color="auto" w:fill="auto"/>
            <w:vAlign w:val="bottom"/>
          </w:tcPr>
          <w:p w14:paraId="0807C3BD"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44,8</w:t>
            </w:r>
          </w:p>
        </w:tc>
        <w:tc>
          <w:tcPr>
            <w:tcW w:w="788" w:type="dxa"/>
            <w:shd w:val="clear" w:color="auto" w:fill="auto"/>
            <w:vAlign w:val="bottom"/>
          </w:tcPr>
          <w:p w14:paraId="2CECECA6"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44,5</w:t>
            </w:r>
          </w:p>
        </w:tc>
      </w:tr>
      <w:tr w:rsidR="00340AF0" w:rsidRPr="00340AF0" w14:paraId="3960286F" w14:textId="77777777" w:rsidTr="00750E61">
        <w:trPr>
          <w:trHeight w:val="240"/>
        </w:trPr>
        <w:tc>
          <w:tcPr>
            <w:tcW w:w="3119" w:type="dxa"/>
            <w:shd w:val="clear" w:color="auto" w:fill="auto"/>
          </w:tcPr>
          <w:p w14:paraId="521DA3B9"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rPr>
            </w:pPr>
            <w:r w:rsidRPr="00CD692A">
              <w:rPr>
                <w:sz w:val="18"/>
              </w:rPr>
              <w:t>Empleados del sector de los servicios y el comercio</w:t>
            </w:r>
          </w:p>
        </w:tc>
        <w:tc>
          <w:tcPr>
            <w:tcW w:w="675" w:type="dxa"/>
            <w:shd w:val="clear" w:color="auto" w:fill="auto"/>
            <w:vAlign w:val="bottom"/>
          </w:tcPr>
          <w:p w14:paraId="561EBF41"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8,1</w:t>
            </w:r>
          </w:p>
        </w:tc>
        <w:tc>
          <w:tcPr>
            <w:tcW w:w="705" w:type="dxa"/>
            <w:shd w:val="clear" w:color="auto" w:fill="auto"/>
            <w:vAlign w:val="bottom"/>
          </w:tcPr>
          <w:p w14:paraId="749C12A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7,4</w:t>
            </w:r>
          </w:p>
        </w:tc>
        <w:tc>
          <w:tcPr>
            <w:tcW w:w="766" w:type="dxa"/>
            <w:shd w:val="clear" w:color="auto" w:fill="auto"/>
            <w:vAlign w:val="bottom"/>
          </w:tcPr>
          <w:p w14:paraId="22847C0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10,5</w:t>
            </w:r>
          </w:p>
        </w:tc>
        <w:tc>
          <w:tcPr>
            <w:tcW w:w="705" w:type="dxa"/>
            <w:shd w:val="clear" w:color="auto" w:fill="auto"/>
            <w:vAlign w:val="bottom"/>
          </w:tcPr>
          <w:p w14:paraId="4F9770B6"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w:t>
            </w:r>
          </w:p>
        </w:tc>
        <w:tc>
          <w:tcPr>
            <w:tcW w:w="705" w:type="dxa"/>
            <w:shd w:val="clear" w:color="auto" w:fill="auto"/>
            <w:vAlign w:val="bottom"/>
          </w:tcPr>
          <w:p w14:paraId="7FCBD13A"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2,9</w:t>
            </w:r>
          </w:p>
        </w:tc>
        <w:tc>
          <w:tcPr>
            <w:tcW w:w="766" w:type="dxa"/>
            <w:shd w:val="clear" w:color="auto" w:fill="auto"/>
            <w:vAlign w:val="bottom"/>
          </w:tcPr>
          <w:p w14:paraId="4926997A"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w:t>
            </w:r>
          </w:p>
        </w:tc>
        <w:tc>
          <w:tcPr>
            <w:tcW w:w="705" w:type="dxa"/>
            <w:shd w:val="clear" w:color="auto" w:fill="auto"/>
            <w:vAlign w:val="bottom"/>
          </w:tcPr>
          <w:p w14:paraId="68DABD73"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25,9</w:t>
            </w:r>
          </w:p>
        </w:tc>
        <w:tc>
          <w:tcPr>
            <w:tcW w:w="705" w:type="dxa"/>
            <w:shd w:val="clear" w:color="auto" w:fill="auto"/>
            <w:vAlign w:val="bottom"/>
          </w:tcPr>
          <w:p w14:paraId="2AA2E6B4"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26,6</w:t>
            </w:r>
          </w:p>
        </w:tc>
        <w:tc>
          <w:tcPr>
            <w:tcW w:w="788" w:type="dxa"/>
            <w:shd w:val="clear" w:color="auto" w:fill="auto"/>
            <w:vAlign w:val="bottom"/>
          </w:tcPr>
          <w:p w14:paraId="46795FE2"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23,4</w:t>
            </w:r>
          </w:p>
        </w:tc>
      </w:tr>
      <w:tr w:rsidR="00340AF0" w:rsidRPr="00340AF0" w14:paraId="52DEF5D1" w14:textId="77777777" w:rsidTr="00750E61">
        <w:trPr>
          <w:trHeight w:val="240"/>
        </w:trPr>
        <w:tc>
          <w:tcPr>
            <w:tcW w:w="3119" w:type="dxa"/>
            <w:shd w:val="clear" w:color="auto" w:fill="auto"/>
          </w:tcPr>
          <w:p w14:paraId="38FC012B"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rPr>
            </w:pPr>
            <w:r w:rsidRPr="00CD692A">
              <w:rPr>
                <w:sz w:val="18"/>
              </w:rPr>
              <w:t>Trabajadores cualificados de la agricultura, la silvicultura y la pesca</w:t>
            </w:r>
          </w:p>
        </w:tc>
        <w:tc>
          <w:tcPr>
            <w:tcW w:w="675" w:type="dxa"/>
            <w:shd w:val="clear" w:color="auto" w:fill="auto"/>
            <w:vAlign w:val="bottom"/>
          </w:tcPr>
          <w:p w14:paraId="36C5961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0,4</w:t>
            </w:r>
          </w:p>
        </w:tc>
        <w:tc>
          <w:tcPr>
            <w:tcW w:w="705" w:type="dxa"/>
            <w:shd w:val="clear" w:color="auto" w:fill="auto"/>
            <w:vAlign w:val="bottom"/>
          </w:tcPr>
          <w:p w14:paraId="551C483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w:t>
            </w:r>
          </w:p>
        </w:tc>
        <w:tc>
          <w:tcPr>
            <w:tcW w:w="766" w:type="dxa"/>
            <w:shd w:val="clear" w:color="auto" w:fill="auto"/>
            <w:vAlign w:val="bottom"/>
          </w:tcPr>
          <w:p w14:paraId="390B984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0,8</w:t>
            </w:r>
          </w:p>
        </w:tc>
        <w:tc>
          <w:tcPr>
            <w:tcW w:w="705" w:type="dxa"/>
            <w:shd w:val="clear" w:color="auto" w:fill="auto"/>
            <w:vAlign w:val="bottom"/>
          </w:tcPr>
          <w:p w14:paraId="0CDEF43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0,9</w:t>
            </w:r>
          </w:p>
        </w:tc>
        <w:tc>
          <w:tcPr>
            <w:tcW w:w="705" w:type="dxa"/>
            <w:shd w:val="clear" w:color="auto" w:fill="auto"/>
            <w:vAlign w:val="bottom"/>
          </w:tcPr>
          <w:p w14:paraId="604C33A1"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0,7</w:t>
            </w:r>
          </w:p>
        </w:tc>
        <w:tc>
          <w:tcPr>
            <w:tcW w:w="766" w:type="dxa"/>
            <w:shd w:val="clear" w:color="auto" w:fill="auto"/>
            <w:vAlign w:val="bottom"/>
          </w:tcPr>
          <w:p w14:paraId="66658A2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1,1</w:t>
            </w:r>
          </w:p>
        </w:tc>
        <w:tc>
          <w:tcPr>
            <w:tcW w:w="705" w:type="dxa"/>
            <w:shd w:val="clear" w:color="auto" w:fill="auto"/>
            <w:vAlign w:val="bottom"/>
          </w:tcPr>
          <w:p w14:paraId="607275ED"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4,1</w:t>
            </w:r>
          </w:p>
        </w:tc>
        <w:tc>
          <w:tcPr>
            <w:tcW w:w="705" w:type="dxa"/>
            <w:shd w:val="clear" w:color="auto" w:fill="auto"/>
            <w:vAlign w:val="bottom"/>
          </w:tcPr>
          <w:p w14:paraId="2222EAED"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7,6</w:t>
            </w:r>
          </w:p>
        </w:tc>
        <w:tc>
          <w:tcPr>
            <w:tcW w:w="788" w:type="dxa"/>
            <w:shd w:val="clear" w:color="auto" w:fill="auto"/>
            <w:vAlign w:val="bottom"/>
          </w:tcPr>
          <w:p w14:paraId="309B5A2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0,8</w:t>
            </w:r>
          </w:p>
        </w:tc>
      </w:tr>
      <w:tr w:rsidR="00340AF0" w:rsidRPr="00340AF0" w14:paraId="65D8C8AD" w14:textId="77777777" w:rsidTr="00750E61">
        <w:trPr>
          <w:trHeight w:val="240"/>
        </w:trPr>
        <w:tc>
          <w:tcPr>
            <w:tcW w:w="3119" w:type="dxa"/>
            <w:shd w:val="clear" w:color="auto" w:fill="auto"/>
          </w:tcPr>
          <w:p w14:paraId="4E8936BB"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rPr>
            </w:pPr>
            <w:r w:rsidRPr="00CD692A">
              <w:rPr>
                <w:sz w:val="18"/>
              </w:rPr>
              <w:t>Artesanos y trabajadores de oficios conexos</w:t>
            </w:r>
          </w:p>
        </w:tc>
        <w:tc>
          <w:tcPr>
            <w:tcW w:w="675" w:type="dxa"/>
            <w:shd w:val="clear" w:color="auto" w:fill="auto"/>
            <w:vAlign w:val="bottom"/>
          </w:tcPr>
          <w:p w14:paraId="01057BAE"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6,9</w:t>
            </w:r>
          </w:p>
        </w:tc>
        <w:tc>
          <w:tcPr>
            <w:tcW w:w="705" w:type="dxa"/>
            <w:shd w:val="clear" w:color="auto" w:fill="auto"/>
            <w:vAlign w:val="bottom"/>
          </w:tcPr>
          <w:p w14:paraId="4A666A3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6,9</w:t>
            </w:r>
          </w:p>
        </w:tc>
        <w:tc>
          <w:tcPr>
            <w:tcW w:w="766" w:type="dxa"/>
            <w:shd w:val="clear" w:color="auto" w:fill="auto"/>
            <w:vAlign w:val="bottom"/>
          </w:tcPr>
          <w:p w14:paraId="5605E665"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6,8</w:t>
            </w:r>
          </w:p>
        </w:tc>
        <w:tc>
          <w:tcPr>
            <w:tcW w:w="705" w:type="dxa"/>
            <w:shd w:val="clear" w:color="auto" w:fill="auto"/>
            <w:vAlign w:val="bottom"/>
          </w:tcPr>
          <w:p w14:paraId="3B64A641"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2,8</w:t>
            </w:r>
          </w:p>
        </w:tc>
        <w:tc>
          <w:tcPr>
            <w:tcW w:w="705" w:type="dxa"/>
            <w:shd w:val="clear" w:color="auto" w:fill="auto"/>
            <w:vAlign w:val="bottom"/>
          </w:tcPr>
          <w:p w14:paraId="1F4AE53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2,9</w:t>
            </w:r>
          </w:p>
        </w:tc>
        <w:tc>
          <w:tcPr>
            <w:tcW w:w="766" w:type="dxa"/>
            <w:shd w:val="clear" w:color="auto" w:fill="auto"/>
            <w:vAlign w:val="bottom"/>
          </w:tcPr>
          <w:p w14:paraId="1748C534"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w:t>
            </w:r>
          </w:p>
        </w:tc>
        <w:tc>
          <w:tcPr>
            <w:tcW w:w="705" w:type="dxa"/>
            <w:shd w:val="clear" w:color="auto" w:fill="auto"/>
            <w:vAlign w:val="bottom"/>
          </w:tcPr>
          <w:p w14:paraId="5DC21B4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21,7</w:t>
            </w:r>
          </w:p>
        </w:tc>
        <w:tc>
          <w:tcPr>
            <w:tcW w:w="705" w:type="dxa"/>
            <w:shd w:val="clear" w:color="auto" w:fill="auto"/>
            <w:vAlign w:val="bottom"/>
          </w:tcPr>
          <w:p w14:paraId="7A9D6641"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21,4</w:t>
            </w:r>
          </w:p>
        </w:tc>
        <w:tc>
          <w:tcPr>
            <w:tcW w:w="788" w:type="dxa"/>
            <w:shd w:val="clear" w:color="auto" w:fill="auto"/>
            <w:vAlign w:val="bottom"/>
          </w:tcPr>
          <w:p w14:paraId="0368C84C"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24,1</w:t>
            </w:r>
          </w:p>
        </w:tc>
      </w:tr>
      <w:tr w:rsidR="00340AF0" w:rsidRPr="00340AF0" w14:paraId="58C13382" w14:textId="77777777" w:rsidTr="00750E61">
        <w:trPr>
          <w:trHeight w:val="240"/>
        </w:trPr>
        <w:tc>
          <w:tcPr>
            <w:tcW w:w="3119" w:type="dxa"/>
            <w:shd w:val="clear" w:color="auto" w:fill="auto"/>
          </w:tcPr>
          <w:p w14:paraId="4897701C"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rPr>
            </w:pPr>
            <w:r w:rsidRPr="00CD692A">
              <w:rPr>
                <w:sz w:val="18"/>
              </w:rPr>
              <w:t>Operarios y ensambladores de maquinaria y equipo</w:t>
            </w:r>
          </w:p>
        </w:tc>
        <w:tc>
          <w:tcPr>
            <w:tcW w:w="675" w:type="dxa"/>
            <w:shd w:val="clear" w:color="auto" w:fill="auto"/>
            <w:vAlign w:val="bottom"/>
          </w:tcPr>
          <w:p w14:paraId="74B4C526"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9,9</w:t>
            </w:r>
          </w:p>
        </w:tc>
        <w:tc>
          <w:tcPr>
            <w:tcW w:w="705" w:type="dxa"/>
            <w:shd w:val="clear" w:color="auto" w:fill="auto"/>
            <w:vAlign w:val="bottom"/>
          </w:tcPr>
          <w:p w14:paraId="55FC40FC"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11</w:t>
            </w:r>
          </w:p>
        </w:tc>
        <w:tc>
          <w:tcPr>
            <w:tcW w:w="766" w:type="dxa"/>
            <w:shd w:val="clear" w:color="auto" w:fill="auto"/>
            <w:vAlign w:val="bottom"/>
          </w:tcPr>
          <w:p w14:paraId="4955D8E4"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4,2</w:t>
            </w:r>
          </w:p>
        </w:tc>
        <w:tc>
          <w:tcPr>
            <w:tcW w:w="705" w:type="dxa"/>
            <w:shd w:val="clear" w:color="auto" w:fill="auto"/>
            <w:vAlign w:val="bottom"/>
          </w:tcPr>
          <w:p w14:paraId="7D6E7865"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w:t>
            </w:r>
          </w:p>
        </w:tc>
        <w:tc>
          <w:tcPr>
            <w:tcW w:w="705" w:type="dxa"/>
            <w:shd w:val="clear" w:color="auto" w:fill="auto"/>
            <w:vAlign w:val="bottom"/>
          </w:tcPr>
          <w:p w14:paraId="120DA52B"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5,8</w:t>
            </w:r>
          </w:p>
        </w:tc>
        <w:tc>
          <w:tcPr>
            <w:tcW w:w="766" w:type="dxa"/>
            <w:shd w:val="clear" w:color="auto" w:fill="auto"/>
            <w:vAlign w:val="bottom"/>
          </w:tcPr>
          <w:p w14:paraId="30861A72"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0,4</w:t>
            </w:r>
          </w:p>
        </w:tc>
        <w:tc>
          <w:tcPr>
            <w:tcW w:w="705" w:type="dxa"/>
            <w:shd w:val="clear" w:color="auto" w:fill="auto"/>
            <w:vAlign w:val="bottom"/>
          </w:tcPr>
          <w:p w14:paraId="23B14741"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30,2</w:t>
            </w:r>
          </w:p>
        </w:tc>
        <w:tc>
          <w:tcPr>
            <w:tcW w:w="705" w:type="dxa"/>
            <w:shd w:val="clear" w:color="auto" w:fill="auto"/>
            <w:vAlign w:val="bottom"/>
          </w:tcPr>
          <w:p w14:paraId="6307592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33,7</w:t>
            </w:r>
          </w:p>
        </w:tc>
        <w:tc>
          <w:tcPr>
            <w:tcW w:w="788" w:type="dxa"/>
            <w:shd w:val="clear" w:color="auto" w:fill="auto"/>
            <w:vAlign w:val="bottom"/>
          </w:tcPr>
          <w:p w14:paraId="2BF45DDA"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10,7</w:t>
            </w:r>
          </w:p>
        </w:tc>
      </w:tr>
      <w:tr w:rsidR="00340AF0" w:rsidRPr="00340AF0" w14:paraId="737AAD3A" w14:textId="77777777" w:rsidTr="00750E61">
        <w:trPr>
          <w:trHeight w:val="240"/>
        </w:trPr>
        <w:tc>
          <w:tcPr>
            <w:tcW w:w="3119" w:type="dxa"/>
            <w:tcBorders>
              <w:bottom w:val="single" w:sz="12" w:space="0" w:color="auto"/>
            </w:tcBorders>
            <w:shd w:val="clear" w:color="auto" w:fill="auto"/>
          </w:tcPr>
          <w:p w14:paraId="06E1EEBA" w14:textId="77777777" w:rsidR="00CD692A" w:rsidRPr="00CD692A" w:rsidRDefault="00CD692A" w:rsidP="00340AF0">
            <w:pPr>
              <w:pStyle w:val="SingleTxtG"/>
              <w:tabs>
                <w:tab w:val="clear" w:pos="1701"/>
                <w:tab w:val="clear" w:pos="2268"/>
                <w:tab w:val="clear" w:pos="2835"/>
              </w:tabs>
              <w:spacing w:before="40" w:after="40" w:line="220" w:lineRule="exact"/>
              <w:ind w:left="0" w:right="0"/>
              <w:jc w:val="left"/>
              <w:rPr>
                <w:sz w:val="18"/>
                <w:lang w:val="en-GB"/>
              </w:rPr>
            </w:pPr>
            <w:r w:rsidRPr="00CD692A">
              <w:rPr>
                <w:sz w:val="18"/>
              </w:rPr>
              <w:t>Trabajadores no cualificados</w:t>
            </w:r>
          </w:p>
        </w:tc>
        <w:tc>
          <w:tcPr>
            <w:tcW w:w="675" w:type="dxa"/>
            <w:tcBorders>
              <w:bottom w:val="single" w:sz="12" w:space="0" w:color="auto"/>
            </w:tcBorders>
            <w:shd w:val="clear" w:color="auto" w:fill="auto"/>
            <w:vAlign w:val="bottom"/>
          </w:tcPr>
          <w:p w14:paraId="249009A6"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2,2</w:t>
            </w:r>
          </w:p>
        </w:tc>
        <w:tc>
          <w:tcPr>
            <w:tcW w:w="705" w:type="dxa"/>
            <w:tcBorders>
              <w:bottom w:val="single" w:sz="12" w:space="0" w:color="auto"/>
            </w:tcBorders>
            <w:shd w:val="clear" w:color="auto" w:fill="auto"/>
            <w:vAlign w:val="bottom"/>
          </w:tcPr>
          <w:p w14:paraId="44CEE1FF"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3,7</w:t>
            </w:r>
          </w:p>
        </w:tc>
        <w:tc>
          <w:tcPr>
            <w:tcW w:w="766" w:type="dxa"/>
            <w:tcBorders>
              <w:bottom w:val="single" w:sz="12" w:space="0" w:color="auto"/>
            </w:tcBorders>
            <w:shd w:val="clear" w:color="auto" w:fill="auto"/>
            <w:vAlign w:val="bottom"/>
          </w:tcPr>
          <w:p w14:paraId="4FC0D26C"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0,8</w:t>
            </w:r>
          </w:p>
        </w:tc>
        <w:tc>
          <w:tcPr>
            <w:tcW w:w="705" w:type="dxa"/>
            <w:tcBorders>
              <w:bottom w:val="single" w:sz="12" w:space="0" w:color="auto"/>
            </w:tcBorders>
            <w:shd w:val="clear" w:color="auto" w:fill="auto"/>
            <w:vAlign w:val="bottom"/>
          </w:tcPr>
          <w:p w14:paraId="33554A75"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1,4</w:t>
            </w:r>
          </w:p>
        </w:tc>
        <w:tc>
          <w:tcPr>
            <w:tcW w:w="705" w:type="dxa"/>
            <w:tcBorders>
              <w:bottom w:val="single" w:sz="12" w:space="0" w:color="auto"/>
            </w:tcBorders>
            <w:shd w:val="clear" w:color="auto" w:fill="auto"/>
            <w:vAlign w:val="bottom"/>
          </w:tcPr>
          <w:p w14:paraId="6A164072"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2,3</w:t>
            </w:r>
          </w:p>
        </w:tc>
        <w:tc>
          <w:tcPr>
            <w:tcW w:w="766" w:type="dxa"/>
            <w:tcBorders>
              <w:bottom w:val="single" w:sz="12" w:space="0" w:color="auto"/>
            </w:tcBorders>
            <w:shd w:val="clear" w:color="auto" w:fill="auto"/>
            <w:vAlign w:val="bottom"/>
          </w:tcPr>
          <w:p w14:paraId="72B33C5D"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0,6</w:t>
            </w:r>
          </w:p>
        </w:tc>
        <w:tc>
          <w:tcPr>
            <w:tcW w:w="705" w:type="dxa"/>
            <w:tcBorders>
              <w:bottom w:val="single" w:sz="12" w:space="0" w:color="auto"/>
            </w:tcBorders>
            <w:shd w:val="clear" w:color="auto" w:fill="auto"/>
            <w:vAlign w:val="bottom"/>
          </w:tcPr>
          <w:p w14:paraId="611FABA7"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11,8</w:t>
            </w:r>
          </w:p>
        </w:tc>
        <w:tc>
          <w:tcPr>
            <w:tcW w:w="705" w:type="dxa"/>
            <w:tcBorders>
              <w:bottom w:val="single" w:sz="12" w:space="0" w:color="auto"/>
            </w:tcBorders>
            <w:shd w:val="clear" w:color="auto" w:fill="auto"/>
            <w:vAlign w:val="bottom"/>
          </w:tcPr>
          <w:p w14:paraId="170906DA"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13,5</w:t>
            </w:r>
          </w:p>
        </w:tc>
        <w:tc>
          <w:tcPr>
            <w:tcW w:w="788" w:type="dxa"/>
            <w:tcBorders>
              <w:bottom w:val="single" w:sz="12" w:space="0" w:color="auto"/>
            </w:tcBorders>
            <w:shd w:val="clear" w:color="auto" w:fill="auto"/>
            <w:vAlign w:val="bottom"/>
          </w:tcPr>
          <w:p w14:paraId="5058A339" w14:textId="77777777" w:rsidR="00CD692A" w:rsidRPr="00CD692A" w:rsidRDefault="00CD692A" w:rsidP="00750E61">
            <w:pPr>
              <w:pStyle w:val="SingleTxtG"/>
              <w:tabs>
                <w:tab w:val="clear" w:pos="1701"/>
                <w:tab w:val="clear" w:pos="2268"/>
                <w:tab w:val="clear" w:pos="2835"/>
              </w:tabs>
              <w:spacing w:before="40" w:after="40" w:line="220" w:lineRule="exact"/>
              <w:ind w:left="28" w:right="28"/>
              <w:jc w:val="right"/>
              <w:rPr>
                <w:sz w:val="18"/>
                <w:lang w:val="en-GB"/>
              </w:rPr>
            </w:pPr>
            <w:r w:rsidRPr="00CD692A">
              <w:rPr>
                <w:sz w:val="18"/>
              </w:rPr>
              <w:t>10,1</w:t>
            </w:r>
          </w:p>
        </w:tc>
      </w:tr>
    </w:tbl>
    <w:p w14:paraId="44547D03" w14:textId="77777777" w:rsidR="00CD692A" w:rsidRPr="00750E61" w:rsidRDefault="00CD692A" w:rsidP="00750E61">
      <w:pPr>
        <w:pStyle w:val="SingleTxtG"/>
        <w:spacing w:before="120" w:after="240"/>
        <w:ind w:left="0" w:firstLine="170"/>
        <w:jc w:val="left"/>
        <w:rPr>
          <w:sz w:val="18"/>
          <w:szCs w:val="18"/>
        </w:rPr>
      </w:pPr>
      <w:r w:rsidRPr="00750E61">
        <w:rPr>
          <w:i/>
          <w:sz w:val="18"/>
          <w:szCs w:val="18"/>
        </w:rPr>
        <w:t>Fuente</w:t>
      </w:r>
      <w:r w:rsidRPr="00750E61">
        <w:rPr>
          <w:i/>
          <w:iCs/>
          <w:sz w:val="18"/>
          <w:szCs w:val="18"/>
        </w:rPr>
        <w:t>:</w:t>
      </w:r>
      <w:r w:rsidRPr="00750E61">
        <w:rPr>
          <w:sz w:val="18"/>
          <w:szCs w:val="18"/>
        </w:rPr>
        <w:t xml:space="preserve"> Encuesta sobre el Trabajo en Malawi, 2013.</w:t>
      </w:r>
    </w:p>
    <w:p w14:paraId="2FDB54EE" w14:textId="5EFDB1D9" w:rsidR="00CD692A" w:rsidRPr="00CD692A" w:rsidRDefault="00750E61" w:rsidP="00750E61">
      <w:pPr>
        <w:pStyle w:val="H1G"/>
      </w:pPr>
      <w:bookmarkStart w:id="23" w:name="_Hlk63780456"/>
      <w:r>
        <w:tab/>
      </w:r>
      <w:r>
        <w:tab/>
      </w:r>
      <w:r w:rsidR="00CD692A" w:rsidRPr="00CD692A">
        <w:t>Artículo 9</w:t>
      </w:r>
      <w:r>
        <w:br/>
      </w:r>
      <w:r w:rsidR="00CD692A" w:rsidRPr="00CD692A">
        <w:t>Derecho a la seguridad social</w:t>
      </w:r>
    </w:p>
    <w:bookmarkEnd w:id="23"/>
    <w:p w14:paraId="0C55FF03" w14:textId="77777777" w:rsidR="00CD692A" w:rsidRPr="00CD692A" w:rsidRDefault="00CD692A" w:rsidP="00CD692A">
      <w:pPr>
        <w:pStyle w:val="SingleTxtG"/>
        <w:rPr>
          <w:b/>
          <w:bCs/>
        </w:rPr>
      </w:pPr>
      <w:r w:rsidRPr="00CD692A">
        <w:t>58.</w:t>
      </w:r>
      <w:r w:rsidRPr="00CD692A">
        <w:tab/>
        <w:t>La Constitución de Malawi reconoce el derecho al desarrollo económico, social, cultural y político. Las mujeres, los niños y las personas con discapacidad, en particular, reciben una consideración especial en el ejercicio efectivo de este derecho. A estos efectos, la Constitución encomienda al Estado la responsabilidad de adoptar todas las medidas necesarias para garantizar que toda persona tenga igualdad de oportunidades en el acceso a los recursos básicos.</w:t>
      </w:r>
    </w:p>
    <w:p w14:paraId="5A24D3AE" w14:textId="289A9E54" w:rsidR="00CD692A" w:rsidRPr="00CD692A" w:rsidRDefault="00750E61" w:rsidP="00750E61">
      <w:pPr>
        <w:pStyle w:val="H23G"/>
      </w:pPr>
      <w:r>
        <w:tab/>
      </w:r>
      <w:r>
        <w:tab/>
      </w:r>
      <w:r w:rsidR="00CD692A" w:rsidRPr="00CD692A">
        <w:t>Tendencias en materia de pobreza en Malawi</w:t>
      </w:r>
    </w:p>
    <w:p w14:paraId="51D99FE3" w14:textId="77777777" w:rsidR="00CD692A" w:rsidRPr="00CD692A" w:rsidRDefault="00CD692A" w:rsidP="00CD692A">
      <w:pPr>
        <w:pStyle w:val="SingleTxtG"/>
        <w:rPr>
          <w:bCs/>
        </w:rPr>
      </w:pPr>
      <w:r w:rsidRPr="00CD692A">
        <w:t>59.</w:t>
      </w:r>
      <w:r w:rsidRPr="00CD692A">
        <w:tab/>
        <w:t>El Informe sobre la Pobreza en Malawi, de 2019, permitió comparar las líneas de pobreza a partir de la información reunida en las Encuestas Integradas de Hogares (EIH) Tercera y Cuarta. En la Cuarta Encuesta Integrada de Hogares (EIH4), se consideraba pobre la población cuyo consumo total era inferior a 137.428 kwacha (aproximadamente 183 dólares de los Estados Unidos), y de pobreza extrema la que tenía un consumo total inferior a 85.260 kwacha (aproximadamente 113 dólares de los Estados Unidos). En la Tercera Encuesta Integrada de Hogares (EIH3), se consideraba pobre la población cuyo consumo total era inferior a 37.002 kwacha (aproximadamente 49 dólares de los Estados Unidos), y de pobreza extrema la que tenía un consumo total inferior a 22.956 kwacha (aproximadamente 30,60 dólares de los Estados Unidos).</w:t>
      </w:r>
      <w:bookmarkStart w:id="24" w:name="_Hlk63776689"/>
      <w:bookmarkEnd w:id="24"/>
    </w:p>
    <w:p w14:paraId="021FBECF" w14:textId="7B0CEACA" w:rsidR="00CD692A" w:rsidRPr="00CD692A" w:rsidRDefault="00750E61" w:rsidP="00B92E99">
      <w:pPr>
        <w:pStyle w:val="H23G"/>
      </w:pPr>
      <w:r w:rsidRPr="00750E61">
        <w:rPr>
          <w:b w:val="0"/>
          <w:bCs/>
        </w:rPr>
        <w:lastRenderedPageBreak/>
        <w:tab/>
      </w:r>
      <w:r w:rsidRPr="00750E61">
        <w:rPr>
          <w:b w:val="0"/>
          <w:bCs/>
        </w:rPr>
        <w:tab/>
      </w:r>
      <w:r w:rsidR="00CD692A" w:rsidRPr="00750E61">
        <w:rPr>
          <w:b w:val="0"/>
          <w:bCs/>
        </w:rPr>
        <w:t>Cuadro 10</w:t>
      </w:r>
      <w:r w:rsidRPr="00750E61">
        <w:rPr>
          <w:b w:val="0"/>
          <w:bCs/>
        </w:rPr>
        <w:br/>
      </w:r>
      <w:r w:rsidR="00CD692A" w:rsidRPr="00CD692A">
        <w:t xml:space="preserve">Línea de pobreza en Malawi </w:t>
      </w:r>
      <w:r w:rsidR="00D24E4F" w:rsidRPr="00D24E4F">
        <w:t>−</w:t>
      </w:r>
      <w:r w:rsidR="00CD692A" w:rsidRPr="00CD692A">
        <w:t xml:space="preserve"> Kwacha por persona y año, Malawi, 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49"/>
        <w:gridCol w:w="2322"/>
        <w:gridCol w:w="2399"/>
      </w:tblGrid>
      <w:tr w:rsidR="00CD692A" w:rsidRPr="00750E61" w14:paraId="335F1E38" w14:textId="77777777" w:rsidTr="00750E61">
        <w:trPr>
          <w:trHeight w:val="240"/>
          <w:tblHeader/>
        </w:trPr>
        <w:tc>
          <w:tcPr>
            <w:tcW w:w="2649" w:type="dxa"/>
            <w:tcBorders>
              <w:top w:val="single" w:sz="4" w:space="0" w:color="auto"/>
              <w:bottom w:val="single" w:sz="12" w:space="0" w:color="auto"/>
            </w:tcBorders>
            <w:shd w:val="clear" w:color="auto" w:fill="auto"/>
            <w:noWrap/>
            <w:vAlign w:val="bottom"/>
            <w:hideMark/>
          </w:tcPr>
          <w:p w14:paraId="16E7C7E5" w14:textId="77777777" w:rsidR="00CD692A" w:rsidRPr="00750E61" w:rsidRDefault="00CD692A" w:rsidP="00B92E99">
            <w:pPr>
              <w:pStyle w:val="SingleTxtG"/>
              <w:keepNext/>
              <w:keepLines/>
              <w:tabs>
                <w:tab w:val="clear" w:pos="1701"/>
                <w:tab w:val="clear" w:pos="2268"/>
                <w:tab w:val="clear" w:pos="2835"/>
              </w:tabs>
              <w:spacing w:before="80" w:after="80" w:line="200" w:lineRule="exact"/>
              <w:ind w:left="0" w:right="0"/>
              <w:jc w:val="left"/>
              <w:rPr>
                <w:bCs/>
                <w:i/>
                <w:sz w:val="16"/>
                <w:lang w:val="en-GB"/>
              </w:rPr>
            </w:pPr>
            <w:r w:rsidRPr="00750E61">
              <w:rPr>
                <w:i/>
                <w:iCs/>
                <w:sz w:val="16"/>
              </w:rPr>
              <w:t>Línea de pobreza</w:t>
            </w:r>
          </w:p>
        </w:tc>
        <w:tc>
          <w:tcPr>
            <w:tcW w:w="2322" w:type="dxa"/>
            <w:tcBorders>
              <w:top w:val="single" w:sz="4" w:space="0" w:color="auto"/>
              <w:bottom w:val="single" w:sz="12" w:space="0" w:color="auto"/>
            </w:tcBorders>
            <w:shd w:val="clear" w:color="auto" w:fill="auto"/>
            <w:noWrap/>
            <w:vAlign w:val="bottom"/>
            <w:hideMark/>
          </w:tcPr>
          <w:p w14:paraId="54EC549D" w14:textId="77777777" w:rsidR="00CD692A" w:rsidRPr="00750E61" w:rsidRDefault="00CD692A" w:rsidP="00B92E99">
            <w:pPr>
              <w:pStyle w:val="SingleTxtG"/>
              <w:keepNext/>
              <w:keepLines/>
              <w:tabs>
                <w:tab w:val="clear" w:pos="1701"/>
                <w:tab w:val="clear" w:pos="2268"/>
                <w:tab w:val="clear" w:pos="2835"/>
              </w:tabs>
              <w:spacing w:before="80" w:after="80" w:line="200" w:lineRule="exact"/>
              <w:ind w:left="113" w:right="28"/>
              <w:jc w:val="right"/>
              <w:rPr>
                <w:bCs/>
                <w:i/>
                <w:sz w:val="16"/>
                <w:lang w:val="en-GB"/>
              </w:rPr>
            </w:pPr>
            <w:r w:rsidRPr="00750E61">
              <w:rPr>
                <w:i/>
                <w:iCs/>
                <w:sz w:val="16"/>
              </w:rPr>
              <w:t>EIH3 (2011)</w:t>
            </w:r>
          </w:p>
        </w:tc>
        <w:tc>
          <w:tcPr>
            <w:tcW w:w="2399" w:type="dxa"/>
            <w:tcBorders>
              <w:top w:val="single" w:sz="4" w:space="0" w:color="auto"/>
              <w:bottom w:val="single" w:sz="12" w:space="0" w:color="auto"/>
            </w:tcBorders>
            <w:shd w:val="clear" w:color="auto" w:fill="auto"/>
            <w:noWrap/>
            <w:vAlign w:val="bottom"/>
            <w:hideMark/>
          </w:tcPr>
          <w:p w14:paraId="0976F344" w14:textId="77777777" w:rsidR="00CD692A" w:rsidRPr="00750E61" w:rsidRDefault="00CD692A" w:rsidP="00B92E99">
            <w:pPr>
              <w:pStyle w:val="SingleTxtG"/>
              <w:keepNext/>
              <w:keepLines/>
              <w:tabs>
                <w:tab w:val="clear" w:pos="1701"/>
                <w:tab w:val="clear" w:pos="2268"/>
                <w:tab w:val="clear" w:pos="2835"/>
              </w:tabs>
              <w:spacing w:before="80" w:after="80" w:line="200" w:lineRule="exact"/>
              <w:ind w:left="113" w:right="28"/>
              <w:jc w:val="right"/>
              <w:rPr>
                <w:bCs/>
                <w:i/>
                <w:sz w:val="16"/>
                <w:lang w:val="en-GB"/>
              </w:rPr>
            </w:pPr>
            <w:r w:rsidRPr="00750E61">
              <w:rPr>
                <w:i/>
                <w:iCs/>
                <w:sz w:val="16"/>
              </w:rPr>
              <w:t>EIH4 (2017)</w:t>
            </w:r>
          </w:p>
        </w:tc>
      </w:tr>
      <w:tr w:rsidR="00CD692A" w:rsidRPr="00750E61" w14:paraId="2D74866B" w14:textId="77777777" w:rsidTr="00750E61">
        <w:trPr>
          <w:trHeight w:val="240"/>
        </w:trPr>
        <w:tc>
          <w:tcPr>
            <w:tcW w:w="2649" w:type="dxa"/>
            <w:tcBorders>
              <w:top w:val="single" w:sz="12" w:space="0" w:color="auto"/>
            </w:tcBorders>
            <w:shd w:val="clear" w:color="auto" w:fill="auto"/>
            <w:noWrap/>
            <w:hideMark/>
          </w:tcPr>
          <w:p w14:paraId="63170BC1" w14:textId="77777777" w:rsidR="00CD692A" w:rsidRPr="00750E61" w:rsidRDefault="00CD692A" w:rsidP="00B92E99">
            <w:pPr>
              <w:pStyle w:val="SingleTxtG"/>
              <w:keepNext/>
              <w:keepLines/>
              <w:tabs>
                <w:tab w:val="clear" w:pos="1701"/>
                <w:tab w:val="clear" w:pos="2268"/>
                <w:tab w:val="clear" w:pos="2835"/>
              </w:tabs>
              <w:spacing w:before="40" w:after="40" w:line="220" w:lineRule="exact"/>
              <w:ind w:left="0" w:right="0"/>
              <w:jc w:val="left"/>
              <w:rPr>
                <w:sz w:val="18"/>
                <w:lang w:val="en-GB"/>
              </w:rPr>
            </w:pPr>
            <w:r w:rsidRPr="00750E61">
              <w:rPr>
                <w:sz w:val="18"/>
              </w:rPr>
              <w:t>Productos alimentarios</w:t>
            </w:r>
          </w:p>
        </w:tc>
        <w:tc>
          <w:tcPr>
            <w:tcW w:w="2322" w:type="dxa"/>
            <w:tcBorders>
              <w:top w:val="single" w:sz="12" w:space="0" w:color="auto"/>
            </w:tcBorders>
            <w:shd w:val="clear" w:color="auto" w:fill="auto"/>
            <w:noWrap/>
            <w:vAlign w:val="bottom"/>
            <w:hideMark/>
          </w:tcPr>
          <w:p w14:paraId="062ADAE9" w14:textId="168607C1" w:rsidR="00CD692A" w:rsidRPr="00750E61" w:rsidRDefault="00CD692A" w:rsidP="00B92E99">
            <w:pPr>
              <w:pStyle w:val="SingleTxtG"/>
              <w:keepNext/>
              <w:keepLines/>
              <w:tabs>
                <w:tab w:val="clear" w:pos="1701"/>
                <w:tab w:val="clear" w:pos="2268"/>
                <w:tab w:val="clear" w:pos="2835"/>
              </w:tabs>
              <w:spacing w:before="40" w:after="40" w:line="220" w:lineRule="exact"/>
              <w:ind w:left="113" w:right="28"/>
              <w:jc w:val="right"/>
              <w:rPr>
                <w:sz w:val="18"/>
                <w:lang w:val="en-GB"/>
              </w:rPr>
            </w:pPr>
            <w:r w:rsidRPr="00750E61">
              <w:rPr>
                <w:sz w:val="18"/>
              </w:rPr>
              <w:t>22</w:t>
            </w:r>
            <w:r w:rsidR="00750E61">
              <w:rPr>
                <w:sz w:val="18"/>
              </w:rPr>
              <w:t xml:space="preserve"> </w:t>
            </w:r>
            <w:r w:rsidRPr="00750E61">
              <w:rPr>
                <w:sz w:val="18"/>
              </w:rPr>
              <w:t>956</w:t>
            </w:r>
          </w:p>
        </w:tc>
        <w:tc>
          <w:tcPr>
            <w:tcW w:w="2399" w:type="dxa"/>
            <w:tcBorders>
              <w:top w:val="single" w:sz="12" w:space="0" w:color="auto"/>
            </w:tcBorders>
            <w:shd w:val="clear" w:color="auto" w:fill="auto"/>
            <w:noWrap/>
            <w:vAlign w:val="bottom"/>
            <w:hideMark/>
          </w:tcPr>
          <w:p w14:paraId="351CD06C" w14:textId="15D3D227" w:rsidR="00CD692A" w:rsidRPr="00750E61" w:rsidRDefault="00CD692A" w:rsidP="00B92E99">
            <w:pPr>
              <w:pStyle w:val="SingleTxtG"/>
              <w:keepNext/>
              <w:keepLines/>
              <w:tabs>
                <w:tab w:val="clear" w:pos="1701"/>
                <w:tab w:val="clear" w:pos="2268"/>
                <w:tab w:val="clear" w:pos="2835"/>
              </w:tabs>
              <w:spacing w:before="40" w:after="40" w:line="220" w:lineRule="exact"/>
              <w:ind w:left="113" w:right="28"/>
              <w:jc w:val="right"/>
              <w:rPr>
                <w:sz w:val="18"/>
                <w:lang w:val="en-GB"/>
              </w:rPr>
            </w:pPr>
            <w:r w:rsidRPr="00750E61">
              <w:rPr>
                <w:sz w:val="18"/>
              </w:rPr>
              <w:t>85</w:t>
            </w:r>
            <w:r w:rsidR="00750E61">
              <w:rPr>
                <w:sz w:val="18"/>
              </w:rPr>
              <w:t xml:space="preserve"> </w:t>
            </w:r>
            <w:r w:rsidRPr="00750E61">
              <w:rPr>
                <w:sz w:val="18"/>
              </w:rPr>
              <w:t>260</w:t>
            </w:r>
          </w:p>
        </w:tc>
      </w:tr>
      <w:tr w:rsidR="00CD692A" w:rsidRPr="00750E61" w14:paraId="278A7168" w14:textId="77777777" w:rsidTr="00750E61">
        <w:trPr>
          <w:trHeight w:val="240"/>
        </w:trPr>
        <w:tc>
          <w:tcPr>
            <w:tcW w:w="2649" w:type="dxa"/>
            <w:tcBorders>
              <w:bottom w:val="single" w:sz="4" w:space="0" w:color="auto"/>
            </w:tcBorders>
            <w:shd w:val="clear" w:color="auto" w:fill="auto"/>
            <w:noWrap/>
            <w:hideMark/>
          </w:tcPr>
          <w:p w14:paraId="6A557FC6" w14:textId="77777777" w:rsidR="00CD692A" w:rsidRPr="00750E61" w:rsidRDefault="00CD692A" w:rsidP="00B92E99">
            <w:pPr>
              <w:pStyle w:val="SingleTxtG"/>
              <w:keepNext/>
              <w:keepLines/>
              <w:tabs>
                <w:tab w:val="clear" w:pos="1701"/>
                <w:tab w:val="clear" w:pos="2268"/>
                <w:tab w:val="clear" w:pos="2835"/>
              </w:tabs>
              <w:spacing w:before="40" w:after="40" w:line="220" w:lineRule="exact"/>
              <w:ind w:left="0" w:right="0"/>
              <w:jc w:val="left"/>
              <w:rPr>
                <w:sz w:val="18"/>
                <w:lang w:val="en-GB"/>
              </w:rPr>
            </w:pPr>
            <w:r w:rsidRPr="00750E61">
              <w:rPr>
                <w:sz w:val="18"/>
              </w:rPr>
              <w:t>Productos no alimentarios</w:t>
            </w:r>
          </w:p>
        </w:tc>
        <w:tc>
          <w:tcPr>
            <w:tcW w:w="2322" w:type="dxa"/>
            <w:tcBorders>
              <w:bottom w:val="single" w:sz="4" w:space="0" w:color="auto"/>
            </w:tcBorders>
            <w:shd w:val="clear" w:color="auto" w:fill="auto"/>
            <w:noWrap/>
            <w:vAlign w:val="bottom"/>
            <w:hideMark/>
          </w:tcPr>
          <w:p w14:paraId="6D13C504" w14:textId="03C9A2F1" w:rsidR="00CD692A" w:rsidRPr="00750E61" w:rsidRDefault="00CD692A" w:rsidP="00B92E99">
            <w:pPr>
              <w:pStyle w:val="SingleTxtG"/>
              <w:keepNext/>
              <w:keepLines/>
              <w:tabs>
                <w:tab w:val="clear" w:pos="1701"/>
                <w:tab w:val="clear" w:pos="2268"/>
                <w:tab w:val="clear" w:pos="2835"/>
              </w:tabs>
              <w:spacing w:before="40" w:after="40" w:line="220" w:lineRule="exact"/>
              <w:ind w:left="113" w:right="28"/>
              <w:jc w:val="right"/>
              <w:rPr>
                <w:sz w:val="18"/>
                <w:lang w:val="en-GB"/>
              </w:rPr>
            </w:pPr>
            <w:r w:rsidRPr="00750E61">
              <w:rPr>
                <w:sz w:val="18"/>
              </w:rPr>
              <w:t>14</w:t>
            </w:r>
            <w:r w:rsidR="00750E61">
              <w:rPr>
                <w:sz w:val="18"/>
              </w:rPr>
              <w:t xml:space="preserve"> </w:t>
            </w:r>
            <w:r w:rsidRPr="00750E61">
              <w:rPr>
                <w:sz w:val="18"/>
              </w:rPr>
              <w:t>045</w:t>
            </w:r>
          </w:p>
        </w:tc>
        <w:tc>
          <w:tcPr>
            <w:tcW w:w="2399" w:type="dxa"/>
            <w:tcBorders>
              <w:bottom w:val="single" w:sz="4" w:space="0" w:color="auto"/>
            </w:tcBorders>
            <w:shd w:val="clear" w:color="auto" w:fill="auto"/>
            <w:noWrap/>
            <w:vAlign w:val="bottom"/>
            <w:hideMark/>
          </w:tcPr>
          <w:p w14:paraId="2A7A0E7C" w14:textId="64E697BA" w:rsidR="00CD692A" w:rsidRPr="00750E61" w:rsidRDefault="00CD692A" w:rsidP="00B92E99">
            <w:pPr>
              <w:pStyle w:val="SingleTxtG"/>
              <w:keepNext/>
              <w:keepLines/>
              <w:tabs>
                <w:tab w:val="clear" w:pos="1701"/>
                <w:tab w:val="clear" w:pos="2268"/>
                <w:tab w:val="clear" w:pos="2835"/>
              </w:tabs>
              <w:spacing w:before="40" w:after="40" w:line="220" w:lineRule="exact"/>
              <w:ind w:left="113" w:right="28"/>
              <w:jc w:val="right"/>
              <w:rPr>
                <w:sz w:val="18"/>
                <w:lang w:val="en-GB"/>
              </w:rPr>
            </w:pPr>
            <w:r w:rsidRPr="00750E61">
              <w:rPr>
                <w:sz w:val="18"/>
              </w:rPr>
              <w:t>52</w:t>
            </w:r>
            <w:r w:rsidR="00750E61">
              <w:rPr>
                <w:sz w:val="18"/>
              </w:rPr>
              <w:t xml:space="preserve"> </w:t>
            </w:r>
            <w:r w:rsidRPr="00750E61">
              <w:rPr>
                <w:sz w:val="18"/>
              </w:rPr>
              <w:t>168</w:t>
            </w:r>
          </w:p>
        </w:tc>
      </w:tr>
      <w:tr w:rsidR="00CD692A" w:rsidRPr="00750E61" w14:paraId="3E676515" w14:textId="77777777" w:rsidTr="00750E61">
        <w:trPr>
          <w:trHeight w:val="240"/>
        </w:trPr>
        <w:tc>
          <w:tcPr>
            <w:tcW w:w="2649" w:type="dxa"/>
            <w:tcBorders>
              <w:top w:val="single" w:sz="4" w:space="0" w:color="auto"/>
              <w:bottom w:val="single" w:sz="12" w:space="0" w:color="auto"/>
            </w:tcBorders>
            <w:shd w:val="clear" w:color="auto" w:fill="auto"/>
            <w:noWrap/>
            <w:hideMark/>
          </w:tcPr>
          <w:p w14:paraId="052D6BC4" w14:textId="77777777" w:rsidR="00CD692A" w:rsidRPr="00750E61" w:rsidRDefault="00CD692A" w:rsidP="00750E61">
            <w:pPr>
              <w:pStyle w:val="SingleTxtG"/>
              <w:tabs>
                <w:tab w:val="clear" w:pos="1701"/>
                <w:tab w:val="clear" w:pos="2268"/>
                <w:tab w:val="clear" w:pos="2835"/>
              </w:tabs>
              <w:spacing w:before="80" w:after="80" w:line="220" w:lineRule="exact"/>
              <w:ind w:left="283" w:right="0"/>
              <w:jc w:val="left"/>
              <w:rPr>
                <w:b/>
                <w:sz w:val="18"/>
                <w:lang w:val="en-GB"/>
              </w:rPr>
            </w:pPr>
            <w:r w:rsidRPr="00750E61">
              <w:rPr>
                <w:b/>
                <w:bCs/>
                <w:sz w:val="18"/>
              </w:rPr>
              <w:t>Total</w:t>
            </w:r>
          </w:p>
        </w:tc>
        <w:tc>
          <w:tcPr>
            <w:tcW w:w="2322" w:type="dxa"/>
            <w:tcBorders>
              <w:top w:val="single" w:sz="4" w:space="0" w:color="auto"/>
              <w:bottom w:val="single" w:sz="12" w:space="0" w:color="auto"/>
            </w:tcBorders>
            <w:shd w:val="clear" w:color="auto" w:fill="auto"/>
            <w:noWrap/>
            <w:vAlign w:val="bottom"/>
            <w:hideMark/>
          </w:tcPr>
          <w:p w14:paraId="3A8BEE88" w14:textId="70E7A41F" w:rsidR="00CD692A" w:rsidRPr="00750E61" w:rsidRDefault="00CD692A" w:rsidP="00750E61">
            <w:pPr>
              <w:pStyle w:val="SingleTxtG"/>
              <w:tabs>
                <w:tab w:val="clear" w:pos="1701"/>
                <w:tab w:val="clear" w:pos="2268"/>
                <w:tab w:val="clear" w:pos="2835"/>
              </w:tabs>
              <w:spacing w:before="80" w:after="80" w:line="220" w:lineRule="exact"/>
              <w:ind w:left="0" w:right="28"/>
              <w:jc w:val="right"/>
              <w:rPr>
                <w:b/>
                <w:sz w:val="18"/>
                <w:lang w:val="en-GB"/>
              </w:rPr>
            </w:pPr>
            <w:r w:rsidRPr="00750E61">
              <w:rPr>
                <w:b/>
                <w:bCs/>
                <w:sz w:val="18"/>
              </w:rPr>
              <w:t>37</w:t>
            </w:r>
            <w:r w:rsidR="00750E61">
              <w:rPr>
                <w:b/>
                <w:bCs/>
                <w:sz w:val="18"/>
              </w:rPr>
              <w:t xml:space="preserve"> </w:t>
            </w:r>
            <w:r w:rsidRPr="00750E61">
              <w:rPr>
                <w:b/>
                <w:bCs/>
                <w:sz w:val="18"/>
              </w:rPr>
              <w:t>002</w:t>
            </w:r>
          </w:p>
        </w:tc>
        <w:tc>
          <w:tcPr>
            <w:tcW w:w="2399" w:type="dxa"/>
            <w:tcBorders>
              <w:top w:val="single" w:sz="4" w:space="0" w:color="auto"/>
              <w:bottom w:val="single" w:sz="12" w:space="0" w:color="auto"/>
            </w:tcBorders>
            <w:shd w:val="clear" w:color="auto" w:fill="auto"/>
            <w:noWrap/>
            <w:vAlign w:val="bottom"/>
            <w:hideMark/>
          </w:tcPr>
          <w:p w14:paraId="254AB751" w14:textId="24300E75" w:rsidR="00CD692A" w:rsidRPr="00750E61" w:rsidRDefault="00CD692A" w:rsidP="00750E61">
            <w:pPr>
              <w:pStyle w:val="SingleTxtG"/>
              <w:tabs>
                <w:tab w:val="clear" w:pos="1701"/>
                <w:tab w:val="clear" w:pos="2268"/>
                <w:tab w:val="clear" w:pos="2835"/>
              </w:tabs>
              <w:spacing w:before="80" w:after="80" w:line="220" w:lineRule="exact"/>
              <w:ind w:left="0" w:right="28"/>
              <w:jc w:val="right"/>
              <w:rPr>
                <w:b/>
                <w:sz w:val="18"/>
                <w:lang w:val="en-GB"/>
              </w:rPr>
            </w:pPr>
            <w:r w:rsidRPr="00750E61">
              <w:rPr>
                <w:b/>
                <w:bCs/>
                <w:sz w:val="18"/>
              </w:rPr>
              <w:t>137</w:t>
            </w:r>
            <w:r w:rsidR="00750E61">
              <w:rPr>
                <w:b/>
                <w:bCs/>
                <w:sz w:val="18"/>
              </w:rPr>
              <w:t xml:space="preserve"> </w:t>
            </w:r>
            <w:r w:rsidRPr="00750E61">
              <w:rPr>
                <w:b/>
                <w:bCs/>
                <w:sz w:val="18"/>
              </w:rPr>
              <w:t>428</w:t>
            </w:r>
          </w:p>
        </w:tc>
      </w:tr>
    </w:tbl>
    <w:p w14:paraId="1F9DBB7C" w14:textId="77777777" w:rsidR="00CD692A" w:rsidRPr="00750E61" w:rsidRDefault="00CD692A" w:rsidP="00750E61">
      <w:pPr>
        <w:pStyle w:val="SingleTxtG"/>
        <w:spacing w:before="120" w:after="240"/>
        <w:ind w:firstLine="170"/>
        <w:jc w:val="left"/>
        <w:rPr>
          <w:bCs/>
          <w:sz w:val="18"/>
          <w:szCs w:val="18"/>
        </w:rPr>
      </w:pPr>
      <w:r w:rsidRPr="00750E61">
        <w:rPr>
          <w:i/>
          <w:iCs/>
          <w:sz w:val="18"/>
          <w:szCs w:val="18"/>
        </w:rPr>
        <w:t>Fuente:</w:t>
      </w:r>
      <w:r w:rsidRPr="00750E61">
        <w:rPr>
          <w:sz w:val="18"/>
          <w:szCs w:val="18"/>
        </w:rPr>
        <w:t xml:space="preserve"> Tercera Encuesta Integrada de Hogares (2010/2011) y Cuarta Encuesta Integrada de Hogares (2016/2017), Malawi.</w:t>
      </w:r>
    </w:p>
    <w:p w14:paraId="012E4A42" w14:textId="467327E4" w:rsidR="00CD692A" w:rsidRPr="00CD692A" w:rsidRDefault="00CD692A" w:rsidP="00CD692A">
      <w:pPr>
        <w:pStyle w:val="SingleTxtG"/>
        <w:rPr>
          <w:bCs/>
        </w:rPr>
      </w:pPr>
      <w:r w:rsidRPr="00CD692A">
        <w:t>60.</w:t>
      </w:r>
      <w:r w:rsidRPr="00CD692A">
        <w:tab/>
        <w:t>El Informe sobre la Pobreza en Malawi, de 2020, que utilizó información de la EIH4 y de la EIH5, muestra que en el ejercicio económico 2019/2020 se consideraba pobre la población cuyo consumo total estaba por debajo de 165.879 kwacha (aproximadamente 221</w:t>
      </w:r>
      <w:r w:rsidR="00B92E99">
        <w:t> </w:t>
      </w:r>
      <w:r w:rsidRPr="00CD692A">
        <w:t>dólares de los Estados Unidos), mientras que en el ejercicio económico 2016/2017 esta cifra de referencia era de 137.428 kwacha (aproximadamente 183 dólares de los Estados Unidos). En cuanto a la pobreza extrema, en el ejercicio económico 2019/20 se consideraba de pobreza extrema a la población cuyo consumo total en la EIH5 estaba por debajo de 101.293 kwacha (aproximadamente 135 dólares de los Estados Unidos), mientras que en el ejercicio económico 2016/17 esta cifra de referencia era de 85.260 kwacha (aproximadamente 113 dólares de los Estados Unidos).</w:t>
      </w:r>
      <w:bookmarkStart w:id="25" w:name="_Hlk94177675"/>
      <w:bookmarkEnd w:id="25"/>
    </w:p>
    <w:p w14:paraId="1DD97BC1" w14:textId="71708C6A" w:rsidR="00CD692A" w:rsidRPr="00CD692A" w:rsidRDefault="00750E61" w:rsidP="00750E61">
      <w:pPr>
        <w:pStyle w:val="H23G"/>
      </w:pPr>
      <w:r w:rsidRPr="00750E61">
        <w:rPr>
          <w:b w:val="0"/>
          <w:bCs/>
        </w:rPr>
        <w:tab/>
      </w:r>
      <w:r w:rsidRPr="00750E61">
        <w:rPr>
          <w:b w:val="0"/>
          <w:bCs/>
        </w:rPr>
        <w:tab/>
      </w:r>
      <w:r w:rsidR="00CD692A" w:rsidRPr="00750E61">
        <w:rPr>
          <w:b w:val="0"/>
          <w:bCs/>
        </w:rPr>
        <w:t>Cuadro 11</w:t>
      </w:r>
      <w:r w:rsidRPr="00750E61">
        <w:rPr>
          <w:b w:val="0"/>
          <w:bCs/>
        </w:rPr>
        <w:br/>
      </w:r>
      <w:r w:rsidR="00CD692A" w:rsidRPr="00CD692A">
        <w:t xml:space="preserve">Línea de pobreza en Malawi </w:t>
      </w:r>
      <w:r w:rsidR="00D24E4F" w:rsidRPr="00D24E4F">
        <w:rPr>
          <w:sz w:val="18"/>
        </w:rPr>
        <w:t>−</w:t>
      </w:r>
      <w:r w:rsidR="00CD692A" w:rsidRPr="00CD692A">
        <w:t xml:space="preserve"> Kwacha por persona y año, Malawi,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77"/>
        <w:gridCol w:w="2552"/>
        <w:gridCol w:w="2441"/>
      </w:tblGrid>
      <w:tr w:rsidR="00CD692A" w:rsidRPr="00750E61" w14:paraId="21F0EA0C" w14:textId="77777777" w:rsidTr="0085343A">
        <w:trPr>
          <w:trHeight w:val="240"/>
          <w:tblHeader/>
        </w:trPr>
        <w:tc>
          <w:tcPr>
            <w:tcW w:w="2377" w:type="dxa"/>
            <w:vMerge w:val="restart"/>
            <w:tcBorders>
              <w:top w:val="single" w:sz="4" w:space="0" w:color="auto"/>
              <w:bottom w:val="single" w:sz="4" w:space="0" w:color="auto"/>
            </w:tcBorders>
            <w:shd w:val="clear" w:color="auto" w:fill="auto"/>
            <w:vAlign w:val="bottom"/>
          </w:tcPr>
          <w:p w14:paraId="3B6D5F60" w14:textId="77777777" w:rsidR="00CD692A" w:rsidRPr="00750E61" w:rsidRDefault="00CD692A" w:rsidP="00750E61">
            <w:pPr>
              <w:pStyle w:val="SingleTxtG"/>
              <w:tabs>
                <w:tab w:val="clear" w:pos="1701"/>
                <w:tab w:val="clear" w:pos="2268"/>
                <w:tab w:val="clear" w:pos="2835"/>
              </w:tabs>
              <w:spacing w:before="80" w:after="80" w:line="200" w:lineRule="exact"/>
              <w:ind w:left="0" w:right="0"/>
              <w:jc w:val="left"/>
              <w:rPr>
                <w:i/>
                <w:sz w:val="16"/>
                <w:lang w:val="en-GB"/>
              </w:rPr>
            </w:pPr>
            <w:r w:rsidRPr="00750E61">
              <w:rPr>
                <w:i/>
                <w:iCs/>
                <w:sz w:val="16"/>
              </w:rPr>
              <w:t>Línea de pobreza</w:t>
            </w:r>
          </w:p>
        </w:tc>
        <w:tc>
          <w:tcPr>
            <w:tcW w:w="2552" w:type="dxa"/>
            <w:tcBorders>
              <w:top w:val="single" w:sz="4" w:space="0" w:color="auto"/>
              <w:bottom w:val="single" w:sz="4" w:space="0" w:color="auto"/>
              <w:right w:val="single" w:sz="24" w:space="0" w:color="FFFFFF" w:themeColor="background1"/>
            </w:tcBorders>
            <w:shd w:val="clear" w:color="auto" w:fill="auto"/>
            <w:vAlign w:val="bottom"/>
          </w:tcPr>
          <w:p w14:paraId="6DF0AB8E" w14:textId="77777777" w:rsidR="00CD692A" w:rsidRPr="00750E61" w:rsidRDefault="00CD692A" w:rsidP="00CF551B">
            <w:pPr>
              <w:pStyle w:val="SingleTxtG"/>
              <w:tabs>
                <w:tab w:val="clear" w:pos="1701"/>
                <w:tab w:val="clear" w:pos="2268"/>
                <w:tab w:val="clear" w:pos="2835"/>
              </w:tabs>
              <w:spacing w:before="80" w:after="80" w:line="200" w:lineRule="exact"/>
              <w:ind w:left="0" w:right="0"/>
              <w:jc w:val="center"/>
              <w:rPr>
                <w:i/>
                <w:sz w:val="16"/>
                <w:lang w:val="en-GB"/>
              </w:rPr>
            </w:pPr>
            <w:r w:rsidRPr="00750E61">
              <w:rPr>
                <w:i/>
                <w:iCs/>
                <w:sz w:val="16"/>
              </w:rPr>
              <w:t>EIH4</w:t>
            </w:r>
          </w:p>
        </w:tc>
        <w:tc>
          <w:tcPr>
            <w:tcW w:w="2441" w:type="dxa"/>
            <w:tcBorders>
              <w:top w:val="single" w:sz="4" w:space="0" w:color="auto"/>
              <w:left w:val="single" w:sz="24" w:space="0" w:color="FFFFFF" w:themeColor="background1"/>
              <w:bottom w:val="single" w:sz="4" w:space="0" w:color="auto"/>
            </w:tcBorders>
            <w:shd w:val="clear" w:color="auto" w:fill="auto"/>
            <w:vAlign w:val="bottom"/>
          </w:tcPr>
          <w:p w14:paraId="44F263F1" w14:textId="77777777" w:rsidR="00CD692A" w:rsidRPr="00750E61" w:rsidRDefault="00CD692A" w:rsidP="00CF551B">
            <w:pPr>
              <w:pStyle w:val="SingleTxtG"/>
              <w:tabs>
                <w:tab w:val="clear" w:pos="1701"/>
                <w:tab w:val="clear" w:pos="2268"/>
                <w:tab w:val="clear" w:pos="2835"/>
              </w:tabs>
              <w:spacing w:before="80" w:after="80" w:line="200" w:lineRule="exact"/>
              <w:ind w:left="0" w:right="0"/>
              <w:jc w:val="center"/>
              <w:rPr>
                <w:i/>
                <w:sz w:val="16"/>
                <w:lang w:val="en-GB"/>
              </w:rPr>
            </w:pPr>
            <w:r w:rsidRPr="00750E61">
              <w:rPr>
                <w:i/>
                <w:iCs/>
                <w:sz w:val="16"/>
              </w:rPr>
              <w:t>EIH5</w:t>
            </w:r>
          </w:p>
        </w:tc>
      </w:tr>
      <w:tr w:rsidR="00CD692A" w:rsidRPr="00750E61" w14:paraId="24005EF0" w14:textId="77777777" w:rsidTr="0085343A">
        <w:trPr>
          <w:trHeight w:val="240"/>
        </w:trPr>
        <w:tc>
          <w:tcPr>
            <w:tcW w:w="2377" w:type="dxa"/>
            <w:vMerge/>
            <w:tcBorders>
              <w:top w:val="single" w:sz="4" w:space="0" w:color="auto"/>
              <w:bottom w:val="single" w:sz="12" w:space="0" w:color="auto"/>
            </w:tcBorders>
            <w:shd w:val="clear" w:color="auto" w:fill="auto"/>
            <w:vAlign w:val="bottom"/>
          </w:tcPr>
          <w:p w14:paraId="324F8B81" w14:textId="77777777" w:rsidR="00CD692A" w:rsidRPr="00750E61" w:rsidRDefault="00CD692A" w:rsidP="00750E61">
            <w:pPr>
              <w:pStyle w:val="SingleTxtG"/>
              <w:tabs>
                <w:tab w:val="clear" w:pos="1701"/>
                <w:tab w:val="clear" w:pos="2268"/>
                <w:tab w:val="clear" w:pos="2835"/>
              </w:tabs>
              <w:spacing w:before="40" w:after="40" w:line="220" w:lineRule="exact"/>
              <w:ind w:left="0" w:right="0"/>
              <w:jc w:val="left"/>
              <w:rPr>
                <w:sz w:val="18"/>
                <w:lang w:val="en-GB"/>
              </w:rPr>
            </w:pPr>
          </w:p>
        </w:tc>
        <w:tc>
          <w:tcPr>
            <w:tcW w:w="2552" w:type="dxa"/>
            <w:tcBorders>
              <w:top w:val="single" w:sz="4" w:space="0" w:color="auto"/>
              <w:bottom w:val="single" w:sz="12" w:space="0" w:color="auto"/>
              <w:right w:val="single" w:sz="24" w:space="0" w:color="FFFFFF" w:themeColor="background1"/>
            </w:tcBorders>
            <w:shd w:val="clear" w:color="auto" w:fill="auto"/>
            <w:vAlign w:val="bottom"/>
          </w:tcPr>
          <w:p w14:paraId="30A78FBB" w14:textId="77777777" w:rsidR="00CD692A" w:rsidRPr="00B92E99" w:rsidRDefault="00CD692A" w:rsidP="00B92E99">
            <w:pPr>
              <w:pStyle w:val="SingleTxtG"/>
              <w:keepNext/>
              <w:keepLines/>
              <w:tabs>
                <w:tab w:val="clear" w:pos="1701"/>
                <w:tab w:val="clear" w:pos="2268"/>
                <w:tab w:val="clear" w:pos="2835"/>
              </w:tabs>
              <w:spacing w:before="80" w:after="80" w:line="200" w:lineRule="exact"/>
              <w:ind w:left="113" w:right="28"/>
              <w:jc w:val="right"/>
              <w:rPr>
                <w:i/>
                <w:iCs/>
                <w:sz w:val="16"/>
              </w:rPr>
            </w:pPr>
            <w:r w:rsidRPr="00B92E99">
              <w:rPr>
                <w:i/>
                <w:iCs/>
                <w:sz w:val="16"/>
              </w:rPr>
              <w:t>(2016/2017)</w:t>
            </w:r>
          </w:p>
        </w:tc>
        <w:tc>
          <w:tcPr>
            <w:tcW w:w="2441" w:type="dxa"/>
            <w:tcBorders>
              <w:top w:val="single" w:sz="4" w:space="0" w:color="auto"/>
              <w:left w:val="single" w:sz="24" w:space="0" w:color="FFFFFF" w:themeColor="background1"/>
              <w:bottom w:val="single" w:sz="12" w:space="0" w:color="auto"/>
            </w:tcBorders>
            <w:shd w:val="clear" w:color="auto" w:fill="auto"/>
            <w:vAlign w:val="bottom"/>
          </w:tcPr>
          <w:p w14:paraId="2741D7CB" w14:textId="77777777" w:rsidR="00CD692A" w:rsidRPr="00B92E99" w:rsidRDefault="00CD692A" w:rsidP="00B92E99">
            <w:pPr>
              <w:pStyle w:val="SingleTxtG"/>
              <w:keepNext/>
              <w:keepLines/>
              <w:tabs>
                <w:tab w:val="clear" w:pos="1701"/>
                <w:tab w:val="clear" w:pos="2268"/>
                <w:tab w:val="clear" w:pos="2835"/>
              </w:tabs>
              <w:spacing w:before="80" w:after="80" w:line="200" w:lineRule="exact"/>
              <w:ind w:left="113" w:right="28"/>
              <w:jc w:val="right"/>
              <w:rPr>
                <w:i/>
                <w:iCs/>
                <w:sz w:val="16"/>
              </w:rPr>
            </w:pPr>
            <w:r w:rsidRPr="00B92E99">
              <w:rPr>
                <w:i/>
                <w:iCs/>
                <w:sz w:val="16"/>
              </w:rPr>
              <w:t>(2019/2020)</w:t>
            </w:r>
          </w:p>
        </w:tc>
      </w:tr>
      <w:tr w:rsidR="00CD692A" w:rsidRPr="00750E61" w14:paraId="076D010B" w14:textId="77777777" w:rsidTr="00750E61">
        <w:trPr>
          <w:trHeight w:val="240"/>
        </w:trPr>
        <w:tc>
          <w:tcPr>
            <w:tcW w:w="2377" w:type="dxa"/>
            <w:tcBorders>
              <w:top w:val="single" w:sz="12" w:space="0" w:color="auto"/>
            </w:tcBorders>
            <w:shd w:val="clear" w:color="auto" w:fill="auto"/>
          </w:tcPr>
          <w:p w14:paraId="3D46EF02" w14:textId="77777777" w:rsidR="00CD692A" w:rsidRPr="00750E61" w:rsidRDefault="00CD692A" w:rsidP="00750E61">
            <w:pPr>
              <w:pStyle w:val="SingleTxtG"/>
              <w:tabs>
                <w:tab w:val="clear" w:pos="1701"/>
                <w:tab w:val="clear" w:pos="2268"/>
                <w:tab w:val="clear" w:pos="2835"/>
              </w:tabs>
              <w:spacing w:before="40" w:after="40" w:line="220" w:lineRule="exact"/>
              <w:ind w:left="0" w:right="0"/>
              <w:jc w:val="left"/>
              <w:rPr>
                <w:sz w:val="18"/>
                <w:lang w:val="en-GB"/>
              </w:rPr>
            </w:pPr>
            <w:r w:rsidRPr="00750E61">
              <w:rPr>
                <w:sz w:val="18"/>
              </w:rPr>
              <w:t>Productos alimentarios</w:t>
            </w:r>
          </w:p>
        </w:tc>
        <w:tc>
          <w:tcPr>
            <w:tcW w:w="2552" w:type="dxa"/>
            <w:tcBorders>
              <w:top w:val="single" w:sz="12" w:space="0" w:color="auto"/>
            </w:tcBorders>
            <w:shd w:val="clear" w:color="auto" w:fill="auto"/>
            <w:vAlign w:val="bottom"/>
          </w:tcPr>
          <w:p w14:paraId="654C070D" w14:textId="72460C32" w:rsidR="00CD692A" w:rsidRPr="00750E61"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750E61">
              <w:rPr>
                <w:sz w:val="18"/>
              </w:rPr>
              <w:t>85</w:t>
            </w:r>
            <w:r w:rsidR="00CF551B">
              <w:rPr>
                <w:sz w:val="18"/>
              </w:rPr>
              <w:t xml:space="preserve"> </w:t>
            </w:r>
            <w:r w:rsidRPr="00750E61">
              <w:rPr>
                <w:sz w:val="18"/>
              </w:rPr>
              <w:t>260</w:t>
            </w:r>
          </w:p>
        </w:tc>
        <w:tc>
          <w:tcPr>
            <w:tcW w:w="2441" w:type="dxa"/>
            <w:tcBorders>
              <w:top w:val="single" w:sz="12" w:space="0" w:color="auto"/>
            </w:tcBorders>
            <w:shd w:val="clear" w:color="auto" w:fill="auto"/>
            <w:vAlign w:val="bottom"/>
          </w:tcPr>
          <w:p w14:paraId="30B76A12" w14:textId="786CF59B" w:rsidR="00CD692A" w:rsidRPr="00750E61"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750E61">
              <w:rPr>
                <w:sz w:val="18"/>
              </w:rPr>
              <w:t>101</w:t>
            </w:r>
            <w:r w:rsidR="00CF551B">
              <w:rPr>
                <w:sz w:val="18"/>
              </w:rPr>
              <w:t xml:space="preserve"> </w:t>
            </w:r>
            <w:r w:rsidRPr="00750E61">
              <w:rPr>
                <w:sz w:val="18"/>
              </w:rPr>
              <w:t>293</w:t>
            </w:r>
          </w:p>
        </w:tc>
      </w:tr>
      <w:tr w:rsidR="00CD692A" w:rsidRPr="00750E61" w14:paraId="09F33315" w14:textId="77777777" w:rsidTr="00750E61">
        <w:trPr>
          <w:trHeight w:val="240"/>
        </w:trPr>
        <w:tc>
          <w:tcPr>
            <w:tcW w:w="2377" w:type="dxa"/>
            <w:tcBorders>
              <w:bottom w:val="single" w:sz="4" w:space="0" w:color="auto"/>
            </w:tcBorders>
            <w:shd w:val="clear" w:color="auto" w:fill="auto"/>
          </w:tcPr>
          <w:p w14:paraId="7BCDC7ED" w14:textId="77777777" w:rsidR="00CD692A" w:rsidRPr="00750E61" w:rsidRDefault="00CD692A" w:rsidP="00750E61">
            <w:pPr>
              <w:pStyle w:val="SingleTxtG"/>
              <w:tabs>
                <w:tab w:val="clear" w:pos="1701"/>
                <w:tab w:val="clear" w:pos="2268"/>
                <w:tab w:val="clear" w:pos="2835"/>
              </w:tabs>
              <w:spacing w:before="40" w:after="40" w:line="220" w:lineRule="exact"/>
              <w:ind w:left="0" w:right="0"/>
              <w:jc w:val="left"/>
              <w:rPr>
                <w:sz w:val="18"/>
                <w:lang w:val="en-GB"/>
              </w:rPr>
            </w:pPr>
            <w:r w:rsidRPr="00750E61">
              <w:rPr>
                <w:sz w:val="18"/>
              </w:rPr>
              <w:t>Productos no alimentarios</w:t>
            </w:r>
          </w:p>
        </w:tc>
        <w:tc>
          <w:tcPr>
            <w:tcW w:w="2552" w:type="dxa"/>
            <w:tcBorders>
              <w:bottom w:val="single" w:sz="4" w:space="0" w:color="auto"/>
            </w:tcBorders>
            <w:shd w:val="clear" w:color="auto" w:fill="auto"/>
            <w:vAlign w:val="bottom"/>
          </w:tcPr>
          <w:p w14:paraId="207BD380" w14:textId="5BB82C63" w:rsidR="00CD692A" w:rsidRPr="00750E61"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750E61">
              <w:rPr>
                <w:sz w:val="18"/>
              </w:rPr>
              <w:t>52</w:t>
            </w:r>
            <w:r w:rsidR="00CF551B">
              <w:rPr>
                <w:sz w:val="18"/>
              </w:rPr>
              <w:t xml:space="preserve"> </w:t>
            </w:r>
            <w:r w:rsidRPr="00750E61">
              <w:rPr>
                <w:sz w:val="18"/>
              </w:rPr>
              <w:t>168</w:t>
            </w:r>
          </w:p>
        </w:tc>
        <w:tc>
          <w:tcPr>
            <w:tcW w:w="2441" w:type="dxa"/>
            <w:tcBorders>
              <w:bottom w:val="single" w:sz="4" w:space="0" w:color="auto"/>
            </w:tcBorders>
            <w:shd w:val="clear" w:color="auto" w:fill="auto"/>
            <w:vAlign w:val="bottom"/>
          </w:tcPr>
          <w:p w14:paraId="496D877A" w14:textId="21D9FC56" w:rsidR="00CD692A" w:rsidRPr="00750E61"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750E61">
              <w:rPr>
                <w:sz w:val="18"/>
              </w:rPr>
              <w:t>64</w:t>
            </w:r>
            <w:r w:rsidR="00CF551B">
              <w:rPr>
                <w:sz w:val="18"/>
              </w:rPr>
              <w:t xml:space="preserve"> </w:t>
            </w:r>
            <w:r w:rsidRPr="00750E61">
              <w:rPr>
                <w:sz w:val="18"/>
              </w:rPr>
              <w:t>586</w:t>
            </w:r>
          </w:p>
        </w:tc>
      </w:tr>
      <w:tr w:rsidR="00CD692A" w:rsidRPr="00750E61" w14:paraId="344A2252" w14:textId="77777777" w:rsidTr="00750E61">
        <w:trPr>
          <w:trHeight w:val="240"/>
        </w:trPr>
        <w:tc>
          <w:tcPr>
            <w:tcW w:w="2377" w:type="dxa"/>
            <w:tcBorders>
              <w:top w:val="single" w:sz="4" w:space="0" w:color="auto"/>
              <w:bottom w:val="single" w:sz="12" w:space="0" w:color="auto"/>
            </w:tcBorders>
            <w:shd w:val="clear" w:color="auto" w:fill="auto"/>
          </w:tcPr>
          <w:p w14:paraId="51FB6559" w14:textId="77777777" w:rsidR="00CD692A" w:rsidRPr="00750E61" w:rsidRDefault="00CD692A" w:rsidP="00750E61">
            <w:pPr>
              <w:pStyle w:val="SingleTxtG"/>
              <w:tabs>
                <w:tab w:val="clear" w:pos="1701"/>
                <w:tab w:val="clear" w:pos="2268"/>
                <w:tab w:val="clear" w:pos="2835"/>
              </w:tabs>
              <w:spacing w:before="80" w:after="80" w:line="220" w:lineRule="exact"/>
              <w:ind w:left="283" w:right="0"/>
              <w:jc w:val="left"/>
              <w:rPr>
                <w:b/>
                <w:bCs/>
                <w:sz w:val="18"/>
                <w:lang w:val="en-GB"/>
              </w:rPr>
            </w:pPr>
            <w:r w:rsidRPr="00750E61">
              <w:rPr>
                <w:b/>
                <w:bCs/>
                <w:sz w:val="18"/>
              </w:rPr>
              <w:t>Total</w:t>
            </w:r>
          </w:p>
        </w:tc>
        <w:tc>
          <w:tcPr>
            <w:tcW w:w="2552" w:type="dxa"/>
            <w:tcBorders>
              <w:top w:val="single" w:sz="4" w:space="0" w:color="auto"/>
              <w:bottom w:val="single" w:sz="12" w:space="0" w:color="auto"/>
            </w:tcBorders>
            <w:shd w:val="clear" w:color="auto" w:fill="auto"/>
            <w:vAlign w:val="bottom"/>
          </w:tcPr>
          <w:p w14:paraId="346BF46E" w14:textId="603C7027" w:rsidR="00CD692A" w:rsidRPr="00750E61" w:rsidRDefault="00CD692A" w:rsidP="00CF551B">
            <w:pPr>
              <w:pStyle w:val="SingleTxtG"/>
              <w:tabs>
                <w:tab w:val="clear" w:pos="1701"/>
                <w:tab w:val="clear" w:pos="2268"/>
                <w:tab w:val="clear" w:pos="2835"/>
              </w:tabs>
              <w:spacing w:before="80" w:after="80" w:line="220" w:lineRule="exact"/>
              <w:ind w:left="0" w:right="28"/>
              <w:jc w:val="right"/>
              <w:rPr>
                <w:b/>
                <w:bCs/>
                <w:sz w:val="18"/>
                <w:lang w:val="en-GB"/>
              </w:rPr>
            </w:pPr>
            <w:r w:rsidRPr="00750E61">
              <w:rPr>
                <w:b/>
                <w:bCs/>
                <w:sz w:val="18"/>
              </w:rPr>
              <w:t>137</w:t>
            </w:r>
            <w:r w:rsidR="00CF551B">
              <w:rPr>
                <w:b/>
                <w:bCs/>
                <w:sz w:val="18"/>
              </w:rPr>
              <w:t xml:space="preserve"> </w:t>
            </w:r>
            <w:r w:rsidRPr="00750E61">
              <w:rPr>
                <w:b/>
                <w:bCs/>
                <w:sz w:val="18"/>
              </w:rPr>
              <w:t>428</w:t>
            </w:r>
          </w:p>
        </w:tc>
        <w:tc>
          <w:tcPr>
            <w:tcW w:w="2441" w:type="dxa"/>
            <w:tcBorders>
              <w:top w:val="single" w:sz="4" w:space="0" w:color="auto"/>
              <w:bottom w:val="single" w:sz="12" w:space="0" w:color="auto"/>
            </w:tcBorders>
            <w:shd w:val="clear" w:color="auto" w:fill="auto"/>
            <w:vAlign w:val="bottom"/>
          </w:tcPr>
          <w:p w14:paraId="2C8CE56C" w14:textId="48A84A78" w:rsidR="00CD692A" w:rsidRPr="00750E61" w:rsidRDefault="00CD692A" w:rsidP="00CF551B">
            <w:pPr>
              <w:pStyle w:val="SingleTxtG"/>
              <w:tabs>
                <w:tab w:val="clear" w:pos="1701"/>
                <w:tab w:val="clear" w:pos="2268"/>
                <w:tab w:val="clear" w:pos="2835"/>
              </w:tabs>
              <w:spacing w:before="80" w:after="80" w:line="220" w:lineRule="exact"/>
              <w:ind w:left="0" w:right="28"/>
              <w:jc w:val="right"/>
              <w:rPr>
                <w:b/>
                <w:bCs/>
                <w:sz w:val="18"/>
                <w:lang w:val="en-GB"/>
              </w:rPr>
            </w:pPr>
            <w:r w:rsidRPr="00750E61">
              <w:rPr>
                <w:b/>
                <w:bCs/>
                <w:sz w:val="18"/>
              </w:rPr>
              <w:t>165</w:t>
            </w:r>
            <w:r w:rsidR="00CF551B">
              <w:rPr>
                <w:b/>
                <w:bCs/>
                <w:sz w:val="18"/>
              </w:rPr>
              <w:t xml:space="preserve"> </w:t>
            </w:r>
            <w:r w:rsidRPr="00750E61">
              <w:rPr>
                <w:b/>
                <w:bCs/>
                <w:sz w:val="18"/>
              </w:rPr>
              <w:t>879</w:t>
            </w:r>
          </w:p>
        </w:tc>
      </w:tr>
    </w:tbl>
    <w:p w14:paraId="1B138593" w14:textId="77777777" w:rsidR="00CD692A" w:rsidRPr="00750E61" w:rsidRDefault="00CD692A" w:rsidP="00750E61">
      <w:pPr>
        <w:pStyle w:val="SingleTxtG"/>
        <w:spacing w:before="120" w:after="240"/>
        <w:ind w:firstLine="170"/>
        <w:jc w:val="left"/>
        <w:rPr>
          <w:sz w:val="18"/>
          <w:szCs w:val="18"/>
        </w:rPr>
      </w:pPr>
      <w:bookmarkStart w:id="26" w:name="_Hlk87536952"/>
      <w:r w:rsidRPr="00750E61">
        <w:rPr>
          <w:i/>
          <w:sz w:val="18"/>
          <w:szCs w:val="18"/>
        </w:rPr>
        <w:t>Fuente</w:t>
      </w:r>
      <w:r w:rsidRPr="00750E61">
        <w:rPr>
          <w:i/>
          <w:iCs/>
          <w:sz w:val="18"/>
          <w:szCs w:val="18"/>
        </w:rPr>
        <w:t>:</w:t>
      </w:r>
      <w:r w:rsidRPr="00750E61">
        <w:rPr>
          <w:sz w:val="18"/>
          <w:szCs w:val="18"/>
        </w:rPr>
        <w:t xml:space="preserve"> Informe sobre la Pobreza en Malawi, 2020.</w:t>
      </w:r>
    </w:p>
    <w:p w14:paraId="56F80D73" w14:textId="22697C2D" w:rsidR="00CD692A" w:rsidRPr="00CD692A" w:rsidRDefault="00CD692A" w:rsidP="00CD692A">
      <w:pPr>
        <w:pStyle w:val="SingleTxtG"/>
        <w:rPr>
          <w:bCs/>
        </w:rPr>
      </w:pPr>
      <w:r w:rsidRPr="00CD692A">
        <w:t>61.</w:t>
      </w:r>
      <w:r w:rsidRPr="00CD692A">
        <w:tab/>
        <w:t>El Informe sobre la Pobreza en Malawi, de 2020, indica además que la proporción de la población considerada pobre se redujo del 51,5 % en el ejercicio económico 2016/17 al 50,7 % en el 2019/20. Esto significa que algo más de la mitad de la población de Malawi vivía en la pobreza.</w:t>
      </w:r>
      <w:bookmarkEnd w:id="26"/>
    </w:p>
    <w:p w14:paraId="0528E5B3" w14:textId="65D2611B" w:rsidR="00CD692A" w:rsidRPr="00CD692A" w:rsidRDefault="00CD692A" w:rsidP="00CD692A">
      <w:pPr>
        <w:pStyle w:val="SingleTxtG"/>
        <w:rPr>
          <w:bCs/>
        </w:rPr>
      </w:pPr>
      <w:r w:rsidRPr="00CD692A">
        <w:t>62.</w:t>
      </w:r>
      <w:r w:rsidRPr="00CD692A">
        <w:tab/>
        <w:t>El Informe sobre la Pobreza en Malawi, de 2020, también muestra que, en el ejercicio económico 2019/20, en las zonas rurales el 56,6 % de las personas eran pobres y en las zonas urbanas, el 19,2 %. La proporción de la población que era pobre en las zonas urbanas fue mayor en el ejercicio económico 2019/20 (19,2 %), que en el 2016/2017 (17,7 %).</w:t>
      </w:r>
    </w:p>
    <w:p w14:paraId="0D00AD3E" w14:textId="4459221D" w:rsidR="00CD692A" w:rsidRPr="00CD692A" w:rsidRDefault="00CD692A" w:rsidP="00CD692A">
      <w:pPr>
        <w:pStyle w:val="SingleTxtG"/>
        <w:rPr>
          <w:bCs/>
        </w:rPr>
      </w:pPr>
      <w:r w:rsidRPr="00CD692A">
        <w:t>63.</w:t>
      </w:r>
      <w:r w:rsidRPr="00CD692A">
        <w:tab/>
        <w:t>El Informe también hace un análisis de los niveles de pobreza según el sexo del cabeza de familia. El informe muestra que, en el ejercicio económico 2019/20, el 56,8 % de las personas de los hogares encabezados por una mujer eran pobres, frente al 48,5 % de los encabezados por un hombre. La proporción de personas que eran pobres en los hogares encabezados por una mujer disminuyó del 58,3 % en el ejercicio económico 2016/17 al 56,8</w:t>
      </w:r>
      <w:r w:rsidR="00B92E99">
        <w:t> </w:t>
      </w:r>
      <w:r w:rsidRPr="00CD692A">
        <w:t>% en el 2019/20.</w:t>
      </w:r>
    </w:p>
    <w:p w14:paraId="6E02D340" w14:textId="77777777" w:rsidR="00CD692A" w:rsidRPr="00CD692A" w:rsidRDefault="00CD692A" w:rsidP="00CD692A">
      <w:pPr>
        <w:pStyle w:val="SingleTxtG"/>
        <w:rPr>
          <w:bCs/>
        </w:rPr>
      </w:pPr>
      <w:r w:rsidRPr="00CD692A">
        <w:t>64.</w:t>
      </w:r>
      <w:r w:rsidRPr="00CD692A">
        <w:tab/>
        <w:t>A fin de reducir los niveles de pobreza en Malawi, en la Política Nacional de Apoyo Social (2012) y en el Primer Programa Nacional de Apoyo Social de Malawi (2012) se establecen los elementos constitutivos de la estrategia del país en el ámbito de la protección social. Ahora bien, a pesar de contar con estas políticas, no se ha armonizado el enfoque de la aplicación de los programas de protección social ni se ha logrado plenamente su coordinación bajo una visión orientadora general. La falta de una visión integral del desarrollo social y la escasa capacidad institucional han provocado lagunas en la provisión de servicios y prestaciones sociales.</w:t>
      </w:r>
      <w:bookmarkStart w:id="27" w:name="_Hlk41562416"/>
      <w:bookmarkStart w:id="28" w:name="_Hlk41562443"/>
      <w:bookmarkStart w:id="29" w:name="_Hlk40146853"/>
      <w:bookmarkEnd w:id="27"/>
      <w:bookmarkEnd w:id="28"/>
      <w:bookmarkEnd w:id="29"/>
    </w:p>
    <w:p w14:paraId="7D6F3322" w14:textId="77777777" w:rsidR="00CD692A" w:rsidRPr="00CD692A" w:rsidRDefault="00CD692A" w:rsidP="00CD692A">
      <w:pPr>
        <w:pStyle w:val="SingleTxtG"/>
        <w:rPr>
          <w:bCs/>
        </w:rPr>
      </w:pPr>
      <w:r w:rsidRPr="00CD692A">
        <w:lastRenderedPageBreak/>
        <w:t>65.</w:t>
      </w:r>
      <w:r w:rsidRPr="00CD692A">
        <w:tab/>
        <w:t>La Política Nacional de Apoyo Social hace hincapié en la necesidad de establecer un marco holístico para diseñar, aplicar, coordinar, vigilar y evaluar las intervenciones de apoyo social. En consonancia con ello, a fin de garantizar la protección e inclusión social, se ha recomendado aplicar medidas de importancia decisiva, como las que se enumeran a continuación:</w:t>
      </w:r>
    </w:p>
    <w:p w14:paraId="2E09AD58" w14:textId="7B3DC464" w:rsidR="00CD692A" w:rsidRPr="00CD692A" w:rsidRDefault="00CF551B" w:rsidP="00CD692A">
      <w:pPr>
        <w:pStyle w:val="SingleTxtG"/>
        <w:rPr>
          <w:bCs/>
        </w:rPr>
      </w:pPr>
      <w:r>
        <w:tab/>
      </w:r>
      <w:r w:rsidR="00CD692A" w:rsidRPr="00CD692A">
        <w:t>a)</w:t>
      </w:r>
      <w:r w:rsidR="00CD692A" w:rsidRPr="00CD692A">
        <w:tab/>
        <w:t>Preparar un marco nacional de protección social amplio;</w:t>
      </w:r>
    </w:p>
    <w:p w14:paraId="444BC489" w14:textId="0BA438A0" w:rsidR="00CD692A" w:rsidRPr="00CD692A" w:rsidRDefault="00CF551B" w:rsidP="00CD692A">
      <w:pPr>
        <w:pStyle w:val="SingleTxtG"/>
        <w:rPr>
          <w:bCs/>
        </w:rPr>
      </w:pPr>
      <w:r>
        <w:tab/>
      </w:r>
      <w:r w:rsidR="00CD692A" w:rsidRPr="00CD692A">
        <w:t>b)</w:t>
      </w:r>
      <w:r w:rsidR="00CD692A" w:rsidRPr="00CD692A">
        <w:tab/>
        <w:t>Fortalecer la coordinación de las políticas y programas sociales en todos los sectores;</w:t>
      </w:r>
    </w:p>
    <w:p w14:paraId="29BFA51F" w14:textId="361D1530" w:rsidR="00CD692A" w:rsidRPr="00CD692A" w:rsidRDefault="00CF551B" w:rsidP="00CD692A">
      <w:pPr>
        <w:pStyle w:val="SingleTxtG"/>
        <w:rPr>
          <w:bCs/>
        </w:rPr>
      </w:pPr>
      <w:r>
        <w:tab/>
      </w:r>
      <w:r w:rsidR="00CD692A" w:rsidRPr="00CD692A">
        <w:t>c)</w:t>
      </w:r>
      <w:r w:rsidR="00CD692A" w:rsidRPr="00CD692A">
        <w:tab/>
        <w:t>Proporcionar recursos adecuados a la protección social;</w:t>
      </w:r>
    </w:p>
    <w:p w14:paraId="382E5893" w14:textId="14C29BB8" w:rsidR="00CD692A" w:rsidRPr="00CD692A" w:rsidRDefault="00CF551B" w:rsidP="00CD692A">
      <w:pPr>
        <w:pStyle w:val="SingleTxtG"/>
        <w:rPr>
          <w:bCs/>
        </w:rPr>
      </w:pPr>
      <w:r>
        <w:tab/>
      </w:r>
      <w:r w:rsidR="00CD692A" w:rsidRPr="00CD692A">
        <w:t>d)</w:t>
      </w:r>
      <w:r w:rsidR="00CD692A" w:rsidRPr="00CD692A">
        <w:tab/>
        <w:t>Ampliar la cobertura de la protección social a un gran número de beneficiarios;</w:t>
      </w:r>
    </w:p>
    <w:p w14:paraId="6508CFB9" w14:textId="08DCAE0D" w:rsidR="00CD692A" w:rsidRPr="00CD692A" w:rsidRDefault="00CF551B" w:rsidP="00CD692A">
      <w:pPr>
        <w:pStyle w:val="SingleTxtG"/>
        <w:rPr>
          <w:bCs/>
        </w:rPr>
      </w:pPr>
      <w:r>
        <w:tab/>
      </w:r>
      <w:r w:rsidR="00CD692A" w:rsidRPr="00CD692A">
        <w:t>e)</w:t>
      </w:r>
      <w:r w:rsidR="00CD692A" w:rsidRPr="00CD692A">
        <w:tab/>
        <w:t>Mejorar la determinación de los destinatarios de los programas de protección social existentes;</w:t>
      </w:r>
    </w:p>
    <w:p w14:paraId="1E15E19F" w14:textId="150DD1C9" w:rsidR="00CD692A" w:rsidRPr="00CD692A" w:rsidRDefault="00CF551B" w:rsidP="00CD692A">
      <w:pPr>
        <w:pStyle w:val="SingleTxtG"/>
        <w:rPr>
          <w:bCs/>
        </w:rPr>
      </w:pPr>
      <w:r>
        <w:tab/>
      </w:r>
      <w:r w:rsidR="00CD692A" w:rsidRPr="00CD692A">
        <w:t>f)</w:t>
      </w:r>
      <w:r w:rsidR="00CD692A" w:rsidRPr="00CD692A">
        <w:tab/>
        <w:t>Integrar la protección social en la planificación sectorial y por distritos; y</w:t>
      </w:r>
    </w:p>
    <w:p w14:paraId="487D5C70" w14:textId="4E35D42D" w:rsidR="00CD692A" w:rsidRPr="00CD692A" w:rsidRDefault="00CF551B" w:rsidP="00CD692A">
      <w:pPr>
        <w:pStyle w:val="SingleTxtG"/>
        <w:rPr>
          <w:bCs/>
        </w:rPr>
      </w:pPr>
      <w:r>
        <w:tab/>
      </w:r>
      <w:r w:rsidR="00CD692A" w:rsidRPr="00CD692A">
        <w:t>g)</w:t>
      </w:r>
      <w:r w:rsidR="00CD692A" w:rsidRPr="00CD692A">
        <w:tab/>
        <w:t>Fortalecer la vigilancia de los programas de protección social.</w:t>
      </w:r>
    </w:p>
    <w:p w14:paraId="0C502010" w14:textId="77777777" w:rsidR="00CD692A" w:rsidRPr="00CD692A" w:rsidRDefault="00CD692A" w:rsidP="00CD692A">
      <w:pPr>
        <w:pStyle w:val="SingleTxtG"/>
        <w:rPr>
          <w:bCs/>
        </w:rPr>
      </w:pPr>
      <w:r w:rsidRPr="00CD692A">
        <w:t>66.</w:t>
      </w:r>
      <w:r w:rsidRPr="00CD692A">
        <w:tab/>
        <w:t>El Segundo Programa Nacional de Apoyo de Malawi (2018-2023) se basa en los objetivos de la Política Nacional de Apoyo Social y del Primer Programa Nacional de Apoyo Social de Malawi. Está organizado en torno a esferas temáticas prioritarias y proporciona orientación para promover los vínculos entre ellas, fortalecer los sistemas y mejorar las actividades de seguimiento. Entre las esferas prioritarias para el apoyo figuran las siguientes:</w:t>
      </w:r>
    </w:p>
    <w:p w14:paraId="78EAC473" w14:textId="5A39E5E2" w:rsidR="00CD692A" w:rsidRPr="00CD692A" w:rsidRDefault="00CF551B" w:rsidP="00CD692A">
      <w:pPr>
        <w:pStyle w:val="SingleTxtG"/>
        <w:rPr>
          <w:bCs/>
        </w:rPr>
      </w:pPr>
      <w:r>
        <w:tab/>
      </w:r>
      <w:r w:rsidR="00CD692A" w:rsidRPr="00CD692A">
        <w:t>a)</w:t>
      </w:r>
      <w:r w:rsidR="00CD692A" w:rsidRPr="00CD692A">
        <w:tab/>
        <w:t xml:space="preserve">Apoyo al consumo </w:t>
      </w:r>
      <w:r w:rsidR="00D24E4F" w:rsidRPr="00D24E4F">
        <w:rPr>
          <w:sz w:val="18"/>
        </w:rPr>
        <w:t>−</w:t>
      </w:r>
      <w:r w:rsidR="00CD692A" w:rsidRPr="00CD692A">
        <w:t xml:space="preserve"> Proporcionar apoyo al consumo a través de transferencias oportunas, predecibles y adecuadas en efectivo y/o en especie a las personas pobres y vulnerables a lo largo de su ciclo vital;</w:t>
      </w:r>
    </w:p>
    <w:p w14:paraId="617F6A49" w14:textId="59DF2279" w:rsidR="00CD692A" w:rsidRPr="00CD692A" w:rsidRDefault="00CF551B" w:rsidP="00CD692A">
      <w:pPr>
        <w:pStyle w:val="SingleTxtG"/>
        <w:rPr>
          <w:bCs/>
        </w:rPr>
      </w:pPr>
      <w:r>
        <w:tab/>
      </w:r>
      <w:r w:rsidR="00CD692A" w:rsidRPr="00CD692A">
        <w:t>b)</w:t>
      </w:r>
      <w:r w:rsidR="00CD692A" w:rsidRPr="00CD692A">
        <w:tab/>
        <w:t xml:space="preserve">Medios de sustento resilientes </w:t>
      </w:r>
      <w:r w:rsidR="00D24E4F" w:rsidRPr="00D24E4F">
        <w:rPr>
          <w:sz w:val="18"/>
        </w:rPr>
        <w:t>−</w:t>
      </w:r>
      <w:r w:rsidR="00CD692A" w:rsidRPr="00CD692A">
        <w:t xml:space="preserve"> Promover medios de sustento resilientes, proporcionando paquetes personalizados de productos elegidos sobre la base de las necesidades individuales, familiares y comunitarias, vías para salir de la pobreza y vínculos entre programas, y facilitando el acceso a servicios complementarios a los del Segundo Programa Nacional de Apoyo Social de Malawi, así como la utilización de dichos servicios; </w:t>
      </w:r>
    </w:p>
    <w:p w14:paraId="701D4BC2" w14:textId="3AE8AE8A" w:rsidR="00CD692A" w:rsidRPr="00CD692A" w:rsidRDefault="00CF551B" w:rsidP="00CD692A">
      <w:pPr>
        <w:pStyle w:val="SingleTxtG"/>
        <w:rPr>
          <w:bCs/>
        </w:rPr>
      </w:pPr>
      <w:r>
        <w:tab/>
      </w:r>
      <w:r w:rsidR="00CD692A" w:rsidRPr="00CD692A">
        <w:t>c)</w:t>
      </w:r>
      <w:r w:rsidR="00CD692A" w:rsidRPr="00CD692A">
        <w:tab/>
        <w:t xml:space="preserve">Protección social sensible a las conmociones </w:t>
      </w:r>
      <w:r w:rsidR="00D24E4F" w:rsidRPr="00D24E4F">
        <w:rPr>
          <w:sz w:val="18"/>
        </w:rPr>
        <w:t>−</w:t>
      </w:r>
      <w:r w:rsidR="00CD692A" w:rsidRPr="00CD692A">
        <w:t xml:space="preserve"> Desarrollar un sistema de protección social sensible a las conmociones de un modo que satisfaga las necesidades estacionales, se prepare para las conmociones imprevisibles y responda a ellas en cooperación con el sector humanitario, y apoye la recuperación y el retorno a la programación regular.</w:t>
      </w:r>
    </w:p>
    <w:p w14:paraId="2EF03821" w14:textId="77777777" w:rsidR="00CD692A" w:rsidRPr="00CD692A" w:rsidRDefault="00CD692A" w:rsidP="00CD692A">
      <w:pPr>
        <w:pStyle w:val="SingleTxtG"/>
        <w:rPr>
          <w:bCs/>
        </w:rPr>
      </w:pPr>
      <w:r w:rsidRPr="00CD692A">
        <w:t>67.</w:t>
      </w:r>
      <w:r w:rsidRPr="00CD692A">
        <w:tab/>
        <w:t>Malawi cuenta con varios planes y programas de protección social, que se aplican mediante distintos mecanismos. Algunos de estos programas están integrados en planes estratégicos a largo plazo, se aplican en todo el país y se financian con el presupuesto consolidado del Gobierno. Una buena parte de ellos son de corta duración, o de limitada cobertura geográfica y personal, y se sustentan en una base de recursos volátil e insegura. Los distintos programas utilizan diferentes mecanismos para hacer llegar la transferencia de ingresos o la prestación de servicios a diferentes grupos de población. Cabe distinguir entre ellos las siguientes categorías:</w:t>
      </w:r>
    </w:p>
    <w:p w14:paraId="50A61E22" w14:textId="570A073A" w:rsidR="00CD692A" w:rsidRPr="00CD692A" w:rsidRDefault="00CF551B" w:rsidP="00CD692A">
      <w:pPr>
        <w:pStyle w:val="SingleTxtG"/>
        <w:rPr>
          <w:bCs/>
        </w:rPr>
      </w:pPr>
      <w:r>
        <w:tab/>
      </w:r>
      <w:r w:rsidR="00CD692A" w:rsidRPr="00CD692A">
        <w:t>a)</w:t>
      </w:r>
      <w:r w:rsidR="00CD692A" w:rsidRPr="00CD692A">
        <w:tab/>
        <w:t>Programas de transferencia de efectivo dirigidos a los hogares o a las personas;</w:t>
      </w:r>
    </w:p>
    <w:p w14:paraId="0FDED785" w14:textId="36C41C0E" w:rsidR="00CD692A" w:rsidRPr="00CD692A" w:rsidRDefault="00CF551B" w:rsidP="00CD692A">
      <w:pPr>
        <w:pStyle w:val="SingleTxtG"/>
        <w:rPr>
          <w:bCs/>
        </w:rPr>
      </w:pPr>
      <w:r>
        <w:tab/>
      </w:r>
      <w:r w:rsidR="00CD692A" w:rsidRPr="00CD692A">
        <w:t>b)</w:t>
      </w:r>
      <w:r w:rsidR="00CD692A" w:rsidRPr="00CD692A">
        <w:tab/>
        <w:t>Transferencias en especie a los hogares o a las personas con el fin de facilitar el acceso a la salud y a la educación;</w:t>
      </w:r>
    </w:p>
    <w:p w14:paraId="72FEC2A2" w14:textId="1C7512B7" w:rsidR="00CD692A" w:rsidRPr="00CD692A" w:rsidRDefault="00CF551B" w:rsidP="00CD692A">
      <w:pPr>
        <w:pStyle w:val="SingleTxtG"/>
        <w:rPr>
          <w:bCs/>
        </w:rPr>
      </w:pPr>
      <w:r>
        <w:tab/>
      </w:r>
      <w:r w:rsidR="00CD692A" w:rsidRPr="00CD692A">
        <w:t>c)</w:t>
      </w:r>
      <w:r w:rsidR="00CD692A" w:rsidRPr="00CD692A">
        <w:tab/>
        <w:t>Programas activos del mercado de trabajo; y</w:t>
      </w:r>
    </w:p>
    <w:p w14:paraId="327DBF55" w14:textId="525BB0D9" w:rsidR="00CD692A" w:rsidRPr="00CD692A" w:rsidRDefault="00CF551B" w:rsidP="00CD692A">
      <w:pPr>
        <w:pStyle w:val="SingleTxtG"/>
        <w:rPr>
          <w:bCs/>
        </w:rPr>
      </w:pPr>
      <w:r>
        <w:tab/>
      </w:r>
      <w:r w:rsidR="00CD692A" w:rsidRPr="00CD692A">
        <w:t>d)</w:t>
      </w:r>
      <w:r w:rsidR="00CD692A" w:rsidRPr="00CD692A">
        <w:tab/>
        <w:t>Subsidios a los productores o consumidores de determinados bienes o servicios.</w:t>
      </w:r>
    </w:p>
    <w:p w14:paraId="1D21EABC" w14:textId="645FED2D" w:rsidR="00CD692A" w:rsidRPr="00CD692A" w:rsidRDefault="00CF551B" w:rsidP="00CF551B">
      <w:pPr>
        <w:pStyle w:val="H23G"/>
      </w:pPr>
      <w:bookmarkStart w:id="30" w:name="_Hlk41563890"/>
      <w:r>
        <w:tab/>
      </w:r>
      <w:r>
        <w:tab/>
      </w:r>
      <w:r w:rsidR="00CD692A" w:rsidRPr="00CD692A">
        <w:t>Programa de Transferencia Social en Efectivo</w:t>
      </w:r>
    </w:p>
    <w:p w14:paraId="3936F362" w14:textId="77777777" w:rsidR="00CD692A" w:rsidRPr="00CD692A" w:rsidRDefault="00CD692A" w:rsidP="00CD692A">
      <w:pPr>
        <w:pStyle w:val="SingleTxtG"/>
        <w:rPr>
          <w:bCs/>
        </w:rPr>
      </w:pPr>
      <w:bookmarkStart w:id="31" w:name="_Hlk43360703"/>
      <w:bookmarkEnd w:id="30"/>
      <w:r w:rsidRPr="00CD692A">
        <w:t>68.</w:t>
      </w:r>
      <w:r w:rsidRPr="00CD692A">
        <w:tab/>
        <w:t xml:space="preserve">El Programa de Transferencia Social en Efectivo fue puesto en marcha por el Gobierno, a través del Ministerio de Género, Desarrollo Comunitario y Bienestar Social, con la asistencia de los asociados para el desarrollo. Se trata de un programa de transferencias en </w:t>
      </w:r>
      <w:r w:rsidRPr="00CD692A">
        <w:lastRenderedPageBreak/>
        <w:t>efectivo incondicionales dirigido a los hogares en situación de pobreza extrema y escasez de trabajo y que, entre otros fines, se propone sostener a los niños que trabajan para ayudar a mantener a sus familias. El programa comenzó a título experimental en el distrito de Mchinji en 2006. Desde 2009, el programa se ha ampliado hasta llegar a 18 de los 28 distritos de Malawi. El programa experimentó un notable crecimiento entre 2012 y 2015. En diciembre de 2015, el programa había llegado a más de 163.000 hogares beneficiarios. Según el Informe de Evaluación del Impacto Final del Programa, de 2016, se habían registrado efectos positivos en la reducción del trabajo infantil, la reducción de la tasa de abandono escolar y el aumento de la matriculación de niños en las escuelas.</w:t>
      </w:r>
      <w:bookmarkStart w:id="32" w:name="_Hlk63776764"/>
      <w:bookmarkEnd w:id="32"/>
    </w:p>
    <w:bookmarkEnd w:id="31"/>
    <w:p w14:paraId="39E1F41E" w14:textId="4A6682F3" w:rsidR="00CD692A" w:rsidRPr="00CD692A" w:rsidRDefault="00CF551B" w:rsidP="00CF551B">
      <w:pPr>
        <w:pStyle w:val="H23G"/>
        <w:ind w:right="424"/>
      </w:pPr>
      <w:r w:rsidRPr="00CF551B">
        <w:rPr>
          <w:b w:val="0"/>
          <w:bCs/>
        </w:rPr>
        <w:tab/>
      </w:r>
      <w:r w:rsidRPr="00CF551B">
        <w:rPr>
          <w:b w:val="0"/>
          <w:bCs/>
        </w:rPr>
        <w:tab/>
      </w:r>
      <w:r w:rsidR="00CD692A" w:rsidRPr="00CF551B">
        <w:rPr>
          <w:b w:val="0"/>
          <w:bCs/>
        </w:rPr>
        <w:t>Cuadro 12</w:t>
      </w:r>
      <w:r w:rsidRPr="00CF551B">
        <w:rPr>
          <w:b w:val="0"/>
          <w:bCs/>
        </w:rPr>
        <w:br/>
      </w:r>
      <w:r w:rsidR="00CD692A" w:rsidRPr="00CD692A">
        <w:t>Efectos del Programa de Transferencia Social en Efectivo en el trabajo</w:t>
      </w:r>
      <w:r>
        <w:t xml:space="preserve"> </w:t>
      </w:r>
      <w:r w:rsidR="00CD692A" w:rsidRPr="00CD692A">
        <w:t>infantil</w:t>
      </w:r>
      <w:r>
        <w:br/>
      </w:r>
      <w:r w:rsidR="00CD692A" w:rsidRPr="00CF551B">
        <w:rPr>
          <w:b w:val="0"/>
          <w:bCs/>
          <w:sz w:val="16"/>
          <w:szCs w:val="16"/>
        </w:rPr>
        <w:t>(</w:t>
      </w:r>
      <w:r>
        <w:rPr>
          <w:b w:val="0"/>
          <w:bCs/>
          <w:sz w:val="16"/>
          <w:szCs w:val="16"/>
        </w:rPr>
        <w:t>E</w:t>
      </w:r>
      <w:r w:rsidR="00CD692A" w:rsidRPr="00CF551B">
        <w:rPr>
          <w:b w:val="0"/>
          <w:bCs/>
          <w:sz w:val="16"/>
          <w:szCs w:val="16"/>
        </w:rPr>
        <w:t>n porcentaje)</w:t>
      </w:r>
      <w:r w:rsidRPr="00CF551B">
        <w:rPr>
          <w:b w:val="0"/>
          <w:bCs/>
          <w:sz w:val="16"/>
          <w:szCs w:val="16"/>
        </w:rPr>
        <w:br/>
      </w:r>
      <w:r w:rsidR="00CD692A" w:rsidRPr="00CD692A">
        <w:t>Efectos generales del Programa de Transferencia Social en Efectivo en el trabajo infantil</w:t>
      </w:r>
    </w:p>
    <w:p w14:paraId="2C5EFF10" w14:textId="77777777" w:rsidR="00CD692A" w:rsidRPr="00CD692A" w:rsidRDefault="00CD692A" w:rsidP="00CD692A">
      <w:pPr>
        <w:pStyle w:val="SingleTxtG"/>
        <w:rPr>
          <w:b/>
          <w:lang w:val="en-GB"/>
        </w:rPr>
      </w:pPr>
      <w:r w:rsidRPr="00CD692A">
        <w:rPr>
          <w:noProof/>
        </w:rPr>
        <w:drawing>
          <wp:inline distT="0" distB="0" distL="0" distR="0" wp14:anchorId="611F23C9" wp14:editId="1FEC75F4">
            <wp:extent cx="5391150" cy="398346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418275" cy="4003504"/>
                    </a:xfrm>
                    <a:prstGeom prst="rect">
                      <a:avLst/>
                    </a:prstGeom>
                  </pic:spPr>
                </pic:pic>
              </a:graphicData>
            </a:graphic>
          </wp:inline>
        </w:drawing>
      </w:r>
    </w:p>
    <w:p w14:paraId="536BCC52" w14:textId="77777777" w:rsidR="00CD692A" w:rsidRPr="00CF551B" w:rsidRDefault="00CD692A" w:rsidP="00CF551B">
      <w:pPr>
        <w:pStyle w:val="SingleTxtG"/>
        <w:spacing w:before="120" w:after="240"/>
        <w:ind w:firstLine="170"/>
        <w:jc w:val="left"/>
        <w:rPr>
          <w:sz w:val="18"/>
          <w:szCs w:val="18"/>
        </w:rPr>
      </w:pPr>
      <w:r w:rsidRPr="00CF551B">
        <w:rPr>
          <w:i/>
          <w:iCs/>
          <w:sz w:val="18"/>
          <w:szCs w:val="18"/>
        </w:rPr>
        <w:t>Fuente:</w:t>
      </w:r>
      <w:r w:rsidRPr="00CF551B">
        <w:rPr>
          <w:sz w:val="18"/>
          <w:szCs w:val="18"/>
        </w:rPr>
        <w:t xml:space="preserve"> Informe Final del Programa de Transferencia Social en Efectivo de Malawi.</w:t>
      </w:r>
    </w:p>
    <w:p w14:paraId="7B808993" w14:textId="0EA9082B" w:rsidR="00CD692A" w:rsidRPr="00CD692A" w:rsidRDefault="00CF551B" w:rsidP="00CF551B">
      <w:pPr>
        <w:pStyle w:val="H23G"/>
      </w:pPr>
      <w:r w:rsidRPr="00CF551B">
        <w:rPr>
          <w:b w:val="0"/>
          <w:bCs/>
        </w:rPr>
        <w:tab/>
      </w:r>
      <w:r w:rsidRPr="00CF551B">
        <w:rPr>
          <w:b w:val="0"/>
          <w:bCs/>
        </w:rPr>
        <w:tab/>
      </w:r>
      <w:r w:rsidR="00CD692A" w:rsidRPr="00CF551B">
        <w:rPr>
          <w:b w:val="0"/>
          <w:bCs/>
        </w:rPr>
        <w:t>Cuadro 13</w:t>
      </w:r>
      <w:r w:rsidRPr="00CF551B">
        <w:rPr>
          <w:b w:val="0"/>
          <w:bCs/>
        </w:rPr>
        <w:br/>
      </w:r>
      <w:r w:rsidR="00CD692A" w:rsidRPr="00CD692A">
        <w:t>Cabezas de familia y beneficiarios del Programa de Transferencia Social en</w:t>
      </w:r>
      <w:r w:rsidR="00913329">
        <w:t> </w:t>
      </w:r>
      <w:r w:rsidR="00CD692A" w:rsidRPr="00CD692A">
        <w:t>Efectivo,</w:t>
      </w:r>
      <w:r w:rsidR="00913329">
        <w:t> </w:t>
      </w:r>
      <w:r w:rsidR="00CD692A" w:rsidRPr="00CD692A">
        <w:t xml:space="preserve">por género (julio de 2015) </w:t>
      </w:r>
      <w:r w:rsidR="00D24E4F" w:rsidRPr="00D24E4F">
        <w:rPr>
          <w:sz w:val="18"/>
        </w:rPr>
        <w:t>−</w:t>
      </w:r>
      <w:r w:rsidR="00CD692A" w:rsidRPr="00CD692A">
        <w:t xml:space="preserve"> Características de los hogares y</w:t>
      </w:r>
      <w:r w:rsidR="00913329">
        <w:t> </w:t>
      </w:r>
      <w:r w:rsidR="00CD692A" w:rsidRPr="00CD692A">
        <w:t>beneficiarios</w:t>
      </w:r>
      <w:r w:rsidR="00913329">
        <w:t> </w:t>
      </w:r>
      <w:r w:rsidR="00CD692A" w:rsidRPr="00CD692A">
        <w:t>de</w:t>
      </w:r>
      <w:r w:rsidR="00913329">
        <w:t> </w:t>
      </w:r>
      <w:r w:rsidR="00CD692A" w:rsidRPr="00CD692A">
        <w:t>las transferencias sociales en efectivo</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CD692A" w:rsidRPr="00CF551B" w14:paraId="224E74D3" w14:textId="77777777" w:rsidTr="00CF551B">
        <w:trPr>
          <w:trHeight w:val="240"/>
          <w:tblHeader/>
        </w:trPr>
        <w:tc>
          <w:tcPr>
            <w:tcW w:w="1474" w:type="dxa"/>
            <w:tcBorders>
              <w:top w:val="single" w:sz="4" w:space="0" w:color="auto"/>
              <w:bottom w:val="single" w:sz="12" w:space="0" w:color="auto"/>
            </w:tcBorders>
            <w:shd w:val="clear" w:color="auto" w:fill="auto"/>
            <w:vAlign w:val="bottom"/>
          </w:tcPr>
          <w:p w14:paraId="0D2AC471" w14:textId="77777777" w:rsidR="00CD692A" w:rsidRPr="00CF551B" w:rsidRDefault="00CD692A" w:rsidP="00CF551B">
            <w:pPr>
              <w:pStyle w:val="SingleTxtG"/>
              <w:tabs>
                <w:tab w:val="clear" w:pos="1701"/>
                <w:tab w:val="clear" w:pos="2268"/>
                <w:tab w:val="clear" w:pos="2835"/>
              </w:tabs>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14:paraId="3CBED63A" w14:textId="77777777" w:rsidR="00CD692A" w:rsidRPr="00CF551B" w:rsidRDefault="00CD692A" w:rsidP="00CF551B">
            <w:pPr>
              <w:pStyle w:val="SingleTxtG"/>
              <w:tabs>
                <w:tab w:val="clear" w:pos="1701"/>
                <w:tab w:val="clear" w:pos="2268"/>
                <w:tab w:val="clear" w:pos="2835"/>
              </w:tabs>
              <w:spacing w:before="80" w:after="80" w:line="200" w:lineRule="exact"/>
              <w:ind w:left="57" w:right="28"/>
              <w:jc w:val="right"/>
              <w:rPr>
                <w:i/>
                <w:sz w:val="16"/>
                <w:lang w:val="en-GB"/>
              </w:rPr>
            </w:pPr>
            <w:r w:rsidRPr="00CF551B">
              <w:rPr>
                <w:i/>
                <w:iCs/>
                <w:sz w:val="16"/>
              </w:rPr>
              <w:t>Beneficiarios</w:t>
            </w:r>
          </w:p>
        </w:tc>
        <w:tc>
          <w:tcPr>
            <w:tcW w:w="1474" w:type="dxa"/>
            <w:tcBorders>
              <w:top w:val="single" w:sz="4" w:space="0" w:color="auto"/>
              <w:bottom w:val="single" w:sz="12" w:space="0" w:color="auto"/>
            </w:tcBorders>
            <w:shd w:val="clear" w:color="auto" w:fill="auto"/>
            <w:vAlign w:val="bottom"/>
          </w:tcPr>
          <w:p w14:paraId="002D4B3D" w14:textId="77777777" w:rsidR="00CD692A" w:rsidRPr="00CF551B" w:rsidRDefault="00CD692A" w:rsidP="00CF551B">
            <w:pPr>
              <w:pStyle w:val="SingleTxtG"/>
              <w:tabs>
                <w:tab w:val="clear" w:pos="1701"/>
                <w:tab w:val="clear" w:pos="2268"/>
                <w:tab w:val="clear" w:pos="2835"/>
              </w:tabs>
              <w:spacing w:before="80" w:after="80" w:line="200" w:lineRule="exact"/>
              <w:ind w:left="57" w:right="28"/>
              <w:jc w:val="right"/>
              <w:rPr>
                <w:i/>
                <w:sz w:val="16"/>
                <w:lang w:val="en-GB"/>
              </w:rPr>
            </w:pPr>
            <w:r w:rsidRPr="00CF551B">
              <w:rPr>
                <w:i/>
                <w:iCs/>
                <w:sz w:val="16"/>
              </w:rPr>
              <w:t>Porcentaje</w:t>
            </w:r>
          </w:p>
        </w:tc>
        <w:tc>
          <w:tcPr>
            <w:tcW w:w="1474" w:type="dxa"/>
            <w:tcBorders>
              <w:top w:val="single" w:sz="4" w:space="0" w:color="auto"/>
              <w:bottom w:val="single" w:sz="12" w:space="0" w:color="auto"/>
            </w:tcBorders>
            <w:shd w:val="clear" w:color="auto" w:fill="auto"/>
            <w:vAlign w:val="bottom"/>
          </w:tcPr>
          <w:p w14:paraId="64AC004E" w14:textId="77777777" w:rsidR="00CD692A" w:rsidRPr="00CF551B" w:rsidRDefault="00CD692A" w:rsidP="00CF551B">
            <w:pPr>
              <w:pStyle w:val="SingleTxtG"/>
              <w:tabs>
                <w:tab w:val="clear" w:pos="1701"/>
                <w:tab w:val="clear" w:pos="2268"/>
                <w:tab w:val="clear" w:pos="2835"/>
              </w:tabs>
              <w:spacing w:before="80" w:after="80" w:line="200" w:lineRule="exact"/>
              <w:ind w:left="57" w:right="28"/>
              <w:jc w:val="right"/>
              <w:rPr>
                <w:i/>
                <w:sz w:val="16"/>
                <w:lang w:val="en-GB"/>
              </w:rPr>
            </w:pPr>
            <w:r w:rsidRPr="00CF551B">
              <w:rPr>
                <w:i/>
                <w:iCs/>
                <w:sz w:val="16"/>
              </w:rPr>
              <w:t>Cabezas de familia</w:t>
            </w:r>
          </w:p>
        </w:tc>
        <w:tc>
          <w:tcPr>
            <w:tcW w:w="1474" w:type="dxa"/>
            <w:tcBorders>
              <w:top w:val="single" w:sz="4" w:space="0" w:color="auto"/>
              <w:bottom w:val="single" w:sz="12" w:space="0" w:color="auto"/>
            </w:tcBorders>
            <w:shd w:val="clear" w:color="auto" w:fill="auto"/>
            <w:vAlign w:val="bottom"/>
          </w:tcPr>
          <w:p w14:paraId="3594A36E" w14:textId="77777777" w:rsidR="00CD692A" w:rsidRPr="00CF551B" w:rsidRDefault="00CD692A" w:rsidP="00CF551B">
            <w:pPr>
              <w:pStyle w:val="SingleTxtG"/>
              <w:tabs>
                <w:tab w:val="clear" w:pos="1701"/>
                <w:tab w:val="clear" w:pos="2268"/>
                <w:tab w:val="clear" w:pos="2835"/>
              </w:tabs>
              <w:spacing w:before="80" w:after="80" w:line="200" w:lineRule="exact"/>
              <w:ind w:left="57" w:right="28"/>
              <w:jc w:val="right"/>
              <w:rPr>
                <w:i/>
                <w:sz w:val="16"/>
                <w:lang w:val="en-GB"/>
              </w:rPr>
            </w:pPr>
            <w:r w:rsidRPr="00CF551B">
              <w:rPr>
                <w:i/>
                <w:iCs/>
                <w:sz w:val="16"/>
              </w:rPr>
              <w:t>Porcentaje</w:t>
            </w:r>
          </w:p>
        </w:tc>
      </w:tr>
      <w:tr w:rsidR="00CD692A" w:rsidRPr="00CF551B" w14:paraId="007626D8" w14:textId="77777777" w:rsidTr="00CF551B">
        <w:trPr>
          <w:trHeight w:val="240"/>
        </w:trPr>
        <w:tc>
          <w:tcPr>
            <w:tcW w:w="1474" w:type="dxa"/>
            <w:tcBorders>
              <w:top w:val="single" w:sz="12" w:space="0" w:color="auto"/>
            </w:tcBorders>
            <w:shd w:val="clear" w:color="auto" w:fill="auto"/>
          </w:tcPr>
          <w:p w14:paraId="36E48F88" w14:textId="440B693F"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lang w:val="en-GB"/>
              </w:rPr>
            </w:pPr>
            <w:r w:rsidRPr="00CF551B">
              <w:rPr>
                <w:sz w:val="18"/>
              </w:rPr>
              <w:t>Hombres</w:t>
            </w:r>
          </w:p>
        </w:tc>
        <w:tc>
          <w:tcPr>
            <w:tcW w:w="1474" w:type="dxa"/>
            <w:tcBorders>
              <w:top w:val="single" w:sz="12" w:space="0" w:color="auto"/>
            </w:tcBorders>
            <w:shd w:val="clear" w:color="auto" w:fill="auto"/>
            <w:vAlign w:val="bottom"/>
          </w:tcPr>
          <w:p w14:paraId="796315D1" w14:textId="39803C7C"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295</w:t>
            </w:r>
            <w:r w:rsidR="00CF551B">
              <w:rPr>
                <w:sz w:val="18"/>
              </w:rPr>
              <w:t xml:space="preserve"> </w:t>
            </w:r>
            <w:r w:rsidRPr="00CF551B">
              <w:rPr>
                <w:sz w:val="18"/>
              </w:rPr>
              <w:t>730</w:t>
            </w:r>
          </w:p>
        </w:tc>
        <w:tc>
          <w:tcPr>
            <w:tcW w:w="1474" w:type="dxa"/>
            <w:tcBorders>
              <w:top w:val="single" w:sz="12" w:space="0" w:color="auto"/>
            </w:tcBorders>
            <w:shd w:val="clear" w:color="auto" w:fill="auto"/>
            <w:vAlign w:val="bottom"/>
          </w:tcPr>
          <w:p w14:paraId="6948E2B7" w14:textId="77777777"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44,1</w:t>
            </w:r>
          </w:p>
        </w:tc>
        <w:tc>
          <w:tcPr>
            <w:tcW w:w="1474" w:type="dxa"/>
            <w:tcBorders>
              <w:top w:val="single" w:sz="12" w:space="0" w:color="auto"/>
            </w:tcBorders>
            <w:shd w:val="clear" w:color="auto" w:fill="auto"/>
            <w:vAlign w:val="bottom"/>
          </w:tcPr>
          <w:p w14:paraId="2C2E86FC" w14:textId="3556185B"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40</w:t>
            </w:r>
            <w:r w:rsidR="00CF551B">
              <w:rPr>
                <w:sz w:val="18"/>
              </w:rPr>
              <w:t xml:space="preserve"> </w:t>
            </w:r>
            <w:r w:rsidRPr="00CF551B">
              <w:rPr>
                <w:sz w:val="18"/>
              </w:rPr>
              <w:t>259</w:t>
            </w:r>
          </w:p>
        </w:tc>
        <w:tc>
          <w:tcPr>
            <w:tcW w:w="1474" w:type="dxa"/>
            <w:tcBorders>
              <w:top w:val="single" w:sz="12" w:space="0" w:color="auto"/>
            </w:tcBorders>
            <w:shd w:val="clear" w:color="auto" w:fill="auto"/>
            <w:vAlign w:val="bottom"/>
          </w:tcPr>
          <w:p w14:paraId="0FFD38BB" w14:textId="77777777"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26,6</w:t>
            </w:r>
          </w:p>
        </w:tc>
      </w:tr>
      <w:tr w:rsidR="00CD692A" w:rsidRPr="00CF551B" w14:paraId="56D7A6B2" w14:textId="77777777" w:rsidTr="00CF551B">
        <w:trPr>
          <w:trHeight w:val="240"/>
        </w:trPr>
        <w:tc>
          <w:tcPr>
            <w:tcW w:w="1474" w:type="dxa"/>
            <w:tcBorders>
              <w:bottom w:val="single" w:sz="12" w:space="0" w:color="auto"/>
            </w:tcBorders>
            <w:shd w:val="clear" w:color="auto" w:fill="auto"/>
          </w:tcPr>
          <w:p w14:paraId="4FBCD5D4" w14:textId="7825250D"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lang w:val="en-GB"/>
              </w:rPr>
            </w:pPr>
            <w:r w:rsidRPr="00CF551B">
              <w:rPr>
                <w:sz w:val="18"/>
              </w:rPr>
              <w:t>Mujeres</w:t>
            </w:r>
          </w:p>
        </w:tc>
        <w:tc>
          <w:tcPr>
            <w:tcW w:w="1474" w:type="dxa"/>
            <w:tcBorders>
              <w:bottom w:val="single" w:sz="12" w:space="0" w:color="auto"/>
            </w:tcBorders>
            <w:shd w:val="clear" w:color="auto" w:fill="auto"/>
            <w:vAlign w:val="bottom"/>
          </w:tcPr>
          <w:p w14:paraId="1A640A0C" w14:textId="354DBA96"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374</w:t>
            </w:r>
            <w:r w:rsidR="00CF551B">
              <w:rPr>
                <w:sz w:val="18"/>
              </w:rPr>
              <w:t xml:space="preserve"> </w:t>
            </w:r>
            <w:r w:rsidRPr="00CF551B">
              <w:rPr>
                <w:sz w:val="18"/>
              </w:rPr>
              <w:t>752</w:t>
            </w:r>
          </w:p>
        </w:tc>
        <w:tc>
          <w:tcPr>
            <w:tcW w:w="1474" w:type="dxa"/>
            <w:tcBorders>
              <w:bottom w:val="single" w:sz="12" w:space="0" w:color="auto"/>
            </w:tcBorders>
            <w:shd w:val="clear" w:color="auto" w:fill="auto"/>
            <w:vAlign w:val="bottom"/>
          </w:tcPr>
          <w:p w14:paraId="0AE2401C" w14:textId="77777777"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55,9</w:t>
            </w:r>
          </w:p>
        </w:tc>
        <w:tc>
          <w:tcPr>
            <w:tcW w:w="1474" w:type="dxa"/>
            <w:tcBorders>
              <w:bottom w:val="single" w:sz="12" w:space="0" w:color="auto"/>
            </w:tcBorders>
            <w:shd w:val="clear" w:color="auto" w:fill="auto"/>
            <w:vAlign w:val="bottom"/>
          </w:tcPr>
          <w:p w14:paraId="24C22C2B" w14:textId="3B02DEAB"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111</w:t>
            </w:r>
            <w:r w:rsidR="00CF551B">
              <w:rPr>
                <w:sz w:val="18"/>
              </w:rPr>
              <w:t xml:space="preserve"> </w:t>
            </w:r>
            <w:r w:rsidRPr="00CF551B">
              <w:rPr>
                <w:sz w:val="18"/>
              </w:rPr>
              <w:t>057</w:t>
            </w:r>
          </w:p>
        </w:tc>
        <w:tc>
          <w:tcPr>
            <w:tcW w:w="1474" w:type="dxa"/>
            <w:tcBorders>
              <w:bottom w:val="single" w:sz="12" w:space="0" w:color="auto"/>
            </w:tcBorders>
            <w:shd w:val="clear" w:color="auto" w:fill="auto"/>
            <w:vAlign w:val="bottom"/>
          </w:tcPr>
          <w:p w14:paraId="482537BA" w14:textId="77777777" w:rsidR="00CD692A" w:rsidRPr="00CF551B" w:rsidRDefault="00CD692A" w:rsidP="00CF551B">
            <w:pPr>
              <w:pStyle w:val="SingleTxtG"/>
              <w:tabs>
                <w:tab w:val="clear" w:pos="1701"/>
                <w:tab w:val="clear" w:pos="2268"/>
                <w:tab w:val="clear" w:pos="2835"/>
              </w:tabs>
              <w:spacing w:before="40" w:after="40" w:line="220" w:lineRule="exact"/>
              <w:ind w:left="57" w:right="28"/>
              <w:jc w:val="right"/>
              <w:rPr>
                <w:sz w:val="18"/>
                <w:lang w:val="en-GB"/>
              </w:rPr>
            </w:pPr>
            <w:r w:rsidRPr="00CF551B">
              <w:rPr>
                <w:sz w:val="18"/>
              </w:rPr>
              <w:t>73,4</w:t>
            </w:r>
          </w:p>
        </w:tc>
      </w:tr>
    </w:tbl>
    <w:p w14:paraId="2A22E97C" w14:textId="77777777" w:rsidR="00CD692A" w:rsidRPr="00CF551B" w:rsidRDefault="00CD692A" w:rsidP="00CF551B">
      <w:pPr>
        <w:pStyle w:val="SingleTxtG"/>
        <w:spacing w:before="120" w:after="240"/>
        <w:ind w:firstLine="170"/>
        <w:jc w:val="left"/>
        <w:rPr>
          <w:sz w:val="18"/>
          <w:szCs w:val="18"/>
        </w:rPr>
      </w:pPr>
      <w:r w:rsidRPr="00CF551B">
        <w:rPr>
          <w:i/>
          <w:iCs/>
          <w:sz w:val="18"/>
          <w:szCs w:val="18"/>
        </w:rPr>
        <w:t>Fuente:</w:t>
      </w:r>
      <w:r w:rsidRPr="00CF551B">
        <w:rPr>
          <w:sz w:val="18"/>
          <w:szCs w:val="18"/>
        </w:rPr>
        <w:t xml:space="preserve"> Ministerio de Género, Infancia, Discapacidad y Bienestar Social, 2015.</w:t>
      </w:r>
    </w:p>
    <w:p w14:paraId="5053748B" w14:textId="0BBC26C6" w:rsidR="00CD692A" w:rsidRPr="00CD692A" w:rsidRDefault="00CF551B" w:rsidP="00CF551B">
      <w:pPr>
        <w:pStyle w:val="H23G"/>
      </w:pPr>
      <w:r w:rsidRPr="00CF551B">
        <w:rPr>
          <w:b w:val="0"/>
          <w:bCs/>
        </w:rPr>
        <w:lastRenderedPageBreak/>
        <w:tab/>
      </w:r>
      <w:r w:rsidRPr="00CF551B">
        <w:rPr>
          <w:b w:val="0"/>
          <w:bCs/>
        </w:rPr>
        <w:tab/>
      </w:r>
      <w:r w:rsidR="00CD692A" w:rsidRPr="00CF551B">
        <w:rPr>
          <w:b w:val="0"/>
          <w:bCs/>
        </w:rPr>
        <w:t>Cuadro 14</w:t>
      </w:r>
      <w:r w:rsidRPr="00CF551B">
        <w:rPr>
          <w:b w:val="0"/>
          <w:bCs/>
        </w:rPr>
        <w:br/>
      </w:r>
      <w:r w:rsidR="00CD692A" w:rsidRPr="00CD692A">
        <w:t>Tipo de hogares del Programa de Transferencia Social en Efectivo según el cabeza de</w:t>
      </w:r>
      <w:r>
        <w:t> </w:t>
      </w:r>
      <w:r w:rsidR="00CD692A" w:rsidRPr="00CD692A">
        <w:t xml:space="preserve">familia (julio de 2015) </w:t>
      </w:r>
      <w:r w:rsidR="00D24E4F" w:rsidRPr="00D24E4F">
        <w:rPr>
          <w:sz w:val="18"/>
        </w:rPr>
        <w:t>−</w:t>
      </w:r>
      <w:r w:rsidR="00CD692A" w:rsidRPr="00CD692A">
        <w:t xml:space="preserve"> Características de los hogares y beneficiarios de la transferencia social en efectivo</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820"/>
        <w:gridCol w:w="2550"/>
      </w:tblGrid>
      <w:tr w:rsidR="00CD692A" w:rsidRPr="00CF551B" w14:paraId="54309A3C" w14:textId="77777777" w:rsidTr="00CF551B">
        <w:trPr>
          <w:trHeight w:val="240"/>
          <w:tblHeader/>
        </w:trPr>
        <w:tc>
          <w:tcPr>
            <w:tcW w:w="4820" w:type="dxa"/>
            <w:tcBorders>
              <w:top w:val="single" w:sz="4" w:space="0" w:color="auto"/>
              <w:bottom w:val="single" w:sz="12" w:space="0" w:color="auto"/>
            </w:tcBorders>
            <w:shd w:val="clear" w:color="auto" w:fill="auto"/>
            <w:vAlign w:val="bottom"/>
          </w:tcPr>
          <w:p w14:paraId="2CAAE2E5" w14:textId="77777777" w:rsidR="00CD692A" w:rsidRPr="00CF551B" w:rsidRDefault="00CD692A" w:rsidP="00CF551B">
            <w:pPr>
              <w:pStyle w:val="SingleTxtG"/>
              <w:tabs>
                <w:tab w:val="clear" w:pos="1701"/>
                <w:tab w:val="clear" w:pos="2268"/>
                <w:tab w:val="clear" w:pos="2835"/>
              </w:tabs>
              <w:spacing w:before="80" w:after="80" w:line="200" w:lineRule="exact"/>
              <w:ind w:left="0" w:right="0"/>
              <w:jc w:val="left"/>
              <w:rPr>
                <w:i/>
                <w:sz w:val="16"/>
              </w:rPr>
            </w:pPr>
          </w:p>
        </w:tc>
        <w:tc>
          <w:tcPr>
            <w:tcW w:w="2550" w:type="dxa"/>
            <w:tcBorders>
              <w:top w:val="single" w:sz="4" w:space="0" w:color="auto"/>
              <w:bottom w:val="single" w:sz="12" w:space="0" w:color="auto"/>
            </w:tcBorders>
            <w:shd w:val="clear" w:color="auto" w:fill="auto"/>
            <w:vAlign w:val="bottom"/>
          </w:tcPr>
          <w:p w14:paraId="32CF4256" w14:textId="77777777" w:rsidR="00CD692A" w:rsidRPr="00CF551B" w:rsidRDefault="00CD692A" w:rsidP="00CF551B">
            <w:pPr>
              <w:pStyle w:val="SingleTxtG"/>
              <w:tabs>
                <w:tab w:val="clear" w:pos="1701"/>
                <w:tab w:val="clear" w:pos="2268"/>
                <w:tab w:val="clear" w:pos="2835"/>
              </w:tabs>
              <w:spacing w:before="80" w:after="80" w:line="200" w:lineRule="exact"/>
              <w:ind w:left="113" w:right="28"/>
              <w:jc w:val="right"/>
              <w:rPr>
                <w:i/>
                <w:sz w:val="16"/>
                <w:lang w:val="en-GB"/>
              </w:rPr>
            </w:pPr>
            <w:r w:rsidRPr="00CF551B">
              <w:rPr>
                <w:i/>
                <w:iCs/>
                <w:sz w:val="16"/>
              </w:rPr>
              <w:t>Número</w:t>
            </w:r>
          </w:p>
        </w:tc>
      </w:tr>
      <w:tr w:rsidR="00CD692A" w:rsidRPr="00CF551B" w14:paraId="76B398F1" w14:textId="77777777" w:rsidTr="00CF551B">
        <w:trPr>
          <w:trHeight w:val="240"/>
        </w:trPr>
        <w:tc>
          <w:tcPr>
            <w:tcW w:w="4820" w:type="dxa"/>
            <w:tcBorders>
              <w:top w:val="single" w:sz="12" w:space="0" w:color="auto"/>
            </w:tcBorders>
            <w:shd w:val="clear" w:color="auto" w:fill="auto"/>
          </w:tcPr>
          <w:p w14:paraId="6799C417" w14:textId="3AAD69B9"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lang w:val="en-GB"/>
              </w:rPr>
            </w:pPr>
            <w:r w:rsidRPr="00CF551B">
              <w:rPr>
                <w:sz w:val="18"/>
              </w:rPr>
              <w:t>Hogares encabezados por niños</w:t>
            </w:r>
          </w:p>
        </w:tc>
        <w:tc>
          <w:tcPr>
            <w:tcW w:w="2550" w:type="dxa"/>
            <w:tcBorders>
              <w:top w:val="single" w:sz="12" w:space="0" w:color="auto"/>
            </w:tcBorders>
            <w:shd w:val="clear" w:color="auto" w:fill="auto"/>
            <w:vAlign w:val="bottom"/>
          </w:tcPr>
          <w:p w14:paraId="11048D76" w14:textId="199BCBFF" w:rsidR="00CD692A" w:rsidRPr="00CF551B"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CF551B">
              <w:rPr>
                <w:sz w:val="18"/>
              </w:rPr>
              <w:t>1</w:t>
            </w:r>
            <w:r w:rsidR="00CF551B">
              <w:rPr>
                <w:sz w:val="18"/>
              </w:rPr>
              <w:t xml:space="preserve"> </w:t>
            </w:r>
            <w:r w:rsidRPr="00CF551B">
              <w:rPr>
                <w:sz w:val="18"/>
              </w:rPr>
              <w:t>371</w:t>
            </w:r>
          </w:p>
        </w:tc>
      </w:tr>
      <w:tr w:rsidR="00CD692A" w:rsidRPr="00CF551B" w14:paraId="390FBD93" w14:textId="77777777" w:rsidTr="00CF551B">
        <w:trPr>
          <w:trHeight w:val="240"/>
        </w:trPr>
        <w:tc>
          <w:tcPr>
            <w:tcW w:w="4820" w:type="dxa"/>
            <w:shd w:val="clear" w:color="auto" w:fill="auto"/>
          </w:tcPr>
          <w:p w14:paraId="62FF54C7" w14:textId="3CDE63F4"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rPr>
            </w:pPr>
            <w:r w:rsidRPr="00CF551B">
              <w:rPr>
                <w:sz w:val="18"/>
              </w:rPr>
              <w:t>Hogares encabezados por personas mayores</w:t>
            </w:r>
          </w:p>
        </w:tc>
        <w:tc>
          <w:tcPr>
            <w:tcW w:w="2550" w:type="dxa"/>
            <w:shd w:val="clear" w:color="auto" w:fill="auto"/>
            <w:vAlign w:val="bottom"/>
          </w:tcPr>
          <w:p w14:paraId="7864409D" w14:textId="2263595A" w:rsidR="00CD692A" w:rsidRPr="00CF551B"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CF551B">
              <w:rPr>
                <w:sz w:val="18"/>
              </w:rPr>
              <w:t>76</w:t>
            </w:r>
            <w:r w:rsidR="00CF551B">
              <w:rPr>
                <w:sz w:val="18"/>
              </w:rPr>
              <w:t xml:space="preserve"> </w:t>
            </w:r>
            <w:r w:rsidRPr="00CF551B">
              <w:rPr>
                <w:sz w:val="18"/>
              </w:rPr>
              <w:t>343</w:t>
            </w:r>
          </w:p>
        </w:tc>
      </w:tr>
      <w:tr w:rsidR="00CD692A" w:rsidRPr="00CF551B" w14:paraId="0D83316B" w14:textId="77777777" w:rsidTr="00CF551B">
        <w:trPr>
          <w:trHeight w:val="240"/>
        </w:trPr>
        <w:tc>
          <w:tcPr>
            <w:tcW w:w="4820" w:type="dxa"/>
            <w:shd w:val="clear" w:color="auto" w:fill="auto"/>
          </w:tcPr>
          <w:p w14:paraId="2BE871AB" w14:textId="21225332"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rPr>
            </w:pPr>
            <w:r w:rsidRPr="00CF551B">
              <w:rPr>
                <w:sz w:val="18"/>
              </w:rPr>
              <w:t>Hogares encabezados por personas con discapacidad</w:t>
            </w:r>
          </w:p>
        </w:tc>
        <w:tc>
          <w:tcPr>
            <w:tcW w:w="2550" w:type="dxa"/>
            <w:shd w:val="clear" w:color="auto" w:fill="auto"/>
            <w:vAlign w:val="bottom"/>
          </w:tcPr>
          <w:p w14:paraId="0F5D689E" w14:textId="22C1F0D9" w:rsidR="00CD692A" w:rsidRPr="00CF551B"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CF551B">
              <w:rPr>
                <w:sz w:val="18"/>
              </w:rPr>
              <w:t>42</w:t>
            </w:r>
            <w:r w:rsidR="00CF551B">
              <w:rPr>
                <w:sz w:val="18"/>
              </w:rPr>
              <w:t xml:space="preserve"> </w:t>
            </w:r>
            <w:r w:rsidRPr="00CF551B">
              <w:rPr>
                <w:sz w:val="18"/>
              </w:rPr>
              <w:t>564</w:t>
            </w:r>
          </w:p>
        </w:tc>
      </w:tr>
      <w:tr w:rsidR="00CD692A" w:rsidRPr="00CF551B" w14:paraId="3A47BF2B" w14:textId="77777777" w:rsidTr="00CF551B">
        <w:trPr>
          <w:trHeight w:val="240"/>
        </w:trPr>
        <w:tc>
          <w:tcPr>
            <w:tcW w:w="4820" w:type="dxa"/>
            <w:tcBorders>
              <w:bottom w:val="single" w:sz="12" w:space="0" w:color="auto"/>
            </w:tcBorders>
            <w:shd w:val="clear" w:color="auto" w:fill="auto"/>
          </w:tcPr>
          <w:p w14:paraId="7D0B9C4D" w14:textId="690287D8" w:rsidR="00CD692A" w:rsidRPr="00CF551B" w:rsidRDefault="00CD692A" w:rsidP="00CF551B">
            <w:pPr>
              <w:pStyle w:val="SingleTxtG"/>
              <w:tabs>
                <w:tab w:val="clear" w:pos="1701"/>
                <w:tab w:val="clear" w:pos="2268"/>
                <w:tab w:val="clear" w:pos="2835"/>
              </w:tabs>
              <w:spacing w:before="40" w:after="40" w:line="220" w:lineRule="exact"/>
              <w:ind w:left="0" w:right="0"/>
              <w:jc w:val="left"/>
              <w:rPr>
                <w:sz w:val="18"/>
              </w:rPr>
            </w:pPr>
            <w:r w:rsidRPr="00CF551B">
              <w:rPr>
                <w:sz w:val="18"/>
              </w:rPr>
              <w:t>Hogares encabezados por personas con enfermedades crónicas</w:t>
            </w:r>
          </w:p>
        </w:tc>
        <w:tc>
          <w:tcPr>
            <w:tcW w:w="2550" w:type="dxa"/>
            <w:tcBorders>
              <w:bottom w:val="single" w:sz="12" w:space="0" w:color="auto"/>
            </w:tcBorders>
            <w:shd w:val="clear" w:color="auto" w:fill="auto"/>
            <w:vAlign w:val="bottom"/>
          </w:tcPr>
          <w:p w14:paraId="41782C49" w14:textId="398D8D66" w:rsidR="00CD692A" w:rsidRPr="00CF551B" w:rsidRDefault="00CD692A" w:rsidP="00CF551B">
            <w:pPr>
              <w:pStyle w:val="SingleTxtG"/>
              <w:tabs>
                <w:tab w:val="clear" w:pos="1701"/>
                <w:tab w:val="clear" w:pos="2268"/>
                <w:tab w:val="clear" w:pos="2835"/>
              </w:tabs>
              <w:spacing w:before="40" w:after="40" w:line="220" w:lineRule="exact"/>
              <w:ind w:left="113" w:right="28"/>
              <w:jc w:val="right"/>
              <w:rPr>
                <w:sz w:val="18"/>
                <w:lang w:val="en-GB"/>
              </w:rPr>
            </w:pPr>
            <w:r w:rsidRPr="00CF551B">
              <w:rPr>
                <w:sz w:val="18"/>
              </w:rPr>
              <w:t>88</w:t>
            </w:r>
            <w:r w:rsidR="00CF551B">
              <w:rPr>
                <w:sz w:val="18"/>
              </w:rPr>
              <w:t xml:space="preserve"> </w:t>
            </w:r>
            <w:r w:rsidRPr="00CF551B">
              <w:rPr>
                <w:sz w:val="18"/>
              </w:rPr>
              <w:t>459</w:t>
            </w:r>
          </w:p>
        </w:tc>
      </w:tr>
    </w:tbl>
    <w:p w14:paraId="6D7D9582" w14:textId="77777777" w:rsidR="00CD692A" w:rsidRPr="00CF551B" w:rsidRDefault="00CD692A" w:rsidP="00CF551B">
      <w:pPr>
        <w:pStyle w:val="SingleTxtG"/>
        <w:spacing w:before="120" w:after="240"/>
        <w:ind w:firstLine="170"/>
        <w:jc w:val="left"/>
        <w:rPr>
          <w:sz w:val="18"/>
          <w:szCs w:val="18"/>
        </w:rPr>
      </w:pPr>
      <w:bookmarkStart w:id="33" w:name="_Hlk41563864"/>
      <w:r w:rsidRPr="00CF551B">
        <w:rPr>
          <w:i/>
          <w:iCs/>
          <w:sz w:val="18"/>
          <w:szCs w:val="18"/>
        </w:rPr>
        <w:t>Fuente:</w:t>
      </w:r>
      <w:r w:rsidRPr="00CF551B">
        <w:rPr>
          <w:sz w:val="18"/>
          <w:szCs w:val="18"/>
        </w:rPr>
        <w:t xml:space="preserve"> Ministerio de Género, Infancia, Discapacidad y Bienestar Social, 2015.</w:t>
      </w:r>
    </w:p>
    <w:p w14:paraId="05DD819C" w14:textId="407AC69C" w:rsidR="00CD692A" w:rsidRPr="00CD692A" w:rsidRDefault="000F65EF" w:rsidP="000F65EF">
      <w:pPr>
        <w:pStyle w:val="H23G"/>
      </w:pPr>
      <w:r>
        <w:tab/>
      </w:r>
      <w:r>
        <w:tab/>
      </w:r>
      <w:r w:rsidR="00CD692A" w:rsidRPr="00CD692A">
        <w:t>Programa de Subsidios para Insumos Agrícolas (denominado posteriormente Programa de Insumos Asequibles)</w:t>
      </w:r>
    </w:p>
    <w:p w14:paraId="1DC1E802" w14:textId="77777777" w:rsidR="00CD692A" w:rsidRPr="00CD692A" w:rsidRDefault="00CD692A" w:rsidP="00CD692A">
      <w:pPr>
        <w:pStyle w:val="SingleTxtG"/>
        <w:rPr>
          <w:bCs/>
        </w:rPr>
      </w:pPr>
      <w:bookmarkStart w:id="34" w:name="_Hlk43361197"/>
      <w:bookmarkEnd w:id="33"/>
      <w:r w:rsidRPr="00CD692A">
        <w:t>69.</w:t>
      </w:r>
      <w:r w:rsidRPr="00CD692A">
        <w:tab/>
        <w:t>Se trata de un programa de protección social destinado a mejorar la seguridad alimentaria y los ingresos de los pequeños agricultores facilitando su acceso a insumos agrícolas mejorados. El programa, que comenzó en 2005, está apoyado principalmente por el Gobierno de Malawi, con alguna ayuda de los asociados internacionales para el desarrollo. Su costo corriente se estima en 221 millones de dólares de los Estados Unidos. El programa se dirige a los agricultores malawianos de escasos recursos que residen en una aldea y poseen una parcela. Sus beneficiarios específicos son los hogares con pocos recursos encabezados por: personas mayores; personas seropositivas para el VIH, con prueba de su condición; mujeres; niños; huérfanos; y personas con discapacidades físicas. El programa lo ejecuta el Ministerio de Agricultura, conjuntamente con el Ministerio de Administración Local, por conducto de las Asambleas de Distrito.</w:t>
      </w:r>
      <w:bookmarkStart w:id="35" w:name="_Hlk41564149"/>
      <w:bookmarkEnd w:id="35"/>
      <w:bookmarkEnd w:id="34"/>
    </w:p>
    <w:p w14:paraId="32EE6041" w14:textId="10F9890A" w:rsidR="00CD692A" w:rsidRPr="00CD692A" w:rsidRDefault="00CD692A" w:rsidP="00CD692A">
      <w:pPr>
        <w:pStyle w:val="SingleTxtG"/>
        <w:rPr>
          <w:bCs/>
        </w:rPr>
      </w:pPr>
      <w:r w:rsidRPr="00CD692A">
        <w:t>70.</w:t>
      </w:r>
      <w:r w:rsidRPr="00CD692A">
        <w:tab/>
        <w:t>En el ejercicio económico 2018/19, los beneficiarios del Programa de Subsidios para Insumos Agrícolas fueron pequeños agricultores malawianos de escasos recursos y en régimen laboral a tiempo completo de todas las categorías de género. En los distritos de Dowa, Rumphi, Salima y Mwanza, solo se beneficiaron los pequeños agricultores productivos. El paquete de subsidios para fertilizantes benefició a 1.000.000 de agricultores. Además, estos agricultores también se beneficiaron de subsidios para la compra de semillas híbridas o de polinización abierta de maíz, sorgo mejorado o arroz, según la elección del agricultor, y de semillas de leguminosas.</w:t>
      </w:r>
    </w:p>
    <w:p w14:paraId="7DEF7B0C" w14:textId="7DBF0BBF" w:rsidR="00CD692A" w:rsidRPr="00CD692A" w:rsidRDefault="00CD692A" w:rsidP="00CD692A">
      <w:pPr>
        <w:pStyle w:val="SingleTxtG"/>
        <w:rPr>
          <w:bCs/>
        </w:rPr>
      </w:pPr>
      <w:r w:rsidRPr="00CD692A">
        <w:t>71.</w:t>
      </w:r>
      <w:r w:rsidRPr="00CD692A">
        <w:tab/>
        <w:t>En el ejercicio económico 2018/19 se subsidiaron, en total, 100.000 toneladas métricas de fertilizante para maíz (50.000 toneladas métricas de NPK (nitrógeno, fósforo y potasio) y 50.000 toneladas métricas de urea). Además de los fertilizantes, el Gobierno también subsidió un máximo de 5.000 toneladas métricas de semillas de maíz mejoradas, 90</w:t>
      </w:r>
      <w:r w:rsidR="00AA5600">
        <w:t> </w:t>
      </w:r>
      <w:r w:rsidRPr="00CD692A">
        <w:t>toneladas métricas de semillas de sorgo mejoradas, 90 toneladas métricas de semillas de arroz 2 y un máximo de 2.000 toneladas métricas de leguminosas (cacahuetes, frijoles, soja y guandúes).</w:t>
      </w:r>
    </w:p>
    <w:p w14:paraId="6750689A" w14:textId="474931F7" w:rsidR="00CD692A" w:rsidRPr="00CD692A" w:rsidRDefault="00CD692A" w:rsidP="00CD692A">
      <w:pPr>
        <w:pStyle w:val="SingleTxtG"/>
        <w:rPr>
          <w:bCs/>
        </w:rPr>
      </w:pPr>
      <w:r w:rsidRPr="00CD692A">
        <w:t>72.</w:t>
      </w:r>
      <w:r w:rsidRPr="00CD692A">
        <w:tab/>
        <w:t>El Gobierno también subsidió el precio del saco de fertilizante de urea (50 k</w:t>
      </w:r>
      <w:r w:rsidR="00AA5600">
        <w:t>g</w:t>
      </w:r>
      <w:r w:rsidRPr="00CD692A">
        <w:t>). El valor fijo de cada cupón de fertilizante se estableció en 15.000 kwacha (aproximadamente 20</w:t>
      </w:r>
      <w:r w:rsidR="00AA5600">
        <w:t> </w:t>
      </w:r>
      <w:r w:rsidRPr="00CD692A">
        <w:t xml:space="preserve">dólares de los Estados Unidos). El beneficiario debe pagar la diferencia entre el valor del cupón y el precio de mercado de un saco de fertilizante de 50 </w:t>
      </w:r>
      <w:r w:rsidR="00AA5600">
        <w:t>kg</w:t>
      </w:r>
      <w:r w:rsidRPr="00CD692A">
        <w:t>.</w:t>
      </w:r>
    </w:p>
    <w:p w14:paraId="12C9D5DB" w14:textId="77777777" w:rsidR="00CD692A" w:rsidRPr="00CD692A" w:rsidRDefault="00CD692A" w:rsidP="00CD692A">
      <w:pPr>
        <w:pStyle w:val="SingleTxtG"/>
        <w:rPr>
          <w:bCs/>
        </w:rPr>
      </w:pPr>
      <w:r w:rsidRPr="00CD692A">
        <w:t>73.</w:t>
      </w:r>
      <w:r w:rsidRPr="00CD692A">
        <w:tab/>
        <w:t>Los tipos de semillas incluidos en el Programa de Subsidios para Insumos Agrícolas son los siguientes:</w:t>
      </w:r>
    </w:p>
    <w:p w14:paraId="641DFA57" w14:textId="412230C1" w:rsidR="00CD692A" w:rsidRPr="00CD692A" w:rsidRDefault="000F65EF" w:rsidP="00CD692A">
      <w:pPr>
        <w:pStyle w:val="SingleTxtG"/>
        <w:rPr>
          <w:bCs/>
        </w:rPr>
      </w:pPr>
      <w:r>
        <w:tab/>
      </w:r>
      <w:r w:rsidR="00CD692A" w:rsidRPr="00CD692A">
        <w:t>a)</w:t>
      </w:r>
      <w:r w:rsidR="00CD692A" w:rsidRPr="00CD692A">
        <w:tab/>
        <w:t>Semillas de maíz de variedades de polinización abierta;</w:t>
      </w:r>
    </w:p>
    <w:p w14:paraId="6D19B5E4" w14:textId="57B52D09" w:rsidR="00CD692A" w:rsidRPr="00CD692A" w:rsidRDefault="000F65EF" w:rsidP="00CD692A">
      <w:pPr>
        <w:pStyle w:val="SingleTxtG"/>
        <w:rPr>
          <w:bCs/>
        </w:rPr>
      </w:pPr>
      <w:r>
        <w:tab/>
      </w:r>
      <w:r w:rsidR="00CD692A" w:rsidRPr="00CD692A">
        <w:t>b)</w:t>
      </w:r>
      <w:r w:rsidR="00CD692A" w:rsidRPr="00CD692A">
        <w:tab/>
        <w:t>Semillas de maíz híbridas;</w:t>
      </w:r>
    </w:p>
    <w:p w14:paraId="0E63E750" w14:textId="5C8D92B3" w:rsidR="00CD692A" w:rsidRPr="00CD692A" w:rsidRDefault="000F65EF" w:rsidP="00CD692A">
      <w:pPr>
        <w:pStyle w:val="SingleTxtG"/>
        <w:rPr>
          <w:bCs/>
        </w:rPr>
      </w:pPr>
      <w:r>
        <w:tab/>
      </w:r>
      <w:r w:rsidR="00CD692A" w:rsidRPr="00CD692A">
        <w:t>c)</w:t>
      </w:r>
      <w:r w:rsidR="00CD692A" w:rsidRPr="00CD692A">
        <w:tab/>
        <w:t>Semillas de sorgo mejoradas;</w:t>
      </w:r>
    </w:p>
    <w:p w14:paraId="29ADA8BA" w14:textId="3E41D477" w:rsidR="00CD692A" w:rsidRPr="00CD692A" w:rsidRDefault="000F65EF" w:rsidP="00CD692A">
      <w:pPr>
        <w:pStyle w:val="SingleTxtG"/>
        <w:rPr>
          <w:bCs/>
        </w:rPr>
      </w:pPr>
      <w:r>
        <w:tab/>
      </w:r>
      <w:r w:rsidR="00CD692A" w:rsidRPr="00CD692A">
        <w:t>d)</w:t>
      </w:r>
      <w:r w:rsidR="00CD692A" w:rsidRPr="00CD692A">
        <w:tab/>
        <w:t>Semillas de arroz mejoradas;</w:t>
      </w:r>
    </w:p>
    <w:p w14:paraId="062EB80C" w14:textId="7E80A13C" w:rsidR="00CD692A" w:rsidRPr="00CD692A" w:rsidRDefault="000F65EF" w:rsidP="00CD692A">
      <w:pPr>
        <w:pStyle w:val="SingleTxtG"/>
        <w:rPr>
          <w:bCs/>
        </w:rPr>
      </w:pPr>
      <w:r>
        <w:tab/>
      </w:r>
      <w:r w:rsidR="00CD692A" w:rsidRPr="00CD692A">
        <w:t>e)</w:t>
      </w:r>
      <w:r w:rsidR="00CD692A" w:rsidRPr="00CD692A">
        <w:tab/>
        <w:t>Semilla de frijol;</w:t>
      </w:r>
    </w:p>
    <w:p w14:paraId="49575AFB" w14:textId="27B669FE" w:rsidR="00CD692A" w:rsidRPr="00CD692A" w:rsidRDefault="000F65EF" w:rsidP="00CD692A">
      <w:pPr>
        <w:pStyle w:val="SingleTxtG"/>
        <w:rPr>
          <w:bCs/>
        </w:rPr>
      </w:pPr>
      <w:r>
        <w:tab/>
      </w:r>
      <w:r w:rsidR="00CD692A" w:rsidRPr="00CD692A">
        <w:t>f)</w:t>
      </w:r>
      <w:r w:rsidR="00CD692A" w:rsidRPr="00CD692A">
        <w:tab/>
        <w:t>Semillas de cacahuete;</w:t>
      </w:r>
    </w:p>
    <w:p w14:paraId="374A38FC" w14:textId="1C0CFE08" w:rsidR="00CD692A" w:rsidRPr="00CD692A" w:rsidRDefault="000F65EF" w:rsidP="00CD692A">
      <w:pPr>
        <w:pStyle w:val="SingleTxtG"/>
        <w:rPr>
          <w:bCs/>
        </w:rPr>
      </w:pPr>
      <w:r>
        <w:lastRenderedPageBreak/>
        <w:tab/>
      </w:r>
      <w:r w:rsidR="00CD692A" w:rsidRPr="00CD692A">
        <w:t>g)</w:t>
      </w:r>
      <w:r w:rsidR="00CD692A" w:rsidRPr="00CD692A">
        <w:tab/>
        <w:t>Semillas de soja;</w:t>
      </w:r>
    </w:p>
    <w:p w14:paraId="3578E14E" w14:textId="397A3AB2" w:rsidR="00CD692A" w:rsidRPr="00CD692A" w:rsidRDefault="000F65EF" w:rsidP="00CD692A">
      <w:pPr>
        <w:pStyle w:val="SingleTxtG"/>
        <w:rPr>
          <w:bCs/>
        </w:rPr>
      </w:pPr>
      <w:r>
        <w:tab/>
      </w:r>
      <w:r w:rsidR="00CD692A" w:rsidRPr="00CD692A">
        <w:t>h)</w:t>
      </w:r>
      <w:r w:rsidR="00CD692A" w:rsidRPr="00CD692A">
        <w:tab/>
        <w:t xml:space="preserve">Semillas de guandú; y </w:t>
      </w:r>
    </w:p>
    <w:p w14:paraId="79684B4B" w14:textId="212A8493" w:rsidR="00CD692A" w:rsidRPr="00CD692A" w:rsidRDefault="000F65EF" w:rsidP="00CD692A">
      <w:pPr>
        <w:pStyle w:val="SingleTxtG"/>
        <w:rPr>
          <w:bCs/>
        </w:rPr>
      </w:pPr>
      <w:r>
        <w:tab/>
      </w:r>
      <w:r w:rsidR="00CD692A" w:rsidRPr="00CD692A">
        <w:t>i)</w:t>
      </w:r>
      <w:r w:rsidR="00CD692A" w:rsidRPr="00CD692A">
        <w:tab/>
        <w:t>Semillas de frijol de ojo negro.</w:t>
      </w:r>
    </w:p>
    <w:p w14:paraId="311D73E8" w14:textId="558D3C9C" w:rsidR="00CD692A" w:rsidRPr="00CD692A" w:rsidRDefault="00CD692A" w:rsidP="00CD692A">
      <w:pPr>
        <w:pStyle w:val="SingleTxtG"/>
        <w:rPr>
          <w:bCs/>
        </w:rPr>
      </w:pPr>
      <w:r w:rsidRPr="00CD692A">
        <w:t>74.</w:t>
      </w:r>
      <w:r w:rsidRPr="00CD692A">
        <w:tab/>
        <w:t>En la temporada 2018/19, cada beneficiario tenía derecho a un cupón para la compra de semillas mejoradas de maíz híbridas o de variedades de polinización abierta embaladas en paquetes de 5 kg o en paquetes de 7 kg para las semillas mejoradas de sorgo o de arroz. Además de las semillas de cereales mejoradas, los beneficiarios recibieron cupones para la compra de semillas de leguminosas (frijoles, cacahuetes, soja, frijoles de ojo negro y guandúes). Los frijoles y los cacahuetes se embalaban en paquetes de 1 kg, mientras que la soja, los guandúes y los frijoles de ojo negro se embalaban en paquetes de 2 kg. El cupón para la compra de semillas se fijó en un valor de 6.000 kwacha (aproximadamente 8 dólares de los Estados Unidos) por paquete de cereales y 2.050 kwacha (aproximadamente 2,73</w:t>
      </w:r>
      <w:r w:rsidR="00AA5600">
        <w:t> </w:t>
      </w:r>
      <w:r w:rsidRPr="00CD692A">
        <w:t>dólares de los Estados Unidos) por paquete de leguminosas. Al igual que en el caso de los fertilizantes, los agricultores deben pagar la diferencia entre el valor de mercado del paquete y el valor del cupón.</w:t>
      </w:r>
    </w:p>
    <w:p w14:paraId="51F46844" w14:textId="77777777" w:rsidR="00CD692A" w:rsidRPr="00CD692A" w:rsidRDefault="00CD692A" w:rsidP="00CD692A">
      <w:pPr>
        <w:pStyle w:val="SingleTxtG"/>
        <w:rPr>
          <w:bCs/>
        </w:rPr>
      </w:pPr>
      <w:r w:rsidRPr="00CD692A">
        <w:t>75.</w:t>
      </w:r>
      <w:r w:rsidRPr="00CD692A">
        <w:tab/>
        <w:t>A lo largo de los años de su aplicación, el programa ha sido objeto de algunos cambios encaminados a hacer frente a las dificultades observadas durante su ejecución. Entre estas dificultades cabe señalar la falta de concreción de los criterios que se deben utilizar para determinar quiénes son los beneficiarios; la adquisición oportuna y eficaz en función del costo de los insumos agrícolas; y las malas prácticas en la distribución de los cupones.</w:t>
      </w:r>
    </w:p>
    <w:p w14:paraId="2850E281" w14:textId="77777777" w:rsidR="00CD692A" w:rsidRPr="00CD692A" w:rsidRDefault="00CD692A" w:rsidP="00CD692A">
      <w:pPr>
        <w:pStyle w:val="SingleTxtG"/>
        <w:rPr>
          <w:bCs/>
        </w:rPr>
      </w:pPr>
      <w:r w:rsidRPr="00CD692A">
        <w:t>76.</w:t>
      </w:r>
      <w:r w:rsidRPr="00CD692A">
        <w:tab/>
        <w:t>Para hacer frente a estas dificultades, el Ministerio de Agricultura establece cada año los criterios de selección de los beneficiarios y, en la medida de lo posible, deja que dicha selección se realice a nivel de la comunidad. Además, para reducir las malas prácticas en la distribución de cupones, la Oficina de Lucha contra la Corrupción y la Policía de Malawi desempeñan una función de supervisión. También ha mejorado la coordinación y el establecimiento del calendario de adquisiciones de los insumos agrícolas.</w:t>
      </w:r>
    </w:p>
    <w:p w14:paraId="420E349F" w14:textId="77777777" w:rsidR="00CD692A" w:rsidRPr="00CD692A" w:rsidRDefault="00CD692A" w:rsidP="00CD692A">
      <w:pPr>
        <w:pStyle w:val="SingleTxtG"/>
        <w:rPr>
          <w:bCs/>
        </w:rPr>
      </w:pPr>
      <w:r w:rsidRPr="00CD692A">
        <w:t>77.</w:t>
      </w:r>
      <w:r w:rsidRPr="00CD692A">
        <w:tab/>
        <w:t>Se estima que, una vez reformado, el Programa de Subsidios para Insumos Agrícolas (Programa de Insumos Asequibles), costará 160.200 millones de kwacha (unos 214 millones de dólares de los Estados Unidos).</w:t>
      </w:r>
    </w:p>
    <w:p w14:paraId="0F4DAB82" w14:textId="767CC534" w:rsidR="00CD692A" w:rsidRPr="00CD692A" w:rsidRDefault="000F65EF" w:rsidP="000F65EF">
      <w:pPr>
        <w:pStyle w:val="H1G"/>
      </w:pPr>
      <w:bookmarkStart w:id="36" w:name="_Hlk63780527"/>
      <w:r>
        <w:tab/>
      </w:r>
      <w:r>
        <w:tab/>
      </w:r>
      <w:r w:rsidR="00CD692A" w:rsidRPr="00CD692A">
        <w:t>Artículo 10</w:t>
      </w:r>
      <w:r>
        <w:br/>
      </w:r>
      <w:r w:rsidR="00CD692A" w:rsidRPr="00CD692A">
        <w:t>Protección y asistencia a la familia</w:t>
      </w:r>
    </w:p>
    <w:bookmarkEnd w:id="36"/>
    <w:p w14:paraId="31B950C7" w14:textId="77777777" w:rsidR="00CD692A" w:rsidRPr="00CD692A" w:rsidRDefault="00CD692A" w:rsidP="00CD692A">
      <w:pPr>
        <w:pStyle w:val="SingleTxtG"/>
        <w:rPr>
          <w:bCs/>
        </w:rPr>
      </w:pPr>
      <w:r w:rsidRPr="00CD692A">
        <w:t>78.</w:t>
      </w:r>
      <w:r w:rsidRPr="00CD692A">
        <w:tab/>
        <w:t>En el artículo 22 de la Constitución se establece que la familia es el elemento natural y fundamental de la sociedad y tiene derecho a la protección de la sociedad y del Estado. Cada miembro de la familia tiene derecho a gozar del respeto y la protección de la ley plenos y en condiciones de igualdad contra todo tipo de descuido, crueldad o explotación. Todos los hombres y las mujeres tienen derecho a casarse y formar una familia. Ninguna persona podrá ser obligada a contraer matrimonio. La Constitución también reconoce los matrimonios civiles y consuetudinarios, así como los matrimonios evidentes o por convivencia permanente. La disposición conexa prohíbe además el matrimonio de cualquier persona menor de 18 años.</w:t>
      </w:r>
    </w:p>
    <w:p w14:paraId="2D5C9EC3" w14:textId="77777777" w:rsidR="00CD692A" w:rsidRPr="00CD692A" w:rsidRDefault="00CD692A" w:rsidP="00CD692A">
      <w:pPr>
        <w:pStyle w:val="SingleTxtG"/>
        <w:rPr>
          <w:bCs/>
        </w:rPr>
      </w:pPr>
      <w:r w:rsidRPr="00CD692A">
        <w:t>79.</w:t>
      </w:r>
      <w:r w:rsidRPr="00CD692A">
        <w:tab/>
        <w:t>El artículo 13 i) de la Constitución establece que el Estado tiene la responsabilidad de promulgar leyes y elaborar políticas para reconocer y proteger a la familia como unidad social fundamental y vital.</w:t>
      </w:r>
    </w:p>
    <w:p w14:paraId="554368B8" w14:textId="77777777" w:rsidR="00CD692A" w:rsidRPr="00CD692A" w:rsidRDefault="00CD692A" w:rsidP="00CD692A">
      <w:pPr>
        <w:pStyle w:val="SingleTxtG"/>
        <w:rPr>
          <w:bCs/>
        </w:rPr>
      </w:pPr>
      <w:r w:rsidRPr="00CD692A">
        <w:t>80.</w:t>
      </w:r>
      <w:r w:rsidRPr="00CD692A">
        <w:tab/>
        <w:t>A fin de desarrollar los artículos 13 i) y 22 de la Constitución, se han aprobado varias leyes y políticas.</w:t>
      </w:r>
    </w:p>
    <w:p w14:paraId="1615386F" w14:textId="77777777" w:rsidR="00CD692A" w:rsidRPr="00CD692A" w:rsidRDefault="00CD692A" w:rsidP="00CD692A">
      <w:pPr>
        <w:pStyle w:val="SingleTxtG"/>
        <w:rPr>
          <w:bCs/>
        </w:rPr>
      </w:pPr>
      <w:r w:rsidRPr="00CD692A">
        <w:t>81.</w:t>
      </w:r>
      <w:r w:rsidRPr="00CD692A">
        <w:tab/>
        <w:t xml:space="preserve">La principal disposición legislativa en materia de matrimonio es la Ley de Matrimonio, Divorcio y Relaciones Familiares, promulgada en 2015, que sustituye a las ya derogadas Ley de Matrimonio (cap. 25:01 de las Leyes de Malawi); Ley de Registro de Matrimonios Africanos (Ritos Cristianos) (cap. 25:02 de las Leyes de Malawi); Ley de Matrimonio, Divorcio y Sucesión de los Asiáticos (cap. 25:03 de las Leyes de Malawi); Ley de Divorcio (cap. 25:04 de las Leyes de Malawi); Ley de Manutención de las Mujeres Casadas (cap. 25:05 de las Leyes de Malawi) y Ley de Ejecución de las Órdenes de </w:t>
      </w:r>
      <w:r w:rsidRPr="00CD692A">
        <w:lastRenderedPageBreak/>
        <w:t>Manutención (cap. 26:04 de las Leyes de Malawi). La Ley de Matrimonio, Divorcio y Relaciones Familiares establece disposiciones sobre el matrimonio, el divorcio y las relaciones familiares entre los cónyuges y entre las parejas no casadas, así como sobre su bienestar y manutención, y los de sus hijos.</w:t>
      </w:r>
      <w:bookmarkStart w:id="37" w:name="_Hlk63776931"/>
      <w:bookmarkEnd w:id="37"/>
    </w:p>
    <w:p w14:paraId="4722A8C8" w14:textId="77777777" w:rsidR="00CD692A" w:rsidRPr="00CD692A" w:rsidRDefault="00CD692A" w:rsidP="00CD692A">
      <w:pPr>
        <w:pStyle w:val="SingleTxtG"/>
        <w:rPr>
          <w:bCs/>
        </w:rPr>
      </w:pPr>
      <w:r w:rsidRPr="00CD692A">
        <w:t>82.</w:t>
      </w:r>
      <w:r w:rsidRPr="00CD692A">
        <w:tab/>
        <w:t>A fin de hacer frente a algunas de las dificultades que afectan a la unidad familiar, se han promulgado otras leyes, como la Ley de Prevención de la Violencia Doméstica, promulgada en 2006, que, con miras a contribuir a la protección de la familia como unidad social importante, establece disposiciones sobre la prevención de la violencia doméstica y la protección de las personas afectadas por ella.</w:t>
      </w:r>
      <w:bookmarkStart w:id="38" w:name="_Hlk63776956"/>
      <w:bookmarkEnd w:id="38"/>
    </w:p>
    <w:p w14:paraId="17B1CBD0" w14:textId="2955A8D0" w:rsidR="00CD692A" w:rsidRPr="00CD692A" w:rsidRDefault="000F65EF" w:rsidP="000F65EF">
      <w:pPr>
        <w:pStyle w:val="H23G"/>
      </w:pPr>
      <w:r>
        <w:tab/>
      </w:r>
      <w:r>
        <w:tab/>
      </w:r>
      <w:r w:rsidR="00CD692A" w:rsidRPr="00CD692A">
        <w:t>Matrimonio</w:t>
      </w:r>
    </w:p>
    <w:p w14:paraId="1AE4A529" w14:textId="77777777" w:rsidR="00CD692A" w:rsidRPr="00CD692A" w:rsidRDefault="00CD692A" w:rsidP="00CD692A">
      <w:pPr>
        <w:pStyle w:val="SingleTxtG"/>
        <w:rPr>
          <w:bCs/>
        </w:rPr>
      </w:pPr>
      <w:r w:rsidRPr="00CD692A">
        <w:t>83.</w:t>
      </w:r>
      <w:r w:rsidRPr="00CD692A">
        <w:tab/>
        <w:t>La Ley de Matrimonio, Divorcio y Relaciones Familiares fija en 18 años la edad mínima para contraer matrimonio. Al revisar las leyes relacionadas con el matrimonio, la Comisión Jurídica de Malawi señaló que, en el caso de las niñas, el matrimonio de las menores de 18 años es un peligro para la salud, y que el matrimonio precoz tiene consecuencias negativas para el desarrollo. A fin de armonizar la edad mínima para contraer matrimonio, en 2017 se modificó la Constitución para fijarla en 18 años y para eliminar la excepción por la que se permitía el matrimonio de personas de entre 15 y 18 años si se contaba con el consentimiento de los progenitores.</w:t>
      </w:r>
    </w:p>
    <w:p w14:paraId="50A0CB05" w14:textId="77777777" w:rsidR="00CD692A" w:rsidRPr="00CD692A" w:rsidRDefault="00CD692A" w:rsidP="00CD692A">
      <w:pPr>
        <w:pStyle w:val="SingleTxtG"/>
        <w:rPr>
          <w:bCs/>
        </w:rPr>
      </w:pPr>
      <w:r w:rsidRPr="00CD692A">
        <w:t>84.</w:t>
      </w:r>
      <w:r w:rsidRPr="00CD692A">
        <w:tab/>
        <w:t>La Ley reconoce los matrimonios civiles, consuetudinarios y religiosos, así como los matrimonios evidentes o por convivencia permanente. Todos estos matrimonios tienen el mismo estatus jurídico.</w:t>
      </w:r>
    </w:p>
    <w:p w14:paraId="43995057" w14:textId="77777777" w:rsidR="00CD692A" w:rsidRPr="00CD692A" w:rsidRDefault="00CD692A" w:rsidP="00CD692A">
      <w:pPr>
        <w:pStyle w:val="SingleTxtG"/>
        <w:rPr>
          <w:bCs/>
        </w:rPr>
      </w:pPr>
      <w:r w:rsidRPr="00CD692A">
        <w:t>85.</w:t>
      </w:r>
      <w:r w:rsidRPr="00CD692A">
        <w:tab/>
        <w:t>La Ley de Matrimonio, Divorcio y Relaciones Familiares prevé el registro de todos los matrimonios celebrados de conformidad con ella. El funcionario del Registro Civil inscribe en el libro de registro de matrimonios todos los datos de los certificados correspondientes. Dicho libro se puede consultar en horario de oficina y previa solicitud.</w:t>
      </w:r>
    </w:p>
    <w:p w14:paraId="6BABE50E" w14:textId="4AAE3D19" w:rsidR="00CD692A" w:rsidRPr="00CD692A" w:rsidRDefault="00CD692A" w:rsidP="00CD692A">
      <w:pPr>
        <w:pStyle w:val="SingleTxtG"/>
        <w:rPr>
          <w:bCs/>
        </w:rPr>
      </w:pPr>
      <w:r w:rsidRPr="00CD692A">
        <w:t>86.</w:t>
      </w:r>
      <w:r w:rsidRPr="00CD692A">
        <w:tab/>
        <w:t>La poligamia en los matrimonios civiles está estrictamente prohibida por el artículo</w:t>
      </w:r>
      <w:r w:rsidR="00AA5600">
        <w:t> </w:t>
      </w:r>
      <w:r w:rsidRPr="00CD692A">
        <w:t>16 de la Ley de Matrimonio, Divorcio y Relaciones Familiares. Sin embargo, teniendo en cuenta que todavía está reconocida en el derecho consuetudinario, la legislación protege los intereses de propiedad de la mujer mencionados en el artículo 24, párrafo 1), apartado b), incisos i) y</w:t>
      </w:r>
      <w:r w:rsidR="00AA5600">
        <w:t> </w:t>
      </w:r>
      <w:r w:rsidRPr="00CD692A">
        <w:t>ii) de la Constitución. Ahora bien, no existe una ley matrimonial específica que proteja a las mujeres en las relaciones polígamas. No obstante, como las disposiciones de la Ley de Matrimonio, Divorcio y Relaciones Familiares se aplican a todos los matrimonios por igual, las mujeres que mantienen relaciones polígamas pueden, cuando sea necesario, invocar esas mismas disposiciones. En los casos de viudez, la protección del cónyuge de una unión polígama está prevista en disposiciones específicas de la Ley de Sucesiones, Testamentos, Herencias y Protección.</w:t>
      </w:r>
    </w:p>
    <w:p w14:paraId="3C7F46EB" w14:textId="0A74AD5D" w:rsidR="00CD692A" w:rsidRPr="00CD692A" w:rsidRDefault="000F65EF" w:rsidP="000F65EF">
      <w:pPr>
        <w:pStyle w:val="H23G"/>
      </w:pPr>
      <w:r>
        <w:tab/>
      </w:r>
      <w:r>
        <w:tab/>
      </w:r>
      <w:r w:rsidR="00CD692A" w:rsidRPr="00CD692A">
        <w:t>Protección de la mujer</w:t>
      </w:r>
    </w:p>
    <w:p w14:paraId="79D07085" w14:textId="77777777" w:rsidR="00CD692A" w:rsidRPr="00CD692A" w:rsidRDefault="00CD692A" w:rsidP="00CD692A">
      <w:pPr>
        <w:pStyle w:val="SingleTxtG"/>
        <w:rPr>
          <w:bCs/>
        </w:rPr>
      </w:pPr>
      <w:r w:rsidRPr="00CD692A">
        <w:t>87.</w:t>
      </w:r>
      <w:r w:rsidRPr="00CD692A">
        <w:tab/>
        <w:t>Reconociendo que las mujeres se ven afectadas negativamente de forma desproporcionada por los problemas dentro de la familia, el Gobierno ha realizado gestiones destinadas específicamente a proteger a las mujeres y a las niñas de que las obliguen a casarse o a contraer matrimonio antes de los 18 años.</w:t>
      </w:r>
    </w:p>
    <w:p w14:paraId="4C79A5A3" w14:textId="73411F4E" w:rsidR="00CD692A" w:rsidRPr="00CD692A" w:rsidRDefault="00CD692A" w:rsidP="00CD692A">
      <w:pPr>
        <w:pStyle w:val="SingleTxtG"/>
        <w:rPr>
          <w:bCs/>
        </w:rPr>
      </w:pPr>
      <w:r w:rsidRPr="00CD692A">
        <w:t>88.</w:t>
      </w:r>
      <w:r w:rsidRPr="00CD692A">
        <w:tab/>
        <w:t xml:space="preserve">A fin de dar efectividad a la proscripción de los matrimonios infantiles y forzados, el Gobierno de Malawi ha llevado a cabo proyectos que contemplan actividades de sensibilización de las comunidades destinadas a modificar la actitud de la sociedad hacia esas prácticas nocivas. En primer lugar, el Gobierno ha elaborado directrices para normalizar en los consejos de distrito la aplicabilidad de los reglamentos de autoridades locales en los que se prohíben estas prácticas nocivas. En segundo lugar, muchos dirigentes tradicionales están trabajando de consuno con el Gobierno para impugnar los sistemas comunitarios que promueven prácticas tradicionales nocivas y están haciendo cumplir los reglamentos dentro de sus comunidades. En muchos reglamentos de autoridades locales se contemplan disposiciones sobre el matrimonio infantil en virtud de las cuales se imponen multas a las familias que realizan tal práctica, y se penaliza a los jefes que no hacen cumplir dichos reglamentos en sus comunidades. En tercer lugar, hay un mensaje claro desde la más alta autoridad política de que las prácticas nocivas son intolerables. El 25 de julio de 2014, el </w:t>
      </w:r>
      <w:r w:rsidRPr="00CD692A">
        <w:lastRenderedPageBreak/>
        <w:t>Sr.</w:t>
      </w:r>
      <w:r w:rsidR="00F503EA">
        <w:t> </w:t>
      </w:r>
      <w:r w:rsidRPr="00CD692A">
        <w:t>Arthur Peter Mutharika, Presidente del Estado, pasó a ser el primer Jefe de Estado de la Comunidad de África Meridional para el Desarrollo (SADC) en firmar un compromiso para poner fin a los matrimonios infantiles, práctica que afecta actualmente al 50 % de las niñas menores de 18 años de Malawi.</w:t>
      </w:r>
    </w:p>
    <w:p w14:paraId="71D439D9" w14:textId="77777777" w:rsidR="00CD692A" w:rsidRPr="00CD692A" w:rsidRDefault="00CD692A" w:rsidP="00CD692A">
      <w:pPr>
        <w:pStyle w:val="SingleTxtG"/>
        <w:rPr>
          <w:bCs/>
        </w:rPr>
      </w:pPr>
      <w:r w:rsidRPr="00CD692A">
        <w:t>89.</w:t>
      </w:r>
      <w:r w:rsidRPr="00CD692A">
        <w:tab/>
        <w:t>El Ministerio de Género, Desarrollo Comunitario y Bienestar Social, en colaboración con la emisora de radio privada Zodiak y con el Fondo de Población de las Naciones Unidas (UNFPA), está llevando a cabo una campaña en los medios de comunicación para poner fin a los matrimonios infantiles. La campaña tiene por objeto sensibilizar al público sobre los peligros que entrañan las prácticas tradicionales nocivas.</w:t>
      </w:r>
    </w:p>
    <w:p w14:paraId="75BC3FA7" w14:textId="3A892079" w:rsidR="00CD692A" w:rsidRPr="00CD692A" w:rsidRDefault="00CD692A" w:rsidP="00CD692A">
      <w:pPr>
        <w:pStyle w:val="SingleTxtG"/>
        <w:rPr>
          <w:bCs/>
        </w:rPr>
      </w:pPr>
      <w:r w:rsidRPr="00CD692A">
        <w:t>90.</w:t>
      </w:r>
      <w:r w:rsidRPr="00CD692A">
        <w:tab/>
        <w:t xml:space="preserve">Las organizaciones de la sociedad civil y los asociados para el desarrollo también han colaborado en la labor encaminada a eliminar dichas prácticas culturales nocivas. Por ejemplo, Plan International Malawi está llevando a cabo una campaña denominada </w:t>
      </w:r>
      <w:r w:rsidR="001B78B3">
        <w:t>“</w:t>
      </w:r>
      <w:r w:rsidRPr="00CD692A">
        <w:t>Girls not Brides</w:t>
      </w:r>
      <w:r w:rsidR="001B78B3">
        <w:t>”</w:t>
      </w:r>
      <w:r w:rsidRPr="00CD692A">
        <w:t xml:space="preserve"> (</w:t>
      </w:r>
      <w:r w:rsidR="001B78B3">
        <w:t>“</w:t>
      </w:r>
      <w:r w:rsidRPr="00CD692A">
        <w:t>Niñas, no novias</w:t>
      </w:r>
      <w:r w:rsidR="001B78B3">
        <w:t>”</w:t>
      </w:r>
      <w:r w:rsidRPr="00CD692A">
        <w:t>), cuyo objetivo es sensibilizar a las comunidades y, con la ayuda de las instancias de base comunitaria, rescatar a las niñas que han sido objeto de matrimonios infantiles. Las campañas están dando resultados positivos hasta ahora. YONECO también lleva a cabo programas de radio destinados a sensibilizar a los niños y a los padres sobre las prácticas culturales nocivas, especialmente los matrimonios infantiles.</w:t>
      </w:r>
    </w:p>
    <w:p w14:paraId="51E2D364" w14:textId="77777777" w:rsidR="00CD692A" w:rsidRPr="00CD692A" w:rsidRDefault="00CD692A" w:rsidP="00CD692A">
      <w:pPr>
        <w:pStyle w:val="SingleTxtG"/>
        <w:rPr>
          <w:bCs/>
        </w:rPr>
      </w:pPr>
      <w:r w:rsidRPr="00CD692A">
        <w:t>91.</w:t>
      </w:r>
      <w:r w:rsidRPr="00CD692A">
        <w:tab/>
        <w:t>En 2019, el Gobierno adoptó la Estrategia Nacional para Eliminar el Matrimonio Infantil (2018-2023). Esta Estrategia proporciona un plan de acción para las respuestas coordinadas con miras a la eliminación de los matrimonios infantiles.</w:t>
      </w:r>
    </w:p>
    <w:p w14:paraId="05D4888F" w14:textId="54424866" w:rsidR="00CD692A" w:rsidRPr="00CD692A" w:rsidRDefault="000F65EF" w:rsidP="000F65EF">
      <w:pPr>
        <w:pStyle w:val="H23G"/>
      </w:pPr>
      <w:r>
        <w:tab/>
      </w:r>
      <w:r>
        <w:tab/>
      </w:r>
      <w:r w:rsidR="00CD692A" w:rsidRPr="00CD692A">
        <w:t>La mujer en el empleo</w:t>
      </w:r>
    </w:p>
    <w:p w14:paraId="458798A3" w14:textId="77777777" w:rsidR="00CD692A" w:rsidRPr="00CD692A" w:rsidRDefault="00CD692A" w:rsidP="00CD692A">
      <w:pPr>
        <w:pStyle w:val="SingleTxtG"/>
        <w:rPr>
          <w:bCs/>
        </w:rPr>
      </w:pPr>
      <w:r w:rsidRPr="00CD692A">
        <w:t>92.</w:t>
      </w:r>
      <w:r w:rsidRPr="00CD692A">
        <w:tab/>
        <w:t>Las madres, tanto antes como después del parto, también se benefician de una protección especial, entre otras formas mediante la concesión de licencia remunerada. El artículo 47 de la Ley de Empleo establece que una empleada tendrá derecho, cada tres años, a una licencia de maternidad de al menos ocho semanas con sueldo completo. Durante el período en que la empleada esté disfrutando de la licencia de maternidad, sus prestaciones y derechos normales, incluidos sus derechos contractuales y la acumulación de antigüedad, continuarán sin interrupción, y su período de empleo no se considerará interrumpido, reducido o roto. En caso de enfermedad, certificada por un médico colegiado, derivada del embarazo o del parto, que afecte a la empleada o a su hijo, el empleador concederá a la empleada una licencia adicional por la duración que considere oportuna. El artículo 48 de la Ley de Empleo establece, además, que al término de su licencia de maternidad, la empleada tendrá derecho a reincorporarse al mismo puesto de trabajo con las mismas prestaciones y derechos que tenía inmediatamente antes de comenzarla.</w:t>
      </w:r>
    </w:p>
    <w:p w14:paraId="7DF77203" w14:textId="77777777" w:rsidR="00CD692A" w:rsidRPr="00CD692A" w:rsidRDefault="00CD692A" w:rsidP="00CD692A">
      <w:pPr>
        <w:pStyle w:val="SingleTxtG"/>
        <w:rPr>
          <w:bCs/>
        </w:rPr>
      </w:pPr>
      <w:r w:rsidRPr="00CD692A">
        <w:t>93.</w:t>
      </w:r>
      <w:r w:rsidRPr="00CD692A">
        <w:tab/>
        <w:t>El empleador que cese a una empleada por estar embarazada o por cualquier razón relacionada con su embarazo será considerado culpable de un delito. El empleador que sea condenado por un delito contemplado en esta disposición podrá ser sancionado con una multa de 20.000 kwacha (aproximadamente 26,67 dólares de los Estados Unidos) y con una pena de prisión de cinco años. Además de la sanción que puede imponer en virtud del párrafo 2 del artículo, el tribunal competente podrá ordenar al empleador que reincorpore a la empleada, que sea tratada en todos los aspectos como si no hubiera sido despedida, y que le conceda una indemnización. El empleador al que se le ordene la reincorporación de una empleada y se niegue a hacerlo será considerado culpable de un delito y podrá ser sancionado con una multa de 500 kwacha (aproximadamente 0,66 de los Estados Unidos) por cada día que continúe la infracción.</w:t>
      </w:r>
    </w:p>
    <w:p w14:paraId="18DDE443" w14:textId="726F104C" w:rsidR="00CD692A" w:rsidRPr="00CD692A" w:rsidRDefault="000F65EF" w:rsidP="000F65EF">
      <w:pPr>
        <w:pStyle w:val="H23G"/>
      </w:pPr>
      <w:r>
        <w:tab/>
      </w:r>
      <w:r>
        <w:tab/>
      </w:r>
      <w:r w:rsidR="00CD692A" w:rsidRPr="00CD692A">
        <w:t>Protección de los niños</w:t>
      </w:r>
    </w:p>
    <w:p w14:paraId="138AABE5" w14:textId="77777777" w:rsidR="00CD692A" w:rsidRPr="00CD692A" w:rsidRDefault="00CD692A" w:rsidP="00CD692A">
      <w:pPr>
        <w:pStyle w:val="SingleTxtG"/>
        <w:rPr>
          <w:bCs/>
        </w:rPr>
      </w:pPr>
      <w:r w:rsidRPr="00CD692A">
        <w:t>94.</w:t>
      </w:r>
      <w:r w:rsidRPr="00CD692A">
        <w:tab/>
        <w:t>De conformidad con el artículo 23 de la Constitución de Malawi, son niños las personas menores de 18 años. La Constitución garantiza derechos adicionales a los niños. Por ejemplo, establece que todos los niños, independientemente de las circunstancias de su nacimiento, tienen derecho a la igualdad de trato ante la ley; a un nombre y un apellido; a una nacionalidad; y a conocer a sus padres, y a ser criados por ellos.</w:t>
      </w:r>
    </w:p>
    <w:p w14:paraId="49F12398" w14:textId="77777777" w:rsidR="00CD692A" w:rsidRPr="00CD692A" w:rsidRDefault="00CD692A" w:rsidP="00CD692A">
      <w:pPr>
        <w:pStyle w:val="SingleTxtG"/>
        <w:rPr>
          <w:bCs/>
        </w:rPr>
      </w:pPr>
      <w:r w:rsidRPr="00CD692A">
        <w:t>95.</w:t>
      </w:r>
      <w:r w:rsidRPr="00CD692A">
        <w:tab/>
        <w:t xml:space="preserve">En lo que respecta a la protección de los hijos en la familia, el artículo 48, párrafo 5, de la Ley de Matrimonio, Divorcio y Relaciones Familiares obliga a los cónyuges a ejercer, por separado o conjuntamente con el otro, la responsabilidad de criar, educar y mantener a </w:t>
      </w:r>
      <w:r w:rsidRPr="00CD692A">
        <w:lastRenderedPageBreak/>
        <w:t>los hijos del matrimonio. La Ley establece específicamente que los cónyuges tienen el deber de mantener a los hijos del matrimonio. Cuando una de las partes en un matrimonio se desentiende de la manutención de la otra parte o de las necesidades de los hijos hasta el punto de que la salud, la seguridad, la alimentación y la educación de la otra parte o de los hijos, según el caso, se ven afectadas, dicha desatención constituye una conducta familiar indebida que puede ser denunciada. La obligación de informar de la desatención al Ministro responsable del bienestar social recaerá en un progenitor de una de las partes en el matrimonio, un pariente más cercano u otro familiar próximo.</w:t>
      </w:r>
    </w:p>
    <w:p w14:paraId="42EF48EC" w14:textId="52F72ADE" w:rsidR="00CD692A" w:rsidRPr="00CD692A" w:rsidRDefault="00CD692A" w:rsidP="00CD692A">
      <w:pPr>
        <w:pStyle w:val="SingleTxtG"/>
        <w:rPr>
          <w:bCs/>
        </w:rPr>
      </w:pPr>
      <w:r w:rsidRPr="00CD692A">
        <w:t>96.</w:t>
      </w:r>
      <w:r w:rsidRPr="00CD692A">
        <w:tab/>
        <w:t>La Ley también encomienda al tribunal la protección de los hijos en un matrimonio que se ha roto y se está disolviendo, garantizando que se cause la mínima aflicción a los hijos. El tribunal también est</w:t>
      </w:r>
      <w:r w:rsidR="004E2DD4">
        <w:t>á</w:t>
      </w:r>
      <w:r w:rsidRPr="00CD692A">
        <w:t xml:space="preserve"> facultado para conceder la custodia a cualquiera de los progenitores en función del interés superior del niño. El bienestar de los niños es primordial en todo momento.</w:t>
      </w:r>
    </w:p>
    <w:p w14:paraId="70CD633E" w14:textId="5715BB56" w:rsidR="00CD692A" w:rsidRPr="00CD692A" w:rsidRDefault="00CD692A" w:rsidP="00CD692A">
      <w:pPr>
        <w:pStyle w:val="SingleTxtG"/>
        <w:rPr>
          <w:bCs/>
        </w:rPr>
      </w:pPr>
      <w:r w:rsidRPr="00CD692A">
        <w:t>97.</w:t>
      </w:r>
      <w:r w:rsidRPr="00CD692A">
        <w:tab/>
        <w:t>El artículo 3 de la Ley de Sucesiones, Testamentos, Herencias y Protección (cap.</w:t>
      </w:r>
      <w:r w:rsidR="00BE2249">
        <w:t> </w:t>
      </w:r>
      <w:r w:rsidRPr="00CD692A">
        <w:t xml:space="preserve">10:02 de las Leyes de Malawi) establece la igualdad de trato en materia de herencia para los hijos nacidos fuera y dentro del matrimonio. </w:t>
      </w:r>
    </w:p>
    <w:p w14:paraId="126535BE" w14:textId="77777777" w:rsidR="00CD692A" w:rsidRPr="00CD692A" w:rsidRDefault="00CD692A" w:rsidP="00CD692A">
      <w:pPr>
        <w:pStyle w:val="SingleTxtG"/>
        <w:rPr>
          <w:bCs/>
        </w:rPr>
      </w:pPr>
      <w:r w:rsidRPr="00CD692A">
        <w:t>98.</w:t>
      </w:r>
      <w:r w:rsidRPr="00CD692A">
        <w:tab/>
        <w:t>Además, en virtud de la Ley de Atención, Protección y Justicia de Menores, de 2010, los progenitores y tutores también tienen derechos y deberes para con los niños. Por ejemplo, el artículo 3 establece que un progenitor o tutor no debe privar a un niño de su bienestar y tiene responsabilidades hacia el niño, impuestas por ley o de otro modo, como, por ejemplo, proteger al niño de la desatención, la discriminación, la violencia, el abuso, la explotación, la opresión y la exposición a peligros físicos, mentales, sociales y morales; proporcionar al niño la orientación, el cuidado, la asistencia y la manutención adecuados para garantizar su supervivencia y desarrollo, lo que incluye en particular alimentación, vestido, alojamiento y atención médica adecuados; y garantizar que durante la ausencia temporal del progenitor o tutor, el niño sea atendido por una persona competente.</w:t>
      </w:r>
    </w:p>
    <w:p w14:paraId="48A22B47" w14:textId="1A70C12C" w:rsidR="00CD692A" w:rsidRPr="00CD692A" w:rsidRDefault="000F65EF" w:rsidP="000F65EF">
      <w:pPr>
        <w:pStyle w:val="H1G"/>
      </w:pPr>
      <w:bookmarkStart w:id="39" w:name="_Hlk63780580"/>
      <w:r>
        <w:tab/>
      </w:r>
      <w:r>
        <w:tab/>
      </w:r>
      <w:r w:rsidR="00CD692A" w:rsidRPr="00CD692A">
        <w:t>Artículo 11</w:t>
      </w:r>
      <w:r>
        <w:br/>
      </w:r>
      <w:r w:rsidR="00CD692A" w:rsidRPr="00CD692A">
        <w:t>Derecho a un nivel de vida adecuado</w:t>
      </w:r>
    </w:p>
    <w:bookmarkEnd w:id="39"/>
    <w:p w14:paraId="10631DAF" w14:textId="77777777" w:rsidR="00CD692A" w:rsidRPr="00CD692A" w:rsidRDefault="00CD692A" w:rsidP="00CD692A">
      <w:pPr>
        <w:pStyle w:val="SingleTxtG"/>
      </w:pPr>
      <w:r w:rsidRPr="00CD692A">
        <w:t>99.</w:t>
      </w:r>
      <w:r w:rsidRPr="00CD692A">
        <w:tab/>
        <w:t>El artículo 30, párrafo 2, de la Constitución obliga al Estado a adoptar medidas para garantizar a todos la igualdad de oportunidades en su acceso a los recursos básicos, la educación, los servicios de salud, la alimentación, la vivienda, el empleo y la infraestructura.</w:t>
      </w:r>
    </w:p>
    <w:p w14:paraId="457682B6" w14:textId="77777777" w:rsidR="00CD692A" w:rsidRPr="00CD692A" w:rsidRDefault="00CD692A" w:rsidP="00CD692A">
      <w:pPr>
        <w:pStyle w:val="SingleTxtG"/>
      </w:pPr>
      <w:r w:rsidRPr="00CD692A">
        <w:t>100.</w:t>
      </w:r>
      <w:r w:rsidRPr="00CD692A">
        <w:tab/>
        <w:t>El Gobierno ha procurado mejorar el bienestar económico y social de la población de Malawi a través de estrategias como la Tercera Estrategia de Crecimiento y Desarrollo de Malawi (2017-2022). La Estrategia identifica cinco esferas prioritarias clave (entre ellas la agricultura; la educación y el desarrollo de aptitudes; la infraestructura de transporte y de tecnologías de la información y las comunicaciones (TIC); y el desarrollo energético, industrial y turístico), que se consideran de importancia decisiva para garantizar que los ciudadanos de Malawi disfruten de un nivel de vida adecuado. Los objetivos de la Estrategia se han plasmado e incorporado en políticas sectoriales específicas que abarcan las esferas prioritarias mencionadas, y que se analizan a lo largo del informe.</w:t>
      </w:r>
    </w:p>
    <w:p w14:paraId="6E816C89" w14:textId="77777777" w:rsidR="00CD692A" w:rsidRPr="00CD692A" w:rsidRDefault="00CD692A" w:rsidP="00CD692A">
      <w:pPr>
        <w:pStyle w:val="SingleTxtG"/>
      </w:pPr>
      <w:r w:rsidRPr="00CD692A">
        <w:t>101.</w:t>
      </w:r>
      <w:r w:rsidRPr="00CD692A">
        <w:tab/>
        <w:t>En los párrafos 59 a 76 se exponen a grandes rasgos la línea de pobreza nacional y las medidas adoptadas para hacer frente a la pobreza.</w:t>
      </w:r>
    </w:p>
    <w:p w14:paraId="762DBD9A" w14:textId="4D9AD04C" w:rsidR="00CD692A" w:rsidRPr="00CD692A" w:rsidRDefault="000F65EF" w:rsidP="000F65EF">
      <w:pPr>
        <w:pStyle w:val="H23G"/>
      </w:pPr>
      <w:r>
        <w:tab/>
      </w:r>
      <w:r>
        <w:tab/>
      </w:r>
      <w:r w:rsidR="00CD692A" w:rsidRPr="00CD692A">
        <w:t>Derecho a una alimentación adecuada</w:t>
      </w:r>
    </w:p>
    <w:p w14:paraId="53CFA445" w14:textId="15A56082" w:rsidR="00CD692A" w:rsidRPr="00CD692A" w:rsidRDefault="00CD692A" w:rsidP="00BF2E4E">
      <w:pPr>
        <w:pStyle w:val="SingleTxtG"/>
        <w:spacing w:after="130"/>
      </w:pPr>
      <w:r w:rsidRPr="00CD692A">
        <w:t>102.</w:t>
      </w:r>
      <w:r w:rsidRPr="00CD692A">
        <w:tab/>
        <w:t xml:space="preserve">A fin de garantizar que los malawianos disfruten del derecho a la alimentación, se han puesto en marcha varias políticas y programas. En primer lugar, desde 2005, el Gobierno ha estado ejecutando el Programa de Subsidios para Insumos Agrícolas (denominado posteriormente Programa de Insumos Asequibles), que se describe a grandes rasgos en los párrafos 67 a 75. El programa garantiza que los malawianos tengan acceso a insumos agrícolas para, entre otras cosas, dedicarse a cultivos de subsistencia que garanticen la seguridad alimentaria. En segundo lugar, el Gobierno, a través del Ministerio de Agricultura, desarrolló la Política Nacional Multisectorial de Nutrición (2018-2022). La Política tiene por objeto proporcionar un marco de orientación para la aplicación satisfactoria de la respuesta </w:t>
      </w:r>
      <w:r w:rsidRPr="00CD692A">
        <w:lastRenderedPageBreak/>
        <w:t>nacional en materia de nutrición; hacer frente a los problemas nacionales y mundiales actuales e incipientes; y, en consecuencia, cumplir el compromiso del Gobierno de eliminar todas las formas de malnutrición. La Política se pondrá en práctica a través del Plan Estratégico Nacional de Nutrición (2018</w:t>
      </w:r>
      <w:r w:rsidR="00F23A17">
        <w:t>-</w:t>
      </w:r>
      <w:r w:rsidRPr="00CD692A">
        <w:t>2022).</w:t>
      </w:r>
    </w:p>
    <w:p w14:paraId="5FDDD77C" w14:textId="77777777" w:rsidR="00CD692A" w:rsidRPr="00CD692A" w:rsidRDefault="00CD692A" w:rsidP="00BF2E4E">
      <w:pPr>
        <w:pStyle w:val="SingleTxtG"/>
        <w:spacing w:after="130"/>
      </w:pPr>
      <w:r w:rsidRPr="00CD692A">
        <w:t>103.</w:t>
      </w:r>
      <w:r w:rsidRPr="00CD692A">
        <w:tab/>
        <w:t>La Política ha identificado ocho esferas prioritarias que comprenden los siguientes aspectos: igualdad de género, equidad, protección, participación y empoderamiento para mejorar la nutrición; tratamiento y control de la malnutrición aguda; prevención y tratamiento del sobrepeso y las enfermedades no transmisibles relacionadas con la nutrición; educación sobre nutrición, movilización social y cambio de comportamiento positivo; nutrición en situaciones de emergencia; creación de un entorno propicio para la nutrición; y seguimiento, evaluación, investigación y vigilancia de la nutrición.</w:t>
      </w:r>
    </w:p>
    <w:p w14:paraId="5CA0A9E1" w14:textId="2F4A1EDE" w:rsidR="00CD692A" w:rsidRPr="00CD692A" w:rsidRDefault="00CD692A" w:rsidP="00BF2E4E">
      <w:pPr>
        <w:pStyle w:val="SingleTxtG"/>
        <w:spacing w:after="130"/>
      </w:pPr>
      <w:r w:rsidRPr="00CD692A">
        <w:t>104.</w:t>
      </w:r>
      <w:r w:rsidRPr="00CD692A">
        <w:tab/>
        <w:t>Se elaborarán estrategias y directrices operacionales de apoyo adicionales para seguir plasmando los objetivos en medidas tangibles. Cabe señalar al respecto las siguientes estrategias y directrices: educación y comunicación a nivel nacional en materia nutricional; alimentación del lactante y el niño de edad preescolar; micronutrientes; nutrición del adolescente; salud escolar y nutrición; desarrollo en la primera infancia; gestión comunitaria</w:t>
      </w:r>
      <w:r w:rsidR="00BF2E4E">
        <w:t> </w:t>
      </w:r>
      <w:r w:rsidRPr="00CD692A">
        <w:t>de la malnutrición aguda; atención, apoyo y tratamiento relacionados con la nutrición; y prevención y tratamiento de las enfermedades no transmisibles relacionadas con la nutrición.</w:t>
      </w:r>
    </w:p>
    <w:p w14:paraId="1AA203EB" w14:textId="0C063704" w:rsidR="00CD692A" w:rsidRPr="00CD692A" w:rsidRDefault="00CD692A" w:rsidP="00BF2E4E">
      <w:pPr>
        <w:pStyle w:val="SingleTxtG"/>
        <w:spacing w:after="130"/>
      </w:pPr>
      <w:r w:rsidRPr="00CD692A">
        <w:t>105.</w:t>
      </w:r>
      <w:r w:rsidRPr="00CD692A">
        <w:tab/>
        <w:t>El programa de alimentación del lactante y el niño de edad preescolar se administra normalmente en las escuelas y adopta dos modalidades. La primera cuenta con la ayuda del Programa Mundial de Alimentos (PMA) y de la organización no gubernamental Mary</w:t>
      </w:r>
      <w:r w:rsidR="001B78B3">
        <w:t>’</w:t>
      </w:r>
      <w:r w:rsidRPr="00CD692A">
        <w:t>s Meals. La segunda es el suministro de alimentos a través del programa de alimentación escolar con productos locales. Este modelo, que empodera a las comunidades para gestionar su propio programa de alimentación escolar, brinda a los agricultores locales la oportunidad de acceder al mercado de la alimentación escolar y beneficiarse de él, y proporciona a los alumnos alimentos frescos, nutritivos y cultivados localmente. El programa de alimentación escolar, teniendo en cuenta a todos los prestadores del servicio, llega a cerca del 3 % de todas las escuelas primarias de Malawi. El programa del PMA llega a cerca del 18 % de los alumnos de escuelas primarias. El programa de alimentación escolar está destinado específicamente a las zonas más pobres, vulnerables y de difícil acceso de Malawi.</w:t>
      </w:r>
    </w:p>
    <w:p w14:paraId="547D066B" w14:textId="1AAE6034" w:rsidR="00CD692A" w:rsidRPr="00CD692A" w:rsidRDefault="00CD692A" w:rsidP="00BF2E4E">
      <w:pPr>
        <w:pStyle w:val="SingleTxtG"/>
        <w:spacing w:after="130"/>
      </w:pPr>
      <w:r w:rsidRPr="00CD692A">
        <w:t>106.</w:t>
      </w:r>
      <w:r w:rsidRPr="00CD692A">
        <w:tab/>
        <w:t>Según las estimaciones preliminares del Ministerio de Agricultura sobre las cosechas, se prevé que, para el año de consumo 2020/21, Malawi produzca 3.691.866 toneladas métricas de maíz. Esta cifra es un 25 % superior a la media de cinco años y un 9 % superior a la del año anterior. Se prevé que la producción de arroz, mijo y leguminosas sea entre un 8</w:t>
      </w:r>
      <w:r w:rsidR="00BF2E4E">
        <w:t> </w:t>
      </w:r>
      <w:r w:rsidRPr="00CD692A">
        <w:t>% y un 11 % superior a la del año pasado. Este aumento estimado podría atribuirse a una pluviometría superior a la normal y a un mayor acceso a los insumos agrícolas.</w:t>
      </w:r>
    </w:p>
    <w:p w14:paraId="5B6C0B9D" w14:textId="789B697A" w:rsidR="00CD692A" w:rsidRPr="00CD692A" w:rsidRDefault="000F65EF" w:rsidP="000F65EF">
      <w:pPr>
        <w:pStyle w:val="H23G"/>
      </w:pPr>
      <w:r>
        <w:tab/>
      </w:r>
      <w:r>
        <w:tab/>
      </w:r>
      <w:r w:rsidR="00CD692A" w:rsidRPr="00CD692A">
        <w:t>Derecho al agua</w:t>
      </w:r>
    </w:p>
    <w:p w14:paraId="5B067095" w14:textId="7200E4C5" w:rsidR="00CD692A" w:rsidRPr="00CD692A" w:rsidRDefault="00CD692A" w:rsidP="00CD692A">
      <w:pPr>
        <w:pStyle w:val="SingleTxtG"/>
      </w:pPr>
      <w:r w:rsidRPr="00CD692A">
        <w:t>107.</w:t>
      </w:r>
      <w:r w:rsidRPr="00CD692A">
        <w:tab/>
        <w:t>El Censo de Población y Vivienda reveló que el 85 % de los hogares utilizaban fuentes mejoradas de agua potable, como el agua corriente, las fuentes de agua pública, los pozos entubados o cubiertos y los pozos perforados. Como indica el cuadro 15, la principal fuente de agua potable utilizada en la estación seca eran los pozos perforados, para alrededor del 61,7 % de la población, las fuentes de agua de la comunidad, para el 8,1 %, y el agua corriente canalizada hacia la vivienda o la parcela, para el 10,3 %.</w:t>
      </w:r>
    </w:p>
    <w:p w14:paraId="7A14715D" w14:textId="438C6F21" w:rsidR="00CD692A" w:rsidRPr="00CD692A" w:rsidRDefault="00CD692A" w:rsidP="00BF2E4E">
      <w:pPr>
        <w:pStyle w:val="H23G"/>
        <w:ind w:left="0" w:right="566" w:firstLine="0"/>
      </w:pPr>
      <w:r w:rsidRPr="000F65EF">
        <w:rPr>
          <w:b w:val="0"/>
          <w:bCs/>
        </w:rPr>
        <w:lastRenderedPageBreak/>
        <w:t>Cuadro 15</w:t>
      </w:r>
      <w:r w:rsidR="000F65EF" w:rsidRPr="000F65EF">
        <w:rPr>
          <w:b w:val="0"/>
          <w:bCs/>
        </w:rPr>
        <w:br/>
      </w:r>
      <w:r w:rsidRPr="00CD692A">
        <w:t>Distribución de la población, en número de habitantes y porcentaje, por fuente principal de agua potable utilizada durante la estación seca, 2018</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993"/>
        <w:gridCol w:w="852"/>
        <w:gridCol w:w="850"/>
        <w:gridCol w:w="850"/>
        <w:gridCol w:w="850"/>
        <w:gridCol w:w="852"/>
        <w:gridCol w:w="850"/>
        <w:gridCol w:w="848"/>
      </w:tblGrid>
      <w:tr w:rsidR="000F65EF" w:rsidRPr="000F65EF" w14:paraId="45B12487" w14:textId="77777777" w:rsidTr="0085343A">
        <w:trPr>
          <w:trHeight w:val="240"/>
          <w:tblHeader/>
        </w:trPr>
        <w:tc>
          <w:tcPr>
            <w:tcW w:w="1397" w:type="pct"/>
            <w:vMerge w:val="restart"/>
            <w:tcBorders>
              <w:top w:val="single" w:sz="4" w:space="0" w:color="auto"/>
              <w:bottom w:val="single" w:sz="4" w:space="0" w:color="auto"/>
            </w:tcBorders>
            <w:shd w:val="clear" w:color="auto" w:fill="auto"/>
            <w:vAlign w:val="bottom"/>
            <w:hideMark/>
          </w:tcPr>
          <w:p w14:paraId="7D4DF830"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0" w:right="0"/>
              <w:jc w:val="left"/>
              <w:rPr>
                <w:i/>
                <w:sz w:val="16"/>
              </w:rPr>
            </w:pPr>
            <w:r w:rsidRPr="000F65EF">
              <w:rPr>
                <w:i/>
                <w:iCs/>
                <w:sz w:val="16"/>
              </w:rPr>
              <w:t>Principal fuente de agua potable</w:t>
            </w:r>
          </w:p>
        </w:tc>
        <w:tc>
          <w:tcPr>
            <w:tcW w:w="957"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3374FEF"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0" w:right="0"/>
              <w:jc w:val="center"/>
              <w:rPr>
                <w:i/>
                <w:sz w:val="16"/>
                <w:lang w:val="en-GB"/>
              </w:rPr>
            </w:pPr>
            <w:r w:rsidRPr="000F65EF">
              <w:rPr>
                <w:i/>
                <w:iCs/>
                <w:sz w:val="16"/>
              </w:rPr>
              <w:t>Malawi</w:t>
            </w:r>
          </w:p>
        </w:tc>
        <w:tc>
          <w:tcPr>
            <w:tcW w:w="88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C025F76"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0" w:right="0"/>
              <w:jc w:val="center"/>
              <w:rPr>
                <w:i/>
                <w:sz w:val="16"/>
                <w:lang w:val="en-GB"/>
              </w:rPr>
            </w:pPr>
            <w:r w:rsidRPr="000F65EF">
              <w:rPr>
                <w:i/>
                <w:iCs/>
                <w:sz w:val="16"/>
              </w:rPr>
              <w:t>Región septentrional</w:t>
            </w:r>
          </w:p>
        </w:tc>
        <w:tc>
          <w:tcPr>
            <w:tcW w:w="88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2151154"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0" w:right="0"/>
              <w:jc w:val="center"/>
              <w:rPr>
                <w:i/>
                <w:sz w:val="16"/>
                <w:lang w:val="en-GB"/>
              </w:rPr>
            </w:pPr>
            <w:r w:rsidRPr="000F65EF">
              <w:rPr>
                <w:i/>
                <w:iCs/>
                <w:sz w:val="16"/>
              </w:rPr>
              <w:t>Región central</w:t>
            </w:r>
          </w:p>
        </w:tc>
        <w:tc>
          <w:tcPr>
            <w:tcW w:w="881"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D4686E0"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0" w:right="0"/>
              <w:jc w:val="center"/>
              <w:rPr>
                <w:i/>
                <w:sz w:val="16"/>
                <w:lang w:val="en-GB"/>
              </w:rPr>
            </w:pPr>
            <w:r w:rsidRPr="000F65EF">
              <w:rPr>
                <w:i/>
                <w:iCs/>
                <w:sz w:val="16"/>
              </w:rPr>
              <w:t>Región meridional</w:t>
            </w:r>
          </w:p>
        </w:tc>
      </w:tr>
      <w:tr w:rsidR="000F65EF" w:rsidRPr="000F65EF" w14:paraId="2C255A2A" w14:textId="77777777" w:rsidTr="0085343A">
        <w:trPr>
          <w:trHeight w:val="240"/>
          <w:tblHeader/>
        </w:trPr>
        <w:tc>
          <w:tcPr>
            <w:tcW w:w="1397" w:type="pct"/>
            <w:vMerge/>
            <w:tcBorders>
              <w:top w:val="single" w:sz="4" w:space="0" w:color="auto"/>
              <w:bottom w:val="single" w:sz="12" w:space="0" w:color="auto"/>
            </w:tcBorders>
            <w:shd w:val="clear" w:color="auto" w:fill="auto"/>
            <w:vAlign w:val="bottom"/>
            <w:hideMark/>
          </w:tcPr>
          <w:p w14:paraId="37D33146"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0" w:right="0"/>
              <w:jc w:val="left"/>
              <w:rPr>
                <w:sz w:val="18"/>
                <w:lang w:val="en-GB"/>
              </w:rPr>
            </w:pPr>
          </w:p>
        </w:tc>
        <w:tc>
          <w:tcPr>
            <w:tcW w:w="515" w:type="pct"/>
            <w:tcBorders>
              <w:top w:val="single" w:sz="4" w:space="0" w:color="auto"/>
              <w:bottom w:val="single" w:sz="12" w:space="0" w:color="auto"/>
            </w:tcBorders>
            <w:shd w:val="clear" w:color="auto" w:fill="auto"/>
            <w:noWrap/>
            <w:vAlign w:val="bottom"/>
            <w:hideMark/>
          </w:tcPr>
          <w:p w14:paraId="3C16294A"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Número</w:t>
            </w:r>
          </w:p>
        </w:tc>
        <w:tc>
          <w:tcPr>
            <w:tcW w:w="442" w:type="pct"/>
            <w:tcBorders>
              <w:top w:val="single" w:sz="4" w:space="0" w:color="auto"/>
              <w:bottom w:val="single" w:sz="12" w:space="0" w:color="auto"/>
              <w:right w:val="single" w:sz="24" w:space="0" w:color="FFFFFF" w:themeColor="background1"/>
            </w:tcBorders>
            <w:shd w:val="clear" w:color="auto" w:fill="auto"/>
            <w:noWrap/>
            <w:vAlign w:val="bottom"/>
            <w:hideMark/>
          </w:tcPr>
          <w:p w14:paraId="393AD413"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Porcentaje</w:t>
            </w:r>
          </w:p>
        </w:tc>
        <w:tc>
          <w:tcPr>
            <w:tcW w:w="441" w:type="pct"/>
            <w:tcBorders>
              <w:top w:val="single" w:sz="4" w:space="0" w:color="auto"/>
              <w:left w:val="single" w:sz="24" w:space="0" w:color="FFFFFF" w:themeColor="background1"/>
              <w:bottom w:val="single" w:sz="12" w:space="0" w:color="auto"/>
            </w:tcBorders>
            <w:shd w:val="clear" w:color="auto" w:fill="auto"/>
            <w:noWrap/>
            <w:vAlign w:val="bottom"/>
            <w:hideMark/>
          </w:tcPr>
          <w:p w14:paraId="20E6AEBA"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Número</w:t>
            </w:r>
          </w:p>
        </w:tc>
        <w:tc>
          <w:tcPr>
            <w:tcW w:w="441" w:type="pct"/>
            <w:tcBorders>
              <w:top w:val="single" w:sz="4" w:space="0" w:color="auto"/>
              <w:bottom w:val="single" w:sz="12" w:space="0" w:color="auto"/>
              <w:right w:val="single" w:sz="24" w:space="0" w:color="FFFFFF" w:themeColor="background1"/>
            </w:tcBorders>
            <w:shd w:val="clear" w:color="auto" w:fill="auto"/>
            <w:noWrap/>
            <w:vAlign w:val="bottom"/>
            <w:hideMark/>
          </w:tcPr>
          <w:p w14:paraId="4CC9D688"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Porcentaje</w:t>
            </w:r>
          </w:p>
        </w:tc>
        <w:tc>
          <w:tcPr>
            <w:tcW w:w="441" w:type="pct"/>
            <w:tcBorders>
              <w:top w:val="single" w:sz="4" w:space="0" w:color="auto"/>
              <w:left w:val="single" w:sz="24" w:space="0" w:color="FFFFFF" w:themeColor="background1"/>
              <w:bottom w:val="single" w:sz="12" w:space="0" w:color="auto"/>
            </w:tcBorders>
            <w:shd w:val="clear" w:color="auto" w:fill="auto"/>
            <w:noWrap/>
            <w:vAlign w:val="bottom"/>
            <w:hideMark/>
          </w:tcPr>
          <w:p w14:paraId="76380BC0"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Número</w:t>
            </w:r>
          </w:p>
        </w:tc>
        <w:tc>
          <w:tcPr>
            <w:tcW w:w="442" w:type="pct"/>
            <w:tcBorders>
              <w:top w:val="single" w:sz="4" w:space="0" w:color="auto"/>
              <w:bottom w:val="single" w:sz="12" w:space="0" w:color="auto"/>
              <w:right w:val="single" w:sz="24" w:space="0" w:color="FFFFFF" w:themeColor="background1"/>
            </w:tcBorders>
            <w:shd w:val="clear" w:color="auto" w:fill="auto"/>
            <w:noWrap/>
            <w:vAlign w:val="bottom"/>
            <w:hideMark/>
          </w:tcPr>
          <w:p w14:paraId="5F27B79D"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Porcentaje</w:t>
            </w:r>
          </w:p>
        </w:tc>
        <w:tc>
          <w:tcPr>
            <w:tcW w:w="441" w:type="pct"/>
            <w:tcBorders>
              <w:top w:val="single" w:sz="4" w:space="0" w:color="auto"/>
              <w:left w:val="single" w:sz="24" w:space="0" w:color="FFFFFF" w:themeColor="background1"/>
              <w:bottom w:val="single" w:sz="12" w:space="0" w:color="auto"/>
            </w:tcBorders>
            <w:shd w:val="clear" w:color="auto" w:fill="auto"/>
            <w:noWrap/>
            <w:vAlign w:val="bottom"/>
            <w:hideMark/>
          </w:tcPr>
          <w:p w14:paraId="11BBED69"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Número</w:t>
            </w:r>
          </w:p>
        </w:tc>
        <w:tc>
          <w:tcPr>
            <w:tcW w:w="440" w:type="pct"/>
            <w:tcBorders>
              <w:top w:val="single" w:sz="4" w:space="0" w:color="auto"/>
              <w:bottom w:val="single" w:sz="12" w:space="0" w:color="auto"/>
            </w:tcBorders>
            <w:shd w:val="clear" w:color="auto" w:fill="auto"/>
            <w:noWrap/>
            <w:vAlign w:val="bottom"/>
            <w:hideMark/>
          </w:tcPr>
          <w:p w14:paraId="718F93C8" w14:textId="77777777" w:rsidR="00CD692A" w:rsidRPr="000F65EF" w:rsidRDefault="00CD692A" w:rsidP="00BF2E4E">
            <w:pPr>
              <w:pStyle w:val="SingleTxtG"/>
              <w:keepNext/>
              <w:keepLines/>
              <w:tabs>
                <w:tab w:val="clear" w:pos="1701"/>
                <w:tab w:val="clear" w:pos="2268"/>
                <w:tab w:val="clear" w:pos="2835"/>
              </w:tabs>
              <w:spacing w:before="80" w:after="80" w:line="200" w:lineRule="exact"/>
              <w:ind w:left="28" w:right="28"/>
              <w:jc w:val="right"/>
              <w:rPr>
                <w:i/>
                <w:iCs/>
                <w:sz w:val="16"/>
              </w:rPr>
            </w:pPr>
            <w:r w:rsidRPr="000F65EF">
              <w:rPr>
                <w:i/>
                <w:iCs/>
                <w:sz w:val="16"/>
              </w:rPr>
              <w:t>Porcentaje</w:t>
            </w:r>
          </w:p>
        </w:tc>
      </w:tr>
      <w:tr w:rsidR="000F65EF" w:rsidRPr="000F65EF" w14:paraId="2132D015" w14:textId="77777777" w:rsidTr="000F65EF">
        <w:trPr>
          <w:trHeight w:val="240"/>
        </w:trPr>
        <w:tc>
          <w:tcPr>
            <w:tcW w:w="1397" w:type="pct"/>
            <w:tcBorders>
              <w:top w:val="single" w:sz="12" w:space="0" w:color="auto"/>
              <w:bottom w:val="single" w:sz="4" w:space="0" w:color="auto"/>
            </w:tcBorders>
            <w:shd w:val="clear" w:color="auto" w:fill="auto"/>
            <w:noWrap/>
            <w:hideMark/>
          </w:tcPr>
          <w:p w14:paraId="3000D680" w14:textId="77777777" w:rsidR="00CD692A" w:rsidRPr="000F65EF" w:rsidRDefault="00CD692A" w:rsidP="00BF2E4E">
            <w:pPr>
              <w:pStyle w:val="SingleTxtG"/>
              <w:keepNext/>
              <w:keepLines/>
              <w:tabs>
                <w:tab w:val="clear" w:pos="1701"/>
                <w:tab w:val="clear" w:pos="2268"/>
                <w:tab w:val="clear" w:pos="2835"/>
              </w:tabs>
              <w:spacing w:before="80" w:after="80" w:line="220" w:lineRule="exact"/>
              <w:ind w:left="283" w:right="0"/>
              <w:jc w:val="left"/>
              <w:rPr>
                <w:b/>
                <w:bCs/>
                <w:sz w:val="18"/>
                <w:lang w:val="en-GB"/>
              </w:rPr>
            </w:pPr>
            <w:r w:rsidRPr="000F65EF">
              <w:rPr>
                <w:b/>
                <w:bCs/>
                <w:sz w:val="18"/>
              </w:rPr>
              <w:t>Total</w:t>
            </w:r>
          </w:p>
        </w:tc>
        <w:tc>
          <w:tcPr>
            <w:tcW w:w="515" w:type="pct"/>
            <w:tcBorders>
              <w:top w:val="single" w:sz="12" w:space="0" w:color="auto"/>
              <w:bottom w:val="single" w:sz="4" w:space="0" w:color="auto"/>
            </w:tcBorders>
            <w:shd w:val="clear" w:color="auto" w:fill="auto"/>
            <w:noWrap/>
            <w:vAlign w:val="bottom"/>
            <w:hideMark/>
          </w:tcPr>
          <w:p w14:paraId="2B31ACCA" w14:textId="0809AA14"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17</w:t>
            </w:r>
            <w:r w:rsidR="000F65EF">
              <w:rPr>
                <w:b/>
                <w:bCs/>
                <w:sz w:val="18"/>
              </w:rPr>
              <w:t xml:space="preserve"> </w:t>
            </w:r>
            <w:r w:rsidRPr="000F65EF">
              <w:rPr>
                <w:b/>
                <w:bCs/>
                <w:sz w:val="18"/>
              </w:rPr>
              <w:t>517</w:t>
            </w:r>
            <w:r w:rsidR="000F65EF">
              <w:rPr>
                <w:b/>
                <w:bCs/>
                <w:sz w:val="18"/>
              </w:rPr>
              <w:t xml:space="preserve"> </w:t>
            </w:r>
            <w:r w:rsidRPr="000F65EF">
              <w:rPr>
                <w:b/>
                <w:bCs/>
                <w:sz w:val="18"/>
              </w:rPr>
              <w:t>349</w:t>
            </w:r>
          </w:p>
        </w:tc>
        <w:tc>
          <w:tcPr>
            <w:tcW w:w="442" w:type="pct"/>
            <w:tcBorders>
              <w:top w:val="single" w:sz="12" w:space="0" w:color="auto"/>
              <w:bottom w:val="single" w:sz="4" w:space="0" w:color="auto"/>
            </w:tcBorders>
            <w:shd w:val="clear" w:color="auto" w:fill="auto"/>
            <w:noWrap/>
            <w:vAlign w:val="bottom"/>
            <w:hideMark/>
          </w:tcPr>
          <w:p w14:paraId="2BBE9561" w14:textId="7777777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100</w:t>
            </w:r>
          </w:p>
        </w:tc>
        <w:tc>
          <w:tcPr>
            <w:tcW w:w="441" w:type="pct"/>
            <w:tcBorders>
              <w:top w:val="single" w:sz="12" w:space="0" w:color="auto"/>
              <w:bottom w:val="single" w:sz="4" w:space="0" w:color="auto"/>
            </w:tcBorders>
            <w:shd w:val="clear" w:color="auto" w:fill="auto"/>
            <w:noWrap/>
            <w:vAlign w:val="bottom"/>
            <w:hideMark/>
          </w:tcPr>
          <w:p w14:paraId="49757577" w14:textId="387B3D5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2</w:t>
            </w:r>
            <w:r w:rsidR="000F65EF">
              <w:rPr>
                <w:b/>
                <w:bCs/>
                <w:sz w:val="18"/>
              </w:rPr>
              <w:t xml:space="preserve"> </w:t>
            </w:r>
            <w:r w:rsidRPr="000F65EF">
              <w:rPr>
                <w:b/>
                <w:bCs/>
                <w:sz w:val="18"/>
              </w:rPr>
              <w:t>281</w:t>
            </w:r>
            <w:r w:rsidR="000F65EF">
              <w:rPr>
                <w:b/>
                <w:bCs/>
                <w:sz w:val="18"/>
              </w:rPr>
              <w:t xml:space="preserve"> </w:t>
            </w:r>
            <w:r w:rsidRPr="000F65EF">
              <w:rPr>
                <w:b/>
                <w:bCs/>
                <w:sz w:val="18"/>
              </w:rPr>
              <w:t>105</w:t>
            </w:r>
          </w:p>
        </w:tc>
        <w:tc>
          <w:tcPr>
            <w:tcW w:w="441" w:type="pct"/>
            <w:tcBorders>
              <w:top w:val="single" w:sz="12" w:space="0" w:color="auto"/>
              <w:bottom w:val="single" w:sz="4" w:space="0" w:color="auto"/>
            </w:tcBorders>
            <w:shd w:val="clear" w:color="auto" w:fill="auto"/>
            <w:noWrap/>
            <w:vAlign w:val="bottom"/>
            <w:hideMark/>
          </w:tcPr>
          <w:p w14:paraId="3A283E28" w14:textId="7777777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100</w:t>
            </w:r>
          </w:p>
        </w:tc>
        <w:tc>
          <w:tcPr>
            <w:tcW w:w="441" w:type="pct"/>
            <w:tcBorders>
              <w:top w:val="single" w:sz="12" w:space="0" w:color="auto"/>
              <w:bottom w:val="single" w:sz="4" w:space="0" w:color="auto"/>
            </w:tcBorders>
            <w:shd w:val="clear" w:color="auto" w:fill="auto"/>
            <w:noWrap/>
            <w:vAlign w:val="bottom"/>
            <w:hideMark/>
          </w:tcPr>
          <w:p w14:paraId="34E55BE6" w14:textId="2232C8FB"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7</w:t>
            </w:r>
            <w:r w:rsidR="000F65EF">
              <w:rPr>
                <w:b/>
                <w:bCs/>
                <w:sz w:val="18"/>
              </w:rPr>
              <w:t xml:space="preserve"> </w:t>
            </w:r>
            <w:r w:rsidRPr="000F65EF">
              <w:rPr>
                <w:b/>
                <w:bCs/>
                <w:sz w:val="18"/>
              </w:rPr>
              <w:t>503</w:t>
            </w:r>
            <w:r w:rsidR="000F65EF">
              <w:rPr>
                <w:b/>
                <w:bCs/>
                <w:sz w:val="18"/>
              </w:rPr>
              <w:t xml:space="preserve"> </w:t>
            </w:r>
            <w:r w:rsidRPr="000F65EF">
              <w:rPr>
                <w:b/>
                <w:bCs/>
                <w:sz w:val="18"/>
              </w:rPr>
              <w:t>594</w:t>
            </w:r>
          </w:p>
        </w:tc>
        <w:tc>
          <w:tcPr>
            <w:tcW w:w="442" w:type="pct"/>
            <w:tcBorders>
              <w:top w:val="single" w:sz="12" w:space="0" w:color="auto"/>
              <w:bottom w:val="single" w:sz="4" w:space="0" w:color="auto"/>
            </w:tcBorders>
            <w:shd w:val="clear" w:color="auto" w:fill="auto"/>
            <w:noWrap/>
            <w:vAlign w:val="bottom"/>
            <w:hideMark/>
          </w:tcPr>
          <w:p w14:paraId="5E035873" w14:textId="7777777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100</w:t>
            </w:r>
          </w:p>
        </w:tc>
        <w:tc>
          <w:tcPr>
            <w:tcW w:w="441" w:type="pct"/>
            <w:tcBorders>
              <w:top w:val="single" w:sz="12" w:space="0" w:color="auto"/>
              <w:bottom w:val="single" w:sz="4" w:space="0" w:color="auto"/>
            </w:tcBorders>
            <w:shd w:val="clear" w:color="auto" w:fill="auto"/>
            <w:noWrap/>
            <w:vAlign w:val="bottom"/>
            <w:hideMark/>
          </w:tcPr>
          <w:p w14:paraId="41652212" w14:textId="414DF33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7</w:t>
            </w:r>
            <w:r w:rsidR="000F65EF">
              <w:rPr>
                <w:b/>
                <w:bCs/>
                <w:sz w:val="18"/>
              </w:rPr>
              <w:t xml:space="preserve"> </w:t>
            </w:r>
            <w:r w:rsidRPr="000F65EF">
              <w:rPr>
                <w:b/>
                <w:bCs/>
                <w:sz w:val="18"/>
              </w:rPr>
              <w:t>732</w:t>
            </w:r>
            <w:r w:rsidR="000F65EF">
              <w:rPr>
                <w:b/>
                <w:bCs/>
                <w:sz w:val="18"/>
              </w:rPr>
              <w:t xml:space="preserve"> </w:t>
            </w:r>
            <w:r w:rsidRPr="000F65EF">
              <w:rPr>
                <w:b/>
                <w:bCs/>
                <w:sz w:val="18"/>
              </w:rPr>
              <w:t>650</w:t>
            </w:r>
          </w:p>
        </w:tc>
        <w:tc>
          <w:tcPr>
            <w:tcW w:w="440" w:type="pct"/>
            <w:tcBorders>
              <w:top w:val="single" w:sz="12" w:space="0" w:color="auto"/>
              <w:bottom w:val="single" w:sz="4" w:space="0" w:color="auto"/>
            </w:tcBorders>
            <w:shd w:val="clear" w:color="auto" w:fill="auto"/>
            <w:noWrap/>
            <w:vAlign w:val="bottom"/>
            <w:hideMark/>
          </w:tcPr>
          <w:p w14:paraId="5FD8F4C3" w14:textId="77777777" w:rsidR="00CD692A" w:rsidRPr="000F65EF" w:rsidRDefault="00CD692A" w:rsidP="00BF2E4E">
            <w:pPr>
              <w:pStyle w:val="SingleTxtG"/>
              <w:keepNext/>
              <w:keepLines/>
              <w:tabs>
                <w:tab w:val="clear" w:pos="1701"/>
                <w:tab w:val="clear" w:pos="2268"/>
                <w:tab w:val="clear" w:pos="2835"/>
              </w:tabs>
              <w:spacing w:before="80" w:after="80" w:line="220" w:lineRule="exact"/>
              <w:ind w:left="28" w:right="28"/>
              <w:jc w:val="right"/>
              <w:rPr>
                <w:b/>
                <w:bCs/>
                <w:sz w:val="18"/>
                <w:lang w:val="en-GB"/>
              </w:rPr>
            </w:pPr>
            <w:r w:rsidRPr="000F65EF">
              <w:rPr>
                <w:b/>
                <w:bCs/>
                <w:sz w:val="18"/>
              </w:rPr>
              <w:t>100</w:t>
            </w:r>
          </w:p>
        </w:tc>
      </w:tr>
      <w:tr w:rsidR="000F65EF" w:rsidRPr="000F65EF" w14:paraId="60263F5C" w14:textId="77777777" w:rsidTr="000F65EF">
        <w:trPr>
          <w:trHeight w:val="240"/>
        </w:trPr>
        <w:tc>
          <w:tcPr>
            <w:tcW w:w="1397" w:type="pct"/>
            <w:tcBorders>
              <w:top w:val="single" w:sz="4" w:space="0" w:color="auto"/>
            </w:tcBorders>
            <w:shd w:val="clear" w:color="auto" w:fill="auto"/>
            <w:noWrap/>
            <w:hideMark/>
          </w:tcPr>
          <w:p w14:paraId="3565770B"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0" w:right="0"/>
              <w:jc w:val="left"/>
              <w:rPr>
                <w:sz w:val="18"/>
              </w:rPr>
            </w:pPr>
            <w:r w:rsidRPr="000F65EF">
              <w:rPr>
                <w:sz w:val="18"/>
              </w:rPr>
              <w:t>Agua corriente canalizada hacia la vivienda</w:t>
            </w:r>
          </w:p>
        </w:tc>
        <w:tc>
          <w:tcPr>
            <w:tcW w:w="515" w:type="pct"/>
            <w:tcBorders>
              <w:top w:val="single" w:sz="4" w:space="0" w:color="auto"/>
            </w:tcBorders>
            <w:shd w:val="clear" w:color="auto" w:fill="auto"/>
            <w:noWrap/>
            <w:vAlign w:val="bottom"/>
            <w:hideMark/>
          </w:tcPr>
          <w:p w14:paraId="1094AA6E" w14:textId="328FB353"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510</w:t>
            </w:r>
            <w:r w:rsidR="000F65EF">
              <w:rPr>
                <w:sz w:val="18"/>
              </w:rPr>
              <w:t xml:space="preserve"> </w:t>
            </w:r>
            <w:r w:rsidRPr="000F65EF">
              <w:rPr>
                <w:sz w:val="18"/>
              </w:rPr>
              <w:t>986</w:t>
            </w:r>
          </w:p>
        </w:tc>
        <w:tc>
          <w:tcPr>
            <w:tcW w:w="442" w:type="pct"/>
            <w:tcBorders>
              <w:top w:val="single" w:sz="4" w:space="0" w:color="auto"/>
            </w:tcBorders>
            <w:shd w:val="clear" w:color="auto" w:fill="auto"/>
            <w:noWrap/>
            <w:vAlign w:val="bottom"/>
            <w:hideMark/>
          </w:tcPr>
          <w:p w14:paraId="325AF1BD"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3</w:t>
            </w:r>
          </w:p>
        </w:tc>
        <w:tc>
          <w:tcPr>
            <w:tcW w:w="441" w:type="pct"/>
            <w:tcBorders>
              <w:top w:val="single" w:sz="4" w:space="0" w:color="auto"/>
            </w:tcBorders>
            <w:shd w:val="clear" w:color="auto" w:fill="auto"/>
            <w:noWrap/>
            <w:vAlign w:val="bottom"/>
            <w:hideMark/>
          </w:tcPr>
          <w:p w14:paraId="65F8A6D7" w14:textId="09F1006F"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77</w:t>
            </w:r>
            <w:r w:rsidR="000F65EF">
              <w:rPr>
                <w:sz w:val="18"/>
              </w:rPr>
              <w:t xml:space="preserve"> </w:t>
            </w:r>
            <w:r w:rsidRPr="000F65EF">
              <w:rPr>
                <w:sz w:val="18"/>
              </w:rPr>
              <w:t>218</w:t>
            </w:r>
          </w:p>
        </w:tc>
        <w:tc>
          <w:tcPr>
            <w:tcW w:w="441" w:type="pct"/>
            <w:tcBorders>
              <w:top w:val="single" w:sz="4" w:space="0" w:color="auto"/>
            </w:tcBorders>
            <w:shd w:val="clear" w:color="auto" w:fill="auto"/>
            <w:noWrap/>
            <w:vAlign w:val="bottom"/>
            <w:hideMark/>
          </w:tcPr>
          <w:p w14:paraId="0F257561"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3,4</w:t>
            </w:r>
          </w:p>
        </w:tc>
        <w:tc>
          <w:tcPr>
            <w:tcW w:w="441" w:type="pct"/>
            <w:tcBorders>
              <w:top w:val="single" w:sz="4" w:space="0" w:color="auto"/>
            </w:tcBorders>
            <w:shd w:val="clear" w:color="auto" w:fill="auto"/>
            <w:noWrap/>
            <w:vAlign w:val="bottom"/>
            <w:hideMark/>
          </w:tcPr>
          <w:p w14:paraId="2B14B39A" w14:textId="0AC729DB"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196</w:t>
            </w:r>
            <w:r w:rsidR="000F65EF">
              <w:rPr>
                <w:sz w:val="18"/>
              </w:rPr>
              <w:t xml:space="preserve"> </w:t>
            </w:r>
            <w:r w:rsidRPr="000F65EF">
              <w:rPr>
                <w:sz w:val="18"/>
              </w:rPr>
              <w:t>629</w:t>
            </w:r>
          </w:p>
        </w:tc>
        <w:tc>
          <w:tcPr>
            <w:tcW w:w="442" w:type="pct"/>
            <w:tcBorders>
              <w:top w:val="single" w:sz="4" w:space="0" w:color="auto"/>
            </w:tcBorders>
            <w:shd w:val="clear" w:color="auto" w:fill="auto"/>
            <w:noWrap/>
            <w:vAlign w:val="bottom"/>
            <w:hideMark/>
          </w:tcPr>
          <w:p w14:paraId="543AD89C"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2,6</w:t>
            </w:r>
          </w:p>
        </w:tc>
        <w:tc>
          <w:tcPr>
            <w:tcW w:w="441" w:type="pct"/>
            <w:tcBorders>
              <w:top w:val="single" w:sz="4" w:space="0" w:color="auto"/>
            </w:tcBorders>
            <w:shd w:val="clear" w:color="auto" w:fill="auto"/>
            <w:noWrap/>
            <w:vAlign w:val="bottom"/>
            <w:hideMark/>
          </w:tcPr>
          <w:p w14:paraId="7094C551"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4</w:t>
            </w:r>
          </w:p>
        </w:tc>
        <w:tc>
          <w:tcPr>
            <w:tcW w:w="440" w:type="pct"/>
            <w:tcBorders>
              <w:top w:val="single" w:sz="4" w:space="0" w:color="auto"/>
            </w:tcBorders>
            <w:shd w:val="clear" w:color="auto" w:fill="auto"/>
            <w:noWrap/>
            <w:vAlign w:val="bottom"/>
            <w:hideMark/>
          </w:tcPr>
          <w:p w14:paraId="16629CCE" w14:textId="77777777" w:rsidR="00CD692A" w:rsidRPr="000F65EF" w:rsidRDefault="00CD692A" w:rsidP="00BF2E4E">
            <w:pPr>
              <w:pStyle w:val="SingleTxtG"/>
              <w:keepNext/>
              <w:keepLines/>
              <w:tabs>
                <w:tab w:val="clear" w:pos="1701"/>
                <w:tab w:val="clear" w:pos="2268"/>
                <w:tab w:val="clear" w:pos="2835"/>
              </w:tabs>
              <w:spacing w:before="40" w:after="40" w:line="220" w:lineRule="exact"/>
              <w:ind w:left="28" w:right="28"/>
              <w:jc w:val="right"/>
              <w:rPr>
                <w:sz w:val="18"/>
                <w:lang w:val="en-GB"/>
              </w:rPr>
            </w:pPr>
            <w:r w:rsidRPr="000F65EF">
              <w:rPr>
                <w:sz w:val="18"/>
              </w:rPr>
              <w:t>3,1</w:t>
            </w:r>
          </w:p>
        </w:tc>
      </w:tr>
      <w:tr w:rsidR="000F65EF" w:rsidRPr="000F65EF" w14:paraId="4A547B84" w14:textId="77777777" w:rsidTr="000F65EF">
        <w:trPr>
          <w:trHeight w:val="240"/>
        </w:trPr>
        <w:tc>
          <w:tcPr>
            <w:tcW w:w="1397" w:type="pct"/>
            <w:shd w:val="clear" w:color="auto" w:fill="auto"/>
            <w:noWrap/>
            <w:hideMark/>
          </w:tcPr>
          <w:p w14:paraId="365992ED"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Agua corriente canalizada hacia el patio o la parcela</w:t>
            </w:r>
          </w:p>
        </w:tc>
        <w:tc>
          <w:tcPr>
            <w:tcW w:w="515" w:type="pct"/>
            <w:shd w:val="clear" w:color="auto" w:fill="auto"/>
            <w:noWrap/>
            <w:vAlign w:val="bottom"/>
            <w:hideMark/>
          </w:tcPr>
          <w:p w14:paraId="25665428" w14:textId="7D648CD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r w:rsidR="000F65EF">
              <w:rPr>
                <w:sz w:val="18"/>
              </w:rPr>
              <w:t xml:space="preserve"> </w:t>
            </w:r>
            <w:r w:rsidRPr="000F65EF">
              <w:rPr>
                <w:sz w:val="18"/>
              </w:rPr>
              <w:t>293</w:t>
            </w:r>
            <w:r w:rsidR="000F65EF">
              <w:rPr>
                <w:sz w:val="18"/>
              </w:rPr>
              <w:t xml:space="preserve"> </w:t>
            </w:r>
            <w:r w:rsidRPr="000F65EF">
              <w:rPr>
                <w:sz w:val="18"/>
              </w:rPr>
              <w:t>387</w:t>
            </w:r>
          </w:p>
        </w:tc>
        <w:tc>
          <w:tcPr>
            <w:tcW w:w="442" w:type="pct"/>
            <w:shd w:val="clear" w:color="auto" w:fill="auto"/>
            <w:noWrap/>
            <w:vAlign w:val="bottom"/>
            <w:hideMark/>
          </w:tcPr>
          <w:p w14:paraId="61B75600"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7</w:t>
            </w:r>
          </w:p>
        </w:tc>
        <w:tc>
          <w:tcPr>
            <w:tcW w:w="441" w:type="pct"/>
            <w:shd w:val="clear" w:color="auto" w:fill="auto"/>
            <w:noWrap/>
            <w:vAlign w:val="bottom"/>
            <w:hideMark/>
          </w:tcPr>
          <w:p w14:paraId="516B252D" w14:textId="63803B8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306</w:t>
            </w:r>
            <w:r w:rsidR="000F65EF">
              <w:rPr>
                <w:sz w:val="18"/>
              </w:rPr>
              <w:t xml:space="preserve"> </w:t>
            </w:r>
            <w:r w:rsidRPr="000F65EF">
              <w:rPr>
                <w:sz w:val="18"/>
              </w:rPr>
              <w:t>059</w:t>
            </w:r>
          </w:p>
        </w:tc>
        <w:tc>
          <w:tcPr>
            <w:tcW w:w="441" w:type="pct"/>
            <w:shd w:val="clear" w:color="auto" w:fill="auto"/>
            <w:noWrap/>
            <w:vAlign w:val="bottom"/>
            <w:hideMark/>
          </w:tcPr>
          <w:p w14:paraId="167E0DC3"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13,4</w:t>
            </w:r>
          </w:p>
        </w:tc>
        <w:tc>
          <w:tcPr>
            <w:tcW w:w="441" w:type="pct"/>
            <w:shd w:val="clear" w:color="auto" w:fill="auto"/>
            <w:noWrap/>
            <w:vAlign w:val="bottom"/>
            <w:hideMark/>
          </w:tcPr>
          <w:p w14:paraId="7CE2A038" w14:textId="30A7586B"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499</w:t>
            </w:r>
            <w:r w:rsidR="000F65EF">
              <w:rPr>
                <w:sz w:val="18"/>
              </w:rPr>
              <w:t xml:space="preserve"> </w:t>
            </w:r>
            <w:r w:rsidRPr="000F65EF">
              <w:rPr>
                <w:sz w:val="18"/>
              </w:rPr>
              <w:t>771</w:t>
            </w:r>
          </w:p>
        </w:tc>
        <w:tc>
          <w:tcPr>
            <w:tcW w:w="442" w:type="pct"/>
            <w:shd w:val="clear" w:color="auto" w:fill="auto"/>
            <w:noWrap/>
            <w:vAlign w:val="bottom"/>
            <w:hideMark/>
          </w:tcPr>
          <w:p w14:paraId="1D296EE5"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6,7</w:t>
            </w:r>
          </w:p>
        </w:tc>
        <w:tc>
          <w:tcPr>
            <w:tcW w:w="441" w:type="pct"/>
            <w:shd w:val="clear" w:color="auto" w:fill="auto"/>
            <w:noWrap/>
            <w:vAlign w:val="bottom"/>
            <w:hideMark/>
          </w:tcPr>
          <w:p w14:paraId="5990060E" w14:textId="25ED2586"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487</w:t>
            </w:r>
            <w:r w:rsidR="000F65EF">
              <w:rPr>
                <w:sz w:val="18"/>
              </w:rPr>
              <w:t xml:space="preserve"> </w:t>
            </w:r>
            <w:r w:rsidRPr="000F65EF">
              <w:rPr>
                <w:sz w:val="18"/>
              </w:rPr>
              <w:t>557</w:t>
            </w:r>
          </w:p>
        </w:tc>
        <w:tc>
          <w:tcPr>
            <w:tcW w:w="440" w:type="pct"/>
            <w:shd w:val="clear" w:color="auto" w:fill="auto"/>
            <w:noWrap/>
            <w:vAlign w:val="bottom"/>
            <w:hideMark/>
          </w:tcPr>
          <w:p w14:paraId="05453024"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6,3</w:t>
            </w:r>
          </w:p>
        </w:tc>
      </w:tr>
      <w:tr w:rsidR="000F65EF" w:rsidRPr="000F65EF" w14:paraId="0BA3E837" w14:textId="77777777" w:rsidTr="000F65EF">
        <w:trPr>
          <w:trHeight w:val="240"/>
        </w:trPr>
        <w:tc>
          <w:tcPr>
            <w:tcW w:w="1397" w:type="pct"/>
            <w:shd w:val="clear" w:color="auto" w:fill="auto"/>
            <w:noWrap/>
            <w:hideMark/>
          </w:tcPr>
          <w:p w14:paraId="261357C3"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Fuentes de agua de la comunidad</w:t>
            </w:r>
          </w:p>
        </w:tc>
        <w:tc>
          <w:tcPr>
            <w:tcW w:w="515" w:type="pct"/>
            <w:shd w:val="clear" w:color="auto" w:fill="auto"/>
            <w:noWrap/>
            <w:vAlign w:val="bottom"/>
            <w:hideMark/>
          </w:tcPr>
          <w:p w14:paraId="4F1AA164" w14:textId="4051B769"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r w:rsidR="000F65EF">
              <w:rPr>
                <w:sz w:val="18"/>
              </w:rPr>
              <w:t xml:space="preserve"> </w:t>
            </w:r>
            <w:r w:rsidRPr="000F65EF">
              <w:rPr>
                <w:sz w:val="18"/>
              </w:rPr>
              <w:t>415</w:t>
            </w:r>
            <w:r w:rsidR="000F65EF">
              <w:rPr>
                <w:sz w:val="18"/>
              </w:rPr>
              <w:t xml:space="preserve"> </w:t>
            </w:r>
            <w:r w:rsidRPr="000F65EF">
              <w:rPr>
                <w:sz w:val="18"/>
              </w:rPr>
              <w:t>739</w:t>
            </w:r>
          </w:p>
        </w:tc>
        <w:tc>
          <w:tcPr>
            <w:tcW w:w="442" w:type="pct"/>
            <w:shd w:val="clear" w:color="auto" w:fill="auto"/>
            <w:noWrap/>
            <w:vAlign w:val="bottom"/>
            <w:hideMark/>
          </w:tcPr>
          <w:p w14:paraId="4BAE531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w:t>
            </w:r>
          </w:p>
        </w:tc>
        <w:tc>
          <w:tcPr>
            <w:tcW w:w="441" w:type="pct"/>
            <w:shd w:val="clear" w:color="auto" w:fill="auto"/>
            <w:noWrap/>
            <w:vAlign w:val="bottom"/>
            <w:hideMark/>
          </w:tcPr>
          <w:p w14:paraId="79B68A6B" w14:textId="0EC892CD"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142</w:t>
            </w:r>
            <w:r w:rsidR="000F65EF">
              <w:rPr>
                <w:sz w:val="18"/>
              </w:rPr>
              <w:t xml:space="preserve"> </w:t>
            </w:r>
            <w:r w:rsidRPr="000F65EF">
              <w:rPr>
                <w:sz w:val="18"/>
              </w:rPr>
              <w:t>737</w:t>
            </w:r>
          </w:p>
        </w:tc>
        <w:tc>
          <w:tcPr>
            <w:tcW w:w="441" w:type="pct"/>
            <w:shd w:val="clear" w:color="auto" w:fill="auto"/>
            <w:noWrap/>
            <w:vAlign w:val="bottom"/>
            <w:hideMark/>
          </w:tcPr>
          <w:p w14:paraId="6AE92EBE"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6,3</w:t>
            </w:r>
          </w:p>
        </w:tc>
        <w:tc>
          <w:tcPr>
            <w:tcW w:w="441" w:type="pct"/>
            <w:shd w:val="clear" w:color="auto" w:fill="auto"/>
            <w:noWrap/>
            <w:vAlign w:val="bottom"/>
            <w:hideMark/>
          </w:tcPr>
          <w:p w14:paraId="0EB3233E" w14:textId="0AA78B3C"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520</w:t>
            </w:r>
            <w:r w:rsidR="000F65EF">
              <w:rPr>
                <w:sz w:val="18"/>
              </w:rPr>
              <w:t xml:space="preserve"> </w:t>
            </w:r>
            <w:r w:rsidRPr="000F65EF">
              <w:rPr>
                <w:sz w:val="18"/>
              </w:rPr>
              <w:t>949</w:t>
            </w:r>
          </w:p>
        </w:tc>
        <w:tc>
          <w:tcPr>
            <w:tcW w:w="442" w:type="pct"/>
            <w:shd w:val="clear" w:color="auto" w:fill="auto"/>
            <w:noWrap/>
            <w:vAlign w:val="bottom"/>
            <w:hideMark/>
          </w:tcPr>
          <w:p w14:paraId="095BAA83"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6,9</w:t>
            </w:r>
          </w:p>
        </w:tc>
        <w:tc>
          <w:tcPr>
            <w:tcW w:w="441" w:type="pct"/>
            <w:shd w:val="clear" w:color="auto" w:fill="auto"/>
            <w:noWrap/>
            <w:vAlign w:val="bottom"/>
            <w:hideMark/>
          </w:tcPr>
          <w:p w14:paraId="1CA924C8" w14:textId="6FF94D1F"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752</w:t>
            </w:r>
            <w:r w:rsidR="000F65EF">
              <w:rPr>
                <w:sz w:val="18"/>
              </w:rPr>
              <w:t xml:space="preserve"> </w:t>
            </w:r>
            <w:r w:rsidRPr="000F65EF">
              <w:rPr>
                <w:sz w:val="18"/>
              </w:rPr>
              <w:t>053</w:t>
            </w:r>
          </w:p>
        </w:tc>
        <w:tc>
          <w:tcPr>
            <w:tcW w:w="440" w:type="pct"/>
            <w:shd w:val="clear" w:color="auto" w:fill="auto"/>
            <w:noWrap/>
            <w:vAlign w:val="bottom"/>
            <w:hideMark/>
          </w:tcPr>
          <w:p w14:paraId="1FF4C12F"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9,7</w:t>
            </w:r>
          </w:p>
        </w:tc>
      </w:tr>
      <w:tr w:rsidR="000F65EF" w:rsidRPr="000F65EF" w14:paraId="33DCF0C8" w14:textId="77777777" w:rsidTr="000F65EF">
        <w:trPr>
          <w:trHeight w:val="240"/>
        </w:trPr>
        <w:tc>
          <w:tcPr>
            <w:tcW w:w="1397" w:type="pct"/>
            <w:shd w:val="clear" w:color="auto" w:fill="auto"/>
            <w:noWrap/>
            <w:hideMark/>
          </w:tcPr>
          <w:p w14:paraId="2A104C0A"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Pozo cubierto</w:t>
            </w:r>
          </w:p>
        </w:tc>
        <w:tc>
          <w:tcPr>
            <w:tcW w:w="515" w:type="pct"/>
            <w:shd w:val="clear" w:color="auto" w:fill="auto"/>
            <w:noWrap/>
            <w:vAlign w:val="bottom"/>
            <w:hideMark/>
          </w:tcPr>
          <w:p w14:paraId="4E41EF1A" w14:textId="7AEF6926"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910</w:t>
            </w:r>
            <w:r w:rsidR="000F65EF">
              <w:rPr>
                <w:sz w:val="18"/>
              </w:rPr>
              <w:t xml:space="preserve"> </w:t>
            </w:r>
            <w:r w:rsidRPr="000F65EF">
              <w:rPr>
                <w:sz w:val="18"/>
              </w:rPr>
              <w:t>668</w:t>
            </w:r>
          </w:p>
        </w:tc>
        <w:tc>
          <w:tcPr>
            <w:tcW w:w="442" w:type="pct"/>
            <w:shd w:val="clear" w:color="auto" w:fill="auto"/>
            <w:noWrap/>
            <w:vAlign w:val="bottom"/>
            <w:hideMark/>
          </w:tcPr>
          <w:p w14:paraId="527E9F9F"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w:t>
            </w:r>
          </w:p>
        </w:tc>
        <w:tc>
          <w:tcPr>
            <w:tcW w:w="441" w:type="pct"/>
            <w:shd w:val="clear" w:color="auto" w:fill="auto"/>
            <w:noWrap/>
            <w:vAlign w:val="bottom"/>
            <w:hideMark/>
          </w:tcPr>
          <w:p w14:paraId="5EBE752B" w14:textId="540761F4"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114</w:t>
            </w:r>
            <w:r w:rsidR="000F65EF">
              <w:rPr>
                <w:sz w:val="18"/>
              </w:rPr>
              <w:t xml:space="preserve"> </w:t>
            </w:r>
            <w:r w:rsidRPr="000F65EF">
              <w:rPr>
                <w:sz w:val="18"/>
              </w:rPr>
              <w:t>547</w:t>
            </w:r>
          </w:p>
        </w:tc>
        <w:tc>
          <w:tcPr>
            <w:tcW w:w="441" w:type="pct"/>
            <w:shd w:val="clear" w:color="auto" w:fill="auto"/>
            <w:noWrap/>
            <w:vAlign w:val="bottom"/>
            <w:hideMark/>
          </w:tcPr>
          <w:p w14:paraId="4BA1EDBA"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w:t>
            </w:r>
          </w:p>
        </w:tc>
        <w:tc>
          <w:tcPr>
            <w:tcW w:w="441" w:type="pct"/>
            <w:shd w:val="clear" w:color="auto" w:fill="auto"/>
            <w:noWrap/>
            <w:vAlign w:val="bottom"/>
            <w:hideMark/>
          </w:tcPr>
          <w:p w14:paraId="1E29E31F" w14:textId="1F22753E"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550</w:t>
            </w:r>
            <w:r w:rsidR="000F65EF">
              <w:rPr>
                <w:sz w:val="18"/>
              </w:rPr>
              <w:t xml:space="preserve"> </w:t>
            </w:r>
            <w:r w:rsidRPr="000F65EF">
              <w:rPr>
                <w:sz w:val="18"/>
              </w:rPr>
              <w:t>690</w:t>
            </w:r>
          </w:p>
        </w:tc>
        <w:tc>
          <w:tcPr>
            <w:tcW w:w="442" w:type="pct"/>
            <w:shd w:val="clear" w:color="auto" w:fill="auto"/>
            <w:noWrap/>
            <w:vAlign w:val="bottom"/>
            <w:hideMark/>
          </w:tcPr>
          <w:p w14:paraId="47FADAFA"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7,3</w:t>
            </w:r>
          </w:p>
        </w:tc>
        <w:tc>
          <w:tcPr>
            <w:tcW w:w="441" w:type="pct"/>
            <w:shd w:val="clear" w:color="auto" w:fill="auto"/>
            <w:noWrap/>
            <w:vAlign w:val="bottom"/>
            <w:hideMark/>
          </w:tcPr>
          <w:p w14:paraId="7DAF83EE" w14:textId="66BC2BAC"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245</w:t>
            </w:r>
            <w:r w:rsidR="000F65EF">
              <w:rPr>
                <w:sz w:val="18"/>
              </w:rPr>
              <w:t xml:space="preserve"> </w:t>
            </w:r>
            <w:r w:rsidRPr="000F65EF">
              <w:rPr>
                <w:sz w:val="18"/>
              </w:rPr>
              <w:t>431</w:t>
            </w:r>
          </w:p>
        </w:tc>
        <w:tc>
          <w:tcPr>
            <w:tcW w:w="440" w:type="pct"/>
            <w:shd w:val="clear" w:color="auto" w:fill="auto"/>
            <w:noWrap/>
            <w:vAlign w:val="bottom"/>
            <w:hideMark/>
          </w:tcPr>
          <w:p w14:paraId="51653CDE"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3,2</w:t>
            </w:r>
          </w:p>
        </w:tc>
      </w:tr>
      <w:tr w:rsidR="000F65EF" w:rsidRPr="000F65EF" w14:paraId="4A31A3D3" w14:textId="77777777" w:rsidTr="000F65EF">
        <w:trPr>
          <w:trHeight w:val="240"/>
        </w:trPr>
        <w:tc>
          <w:tcPr>
            <w:tcW w:w="1397" w:type="pct"/>
            <w:shd w:val="clear" w:color="auto" w:fill="auto"/>
            <w:noWrap/>
            <w:hideMark/>
          </w:tcPr>
          <w:p w14:paraId="3E0E0438"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Pozo perforado</w:t>
            </w:r>
          </w:p>
        </w:tc>
        <w:tc>
          <w:tcPr>
            <w:tcW w:w="515" w:type="pct"/>
            <w:shd w:val="clear" w:color="auto" w:fill="auto"/>
            <w:noWrap/>
            <w:vAlign w:val="bottom"/>
            <w:hideMark/>
          </w:tcPr>
          <w:p w14:paraId="3AC4B0D6" w14:textId="344E6159"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10</w:t>
            </w:r>
            <w:r w:rsidR="000F65EF">
              <w:rPr>
                <w:sz w:val="18"/>
              </w:rPr>
              <w:t xml:space="preserve"> </w:t>
            </w:r>
            <w:r w:rsidRPr="000F65EF">
              <w:rPr>
                <w:sz w:val="18"/>
              </w:rPr>
              <w:t>800</w:t>
            </w:r>
            <w:r w:rsidR="000F65EF">
              <w:rPr>
                <w:sz w:val="18"/>
              </w:rPr>
              <w:t xml:space="preserve"> </w:t>
            </w:r>
            <w:r w:rsidRPr="000F65EF">
              <w:rPr>
                <w:sz w:val="18"/>
              </w:rPr>
              <w:t>408</w:t>
            </w:r>
          </w:p>
        </w:tc>
        <w:tc>
          <w:tcPr>
            <w:tcW w:w="442" w:type="pct"/>
            <w:shd w:val="clear" w:color="auto" w:fill="auto"/>
            <w:noWrap/>
            <w:vAlign w:val="bottom"/>
            <w:hideMark/>
          </w:tcPr>
          <w:p w14:paraId="26C0C913"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62</w:t>
            </w:r>
          </w:p>
        </w:tc>
        <w:tc>
          <w:tcPr>
            <w:tcW w:w="441" w:type="pct"/>
            <w:shd w:val="clear" w:color="auto" w:fill="auto"/>
            <w:noWrap/>
            <w:vAlign w:val="bottom"/>
            <w:hideMark/>
          </w:tcPr>
          <w:p w14:paraId="4CEEB4BE" w14:textId="3A088A62"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r w:rsidR="000F65EF">
              <w:rPr>
                <w:sz w:val="18"/>
              </w:rPr>
              <w:t xml:space="preserve"> </w:t>
            </w:r>
            <w:r w:rsidRPr="000F65EF">
              <w:rPr>
                <w:sz w:val="18"/>
              </w:rPr>
              <w:t>253</w:t>
            </w:r>
            <w:r w:rsidR="000F65EF">
              <w:rPr>
                <w:sz w:val="18"/>
              </w:rPr>
              <w:t xml:space="preserve"> </w:t>
            </w:r>
            <w:r w:rsidRPr="000F65EF">
              <w:rPr>
                <w:sz w:val="18"/>
              </w:rPr>
              <w:t>283</w:t>
            </w:r>
          </w:p>
        </w:tc>
        <w:tc>
          <w:tcPr>
            <w:tcW w:w="441" w:type="pct"/>
            <w:shd w:val="clear" w:color="auto" w:fill="auto"/>
            <w:noWrap/>
            <w:vAlign w:val="bottom"/>
            <w:hideMark/>
          </w:tcPr>
          <w:p w14:paraId="7C98CADD"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54,9</w:t>
            </w:r>
          </w:p>
        </w:tc>
        <w:tc>
          <w:tcPr>
            <w:tcW w:w="441" w:type="pct"/>
            <w:shd w:val="clear" w:color="auto" w:fill="auto"/>
            <w:noWrap/>
            <w:vAlign w:val="bottom"/>
            <w:hideMark/>
          </w:tcPr>
          <w:p w14:paraId="0CAB8B6E" w14:textId="53D0EA43"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w:t>
            </w:r>
            <w:r w:rsidR="000F65EF">
              <w:rPr>
                <w:sz w:val="18"/>
              </w:rPr>
              <w:t xml:space="preserve"> </w:t>
            </w:r>
            <w:r w:rsidRPr="000F65EF">
              <w:rPr>
                <w:sz w:val="18"/>
              </w:rPr>
              <w:t>518</w:t>
            </w:r>
            <w:r w:rsidR="000F65EF">
              <w:rPr>
                <w:sz w:val="18"/>
              </w:rPr>
              <w:t xml:space="preserve"> </w:t>
            </w:r>
            <w:r w:rsidRPr="000F65EF">
              <w:rPr>
                <w:sz w:val="18"/>
              </w:rPr>
              <w:t>415</w:t>
            </w:r>
          </w:p>
        </w:tc>
        <w:tc>
          <w:tcPr>
            <w:tcW w:w="442" w:type="pct"/>
            <w:shd w:val="clear" w:color="auto" w:fill="auto"/>
            <w:noWrap/>
            <w:vAlign w:val="bottom"/>
            <w:hideMark/>
          </w:tcPr>
          <w:p w14:paraId="2C10BA47"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60,2</w:t>
            </w:r>
          </w:p>
        </w:tc>
        <w:tc>
          <w:tcPr>
            <w:tcW w:w="441" w:type="pct"/>
            <w:shd w:val="clear" w:color="auto" w:fill="auto"/>
            <w:noWrap/>
            <w:vAlign w:val="bottom"/>
            <w:hideMark/>
          </w:tcPr>
          <w:p w14:paraId="18C6FBEE" w14:textId="7220BE09"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w:t>
            </w:r>
            <w:r w:rsidR="000F65EF">
              <w:rPr>
                <w:sz w:val="18"/>
              </w:rPr>
              <w:t xml:space="preserve"> </w:t>
            </w:r>
            <w:r w:rsidRPr="000F65EF">
              <w:rPr>
                <w:sz w:val="18"/>
              </w:rPr>
              <w:t>028</w:t>
            </w:r>
            <w:r w:rsidR="000F65EF">
              <w:rPr>
                <w:sz w:val="18"/>
              </w:rPr>
              <w:t xml:space="preserve"> </w:t>
            </w:r>
            <w:r w:rsidRPr="000F65EF">
              <w:rPr>
                <w:sz w:val="18"/>
              </w:rPr>
              <w:t>710</w:t>
            </w:r>
          </w:p>
        </w:tc>
        <w:tc>
          <w:tcPr>
            <w:tcW w:w="440" w:type="pct"/>
            <w:shd w:val="clear" w:color="auto" w:fill="auto"/>
            <w:noWrap/>
            <w:vAlign w:val="bottom"/>
            <w:hideMark/>
          </w:tcPr>
          <w:p w14:paraId="24BB8D8A"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65</w:t>
            </w:r>
          </w:p>
        </w:tc>
      </w:tr>
      <w:tr w:rsidR="000F65EF" w:rsidRPr="000F65EF" w14:paraId="754FF677" w14:textId="77777777" w:rsidTr="000F65EF">
        <w:trPr>
          <w:trHeight w:val="240"/>
        </w:trPr>
        <w:tc>
          <w:tcPr>
            <w:tcW w:w="1397" w:type="pct"/>
            <w:shd w:val="clear" w:color="auto" w:fill="auto"/>
            <w:noWrap/>
            <w:hideMark/>
          </w:tcPr>
          <w:p w14:paraId="6D66B46F"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Pozos no cubiertos</w:t>
            </w:r>
          </w:p>
        </w:tc>
        <w:tc>
          <w:tcPr>
            <w:tcW w:w="515" w:type="pct"/>
            <w:shd w:val="clear" w:color="auto" w:fill="auto"/>
            <w:noWrap/>
            <w:vAlign w:val="bottom"/>
            <w:hideMark/>
          </w:tcPr>
          <w:p w14:paraId="1824FDEA" w14:textId="1A92D10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r w:rsidR="000F65EF">
              <w:rPr>
                <w:sz w:val="18"/>
              </w:rPr>
              <w:t xml:space="preserve"> </w:t>
            </w:r>
            <w:r w:rsidRPr="000F65EF">
              <w:rPr>
                <w:sz w:val="18"/>
              </w:rPr>
              <w:t>402</w:t>
            </w:r>
            <w:r w:rsidR="000F65EF">
              <w:rPr>
                <w:sz w:val="18"/>
              </w:rPr>
              <w:t xml:space="preserve"> </w:t>
            </w:r>
            <w:r w:rsidRPr="000F65EF">
              <w:rPr>
                <w:sz w:val="18"/>
              </w:rPr>
              <w:t>367</w:t>
            </w:r>
          </w:p>
        </w:tc>
        <w:tc>
          <w:tcPr>
            <w:tcW w:w="442" w:type="pct"/>
            <w:shd w:val="clear" w:color="auto" w:fill="auto"/>
            <w:noWrap/>
            <w:vAlign w:val="bottom"/>
            <w:hideMark/>
          </w:tcPr>
          <w:p w14:paraId="5E2DA996"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w:t>
            </w:r>
          </w:p>
        </w:tc>
        <w:tc>
          <w:tcPr>
            <w:tcW w:w="441" w:type="pct"/>
            <w:shd w:val="clear" w:color="auto" w:fill="auto"/>
            <w:noWrap/>
            <w:vAlign w:val="bottom"/>
            <w:hideMark/>
          </w:tcPr>
          <w:p w14:paraId="18CFC672" w14:textId="3DDCC722"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136</w:t>
            </w:r>
            <w:r w:rsidR="000F65EF">
              <w:rPr>
                <w:sz w:val="18"/>
              </w:rPr>
              <w:t xml:space="preserve"> </w:t>
            </w:r>
            <w:r w:rsidRPr="000F65EF">
              <w:rPr>
                <w:sz w:val="18"/>
              </w:rPr>
              <w:t>937</w:t>
            </w:r>
          </w:p>
        </w:tc>
        <w:tc>
          <w:tcPr>
            <w:tcW w:w="441" w:type="pct"/>
            <w:shd w:val="clear" w:color="auto" w:fill="auto"/>
            <w:noWrap/>
            <w:vAlign w:val="bottom"/>
            <w:hideMark/>
          </w:tcPr>
          <w:p w14:paraId="75FCCCEA"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w:t>
            </w:r>
          </w:p>
        </w:tc>
        <w:tc>
          <w:tcPr>
            <w:tcW w:w="441" w:type="pct"/>
            <w:shd w:val="clear" w:color="auto" w:fill="auto"/>
            <w:noWrap/>
            <w:vAlign w:val="bottom"/>
            <w:hideMark/>
          </w:tcPr>
          <w:p w14:paraId="7E4E347A" w14:textId="2597492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745</w:t>
            </w:r>
            <w:r w:rsidR="000F65EF">
              <w:rPr>
                <w:sz w:val="18"/>
              </w:rPr>
              <w:t xml:space="preserve"> </w:t>
            </w:r>
            <w:r w:rsidRPr="000F65EF">
              <w:rPr>
                <w:sz w:val="18"/>
              </w:rPr>
              <w:t>593</w:t>
            </w:r>
          </w:p>
        </w:tc>
        <w:tc>
          <w:tcPr>
            <w:tcW w:w="442" w:type="pct"/>
            <w:shd w:val="clear" w:color="auto" w:fill="auto"/>
            <w:noWrap/>
            <w:vAlign w:val="bottom"/>
            <w:hideMark/>
          </w:tcPr>
          <w:p w14:paraId="194015BF"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9,9</w:t>
            </w:r>
          </w:p>
        </w:tc>
        <w:tc>
          <w:tcPr>
            <w:tcW w:w="441" w:type="pct"/>
            <w:shd w:val="clear" w:color="auto" w:fill="auto"/>
            <w:noWrap/>
            <w:vAlign w:val="bottom"/>
            <w:hideMark/>
          </w:tcPr>
          <w:p w14:paraId="4A8F09BE" w14:textId="6FE6442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519</w:t>
            </w:r>
            <w:r w:rsidR="000F65EF">
              <w:rPr>
                <w:sz w:val="18"/>
              </w:rPr>
              <w:t xml:space="preserve"> </w:t>
            </w:r>
            <w:r w:rsidRPr="000F65EF">
              <w:rPr>
                <w:sz w:val="18"/>
              </w:rPr>
              <w:t>837</w:t>
            </w:r>
          </w:p>
        </w:tc>
        <w:tc>
          <w:tcPr>
            <w:tcW w:w="440" w:type="pct"/>
            <w:shd w:val="clear" w:color="auto" w:fill="auto"/>
            <w:noWrap/>
            <w:vAlign w:val="bottom"/>
            <w:hideMark/>
          </w:tcPr>
          <w:p w14:paraId="6C759131"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6,7</w:t>
            </w:r>
          </w:p>
        </w:tc>
      </w:tr>
      <w:tr w:rsidR="000F65EF" w:rsidRPr="000F65EF" w14:paraId="261C8A55" w14:textId="77777777" w:rsidTr="000F65EF">
        <w:trPr>
          <w:trHeight w:val="240"/>
        </w:trPr>
        <w:tc>
          <w:tcPr>
            <w:tcW w:w="1397" w:type="pct"/>
            <w:shd w:val="clear" w:color="auto" w:fill="auto"/>
            <w:noWrap/>
            <w:hideMark/>
          </w:tcPr>
          <w:p w14:paraId="17AF2234"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Manantial</w:t>
            </w:r>
          </w:p>
        </w:tc>
        <w:tc>
          <w:tcPr>
            <w:tcW w:w="515" w:type="pct"/>
            <w:shd w:val="clear" w:color="auto" w:fill="auto"/>
            <w:noWrap/>
            <w:vAlign w:val="bottom"/>
            <w:hideMark/>
          </w:tcPr>
          <w:p w14:paraId="34BFD8D1" w14:textId="552568B5"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96</w:t>
            </w:r>
            <w:r w:rsidR="000F65EF">
              <w:rPr>
                <w:sz w:val="18"/>
              </w:rPr>
              <w:t xml:space="preserve"> </w:t>
            </w:r>
            <w:r w:rsidRPr="000F65EF">
              <w:rPr>
                <w:sz w:val="18"/>
              </w:rPr>
              <w:t>997</w:t>
            </w:r>
          </w:p>
        </w:tc>
        <w:tc>
          <w:tcPr>
            <w:tcW w:w="442" w:type="pct"/>
            <w:shd w:val="clear" w:color="auto" w:fill="auto"/>
            <w:noWrap/>
            <w:vAlign w:val="bottom"/>
            <w:hideMark/>
          </w:tcPr>
          <w:p w14:paraId="3EED9F0B"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p>
        </w:tc>
        <w:tc>
          <w:tcPr>
            <w:tcW w:w="441" w:type="pct"/>
            <w:shd w:val="clear" w:color="auto" w:fill="auto"/>
            <w:noWrap/>
            <w:vAlign w:val="bottom"/>
            <w:hideMark/>
          </w:tcPr>
          <w:p w14:paraId="3CFB5006" w14:textId="77193DA6"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15</w:t>
            </w:r>
            <w:r w:rsidR="000F65EF">
              <w:rPr>
                <w:sz w:val="18"/>
              </w:rPr>
              <w:t xml:space="preserve"> </w:t>
            </w:r>
            <w:r w:rsidRPr="000F65EF">
              <w:rPr>
                <w:sz w:val="18"/>
              </w:rPr>
              <w:t>348</w:t>
            </w:r>
          </w:p>
        </w:tc>
        <w:tc>
          <w:tcPr>
            <w:tcW w:w="441" w:type="pct"/>
            <w:shd w:val="clear" w:color="auto" w:fill="auto"/>
            <w:noWrap/>
            <w:vAlign w:val="bottom"/>
            <w:hideMark/>
          </w:tcPr>
          <w:p w14:paraId="1039C6A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0,7</w:t>
            </w:r>
          </w:p>
        </w:tc>
        <w:tc>
          <w:tcPr>
            <w:tcW w:w="441" w:type="pct"/>
            <w:shd w:val="clear" w:color="auto" w:fill="auto"/>
            <w:noWrap/>
            <w:vAlign w:val="bottom"/>
            <w:hideMark/>
          </w:tcPr>
          <w:p w14:paraId="1386D1A8" w14:textId="3BBAF77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38</w:t>
            </w:r>
            <w:r w:rsidR="000F65EF">
              <w:rPr>
                <w:sz w:val="18"/>
              </w:rPr>
              <w:t xml:space="preserve"> </w:t>
            </w:r>
            <w:r w:rsidRPr="000F65EF">
              <w:rPr>
                <w:sz w:val="18"/>
              </w:rPr>
              <w:t>057</w:t>
            </w:r>
          </w:p>
        </w:tc>
        <w:tc>
          <w:tcPr>
            <w:tcW w:w="442" w:type="pct"/>
            <w:shd w:val="clear" w:color="auto" w:fill="auto"/>
            <w:noWrap/>
            <w:vAlign w:val="bottom"/>
            <w:hideMark/>
          </w:tcPr>
          <w:p w14:paraId="3625DD7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0,5</w:t>
            </w:r>
          </w:p>
        </w:tc>
        <w:tc>
          <w:tcPr>
            <w:tcW w:w="441" w:type="pct"/>
            <w:shd w:val="clear" w:color="auto" w:fill="auto"/>
            <w:noWrap/>
            <w:vAlign w:val="bottom"/>
            <w:hideMark/>
          </w:tcPr>
          <w:p w14:paraId="65AE0A5A" w14:textId="4D6F8A3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43</w:t>
            </w:r>
            <w:r w:rsidR="000F65EF">
              <w:rPr>
                <w:sz w:val="18"/>
              </w:rPr>
              <w:t xml:space="preserve"> </w:t>
            </w:r>
            <w:r w:rsidRPr="000F65EF">
              <w:rPr>
                <w:sz w:val="18"/>
              </w:rPr>
              <w:t>592</w:t>
            </w:r>
          </w:p>
        </w:tc>
        <w:tc>
          <w:tcPr>
            <w:tcW w:w="440" w:type="pct"/>
            <w:shd w:val="clear" w:color="auto" w:fill="auto"/>
            <w:noWrap/>
            <w:vAlign w:val="bottom"/>
            <w:hideMark/>
          </w:tcPr>
          <w:p w14:paraId="60CFFCA7"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0,6</w:t>
            </w:r>
          </w:p>
        </w:tc>
      </w:tr>
      <w:tr w:rsidR="000F65EF" w:rsidRPr="000F65EF" w14:paraId="15598CC0" w14:textId="77777777" w:rsidTr="000F65EF">
        <w:trPr>
          <w:trHeight w:val="240"/>
        </w:trPr>
        <w:tc>
          <w:tcPr>
            <w:tcW w:w="1397" w:type="pct"/>
            <w:shd w:val="clear" w:color="auto" w:fill="auto"/>
            <w:noWrap/>
            <w:hideMark/>
          </w:tcPr>
          <w:p w14:paraId="2FF3956E"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Río o arroyo</w:t>
            </w:r>
          </w:p>
        </w:tc>
        <w:tc>
          <w:tcPr>
            <w:tcW w:w="515" w:type="pct"/>
            <w:shd w:val="clear" w:color="auto" w:fill="auto"/>
            <w:noWrap/>
            <w:vAlign w:val="bottom"/>
            <w:hideMark/>
          </w:tcPr>
          <w:p w14:paraId="2EB8596E" w14:textId="417846DC"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870</w:t>
            </w:r>
            <w:r w:rsidR="000F65EF">
              <w:rPr>
                <w:sz w:val="18"/>
              </w:rPr>
              <w:t xml:space="preserve"> </w:t>
            </w:r>
            <w:r w:rsidRPr="000F65EF">
              <w:rPr>
                <w:sz w:val="18"/>
              </w:rPr>
              <w:t>667</w:t>
            </w:r>
          </w:p>
        </w:tc>
        <w:tc>
          <w:tcPr>
            <w:tcW w:w="442" w:type="pct"/>
            <w:shd w:val="clear" w:color="auto" w:fill="auto"/>
            <w:noWrap/>
            <w:vAlign w:val="bottom"/>
            <w:hideMark/>
          </w:tcPr>
          <w:p w14:paraId="714B9AD6"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w:t>
            </w:r>
          </w:p>
        </w:tc>
        <w:tc>
          <w:tcPr>
            <w:tcW w:w="441" w:type="pct"/>
            <w:shd w:val="clear" w:color="auto" w:fill="auto"/>
            <w:noWrap/>
            <w:vAlign w:val="bottom"/>
            <w:hideMark/>
          </w:tcPr>
          <w:p w14:paraId="7C8007B0" w14:textId="31FDEF8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193</w:t>
            </w:r>
            <w:r w:rsidR="000F65EF">
              <w:rPr>
                <w:sz w:val="18"/>
              </w:rPr>
              <w:t xml:space="preserve"> </w:t>
            </w:r>
            <w:r w:rsidRPr="000F65EF">
              <w:rPr>
                <w:sz w:val="18"/>
              </w:rPr>
              <w:t>717</w:t>
            </w:r>
          </w:p>
        </w:tc>
        <w:tc>
          <w:tcPr>
            <w:tcW w:w="441" w:type="pct"/>
            <w:shd w:val="clear" w:color="auto" w:fill="auto"/>
            <w:noWrap/>
            <w:vAlign w:val="bottom"/>
            <w:hideMark/>
          </w:tcPr>
          <w:p w14:paraId="56B3E632"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8,5</w:t>
            </w:r>
          </w:p>
        </w:tc>
        <w:tc>
          <w:tcPr>
            <w:tcW w:w="441" w:type="pct"/>
            <w:shd w:val="clear" w:color="auto" w:fill="auto"/>
            <w:noWrap/>
            <w:vAlign w:val="bottom"/>
            <w:hideMark/>
          </w:tcPr>
          <w:p w14:paraId="4E92DE5C" w14:textId="65A06D14"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366</w:t>
            </w:r>
            <w:r w:rsidR="000F65EF">
              <w:rPr>
                <w:sz w:val="18"/>
              </w:rPr>
              <w:t xml:space="preserve"> </w:t>
            </w:r>
            <w:r w:rsidRPr="000F65EF">
              <w:rPr>
                <w:sz w:val="18"/>
              </w:rPr>
              <w:t>383</w:t>
            </w:r>
          </w:p>
        </w:tc>
        <w:tc>
          <w:tcPr>
            <w:tcW w:w="442" w:type="pct"/>
            <w:shd w:val="clear" w:color="auto" w:fill="auto"/>
            <w:noWrap/>
            <w:vAlign w:val="bottom"/>
            <w:hideMark/>
          </w:tcPr>
          <w:p w14:paraId="73695339"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441" w:type="pct"/>
            <w:shd w:val="clear" w:color="auto" w:fill="auto"/>
            <w:noWrap/>
            <w:vAlign w:val="bottom"/>
            <w:hideMark/>
          </w:tcPr>
          <w:p w14:paraId="2AAAAFD0" w14:textId="5CEF5402"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310</w:t>
            </w:r>
            <w:r w:rsidR="000F65EF">
              <w:rPr>
                <w:sz w:val="18"/>
              </w:rPr>
              <w:t xml:space="preserve"> </w:t>
            </w:r>
            <w:r w:rsidRPr="000F65EF">
              <w:rPr>
                <w:sz w:val="18"/>
              </w:rPr>
              <w:t>567</w:t>
            </w:r>
          </w:p>
        </w:tc>
        <w:tc>
          <w:tcPr>
            <w:tcW w:w="440" w:type="pct"/>
            <w:shd w:val="clear" w:color="auto" w:fill="auto"/>
            <w:noWrap/>
            <w:vAlign w:val="bottom"/>
            <w:hideMark/>
          </w:tcPr>
          <w:p w14:paraId="71278D02"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w:t>
            </w:r>
          </w:p>
        </w:tc>
      </w:tr>
      <w:tr w:rsidR="000F65EF" w:rsidRPr="000F65EF" w14:paraId="4E68D3C5" w14:textId="77777777" w:rsidTr="000F65EF">
        <w:trPr>
          <w:trHeight w:val="240"/>
        </w:trPr>
        <w:tc>
          <w:tcPr>
            <w:tcW w:w="1397" w:type="pct"/>
            <w:shd w:val="clear" w:color="auto" w:fill="auto"/>
            <w:noWrap/>
            <w:hideMark/>
          </w:tcPr>
          <w:p w14:paraId="27796184"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Estanque o lago</w:t>
            </w:r>
          </w:p>
        </w:tc>
        <w:tc>
          <w:tcPr>
            <w:tcW w:w="515" w:type="pct"/>
            <w:shd w:val="clear" w:color="auto" w:fill="auto"/>
            <w:noWrap/>
            <w:vAlign w:val="bottom"/>
            <w:hideMark/>
          </w:tcPr>
          <w:p w14:paraId="769ECE88" w14:textId="38D33ED4"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86</w:t>
            </w:r>
            <w:r w:rsidR="000F65EF">
              <w:rPr>
                <w:sz w:val="18"/>
              </w:rPr>
              <w:t xml:space="preserve"> </w:t>
            </w:r>
            <w:r w:rsidRPr="000F65EF">
              <w:rPr>
                <w:sz w:val="18"/>
              </w:rPr>
              <w:t>066</w:t>
            </w:r>
          </w:p>
        </w:tc>
        <w:tc>
          <w:tcPr>
            <w:tcW w:w="442" w:type="pct"/>
            <w:shd w:val="clear" w:color="auto" w:fill="auto"/>
            <w:noWrap/>
            <w:vAlign w:val="bottom"/>
            <w:hideMark/>
          </w:tcPr>
          <w:p w14:paraId="45661F7B"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p>
        </w:tc>
        <w:tc>
          <w:tcPr>
            <w:tcW w:w="441" w:type="pct"/>
            <w:shd w:val="clear" w:color="auto" w:fill="auto"/>
            <w:noWrap/>
            <w:vAlign w:val="bottom"/>
            <w:hideMark/>
          </w:tcPr>
          <w:p w14:paraId="79D2970F" w14:textId="6F0870C3"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21</w:t>
            </w:r>
            <w:r w:rsidR="000F65EF">
              <w:rPr>
                <w:sz w:val="18"/>
              </w:rPr>
              <w:t xml:space="preserve"> </w:t>
            </w:r>
            <w:r w:rsidRPr="000F65EF">
              <w:rPr>
                <w:sz w:val="18"/>
              </w:rPr>
              <w:t>818</w:t>
            </w:r>
          </w:p>
        </w:tc>
        <w:tc>
          <w:tcPr>
            <w:tcW w:w="441" w:type="pct"/>
            <w:shd w:val="clear" w:color="auto" w:fill="auto"/>
            <w:noWrap/>
            <w:vAlign w:val="bottom"/>
            <w:hideMark/>
          </w:tcPr>
          <w:p w14:paraId="1EFA1170"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p>
        </w:tc>
        <w:tc>
          <w:tcPr>
            <w:tcW w:w="441" w:type="pct"/>
            <w:shd w:val="clear" w:color="auto" w:fill="auto"/>
            <w:noWrap/>
            <w:vAlign w:val="bottom"/>
            <w:hideMark/>
          </w:tcPr>
          <w:p w14:paraId="7A7BBA3E" w14:textId="33F7B61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19</w:t>
            </w:r>
            <w:r w:rsidR="000F65EF">
              <w:rPr>
                <w:sz w:val="18"/>
              </w:rPr>
              <w:t xml:space="preserve"> </w:t>
            </w:r>
            <w:r w:rsidRPr="000F65EF">
              <w:rPr>
                <w:sz w:val="18"/>
              </w:rPr>
              <w:t>008</w:t>
            </w:r>
          </w:p>
        </w:tc>
        <w:tc>
          <w:tcPr>
            <w:tcW w:w="442" w:type="pct"/>
            <w:shd w:val="clear" w:color="auto" w:fill="auto"/>
            <w:noWrap/>
            <w:vAlign w:val="bottom"/>
            <w:hideMark/>
          </w:tcPr>
          <w:p w14:paraId="77A4E471"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0,3</w:t>
            </w:r>
          </w:p>
        </w:tc>
        <w:tc>
          <w:tcPr>
            <w:tcW w:w="441" w:type="pct"/>
            <w:shd w:val="clear" w:color="auto" w:fill="auto"/>
            <w:noWrap/>
            <w:vAlign w:val="bottom"/>
            <w:hideMark/>
          </w:tcPr>
          <w:p w14:paraId="0BDCB013" w14:textId="556E62F6"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45</w:t>
            </w:r>
            <w:r w:rsidR="000F65EF">
              <w:rPr>
                <w:sz w:val="18"/>
              </w:rPr>
              <w:t xml:space="preserve"> </w:t>
            </w:r>
            <w:r w:rsidRPr="000F65EF">
              <w:rPr>
                <w:sz w:val="18"/>
              </w:rPr>
              <w:t>240</w:t>
            </w:r>
          </w:p>
        </w:tc>
        <w:tc>
          <w:tcPr>
            <w:tcW w:w="440" w:type="pct"/>
            <w:shd w:val="clear" w:color="auto" w:fill="auto"/>
            <w:noWrap/>
            <w:vAlign w:val="bottom"/>
            <w:hideMark/>
          </w:tcPr>
          <w:p w14:paraId="2C5B877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0,6</w:t>
            </w:r>
          </w:p>
        </w:tc>
      </w:tr>
      <w:tr w:rsidR="000F65EF" w:rsidRPr="000F65EF" w14:paraId="4CB2F353" w14:textId="77777777" w:rsidTr="000F65EF">
        <w:trPr>
          <w:trHeight w:val="240"/>
        </w:trPr>
        <w:tc>
          <w:tcPr>
            <w:tcW w:w="1397" w:type="pct"/>
            <w:shd w:val="clear" w:color="auto" w:fill="auto"/>
            <w:noWrap/>
            <w:hideMark/>
          </w:tcPr>
          <w:p w14:paraId="269109DB"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Presa</w:t>
            </w:r>
          </w:p>
        </w:tc>
        <w:tc>
          <w:tcPr>
            <w:tcW w:w="515" w:type="pct"/>
            <w:shd w:val="clear" w:color="auto" w:fill="auto"/>
            <w:noWrap/>
            <w:vAlign w:val="bottom"/>
            <w:hideMark/>
          </w:tcPr>
          <w:p w14:paraId="2533CF82" w14:textId="10F965E6"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64</w:t>
            </w:r>
            <w:r w:rsidR="000F65EF">
              <w:rPr>
                <w:sz w:val="18"/>
              </w:rPr>
              <w:t xml:space="preserve"> </w:t>
            </w:r>
            <w:r w:rsidRPr="000F65EF">
              <w:rPr>
                <w:sz w:val="18"/>
              </w:rPr>
              <w:t>335</w:t>
            </w:r>
          </w:p>
        </w:tc>
        <w:tc>
          <w:tcPr>
            <w:tcW w:w="442" w:type="pct"/>
            <w:shd w:val="clear" w:color="auto" w:fill="auto"/>
            <w:noWrap/>
            <w:vAlign w:val="bottom"/>
            <w:hideMark/>
          </w:tcPr>
          <w:p w14:paraId="4FAC6380"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w:t>
            </w:r>
          </w:p>
        </w:tc>
        <w:tc>
          <w:tcPr>
            <w:tcW w:w="441" w:type="pct"/>
            <w:shd w:val="clear" w:color="auto" w:fill="auto"/>
            <w:noWrap/>
            <w:vAlign w:val="bottom"/>
            <w:hideMark/>
          </w:tcPr>
          <w:p w14:paraId="237204F6" w14:textId="4A640B89"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w:t>
            </w:r>
            <w:r w:rsidR="000F65EF">
              <w:rPr>
                <w:sz w:val="18"/>
              </w:rPr>
              <w:t xml:space="preserve"> </w:t>
            </w:r>
            <w:r w:rsidRPr="000F65EF">
              <w:rPr>
                <w:sz w:val="18"/>
              </w:rPr>
              <w:t>292</w:t>
            </w:r>
          </w:p>
        </w:tc>
        <w:tc>
          <w:tcPr>
            <w:tcW w:w="441" w:type="pct"/>
            <w:shd w:val="clear" w:color="auto" w:fill="auto"/>
            <w:noWrap/>
            <w:vAlign w:val="bottom"/>
            <w:hideMark/>
          </w:tcPr>
          <w:p w14:paraId="68351493"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0,4</w:t>
            </w:r>
          </w:p>
        </w:tc>
        <w:tc>
          <w:tcPr>
            <w:tcW w:w="441" w:type="pct"/>
            <w:shd w:val="clear" w:color="auto" w:fill="auto"/>
            <w:noWrap/>
            <w:vAlign w:val="bottom"/>
            <w:hideMark/>
          </w:tcPr>
          <w:p w14:paraId="576348FB" w14:textId="632DFFA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22</w:t>
            </w:r>
            <w:r w:rsidR="000F65EF">
              <w:rPr>
                <w:sz w:val="18"/>
              </w:rPr>
              <w:t xml:space="preserve"> </w:t>
            </w:r>
            <w:r w:rsidRPr="000F65EF">
              <w:rPr>
                <w:sz w:val="18"/>
              </w:rPr>
              <w:t>984</w:t>
            </w:r>
          </w:p>
        </w:tc>
        <w:tc>
          <w:tcPr>
            <w:tcW w:w="442" w:type="pct"/>
            <w:shd w:val="clear" w:color="auto" w:fill="auto"/>
            <w:noWrap/>
            <w:vAlign w:val="bottom"/>
            <w:hideMark/>
          </w:tcPr>
          <w:p w14:paraId="16F3AF82"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0,3</w:t>
            </w:r>
          </w:p>
        </w:tc>
        <w:tc>
          <w:tcPr>
            <w:tcW w:w="441" w:type="pct"/>
            <w:shd w:val="clear" w:color="auto" w:fill="auto"/>
            <w:noWrap/>
            <w:vAlign w:val="bottom"/>
            <w:hideMark/>
          </w:tcPr>
          <w:p w14:paraId="1DA0DE67" w14:textId="3E1299A2"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32</w:t>
            </w:r>
            <w:r w:rsidR="000F65EF">
              <w:rPr>
                <w:sz w:val="18"/>
              </w:rPr>
              <w:t xml:space="preserve"> </w:t>
            </w:r>
            <w:r w:rsidRPr="000F65EF">
              <w:rPr>
                <w:sz w:val="18"/>
              </w:rPr>
              <w:t>059</w:t>
            </w:r>
          </w:p>
        </w:tc>
        <w:tc>
          <w:tcPr>
            <w:tcW w:w="440" w:type="pct"/>
            <w:shd w:val="clear" w:color="auto" w:fill="auto"/>
            <w:noWrap/>
            <w:vAlign w:val="bottom"/>
            <w:hideMark/>
          </w:tcPr>
          <w:p w14:paraId="3F80D68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0,4</w:t>
            </w:r>
          </w:p>
        </w:tc>
      </w:tr>
      <w:tr w:rsidR="000F65EF" w:rsidRPr="000F65EF" w14:paraId="2231DB45" w14:textId="77777777" w:rsidTr="000F65EF">
        <w:trPr>
          <w:trHeight w:val="240"/>
        </w:trPr>
        <w:tc>
          <w:tcPr>
            <w:tcW w:w="1397" w:type="pct"/>
            <w:tcBorders>
              <w:bottom w:val="single" w:sz="12" w:space="0" w:color="auto"/>
            </w:tcBorders>
            <w:shd w:val="clear" w:color="auto" w:fill="auto"/>
            <w:noWrap/>
            <w:hideMark/>
          </w:tcPr>
          <w:p w14:paraId="082DA1C7"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Otra</w:t>
            </w:r>
          </w:p>
        </w:tc>
        <w:tc>
          <w:tcPr>
            <w:tcW w:w="515" w:type="pct"/>
            <w:tcBorders>
              <w:bottom w:val="single" w:sz="12" w:space="0" w:color="auto"/>
            </w:tcBorders>
            <w:shd w:val="clear" w:color="auto" w:fill="auto"/>
            <w:noWrap/>
            <w:vAlign w:val="bottom"/>
            <w:hideMark/>
          </w:tcPr>
          <w:p w14:paraId="59A414FA" w14:textId="18DC1A03"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118</w:t>
            </w:r>
            <w:r w:rsidR="000F65EF">
              <w:rPr>
                <w:sz w:val="18"/>
              </w:rPr>
              <w:t xml:space="preserve"> </w:t>
            </w:r>
            <w:r w:rsidRPr="000F65EF">
              <w:rPr>
                <w:sz w:val="18"/>
              </w:rPr>
              <w:t>410</w:t>
            </w:r>
          </w:p>
        </w:tc>
        <w:tc>
          <w:tcPr>
            <w:tcW w:w="442" w:type="pct"/>
            <w:tcBorders>
              <w:bottom w:val="single" w:sz="12" w:space="0" w:color="auto"/>
            </w:tcBorders>
            <w:shd w:val="clear" w:color="auto" w:fill="auto"/>
            <w:noWrap/>
            <w:vAlign w:val="bottom"/>
            <w:hideMark/>
          </w:tcPr>
          <w:p w14:paraId="06C591D1"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w:t>
            </w:r>
          </w:p>
        </w:tc>
        <w:tc>
          <w:tcPr>
            <w:tcW w:w="441" w:type="pct"/>
            <w:tcBorders>
              <w:bottom w:val="single" w:sz="12" w:space="0" w:color="auto"/>
            </w:tcBorders>
            <w:shd w:val="clear" w:color="auto" w:fill="auto"/>
            <w:noWrap/>
            <w:vAlign w:val="bottom"/>
            <w:hideMark/>
          </w:tcPr>
          <w:p w14:paraId="6477ADFB" w14:textId="4BAF8E6F"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10</w:t>
            </w:r>
            <w:r w:rsidR="000F65EF">
              <w:rPr>
                <w:sz w:val="18"/>
              </w:rPr>
              <w:t xml:space="preserve"> </w:t>
            </w:r>
            <w:r w:rsidRPr="000F65EF">
              <w:rPr>
                <w:sz w:val="18"/>
              </w:rPr>
              <w:t>149</w:t>
            </w:r>
          </w:p>
        </w:tc>
        <w:tc>
          <w:tcPr>
            <w:tcW w:w="441" w:type="pct"/>
            <w:tcBorders>
              <w:bottom w:val="single" w:sz="12" w:space="0" w:color="auto"/>
            </w:tcBorders>
            <w:shd w:val="clear" w:color="auto" w:fill="auto"/>
            <w:noWrap/>
            <w:vAlign w:val="bottom"/>
            <w:hideMark/>
          </w:tcPr>
          <w:p w14:paraId="5E5A52B8"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0,4</w:t>
            </w:r>
          </w:p>
        </w:tc>
        <w:tc>
          <w:tcPr>
            <w:tcW w:w="441" w:type="pct"/>
            <w:tcBorders>
              <w:bottom w:val="single" w:sz="12" w:space="0" w:color="auto"/>
            </w:tcBorders>
            <w:shd w:val="clear" w:color="auto" w:fill="auto"/>
            <w:noWrap/>
            <w:vAlign w:val="bottom"/>
            <w:hideMark/>
          </w:tcPr>
          <w:p w14:paraId="4A244332" w14:textId="51FA0E9E"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w:t>
            </w:r>
            <w:r w:rsidR="000F65EF">
              <w:rPr>
                <w:sz w:val="18"/>
              </w:rPr>
              <w:t xml:space="preserve"> </w:t>
            </w:r>
            <w:r w:rsidRPr="000F65EF">
              <w:rPr>
                <w:sz w:val="18"/>
              </w:rPr>
              <w:t>477</w:t>
            </w:r>
          </w:p>
        </w:tc>
        <w:tc>
          <w:tcPr>
            <w:tcW w:w="442" w:type="pct"/>
            <w:tcBorders>
              <w:bottom w:val="single" w:sz="12" w:space="0" w:color="auto"/>
            </w:tcBorders>
            <w:shd w:val="clear" w:color="auto" w:fill="auto"/>
            <w:noWrap/>
            <w:vAlign w:val="bottom"/>
            <w:hideMark/>
          </w:tcPr>
          <w:p w14:paraId="6C32B3A5"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0,6</w:t>
            </w:r>
          </w:p>
        </w:tc>
        <w:tc>
          <w:tcPr>
            <w:tcW w:w="441" w:type="pct"/>
            <w:tcBorders>
              <w:bottom w:val="single" w:sz="12" w:space="0" w:color="auto"/>
            </w:tcBorders>
            <w:shd w:val="clear" w:color="auto" w:fill="auto"/>
            <w:noWrap/>
            <w:vAlign w:val="bottom"/>
            <w:hideMark/>
          </w:tcPr>
          <w:p w14:paraId="7022C304" w14:textId="4DDF4C8A"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59</w:t>
            </w:r>
            <w:r w:rsidR="000F65EF">
              <w:rPr>
                <w:sz w:val="18"/>
              </w:rPr>
              <w:t xml:space="preserve"> </w:t>
            </w:r>
            <w:r w:rsidRPr="000F65EF">
              <w:rPr>
                <w:sz w:val="18"/>
              </w:rPr>
              <w:t>784</w:t>
            </w:r>
          </w:p>
        </w:tc>
        <w:tc>
          <w:tcPr>
            <w:tcW w:w="440" w:type="pct"/>
            <w:tcBorders>
              <w:bottom w:val="single" w:sz="12" w:space="0" w:color="auto"/>
            </w:tcBorders>
            <w:shd w:val="clear" w:color="auto" w:fill="auto"/>
            <w:noWrap/>
            <w:vAlign w:val="bottom"/>
            <w:hideMark/>
          </w:tcPr>
          <w:p w14:paraId="00A056E2" w14:textId="77777777" w:rsidR="00CD692A" w:rsidRPr="000F65EF" w:rsidRDefault="00CD692A" w:rsidP="000F65EF">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0,8</w:t>
            </w:r>
          </w:p>
        </w:tc>
      </w:tr>
    </w:tbl>
    <w:p w14:paraId="6DB59E43" w14:textId="77777777" w:rsidR="00CD692A" w:rsidRPr="000F65EF" w:rsidRDefault="00CD692A" w:rsidP="000F65EF">
      <w:pPr>
        <w:pStyle w:val="SingleTxtG"/>
        <w:spacing w:before="120" w:after="240"/>
        <w:ind w:left="0" w:firstLine="170"/>
        <w:jc w:val="left"/>
        <w:rPr>
          <w:sz w:val="18"/>
          <w:szCs w:val="18"/>
        </w:rPr>
      </w:pPr>
      <w:r w:rsidRPr="000F65EF">
        <w:rPr>
          <w:i/>
          <w:iCs/>
          <w:sz w:val="18"/>
          <w:szCs w:val="18"/>
        </w:rPr>
        <w:t>Fuente:</w:t>
      </w:r>
      <w:r w:rsidRPr="000F65EF">
        <w:rPr>
          <w:sz w:val="18"/>
          <w:szCs w:val="18"/>
        </w:rPr>
        <w:t xml:space="preserve"> Censo de Población y Vivienda, 2018.</w:t>
      </w:r>
    </w:p>
    <w:p w14:paraId="76880561" w14:textId="0074E102" w:rsidR="00CD692A" w:rsidRPr="00CD692A" w:rsidRDefault="00CD692A" w:rsidP="000040BC">
      <w:pPr>
        <w:pStyle w:val="H23G"/>
        <w:ind w:left="0" w:firstLine="0"/>
      </w:pPr>
      <w:r w:rsidRPr="000F65EF">
        <w:rPr>
          <w:b w:val="0"/>
          <w:bCs/>
        </w:rPr>
        <w:t>Cuadro 16</w:t>
      </w:r>
      <w:r w:rsidR="000F65EF" w:rsidRPr="000F65EF">
        <w:rPr>
          <w:b w:val="0"/>
          <w:bCs/>
        </w:rPr>
        <w:br/>
      </w:r>
      <w:r w:rsidRPr="00CD692A">
        <w:t>Población sin acceso básico al agua potable (1992-2017)</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965"/>
        <w:gridCol w:w="1445"/>
        <w:gridCol w:w="460"/>
        <w:gridCol w:w="462"/>
        <w:gridCol w:w="476"/>
        <w:gridCol w:w="476"/>
        <w:gridCol w:w="476"/>
        <w:gridCol w:w="476"/>
        <w:gridCol w:w="475"/>
        <w:gridCol w:w="504"/>
        <w:gridCol w:w="504"/>
        <w:gridCol w:w="511"/>
        <w:gridCol w:w="1533"/>
        <w:gridCol w:w="876"/>
      </w:tblGrid>
      <w:tr w:rsidR="000F65EF" w:rsidRPr="000F65EF" w14:paraId="290AFCAE" w14:textId="77777777" w:rsidTr="000831BA">
        <w:trPr>
          <w:trHeight w:val="240"/>
          <w:tblHeader/>
        </w:trPr>
        <w:tc>
          <w:tcPr>
            <w:tcW w:w="2410" w:type="dxa"/>
            <w:gridSpan w:val="2"/>
            <w:vMerge w:val="restart"/>
            <w:tcBorders>
              <w:top w:val="single" w:sz="4" w:space="0" w:color="auto"/>
              <w:bottom w:val="single" w:sz="4" w:space="0" w:color="auto"/>
            </w:tcBorders>
            <w:shd w:val="clear" w:color="auto" w:fill="auto"/>
            <w:noWrap/>
            <w:vAlign w:val="bottom"/>
            <w:hideMark/>
          </w:tcPr>
          <w:p w14:paraId="5B435E30"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left"/>
              <w:rPr>
                <w:i/>
                <w:sz w:val="16"/>
              </w:rPr>
            </w:pPr>
          </w:p>
        </w:tc>
        <w:tc>
          <w:tcPr>
            <w:tcW w:w="4820" w:type="dxa"/>
            <w:gridSpan w:val="10"/>
            <w:tcBorders>
              <w:top w:val="single" w:sz="4" w:space="0" w:color="auto"/>
              <w:bottom w:val="single" w:sz="4" w:space="0" w:color="auto"/>
            </w:tcBorders>
            <w:shd w:val="clear" w:color="auto" w:fill="auto"/>
            <w:noWrap/>
            <w:vAlign w:val="bottom"/>
            <w:hideMark/>
          </w:tcPr>
          <w:p w14:paraId="42812C55" w14:textId="3E6BB5B0" w:rsidR="00CD692A" w:rsidRPr="000F65EF" w:rsidRDefault="00CD692A" w:rsidP="000831BA">
            <w:pPr>
              <w:pStyle w:val="SingleTxtG"/>
              <w:tabs>
                <w:tab w:val="clear" w:pos="1701"/>
                <w:tab w:val="clear" w:pos="2268"/>
                <w:tab w:val="clear" w:pos="2835"/>
              </w:tabs>
              <w:spacing w:before="80" w:after="80" w:line="200" w:lineRule="exact"/>
              <w:ind w:left="0" w:right="0"/>
              <w:jc w:val="center"/>
              <w:rPr>
                <w:bCs/>
                <w:i/>
                <w:sz w:val="16"/>
              </w:rPr>
            </w:pPr>
            <w:r w:rsidRPr="000F65EF">
              <w:rPr>
                <w:i/>
                <w:iCs/>
                <w:sz w:val="16"/>
              </w:rPr>
              <w:t>Población sin acceso básico al agua (</w:t>
            </w:r>
            <w:r w:rsidR="0085343A">
              <w:rPr>
                <w:i/>
                <w:iCs/>
                <w:sz w:val="16"/>
              </w:rPr>
              <w:t>porcentaje</w:t>
            </w:r>
            <w:r w:rsidRPr="000F65EF">
              <w:rPr>
                <w:i/>
                <w:iCs/>
                <w:sz w:val="16"/>
              </w:rPr>
              <w:t>)</w:t>
            </w:r>
          </w:p>
        </w:tc>
        <w:tc>
          <w:tcPr>
            <w:tcW w:w="1533" w:type="dxa"/>
            <w:vMerge w:val="restart"/>
            <w:tcBorders>
              <w:top w:val="single" w:sz="4" w:space="0" w:color="auto"/>
              <w:bottom w:val="single" w:sz="4" w:space="0" w:color="auto"/>
            </w:tcBorders>
            <w:shd w:val="clear" w:color="auto" w:fill="auto"/>
            <w:noWrap/>
            <w:vAlign w:val="bottom"/>
            <w:hideMark/>
          </w:tcPr>
          <w:p w14:paraId="708E8AFF" w14:textId="77777777" w:rsidR="00CD692A" w:rsidRPr="000F65EF" w:rsidRDefault="00CD692A" w:rsidP="000831BA">
            <w:pPr>
              <w:pStyle w:val="SingleTxtG"/>
              <w:tabs>
                <w:tab w:val="clear" w:pos="1701"/>
                <w:tab w:val="clear" w:pos="2268"/>
                <w:tab w:val="clear" w:pos="2835"/>
              </w:tabs>
              <w:spacing w:before="80" w:after="80" w:line="200" w:lineRule="exact"/>
              <w:ind w:left="57" w:right="28"/>
              <w:jc w:val="right"/>
              <w:rPr>
                <w:bCs/>
                <w:i/>
                <w:sz w:val="16"/>
                <w:lang w:val="en-GB"/>
              </w:rPr>
            </w:pPr>
            <w:r w:rsidRPr="000F65EF">
              <w:rPr>
                <w:i/>
                <w:iCs/>
                <w:sz w:val="16"/>
              </w:rPr>
              <w:t>Diferencia en puntos porcentuales</w:t>
            </w:r>
          </w:p>
        </w:tc>
        <w:tc>
          <w:tcPr>
            <w:tcW w:w="876" w:type="dxa"/>
            <w:vMerge w:val="restart"/>
            <w:tcBorders>
              <w:top w:val="single" w:sz="4" w:space="0" w:color="auto"/>
              <w:bottom w:val="single" w:sz="4" w:space="0" w:color="auto"/>
            </w:tcBorders>
            <w:shd w:val="clear" w:color="auto" w:fill="auto"/>
            <w:noWrap/>
            <w:vAlign w:val="bottom"/>
            <w:hideMark/>
          </w:tcPr>
          <w:p w14:paraId="27775BD7" w14:textId="030CCC29" w:rsidR="00CD692A" w:rsidRPr="000F65EF" w:rsidRDefault="00CD692A" w:rsidP="000831BA">
            <w:pPr>
              <w:pStyle w:val="SingleTxtG"/>
              <w:tabs>
                <w:tab w:val="clear" w:pos="1701"/>
                <w:tab w:val="clear" w:pos="2268"/>
                <w:tab w:val="clear" w:pos="2835"/>
              </w:tabs>
              <w:spacing w:before="80" w:after="80" w:line="200" w:lineRule="exact"/>
              <w:ind w:left="57" w:right="28"/>
              <w:jc w:val="right"/>
              <w:rPr>
                <w:bCs/>
                <w:i/>
                <w:sz w:val="16"/>
                <w:lang w:val="en-GB"/>
              </w:rPr>
            </w:pPr>
            <w:r w:rsidRPr="000F65EF">
              <w:rPr>
                <w:i/>
                <w:iCs/>
                <w:sz w:val="16"/>
              </w:rPr>
              <w:t>Cambio (</w:t>
            </w:r>
            <w:r w:rsidR="000831BA">
              <w:rPr>
                <w:i/>
                <w:iCs/>
                <w:sz w:val="16"/>
              </w:rPr>
              <w:t>porcentaje</w:t>
            </w:r>
            <w:r w:rsidRPr="000F65EF">
              <w:rPr>
                <w:i/>
                <w:iCs/>
                <w:sz w:val="16"/>
              </w:rPr>
              <w:t>)</w:t>
            </w:r>
          </w:p>
        </w:tc>
      </w:tr>
      <w:tr w:rsidR="000831BA" w:rsidRPr="000F65EF" w14:paraId="17336624" w14:textId="77777777" w:rsidTr="000831BA">
        <w:trPr>
          <w:trHeight w:val="240"/>
          <w:tblHeader/>
        </w:trPr>
        <w:tc>
          <w:tcPr>
            <w:tcW w:w="2410" w:type="dxa"/>
            <w:gridSpan w:val="2"/>
            <w:vMerge/>
            <w:tcBorders>
              <w:top w:val="single" w:sz="4" w:space="0" w:color="auto"/>
              <w:bottom w:val="single" w:sz="12" w:space="0" w:color="auto"/>
            </w:tcBorders>
            <w:shd w:val="clear" w:color="auto" w:fill="auto"/>
            <w:vAlign w:val="bottom"/>
            <w:hideMark/>
          </w:tcPr>
          <w:p w14:paraId="258C742E"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460" w:type="dxa"/>
            <w:tcBorders>
              <w:top w:val="single" w:sz="4" w:space="0" w:color="auto"/>
              <w:bottom w:val="single" w:sz="12" w:space="0" w:color="auto"/>
            </w:tcBorders>
            <w:shd w:val="clear" w:color="auto" w:fill="auto"/>
            <w:noWrap/>
            <w:vAlign w:val="bottom"/>
            <w:hideMark/>
          </w:tcPr>
          <w:p w14:paraId="1851E1CE"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1992</w:t>
            </w:r>
          </w:p>
        </w:tc>
        <w:tc>
          <w:tcPr>
            <w:tcW w:w="462" w:type="dxa"/>
            <w:tcBorders>
              <w:top w:val="single" w:sz="4" w:space="0" w:color="auto"/>
              <w:bottom w:val="single" w:sz="12" w:space="0" w:color="auto"/>
            </w:tcBorders>
            <w:shd w:val="clear" w:color="auto" w:fill="auto"/>
            <w:noWrap/>
            <w:vAlign w:val="bottom"/>
            <w:hideMark/>
          </w:tcPr>
          <w:p w14:paraId="18504E31"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2000</w:t>
            </w:r>
          </w:p>
        </w:tc>
        <w:tc>
          <w:tcPr>
            <w:tcW w:w="476" w:type="dxa"/>
            <w:tcBorders>
              <w:top w:val="single" w:sz="4" w:space="0" w:color="auto"/>
              <w:bottom w:val="single" w:sz="12" w:space="0" w:color="auto"/>
            </w:tcBorders>
            <w:shd w:val="clear" w:color="auto" w:fill="auto"/>
            <w:noWrap/>
            <w:vAlign w:val="bottom"/>
            <w:hideMark/>
          </w:tcPr>
          <w:p w14:paraId="5BD463AC"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2004</w:t>
            </w:r>
          </w:p>
        </w:tc>
        <w:tc>
          <w:tcPr>
            <w:tcW w:w="476" w:type="dxa"/>
            <w:tcBorders>
              <w:top w:val="single" w:sz="4" w:space="0" w:color="auto"/>
              <w:bottom w:val="single" w:sz="12" w:space="0" w:color="auto"/>
            </w:tcBorders>
            <w:shd w:val="clear" w:color="auto" w:fill="auto"/>
            <w:noWrap/>
            <w:vAlign w:val="bottom"/>
            <w:hideMark/>
          </w:tcPr>
          <w:p w14:paraId="7E00AE53"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2006</w:t>
            </w:r>
          </w:p>
        </w:tc>
        <w:tc>
          <w:tcPr>
            <w:tcW w:w="476" w:type="dxa"/>
            <w:tcBorders>
              <w:top w:val="single" w:sz="4" w:space="0" w:color="auto"/>
              <w:bottom w:val="single" w:sz="12" w:space="0" w:color="auto"/>
            </w:tcBorders>
            <w:shd w:val="clear" w:color="auto" w:fill="auto"/>
            <w:noWrap/>
            <w:vAlign w:val="bottom"/>
            <w:hideMark/>
          </w:tcPr>
          <w:p w14:paraId="7B2C951E"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2010</w:t>
            </w:r>
          </w:p>
        </w:tc>
        <w:tc>
          <w:tcPr>
            <w:tcW w:w="476" w:type="dxa"/>
            <w:tcBorders>
              <w:top w:val="single" w:sz="4" w:space="0" w:color="auto"/>
              <w:bottom w:val="single" w:sz="12" w:space="0" w:color="auto"/>
            </w:tcBorders>
            <w:shd w:val="clear" w:color="auto" w:fill="auto"/>
            <w:noWrap/>
            <w:vAlign w:val="bottom"/>
            <w:hideMark/>
          </w:tcPr>
          <w:p w14:paraId="7861A08C"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2012</w:t>
            </w:r>
          </w:p>
        </w:tc>
        <w:tc>
          <w:tcPr>
            <w:tcW w:w="475" w:type="dxa"/>
            <w:tcBorders>
              <w:top w:val="single" w:sz="4" w:space="0" w:color="auto"/>
              <w:bottom w:val="single" w:sz="12" w:space="0" w:color="auto"/>
            </w:tcBorders>
            <w:shd w:val="clear" w:color="auto" w:fill="auto"/>
            <w:noWrap/>
            <w:vAlign w:val="bottom"/>
            <w:hideMark/>
          </w:tcPr>
          <w:p w14:paraId="5459166A"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2013</w:t>
            </w:r>
          </w:p>
        </w:tc>
        <w:tc>
          <w:tcPr>
            <w:tcW w:w="504" w:type="dxa"/>
            <w:tcBorders>
              <w:top w:val="single" w:sz="4" w:space="0" w:color="auto"/>
              <w:bottom w:val="single" w:sz="12" w:space="0" w:color="auto"/>
            </w:tcBorders>
            <w:shd w:val="clear" w:color="auto" w:fill="auto"/>
            <w:noWrap/>
            <w:vAlign w:val="bottom"/>
            <w:hideMark/>
          </w:tcPr>
          <w:p w14:paraId="78BDCE93"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2014</w:t>
            </w:r>
          </w:p>
        </w:tc>
        <w:tc>
          <w:tcPr>
            <w:tcW w:w="504" w:type="dxa"/>
            <w:tcBorders>
              <w:top w:val="single" w:sz="4" w:space="0" w:color="auto"/>
              <w:bottom w:val="single" w:sz="12" w:space="0" w:color="auto"/>
            </w:tcBorders>
            <w:shd w:val="clear" w:color="auto" w:fill="auto"/>
            <w:noWrap/>
            <w:vAlign w:val="bottom"/>
            <w:hideMark/>
          </w:tcPr>
          <w:p w14:paraId="24AAD716"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2015</w:t>
            </w:r>
          </w:p>
        </w:tc>
        <w:tc>
          <w:tcPr>
            <w:tcW w:w="511" w:type="dxa"/>
            <w:tcBorders>
              <w:top w:val="single" w:sz="4" w:space="0" w:color="auto"/>
              <w:bottom w:val="single" w:sz="12" w:space="0" w:color="auto"/>
            </w:tcBorders>
            <w:shd w:val="clear" w:color="auto" w:fill="auto"/>
            <w:noWrap/>
            <w:vAlign w:val="bottom"/>
            <w:hideMark/>
          </w:tcPr>
          <w:p w14:paraId="490A403B" w14:textId="77777777" w:rsidR="00CD692A" w:rsidRPr="000F65EF" w:rsidRDefault="00CD692A" w:rsidP="000831BA">
            <w:pPr>
              <w:pStyle w:val="SingleTxtG"/>
              <w:tabs>
                <w:tab w:val="clear" w:pos="1701"/>
                <w:tab w:val="clear" w:pos="2268"/>
                <w:tab w:val="clear" w:pos="2835"/>
              </w:tabs>
              <w:spacing w:before="80" w:after="80" w:line="200" w:lineRule="exact"/>
              <w:ind w:left="28" w:right="28"/>
              <w:jc w:val="right"/>
              <w:rPr>
                <w:i/>
                <w:iCs/>
                <w:sz w:val="16"/>
              </w:rPr>
            </w:pPr>
            <w:r w:rsidRPr="000F65EF">
              <w:rPr>
                <w:i/>
                <w:iCs/>
                <w:sz w:val="16"/>
              </w:rPr>
              <w:t>2017</w:t>
            </w:r>
          </w:p>
        </w:tc>
        <w:tc>
          <w:tcPr>
            <w:tcW w:w="1533" w:type="dxa"/>
            <w:vMerge/>
            <w:tcBorders>
              <w:top w:val="single" w:sz="4" w:space="0" w:color="auto"/>
              <w:bottom w:val="single" w:sz="12" w:space="0" w:color="auto"/>
            </w:tcBorders>
            <w:shd w:val="clear" w:color="auto" w:fill="auto"/>
            <w:vAlign w:val="bottom"/>
            <w:hideMark/>
          </w:tcPr>
          <w:p w14:paraId="294EFE1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bCs/>
                <w:sz w:val="18"/>
                <w:lang w:val="en-GB"/>
              </w:rPr>
            </w:pPr>
          </w:p>
        </w:tc>
        <w:tc>
          <w:tcPr>
            <w:tcW w:w="876" w:type="dxa"/>
            <w:vMerge/>
            <w:tcBorders>
              <w:top w:val="single" w:sz="4" w:space="0" w:color="auto"/>
              <w:bottom w:val="single" w:sz="12" w:space="0" w:color="auto"/>
            </w:tcBorders>
            <w:shd w:val="clear" w:color="auto" w:fill="auto"/>
            <w:vAlign w:val="bottom"/>
            <w:hideMark/>
          </w:tcPr>
          <w:p w14:paraId="567665F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bCs/>
                <w:sz w:val="18"/>
                <w:lang w:val="en-GB"/>
              </w:rPr>
            </w:pPr>
          </w:p>
        </w:tc>
      </w:tr>
      <w:tr w:rsidR="000831BA" w:rsidRPr="000F65EF" w14:paraId="61174E7A" w14:textId="77777777" w:rsidTr="000831BA">
        <w:trPr>
          <w:trHeight w:val="240"/>
        </w:trPr>
        <w:tc>
          <w:tcPr>
            <w:tcW w:w="965" w:type="dxa"/>
            <w:tcBorders>
              <w:top w:val="single" w:sz="12" w:space="0" w:color="auto"/>
            </w:tcBorders>
            <w:shd w:val="clear" w:color="auto" w:fill="auto"/>
            <w:noWrap/>
            <w:vAlign w:val="center"/>
            <w:hideMark/>
          </w:tcPr>
          <w:p w14:paraId="660A4EF1"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 xml:space="preserve">Nacional </w:t>
            </w:r>
          </w:p>
        </w:tc>
        <w:tc>
          <w:tcPr>
            <w:tcW w:w="1445" w:type="dxa"/>
            <w:tcBorders>
              <w:top w:val="single" w:sz="12" w:space="0" w:color="auto"/>
            </w:tcBorders>
            <w:shd w:val="clear" w:color="auto" w:fill="auto"/>
            <w:noWrap/>
            <w:hideMark/>
          </w:tcPr>
          <w:p w14:paraId="34836BD0"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460" w:type="dxa"/>
            <w:tcBorders>
              <w:top w:val="single" w:sz="12" w:space="0" w:color="auto"/>
            </w:tcBorders>
            <w:shd w:val="clear" w:color="auto" w:fill="auto"/>
            <w:noWrap/>
            <w:vAlign w:val="bottom"/>
            <w:hideMark/>
          </w:tcPr>
          <w:p w14:paraId="30CBD27F"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57</w:t>
            </w:r>
          </w:p>
        </w:tc>
        <w:tc>
          <w:tcPr>
            <w:tcW w:w="462" w:type="dxa"/>
            <w:tcBorders>
              <w:top w:val="single" w:sz="12" w:space="0" w:color="auto"/>
            </w:tcBorders>
            <w:shd w:val="clear" w:color="auto" w:fill="auto"/>
            <w:noWrap/>
            <w:vAlign w:val="bottom"/>
            <w:hideMark/>
          </w:tcPr>
          <w:p w14:paraId="1657140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476" w:type="dxa"/>
            <w:tcBorders>
              <w:top w:val="single" w:sz="12" w:space="0" w:color="auto"/>
            </w:tcBorders>
            <w:shd w:val="clear" w:color="auto" w:fill="auto"/>
            <w:noWrap/>
            <w:vAlign w:val="bottom"/>
            <w:hideMark/>
          </w:tcPr>
          <w:p w14:paraId="25A710E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476" w:type="dxa"/>
            <w:tcBorders>
              <w:top w:val="single" w:sz="12" w:space="0" w:color="auto"/>
            </w:tcBorders>
            <w:shd w:val="clear" w:color="auto" w:fill="auto"/>
            <w:noWrap/>
            <w:vAlign w:val="bottom"/>
            <w:hideMark/>
          </w:tcPr>
          <w:p w14:paraId="153F492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476" w:type="dxa"/>
            <w:tcBorders>
              <w:top w:val="single" w:sz="12" w:space="0" w:color="auto"/>
            </w:tcBorders>
            <w:shd w:val="clear" w:color="auto" w:fill="auto"/>
            <w:noWrap/>
            <w:vAlign w:val="bottom"/>
            <w:hideMark/>
          </w:tcPr>
          <w:p w14:paraId="37E6269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40</w:t>
            </w:r>
          </w:p>
        </w:tc>
        <w:tc>
          <w:tcPr>
            <w:tcW w:w="476" w:type="dxa"/>
            <w:tcBorders>
              <w:top w:val="single" w:sz="12" w:space="0" w:color="auto"/>
            </w:tcBorders>
            <w:shd w:val="clear" w:color="auto" w:fill="auto"/>
            <w:noWrap/>
            <w:vAlign w:val="bottom"/>
            <w:hideMark/>
          </w:tcPr>
          <w:p w14:paraId="136395B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475" w:type="dxa"/>
            <w:tcBorders>
              <w:top w:val="single" w:sz="12" w:space="0" w:color="auto"/>
            </w:tcBorders>
            <w:shd w:val="clear" w:color="auto" w:fill="auto"/>
            <w:noWrap/>
            <w:vAlign w:val="bottom"/>
            <w:hideMark/>
          </w:tcPr>
          <w:p w14:paraId="6E73A16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44</w:t>
            </w:r>
          </w:p>
        </w:tc>
        <w:tc>
          <w:tcPr>
            <w:tcW w:w="504" w:type="dxa"/>
            <w:tcBorders>
              <w:top w:val="single" w:sz="12" w:space="0" w:color="auto"/>
            </w:tcBorders>
            <w:shd w:val="clear" w:color="auto" w:fill="auto"/>
            <w:noWrap/>
            <w:vAlign w:val="bottom"/>
            <w:hideMark/>
          </w:tcPr>
          <w:p w14:paraId="6503423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29</w:t>
            </w:r>
          </w:p>
        </w:tc>
        <w:tc>
          <w:tcPr>
            <w:tcW w:w="504" w:type="dxa"/>
            <w:tcBorders>
              <w:top w:val="single" w:sz="12" w:space="0" w:color="auto"/>
            </w:tcBorders>
            <w:shd w:val="clear" w:color="auto" w:fill="auto"/>
            <w:noWrap/>
            <w:vAlign w:val="bottom"/>
            <w:hideMark/>
          </w:tcPr>
          <w:p w14:paraId="4910C79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511" w:type="dxa"/>
            <w:tcBorders>
              <w:top w:val="single" w:sz="12" w:space="0" w:color="auto"/>
            </w:tcBorders>
            <w:shd w:val="clear" w:color="auto" w:fill="auto"/>
            <w:noWrap/>
            <w:vAlign w:val="bottom"/>
            <w:hideMark/>
          </w:tcPr>
          <w:p w14:paraId="23C5FD3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22</w:t>
            </w:r>
          </w:p>
        </w:tc>
        <w:tc>
          <w:tcPr>
            <w:tcW w:w="1533" w:type="dxa"/>
            <w:tcBorders>
              <w:top w:val="single" w:sz="12" w:space="0" w:color="auto"/>
            </w:tcBorders>
            <w:shd w:val="clear" w:color="auto" w:fill="auto"/>
            <w:noWrap/>
            <w:vAlign w:val="bottom"/>
            <w:hideMark/>
          </w:tcPr>
          <w:p w14:paraId="7D900F8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-35</w:t>
            </w:r>
          </w:p>
        </w:tc>
        <w:tc>
          <w:tcPr>
            <w:tcW w:w="876" w:type="dxa"/>
            <w:tcBorders>
              <w:top w:val="single" w:sz="12" w:space="0" w:color="auto"/>
            </w:tcBorders>
            <w:shd w:val="clear" w:color="auto" w:fill="auto"/>
            <w:noWrap/>
            <w:vAlign w:val="bottom"/>
            <w:hideMark/>
          </w:tcPr>
          <w:p w14:paraId="1AAFB09E"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-62</w:t>
            </w:r>
          </w:p>
        </w:tc>
      </w:tr>
      <w:tr w:rsidR="000831BA" w:rsidRPr="000F65EF" w14:paraId="58C6AEAE" w14:textId="77777777" w:rsidTr="000831BA">
        <w:trPr>
          <w:trHeight w:val="240"/>
        </w:trPr>
        <w:tc>
          <w:tcPr>
            <w:tcW w:w="965" w:type="dxa"/>
            <w:vMerge w:val="restart"/>
            <w:shd w:val="clear" w:color="auto" w:fill="auto"/>
            <w:noWrap/>
            <w:vAlign w:val="center"/>
            <w:hideMark/>
          </w:tcPr>
          <w:p w14:paraId="31E6C97D"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 xml:space="preserve">Región </w:t>
            </w:r>
          </w:p>
        </w:tc>
        <w:tc>
          <w:tcPr>
            <w:tcW w:w="1445" w:type="dxa"/>
            <w:shd w:val="clear" w:color="auto" w:fill="auto"/>
            <w:noWrap/>
            <w:hideMark/>
          </w:tcPr>
          <w:p w14:paraId="7DCC89C3" w14:textId="121C463E"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Septentrional</w:t>
            </w:r>
          </w:p>
        </w:tc>
        <w:tc>
          <w:tcPr>
            <w:tcW w:w="460" w:type="dxa"/>
            <w:shd w:val="clear" w:color="auto" w:fill="auto"/>
            <w:noWrap/>
            <w:vAlign w:val="bottom"/>
            <w:hideMark/>
          </w:tcPr>
          <w:p w14:paraId="2ACDF76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60</w:t>
            </w:r>
          </w:p>
        </w:tc>
        <w:tc>
          <w:tcPr>
            <w:tcW w:w="462" w:type="dxa"/>
            <w:shd w:val="clear" w:color="auto" w:fill="auto"/>
            <w:noWrap/>
            <w:vAlign w:val="bottom"/>
            <w:hideMark/>
          </w:tcPr>
          <w:p w14:paraId="3A97E95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45</w:t>
            </w:r>
          </w:p>
        </w:tc>
        <w:tc>
          <w:tcPr>
            <w:tcW w:w="476" w:type="dxa"/>
            <w:shd w:val="clear" w:color="auto" w:fill="auto"/>
            <w:noWrap/>
            <w:vAlign w:val="bottom"/>
            <w:hideMark/>
          </w:tcPr>
          <w:p w14:paraId="70DF11F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w:t>
            </w:r>
          </w:p>
        </w:tc>
        <w:tc>
          <w:tcPr>
            <w:tcW w:w="476" w:type="dxa"/>
            <w:shd w:val="clear" w:color="auto" w:fill="auto"/>
            <w:noWrap/>
            <w:vAlign w:val="bottom"/>
            <w:hideMark/>
          </w:tcPr>
          <w:p w14:paraId="38C1BB8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40</w:t>
            </w:r>
          </w:p>
        </w:tc>
        <w:tc>
          <w:tcPr>
            <w:tcW w:w="476" w:type="dxa"/>
            <w:shd w:val="clear" w:color="auto" w:fill="auto"/>
            <w:noWrap/>
            <w:vAlign w:val="bottom"/>
            <w:hideMark/>
          </w:tcPr>
          <w:p w14:paraId="7B44E35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34</w:t>
            </w:r>
          </w:p>
        </w:tc>
        <w:tc>
          <w:tcPr>
            <w:tcW w:w="476" w:type="dxa"/>
            <w:shd w:val="clear" w:color="auto" w:fill="auto"/>
            <w:noWrap/>
            <w:vAlign w:val="bottom"/>
            <w:hideMark/>
          </w:tcPr>
          <w:p w14:paraId="1CD1852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30</w:t>
            </w:r>
          </w:p>
        </w:tc>
        <w:tc>
          <w:tcPr>
            <w:tcW w:w="475" w:type="dxa"/>
            <w:shd w:val="clear" w:color="auto" w:fill="auto"/>
            <w:noWrap/>
            <w:vAlign w:val="bottom"/>
            <w:hideMark/>
          </w:tcPr>
          <w:p w14:paraId="2CECE94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504" w:type="dxa"/>
            <w:shd w:val="clear" w:color="auto" w:fill="auto"/>
            <w:noWrap/>
            <w:vAlign w:val="bottom"/>
            <w:hideMark/>
          </w:tcPr>
          <w:p w14:paraId="17BE1BA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33</w:t>
            </w:r>
          </w:p>
        </w:tc>
        <w:tc>
          <w:tcPr>
            <w:tcW w:w="504" w:type="dxa"/>
            <w:shd w:val="clear" w:color="auto" w:fill="auto"/>
            <w:noWrap/>
            <w:vAlign w:val="bottom"/>
            <w:hideMark/>
          </w:tcPr>
          <w:p w14:paraId="73381E8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34</w:t>
            </w:r>
          </w:p>
        </w:tc>
        <w:tc>
          <w:tcPr>
            <w:tcW w:w="511" w:type="dxa"/>
            <w:shd w:val="clear" w:color="auto" w:fill="auto"/>
            <w:noWrap/>
            <w:vAlign w:val="bottom"/>
            <w:hideMark/>
          </w:tcPr>
          <w:p w14:paraId="4AF8E03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1533" w:type="dxa"/>
            <w:shd w:val="clear" w:color="auto" w:fill="auto"/>
            <w:noWrap/>
            <w:vAlign w:val="bottom"/>
            <w:hideMark/>
          </w:tcPr>
          <w:p w14:paraId="48BF55E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876" w:type="dxa"/>
            <w:shd w:val="clear" w:color="auto" w:fill="auto"/>
            <w:noWrap/>
            <w:vAlign w:val="bottom"/>
            <w:hideMark/>
          </w:tcPr>
          <w:p w14:paraId="6F4F85A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w:t>
            </w:r>
          </w:p>
        </w:tc>
      </w:tr>
      <w:tr w:rsidR="000831BA" w:rsidRPr="000F65EF" w14:paraId="5867AAD8" w14:textId="77777777" w:rsidTr="000831BA">
        <w:trPr>
          <w:trHeight w:val="240"/>
        </w:trPr>
        <w:tc>
          <w:tcPr>
            <w:tcW w:w="965" w:type="dxa"/>
            <w:vMerge/>
            <w:shd w:val="clear" w:color="auto" w:fill="auto"/>
            <w:vAlign w:val="center"/>
            <w:hideMark/>
          </w:tcPr>
          <w:p w14:paraId="59283BC6"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778A10B7" w14:textId="61BF81CD"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Central</w:t>
            </w:r>
          </w:p>
        </w:tc>
        <w:tc>
          <w:tcPr>
            <w:tcW w:w="460" w:type="dxa"/>
            <w:shd w:val="clear" w:color="auto" w:fill="auto"/>
            <w:noWrap/>
            <w:vAlign w:val="bottom"/>
            <w:hideMark/>
          </w:tcPr>
          <w:p w14:paraId="06B02B0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60</w:t>
            </w:r>
          </w:p>
        </w:tc>
        <w:tc>
          <w:tcPr>
            <w:tcW w:w="462" w:type="dxa"/>
            <w:shd w:val="clear" w:color="auto" w:fill="auto"/>
            <w:noWrap/>
            <w:vAlign w:val="bottom"/>
            <w:hideMark/>
          </w:tcPr>
          <w:p w14:paraId="2F6E75D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53</w:t>
            </w:r>
          </w:p>
        </w:tc>
        <w:tc>
          <w:tcPr>
            <w:tcW w:w="476" w:type="dxa"/>
            <w:shd w:val="clear" w:color="auto" w:fill="auto"/>
            <w:noWrap/>
            <w:vAlign w:val="bottom"/>
            <w:hideMark/>
          </w:tcPr>
          <w:p w14:paraId="3BABA6F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52</w:t>
            </w:r>
          </w:p>
        </w:tc>
        <w:tc>
          <w:tcPr>
            <w:tcW w:w="476" w:type="dxa"/>
            <w:shd w:val="clear" w:color="auto" w:fill="auto"/>
            <w:noWrap/>
            <w:vAlign w:val="bottom"/>
            <w:hideMark/>
          </w:tcPr>
          <w:p w14:paraId="43309D0E"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476" w:type="dxa"/>
            <w:shd w:val="clear" w:color="auto" w:fill="auto"/>
            <w:noWrap/>
            <w:vAlign w:val="bottom"/>
            <w:hideMark/>
          </w:tcPr>
          <w:p w14:paraId="3B0607B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43</w:t>
            </w:r>
          </w:p>
        </w:tc>
        <w:tc>
          <w:tcPr>
            <w:tcW w:w="476" w:type="dxa"/>
            <w:shd w:val="clear" w:color="auto" w:fill="auto"/>
            <w:noWrap/>
            <w:vAlign w:val="bottom"/>
            <w:hideMark/>
          </w:tcPr>
          <w:p w14:paraId="7161D07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475" w:type="dxa"/>
            <w:shd w:val="clear" w:color="auto" w:fill="auto"/>
            <w:noWrap/>
            <w:vAlign w:val="bottom"/>
            <w:hideMark/>
          </w:tcPr>
          <w:p w14:paraId="508743C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41</w:t>
            </w:r>
          </w:p>
        </w:tc>
        <w:tc>
          <w:tcPr>
            <w:tcW w:w="504" w:type="dxa"/>
            <w:shd w:val="clear" w:color="auto" w:fill="auto"/>
            <w:noWrap/>
            <w:vAlign w:val="bottom"/>
            <w:hideMark/>
          </w:tcPr>
          <w:p w14:paraId="70407F3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504" w:type="dxa"/>
            <w:shd w:val="clear" w:color="auto" w:fill="auto"/>
            <w:noWrap/>
            <w:vAlign w:val="bottom"/>
            <w:hideMark/>
          </w:tcPr>
          <w:p w14:paraId="755D2AD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39</w:t>
            </w:r>
          </w:p>
        </w:tc>
        <w:tc>
          <w:tcPr>
            <w:tcW w:w="511" w:type="dxa"/>
            <w:shd w:val="clear" w:color="auto" w:fill="auto"/>
            <w:noWrap/>
            <w:vAlign w:val="bottom"/>
            <w:hideMark/>
          </w:tcPr>
          <w:p w14:paraId="124217A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23</w:t>
            </w:r>
          </w:p>
        </w:tc>
        <w:tc>
          <w:tcPr>
            <w:tcW w:w="1533" w:type="dxa"/>
            <w:shd w:val="clear" w:color="auto" w:fill="auto"/>
            <w:noWrap/>
            <w:vAlign w:val="bottom"/>
            <w:hideMark/>
          </w:tcPr>
          <w:p w14:paraId="0C926AD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876" w:type="dxa"/>
            <w:shd w:val="clear" w:color="auto" w:fill="auto"/>
            <w:noWrap/>
            <w:vAlign w:val="bottom"/>
            <w:hideMark/>
          </w:tcPr>
          <w:p w14:paraId="681A6A2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-62</w:t>
            </w:r>
          </w:p>
        </w:tc>
      </w:tr>
      <w:tr w:rsidR="000831BA" w:rsidRPr="000F65EF" w14:paraId="410162A4" w14:textId="77777777" w:rsidTr="000831BA">
        <w:trPr>
          <w:trHeight w:val="240"/>
        </w:trPr>
        <w:tc>
          <w:tcPr>
            <w:tcW w:w="965" w:type="dxa"/>
            <w:vMerge/>
            <w:shd w:val="clear" w:color="auto" w:fill="auto"/>
            <w:vAlign w:val="center"/>
            <w:hideMark/>
          </w:tcPr>
          <w:p w14:paraId="1C11F54A"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77FBE308" w14:textId="0AE3880B"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Meridional</w:t>
            </w:r>
          </w:p>
        </w:tc>
        <w:tc>
          <w:tcPr>
            <w:tcW w:w="460" w:type="dxa"/>
            <w:shd w:val="clear" w:color="auto" w:fill="auto"/>
            <w:noWrap/>
            <w:vAlign w:val="bottom"/>
            <w:hideMark/>
          </w:tcPr>
          <w:p w14:paraId="1541B13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55</w:t>
            </w:r>
          </w:p>
        </w:tc>
        <w:tc>
          <w:tcPr>
            <w:tcW w:w="462" w:type="dxa"/>
            <w:shd w:val="clear" w:color="auto" w:fill="auto"/>
            <w:noWrap/>
            <w:vAlign w:val="bottom"/>
            <w:hideMark/>
          </w:tcPr>
          <w:p w14:paraId="1438D9B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476" w:type="dxa"/>
            <w:shd w:val="clear" w:color="auto" w:fill="auto"/>
            <w:noWrap/>
            <w:vAlign w:val="bottom"/>
            <w:hideMark/>
          </w:tcPr>
          <w:p w14:paraId="6404D43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476" w:type="dxa"/>
            <w:shd w:val="clear" w:color="auto" w:fill="auto"/>
            <w:noWrap/>
            <w:vAlign w:val="bottom"/>
            <w:hideMark/>
          </w:tcPr>
          <w:p w14:paraId="284E053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476" w:type="dxa"/>
            <w:shd w:val="clear" w:color="auto" w:fill="auto"/>
            <w:noWrap/>
            <w:vAlign w:val="bottom"/>
            <w:hideMark/>
          </w:tcPr>
          <w:p w14:paraId="542A000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38</w:t>
            </w:r>
          </w:p>
        </w:tc>
        <w:tc>
          <w:tcPr>
            <w:tcW w:w="476" w:type="dxa"/>
            <w:shd w:val="clear" w:color="auto" w:fill="auto"/>
            <w:noWrap/>
            <w:vAlign w:val="bottom"/>
            <w:hideMark/>
          </w:tcPr>
          <w:p w14:paraId="6A4F83C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25</w:t>
            </w:r>
          </w:p>
        </w:tc>
        <w:tc>
          <w:tcPr>
            <w:tcW w:w="475" w:type="dxa"/>
            <w:shd w:val="clear" w:color="auto" w:fill="auto"/>
            <w:noWrap/>
            <w:vAlign w:val="bottom"/>
            <w:hideMark/>
          </w:tcPr>
          <w:p w14:paraId="077F397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w:t>
            </w:r>
          </w:p>
        </w:tc>
        <w:tc>
          <w:tcPr>
            <w:tcW w:w="504" w:type="dxa"/>
            <w:shd w:val="clear" w:color="auto" w:fill="auto"/>
            <w:noWrap/>
            <w:vAlign w:val="bottom"/>
            <w:hideMark/>
          </w:tcPr>
          <w:p w14:paraId="36CC71B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26</w:t>
            </w:r>
          </w:p>
        </w:tc>
        <w:tc>
          <w:tcPr>
            <w:tcW w:w="504" w:type="dxa"/>
            <w:shd w:val="clear" w:color="auto" w:fill="auto"/>
            <w:noWrap/>
            <w:vAlign w:val="bottom"/>
            <w:hideMark/>
          </w:tcPr>
          <w:p w14:paraId="5C3300A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511" w:type="dxa"/>
            <w:shd w:val="clear" w:color="auto" w:fill="auto"/>
            <w:noWrap/>
            <w:vAlign w:val="bottom"/>
            <w:hideMark/>
          </w:tcPr>
          <w:p w14:paraId="2BADB11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18</w:t>
            </w:r>
          </w:p>
        </w:tc>
        <w:tc>
          <w:tcPr>
            <w:tcW w:w="1533" w:type="dxa"/>
            <w:shd w:val="clear" w:color="auto" w:fill="auto"/>
            <w:noWrap/>
            <w:vAlign w:val="bottom"/>
            <w:hideMark/>
          </w:tcPr>
          <w:p w14:paraId="417044D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876" w:type="dxa"/>
            <w:shd w:val="clear" w:color="auto" w:fill="auto"/>
            <w:noWrap/>
            <w:vAlign w:val="bottom"/>
            <w:hideMark/>
          </w:tcPr>
          <w:p w14:paraId="0B0E5C8E"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-67</w:t>
            </w:r>
          </w:p>
        </w:tc>
      </w:tr>
      <w:tr w:rsidR="000831BA" w:rsidRPr="000F65EF" w14:paraId="04735238" w14:textId="77777777" w:rsidTr="000831BA">
        <w:trPr>
          <w:trHeight w:val="240"/>
        </w:trPr>
        <w:tc>
          <w:tcPr>
            <w:tcW w:w="965" w:type="dxa"/>
            <w:vMerge w:val="restart"/>
            <w:shd w:val="clear" w:color="auto" w:fill="auto"/>
            <w:noWrap/>
            <w:vAlign w:val="center"/>
            <w:hideMark/>
          </w:tcPr>
          <w:p w14:paraId="33BAE0E3" w14:textId="77777777" w:rsidR="00CD692A" w:rsidRPr="000831BA" w:rsidRDefault="00CD692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 xml:space="preserve">Zona </w:t>
            </w:r>
          </w:p>
        </w:tc>
        <w:tc>
          <w:tcPr>
            <w:tcW w:w="1445" w:type="dxa"/>
            <w:shd w:val="clear" w:color="auto" w:fill="auto"/>
            <w:noWrap/>
            <w:hideMark/>
          </w:tcPr>
          <w:p w14:paraId="2352431A" w14:textId="55E6B70E"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Rural</w:t>
            </w:r>
          </w:p>
        </w:tc>
        <w:tc>
          <w:tcPr>
            <w:tcW w:w="460" w:type="dxa"/>
            <w:shd w:val="clear" w:color="auto" w:fill="auto"/>
            <w:noWrap/>
            <w:vAlign w:val="bottom"/>
            <w:hideMark/>
          </w:tcPr>
          <w:p w14:paraId="25E4FFB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57</w:t>
            </w:r>
          </w:p>
        </w:tc>
        <w:tc>
          <w:tcPr>
            <w:tcW w:w="462" w:type="dxa"/>
            <w:shd w:val="clear" w:color="auto" w:fill="auto"/>
            <w:noWrap/>
            <w:vAlign w:val="bottom"/>
            <w:hideMark/>
          </w:tcPr>
          <w:p w14:paraId="5D33871E"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476" w:type="dxa"/>
            <w:shd w:val="clear" w:color="auto" w:fill="auto"/>
            <w:noWrap/>
            <w:vAlign w:val="bottom"/>
            <w:hideMark/>
          </w:tcPr>
          <w:p w14:paraId="1CD3701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57</w:t>
            </w:r>
          </w:p>
        </w:tc>
        <w:tc>
          <w:tcPr>
            <w:tcW w:w="476" w:type="dxa"/>
            <w:shd w:val="clear" w:color="auto" w:fill="auto"/>
            <w:noWrap/>
            <w:vAlign w:val="bottom"/>
            <w:hideMark/>
          </w:tcPr>
          <w:p w14:paraId="768065F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53</w:t>
            </w:r>
          </w:p>
        </w:tc>
        <w:tc>
          <w:tcPr>
            <w:tcW w:w="476" w:type="dxa"/>
            <w:shd w:val="clear" w:color="auto" w:fill="auto"/>
            <w:noWrap/>
            <w:vAlign w:val="bottom"/>
            <w:hideMark/>
          </w:tcPr>
          <w:p w14:paraId="36D5A53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44</w:t>
            </w:r>
          </w:p>
        </w:tc>
        <w:tc>
          <w:tcPr>
            <w:tcW w:w="476" w:type="dxa"/>
            <w:shd w:val="clear" w:color="auto" w:fill="auto"/>
            <w:noWrap/>
            <w:vAlign w:val="bottom"/>
            <w:hideMark/>
          </w:tcPr>
          <w:p w14:paraId="3D3087E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475" w:type="dxa"/>
            <w:shd w:val="clear" w:color="auto" w:fill="auto"/>
            <w:noWrap/>
            <w:vAlign w:val="bottom"/>
            <w:hideMark/>
          </w:tcPr>
          <w:p w14:paraId="09DA56A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49</w:t>
            </w:r>
          </w:p>
        </w:tc>
        <w:tc>
          <w:tcPr>
            <w:tcW w:w="504" w:type="dxa"/>
            <w:shd w:val="clear" w:color="auto" w:fill="auto"/>
            <w:noWrap/>
            <w:vAlign w:val="bottom"/>
            <w:hideMark/>
          </w:tcPr>
          <w:p w14:paraId="183A0A5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33</w:t>
            </w:r>
          </w:p>
        </w:tc>
        <w:tc>
          <w:tcPr>
            <w:tcW w:w="504" w:type="dxa"/>
            <w:shd w:val="clear" w:color="auto" w:fill="auto"/>
            <w:noWrap/>
            <w:vAlign w:val="bottom"/>
            <w:hideMark/>
          </w:tcPr>
          <w:p w14:paraId="05AACF9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41</w:t>
            </w:r>
          </w:p>
        </w:tc>
        <w:tc>
          <w:tcPr>
            <w:tcW w:w="511" w:type="dxa"/>
            <w:shd w:val="clear" w:color="auto" w:fill="auto"/>
            <w:noWrap/>
            <w:vAlign w:val="bottom"/>
            <w:hideMark/>
          </w:tcPr>
          <w:p w14:paraId="04EAD1F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25</w:t>
            </w:r>
          </w:p>
        </w:tc>
        <w:tc>
          <w:tcPr>
            <w:tcW w:w="1533" w:type="dxa"/>
            <w:shd w:val="clear" w:color="auto" w:fill="auto"/>
            <w:noWrap/>
            <w:vAlign w:val="bottom"/>
            <w:hideMark/>
          </w:tcPr>
          <w:p w14:paraId="3F8598BE"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-38</w:t>
            </w:r>
          </w:p>
        </w:tc>
        <w:tc>
          <w:tcPr>
            <w:tcW w:w="876" w:type="dxa"/>
            <w:shd w:val="clear" w:color="auto" w:fill="auto"/>
            <w:noWrap/>
            <w:vAlign w:val="bottom"/>
            <w:hideMark/>
          </w:tcPr>
          <w:p w14:paraId="03418AB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-61</w:t>
            </w:r>
          </w:p>
        </w:tc>
      </w:tr>
      <w:tr w:rsidR="000831BA" w:rsidRPr="000F65EF" w14:paraId="098DD50F" w14:textId="77777777" w:rsidTr="000831BA">
        <w:trPr>
          <w:trHeight w:val="240"/>
        </w:trPr>
        <w:tc>
          <w:tcPr>
            <w:tcW w:w="965" w:type="dxa"/>
            <w:vMerge/>
            <w:shd w:val="clear" w:color="auto" w:fill="auto"/>
            <w:vAlign w:val="center"/>
            <w:hideMark/>
          </w:tcPr>
          <w:p w14:paraId="5725E99D" w14:textId="77777777" w:rsidR="00CD692A" w:rsidRPr="000831BA" w:rsidRDefault="00CD692A" w:rsidP="000F65EF">
            <w:pPr>
              <w:pStyle w:val="SingleTxtG"/>
              <w:tabs>
                <w:tab w:val="clear" w:pos="1701"/>
                <w:tab w:val="clear" w:pos="2268"/>
                <w:tab w:val="clear" w:pos="2835"/>
              </w:tabs>
              <w:spacing w:before="40" w:after="40" w:line="220" w:lineRule="exact"/>
              <w:ind w:left="0" w:right="0"/>
              <w:jc w:val="left"/>
              <w:rPr>
                <w:sz w:val="18"/>
              </w:rPr>
            </w:pPr>
          </w:p>
        </w:tc>
        <w:tc>
          <w:tcPr>
            <w:tcW w:w="1445" w:type="dxa"/>
            <w:shd w:val="clear" w:color="auto" w:fill="auto"/>
            <w:noWrap/>
            <w:hideMark/>
          </w:tcPr>
          <w:p w14:paraId="64801081" w14:textId="0F09829C"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Urbana</w:t>
            </w:r>
          </w:p>
        </w:tc>
        <w:tc>
          <w:tcPr>
            <w:tcW w:w="460" w:type="dxa"/>
            <w:shd w:val="clear" w:color="auto" w:fill="auto"/>
            <w:noWrap/>
            <w:vAlign w:val="bottom"/>
            <w:hideMark/>
          </w:tcPr>
          <w:p w14:paraId="200605A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63</w:t>
            </w:r>
          </w:p>
        </w:tc>
        <w:tc>
          <w:tcPr>
            <w:tcW w:w="462" w:type="dxa"/>
            <w:shd w:val="clear" w:color="auto" w:fill="auto"/>
            <w:noWrap/>
            <w:vAlign w:val="bottom"/>
            <w:hideMark/>
          </w:tcPr>
          <w:p w14:paraId="2214650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56</w:t>
            </w:r>
          </w:p>
        </w:tc>
        <w:tc>
          <w:tcPr>
            <w:tcW w:w="476" w:type="dxa"/>
            <w:shd w:val="clear" w:color="auto" w:fill="auto"/>
            <w:noWrap/>
            <w:vAlign w:val="bottom"/>
            <w:hideMark/>
          </w:tcPr>
          <w:p w14:paraId="0374E40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16</w:t>
            </w:r>
          </w:p>
        </w:tc>
        <w:tc>
          <w:tcPr>
            <w:tcW w:w="476" w:type="dxa"/>
            <w:shd w:val="clear" w:color="auto" w:fill="auto"/>
            <w:noWrap/>
            <w:vAlign w:val="bottom"/>
            <w:hideMark/>
          </w:tcPr>
          <w:p w14:paraId="365CF7F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21</w:t>
            </w:r>
          </w:p>
        </w:tc>
        <w:tc>
          <w:tcPr>
            <w:tcW w:w="476" w:type="dxa"/>
            <w:shd w:val="clear" w:color="auto" w:fill="auto"/>
            <w:noWrap/>
            <w:vAlign w:val="bottom"/>
            <w:hideMark/>
          </w:tcPr>
          <w:p w14:paraId="27A1E8F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20</w:t>
            </w:r>
          </w:p>
        </w:tc>
        <w:tc>
          <w:tcPr>
            <w:tcW w:w="476" w:type="dxa"/>
            <w:shd w:val="clear" w:color="auto" w:fill="auto"/>
            <w:noWrap/>
            <w:vAlign w:val="bottom"/>
            <w:hideMark/>
          </w:tcPr>
          <w:p w14:paraId="09733FF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11</w:t>
            </w:r>
          </w:p>
        </w:tc>
        <w:tc>
          <w:tcPr>
            <w:tcW w:w="475" w:type="dxa"/>
            <w:shd w:val="clear" w:color="auto" w:fill="auto"/>
            <w:noWrap/>
            <w:vAlign w:val="bottom"/>
            <w:hideMark/>
          </w:tcPr>
          <w:p w14:paraId="2568F63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15</w:t>
            </w:r>
          </w:p>
        </w:tc>
        <w:tc>
          <w:tcPr>
            <w:tcW w:w="504" w:type="dxa"/>
            <w:shd w:val="clear" w:color="auto" w:fill="auto"/>
            <w:noWrap/>
            <w:vAlign w:val="bottom"/>
            <w:hideMark/>
          </w:tcPr>
          <w:p w14:paraId="46B9700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10</w:t>
            </w:r>
          </w:p>
        </w:tc>
        <w:tc>
          <w:tcPr>
            <w:tcW w:w="504" w:type="dxa"/>
            <w:shd w:val="clear" w:color="auto" w:fill="auto"/>
            <w:noWrap/>
            <w:vAlign w:val="bottom"/>
            <w:hideMark/>
          </w:tcPr>
          <w:p w14:paraId="530B4ED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13</w:t>
            </w:r>
          </w:p>
        </w:tc>
        <w:tc>
          <w:tcPr>
            <w:tcW w:w="511" w:type="dxa"/>
            <w:shd w:val="clear" w:color="auto" w:fill="auto"/>
            <w:noWrap/>
            <w:vAlign w:val="bottom"/>
            <w:hideMark/>
          </w:tcPr>
          <w:p w14:paraId="73DBDAC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w:t>
            </w:r>
          </w:p>
        </w:tc>
        <w:tc>
          <w:tcPr>
            <w:tcW w:w="1533" w:type="dxa"/>
            <w:shd w:val="clear" w:color="auto" w:fill="auto"/>
            <w:noWrap/>
            <w:vAlign w:val="bottom"/>
            <w:hideMark/>
          </w:tcPr>
          <w:p w14:paraId="5464F43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w:t>
            </w:r>
          </w:p>
        </w:tc>
        <w:tc>
          <w:tcPr>
            <w:tcW w:w="876" w:type="dxa"/>
            <w:shd w:val="clear" w:color="auto" w:fill="auto"/>
            <w:noWrap/>
            <w:vAlign w:val="bottom"/>
            <w:hideMark/>
          </w:tcPr>
          <w:p w14:paraId="3FFA8A0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-63</w:t>
            </w:r>
          </w:p>
        </w:tc>
      </w:tr>
      <w:tr w:rsidR="000831BA" w:rsidRPr="000F65EF" w14:paraId="7E42D8DE" w14:textId="77777777" w:rsidTr="000831BA">
        <w:trPr>
          <w:trHeight w:val="240"/>
        </w:trPr>
        <w:tc>
          <w:tcPr>
            <w:tcW w:w="965" w:type="dxa"/>
            <w:vMerge w:val="restart"/>
            <w:shd w:val="clear" w:color="auto" w:fill="auto"/>
            <w:noWrap/>
            <w:vAlign w:val="center"/>
            <w:hideMark/>
          </w:tcPr>
          <w:p w14:paraId="43884CF2" w14:textId="77777777" w:rsidR="00CD692A" w:rsidRPr="000831BA" w:rsidRDefault="00CD692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 xml:space="preserve">Índice de riqueza </w:t>
            </w:r>
          </w:p>
        </w:tc>
        <w:tc>
          <w:tcPr>
            <w:tcW w:w="1445" w:type="dxa"/>
            <w:shd w:val="clear" w:color="auto" w:fill="auto"/>
            <w:noWrap/>
            <w:hideMark/>
          </w:tcPr>
          <w:p w14:paraId="5EFCA8D1" w14:textId="7AE44B13"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Los más pobres</w:t>
            </w:r>
          </w:p>
        </w:tc>
        <w:tc>
          <w:tcPr>
            <w:tcW w:w="460" w:type="dxa"/>
            <w:shd w:val="clear" w:color="auto" w:fill="auto"/>
            <w:noWrap/>
            <w:vAlign w:val="bottom"/>
            <w:hideMark/>
          </w:tcPr>
          <w:p w14:paraId="1DE5500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62" w:type="dxa"/>
            <w:shd w:val="clear" w:color="auto" w:fill="auto"/>
            <w:noWrap/>
            <w:vAlign w:val="bottom"/>
            <w:hideMark/>
          </w:tcPr>
          <w:p w14:paraId="013B672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76" w:type="dxa"/>
            <w:shd w:val="clear" w:color="auto" w:fill="auto"/>
            <w:noWrap/>
            <w:vAlign w:val="bottom"/>
            <w:hideMark/>
          </w:tcPr>
          <w:p w14:paraId="5EEFD68B"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66</w:t>
            </w:r>
          </w:p>
        </w:tc>
        <w:tc>
          <w:tcPr>
            <w:tcW w:w="476" w:type="dxa"/>
            <w:shd w:val="clear" w:color="auto" w:fill="auto"/>
            <w:noWrap/>
            <w:vAlign w:val="bottom"/>
            <w:hideMark/>
          </w:tcPr>
          <w:p w14:paraId="32067AE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59</w:t>
            </w:r>
          </w:p>
        </w:tc>
        <w:tc>
          <w:tcPr>
            <w:tcW w:w="476" w:type="dxa"/>
            <w:shd w:val="clear" w:color="auto" w:fill="auto"/>
            <w:noWrap/>
            <w:vAlign w:val="bottom"/>
            <w:hideMark/>
          </w:tcPr>
          <w:p w14:paraId="3DA4A34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52</w:t>
            </w:r>
          </w:p>
        </w:tc>
        <w:tc>
          <w:tcPr>
            <w:tcW w:w="476" w:type="dxa"/>
            <w:shd w:val="clear" w:color="auto" w:fill="auto"/>
            <w:noWrap/>
            <w:vAlign w:val="bottom"/>
            <w:hideMark/>
          </w:tcPr>
          <w:p w14:paraId="7019256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43</w:t>
            </w:r>
          </w:p>
        </w:tc>
        <w:tc>
          <w:tcPr>
            <w:tcW w:w="475" w:type="dxa"/>
            <w:shd w:val="clear" w:color="auto" w:fill="auto"/>
            <w:noWrap/>
            <w:vAlign w:val="bottom"/>
            <w:hideMark/>
          </w:tcPr>
          <w:p w14:paraId="0FBC99E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54</w:t>
            </w:r>
          </w:p>
        </w:tc>
        <w:tc>
          <w:tcPr>
            <w:tcW w:w="504" w:type="dxa"/>
            <w:shd w:val="clear" w:color="auto" w:fill="auto"/>
            <w:noWrap/>
            <w:vAlign w:val="bottom"/>
            <w:hideMark/>
          </w:tcPr>
          <w:p w14:paraId="51687F9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504" w:type="dxa"/>
            <w:shd w:val="clear" w:color="auto" w:fill="auto"/>
            <w:noWrap/>
            <w:vAlign w:val="bottom"/>
            <w:hideMark/>
          </w:tcPr>
          <w:p w14:paraId="30F3B3C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46</w:t>
            </w:r>
          </w:p>
        </w:tc>
        <w:tc>
          <w:tcPr>
            <w:tcW w:w="511" w:type="dxa"/>
            <w:shd w:val="clear" w:color="auto" w:fill="auto"/>
            <w:noWrap/>
            <w:vAlign w:val="bottom"/>
            <w:hideMark/>
          </w:tcPr>
          <w:p w14:paraId="1045813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25</w:t>
            </w:r>
          </w:p>
        </w:tc>
        <w:tc>
          <w:tcPr>
            <w:tcW w:w="1533" w:type="dxa"/>
            <w:shd w:val="clear" w:color="auto" w:fill="auto"/>
            <w:noWrap/>
            <w:vAlign w:val="bottom"/>
            <w:hideMark/>
          </w:tcPr>
          <w:p w14:paraId="5579CD6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-41</w:t>
            </w:r>
          </w:p>
        </w:tc>
        <w:tc>
          <w:tcPr>
            <w:tcW w:w="876" w:type="dxa"/>
            <w:shd w:val="clear" w:color="auto" w:fill="auto"/>
            <w:noWrap/>
            <w:vAlign w:val="bottom"/>
            <w:hideMark/>
          </w:tcPr>
          <w:p w14:paraId="3CC8CBE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-63</w:t>
            </w:r>
          </w:p>
        </w:tc>
      </w:tr>
      <w:tr w:rsidR="000831BA" w:rsidRPr="000F65EF" w14:paraId="45381430" w14:textId="77777777" w:rsidTr="000831BA">
        <w:trPr>
          <w:trHeight w:val="240"/>
        </w:trPr>
        <w:tc>
          <w:tcPr>
            <w:tcW w:w="965" w:type="dxa"/>
            <w:vMerge/>
            <w:shd w:val="clear" w:color="auto" w:fill="auto"/>
            <w:vAlign w:val="center"/>
            <w:hideMark/>
          </w:tcPr>
          <w:p w14:paraId="6586C431"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7E217C44" w14:textId="2320FEC8"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Más pobres</w:t>
            </w:r>
          </w:p>
        </w:tc>
        <w:tc>
          <w:tcPr>
            <w:tcW w:w="460" w:type="dxa"/>
            <w:shd w:val="clear" w:color="auto" w:fill="auto"/>
            <w:noWrap/>
            <w:vAlign w:val="bottom"/>
            <w:hideMark/>
          </w:tcPr>
          <w:p w14:paraId="65A92F3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62" w:type="dxa"/>
            <w:shd w:val="clear" w:color="auto" w:fill="auto"/>
            <w:noWrap/>
            <w:vAlign w:val="bottom"/>
            <w:hideMark/>
          </w:tcPr>
          <w:p w14:paraId="2684599F"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76" w:type="dxa"/>
            <w:shd w:val="clear" w:color="auto" w:fill="auto"/>
            <w:noWrap/>
            <w:vAlign w:val="bottom"/>
            <w:hideMark/>
          </w:tcPr>
          <w:p w14:paraId="3E6EF50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61</w:t>
            </w:r>
          </w:p>
        </w:tc>
        <w:tc>
          <w:tcPr>
            <w:tcW w:w="476" w:type="dxa"/>
            <w:shd w:val="clear" w:color="auto" w:fill="auto"/>
            <w:noWrap/>
            <w:vAlign w:val="bottom"/>
            <w:hideMark/>
          </w:tcPr>
          <w:p w14:paraId="41BB570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56</w:t>
            </w:r>
          </w:p>
        </w:tc>
        <w:tc>
          <w:tcPr>
            <w:tcW w:w="476" w:type="dxa"/>
            <w:shd w:val="clear" w:color="auto" w:fill="auto"/>
            <w:noWrap/>
            <w:vAlign w:val="bottom"/>
            <w:hideMark/>
          </w:tcPr>
          <w:p w14:paraId="4B066B9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46</w:t>
            </w:r>
          </w:p>
        </w:tc>
        <w:tc>
          <w:tcPr>
            <w:tcW w:w="476" w:type="dxa"/>
            <w:shd w:val="clear" w:color="auto" w:fill="auto"/>
            <w:noWrap/>
            <w:vAlign w:val="bottom"/>
            <w:hideMark/>
          </w:tcPr>
          <w:p w14:paraId="5059E3E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475" w:type="dxa"/>
            <w:shd w:val="clear" w:color="auto" w:fill="auto"/>
            <w:noWrap/>
            <w:vAlign w:val="bottom"/>
            <w:hideMark/>
          </w:tcPr>
          <w:p w14:paraId="23891EA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51</w:t>
            </w:r>
          </w:p>
        </w:tc>
        <w:tc>
          <w:tcPr>
            <w:tcW w:w="504" w:type="dxa"/>
            <w:shd w:val="clear" w:color="auto" w:fill="auto"/>
            <w:noWrap/>
            <w:vAlign w:val="bottom"/>
            <w:hideMark/>
          </w:tcPr>
          <w:p w14:paraId="5E692782"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38</w:t>
            </w:r>
          </w:p>
        </w:tc>
        <w:tc>
          <w:tcPr>
            <w:tcW w:w="504" w:type="dxa"/>
            <w:shd w:val="clear" w:color="auto" w:fill="auto"/>
            <w:noWrap/>
            <w:vAlign w:val="bottom"/>
            <w:hideMark/>
          </w:tcPr>
          <w:p w14:paraId="031D8D5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42</w:t>
            </w:r>
          </w:p>
        </w:tc>
        <w:tc>
          <w:tcPr>
            <w:tcW w:w="511" w:type="dxa"/>
            <w:shd w:val="clear" w:color="auto" w:fill="auto"/>
            <w:noWrap/>
            <w:vAlign w:val="bottom"/>
            <w:hideMark/>
          </w:tcPr>
          <w:p w14:paraId="1FC3A6F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27</w:t>
            </w:r>
          </w:p>
        </w:tc>
        <w:tc>
          <w:tcPr>
            <w:tcW w:w="1533" w:type="dxa"/>
            <w:shd w:val="clear" w:color="auto" w:fill="auto"/>
            <w:noWrap/>
            <w:vAlign w:val="bottom"/>
            <w:hideMark/>
          </w:tcPr>
          <w:p w14:paraId="2FE8DDDF"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-34</w:t>
            </w:r>
          </w:p>
        </w:tc>
        <w:tc>
          <w:tcPr>
            <w:tcW w:w="876" w:type="dxa"/>
            <w:shd w:val="clear" w:color="auto" w:fill="auto"/>
            <w:noWrap/>
            <w:vAlign w:val="bottom"/>
            <w:hideMark/>
          </w:tcPr>
          <w:p w14:paraId="13948ED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-56</w:t>
            </w:r>
          </w:p>
        </w:tc>
      </w:tr>
      <w:tr w:rsidR="000831BA" w:rsidRPr="000F65EF" w14:paraId="3D9E59B8" w14:textId="77777777" w:rsidTr="000831BA">
        <w:trPr>
          <w:trHeight w:val="240"/>
        </w:trPr>
        <w:tc>
          <w:tcPr>
            <w:tcW w:w="965" w:type="dxa"/>
            <w:vMerge/>
            <w:shd w:val="clear" w:color="auto" w:fill="auto"/>
            <w:vAlign w:val="center"/>
            <w:hideMark/>
          </w:tcPr>
          <w:p w14:paraId="136B3F9F"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1474637F" w14:textId="43DB0145"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Medio</w:t>
            </w:r>
          </w:p>
        </w:tc>
        <w:tc>
          <w:tcPr>
            <w:tcW w:w="460" w:type="dxa"/>
            <w:shd w:val="clear" w:color="auto" w:fill="auto"/>
            <w:noWrap/>
            <w:vAlign w:val="bottom"/>
            <w:hideMark/>
          </w:tcPr>
          <w:p w14:paraId="5019C37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62" w:type="dxa"/>
            <w:shd w:val="clear" w:color="auto" w:fill="auto"/>
            <w:noWrap/>
            <w:vAlign w:val="bottom"/>
            <w:hideMark/>
          </w:tcPr>
          <w:p w14:paraId="076CC59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76" w:type="dxa"/>
            <w:shd w:val="clear" w:color="auto" w:fill="auto"/>
            <w:noWrap/>
            <w:vAlign w:val="bottom"/>
            <w:hideMark/>
          </w:tcPr>
          <w:p w14:paraId="72E5C48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56</w:t>
            </w:r>
          </w:p>
        </w:tc>
        <w:tc>
          <w:tcPr>
            <w:tcW w:w="476" w:type="dxa"/>
            <w:shd w:val="clear" w:color="auto" w:fill="auto"/>
            <w:noWrap/>
            <w:vAlign w:val="bottom"/>
            <w:hideMark/>
          </w:tcPr>
          <w:p w14:paraId="73B1DE49"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53</w:t>
            </w:r>
          </w:p>
        </w:tc>
        <w:tc>
          <w:tcPr>
            <w:tcW w:w="476" w:type="dxa"/>
            <w:shd w:val="clear" w:color="auto" w:fill="auto"/>
            <w:noWrap/>
            <w:vAlign w:val="bottom"/>
            <w:hideMark/>
          </w:tcPr>
          <w:p w14:paraId="09A995F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44</w:t>
            </w:r>
          </w:p>
        </w:tc>
        <w:tc>
          <w:tcPr>
            <w:tcW w:w="476" w:type="dxa"/>
            <w:shd w:val="clear" w:color="auto" w:fill="auto"/>
            <w:noWrap/>
            <w:vAlign w:val="bottom"/>
            <w:hideMark/>
          </w:tcPr>
          <w:p w14:paraId="49EB4A3F"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31</w:t>
            </w:r>
          </w:p>
        </w:tc>
        <w:tc>
          <w:tcPr>
            <w:tcW w:w="475" w:type="dxa"/>
            <w:shd w:val="clear" w:color="auto" w:fill="auto"/>
            <w:noWrap/>
            <w:vAlign w:val="bottom"/>
            <w:hideMark/>
          </w:tcPr>
          <w:p w14:paraId="628C361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504" w:type="dxa"/>
            <w:shd w:val="clear" w:color="auto" w:fill="auto"/>
            <w:noWrap/>
            <w:vAlign w:val="bottom"/>
            <w:hideMark/>
          </w:tcPr>
          <w:p w14:paraId="3803FD1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34</w:t>
            </w:r>
          </w:p>
        </w:tc>
        <w:tc>
          <w:tcPr>
            <w:tcW w:w="504" w:type="dxa"/>
            <w:shd w:val="clear" w:color="auto" w:fill="auto"/>
            <w:noWrap/>
            <w:vAlign w:val="bottom"/>
            <w:hideMark/>
          </w:tcPr>
          <w:p w14:paraId="0C10B14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41</w:t>
            </w:r>
          </w:p>
        </w:tc>
        <w:tc>
          <w:tcPr>
            <w:tcW w:w="511" w:type="dxa"/>
            <w:shd w:val="clear" w:color="auto" w:fill="auto"/>
            <w:noWrap/>
            <w:vAlign w:val="bottom"/>
            <w:hideMark/>
          </w:tcPr>
          <w:p w14:paraId="776C949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1533" w:type="dxa"/>
            <w:shd w:val="clear" w:color="auto" w:fill="auto"/>
            <w:noWrap/>
            <w:vAlign w:val="bottom"/>
            <w:hideMark/>
          </w:tcPr>
          <w:p w14:paraId="1B8CD1A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876" w:type="dxa"/>
            <w:shd w:val="clear" w:color="auto" w:fill="auto"/>
            <w:noWrap/>
            <w:vAlign w:val="bottom"/>
            <w:hideMark/>
          </w:tcPr>
          <w:p w14:paraId="0454A082"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r>
      <w:tr w:rsidR="000831BA" w:rsidRPr="000F65EF" w14:paraId="6183E89C" w14:textId="77777777" w:rsidTr="000831BA">
        <w:trPr>
          <w:trHeight w:val="240"/>
        </w:trPr>
        <w:tc>
          <w:tcPr>
            <w:tcW w:w="965" w:type="dxa"/>
            <w:vMerge/>
            <w:shd w:val="clear" w:color="auto" w:fill="auto"/>
            <w:vAlign w:val="center"/>
            <w:hideMark/>
          </w:tcPr>
          <w:p w14:paraId="7EE4AE0C"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25F60A22" w14:textId="43CC79E6"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Más ricos</w:t>
            </w:r>
          </w:p>
        </w:tc>
        <w:tc>
          <w:tcPr>
            <w:tcW w:w="460" w:type="dxa"/>
            <w:shd w:val="clear" w:color="auto" w:fill="auto"/>
            <w:noWrap/>
            <w:vAlign w:val="bottom"/>
            <w:hideMark/>
          </w:tcPr>
          <w:p w14:paraId="6AEF72E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62" w:type="dxa"/>
            <w:shd w:val="clear" w:color="auto" w:fill="auto"/>
            <w:noWrap/>
            <w:vAlign w:val="bottom"/>
            <w:hideMark/>
          </w:tcPr>
          <w:p w14:paraId="7F18A6E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76" w:type="dxa"/>
            <w:shd w:val="clear" w:color="auto" w:fill="auto"/>
            <w:noWrap/>
            <w:vAlign w:val="bottom"/>
            <w:hideMark/>
          </w:tcPr>
          <w:p w14:paraId="6FC76D0A"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50</w:t>
            </w:r>
          </w:p>
        </w:tc>
        <w:tc>
          <w:tcPr>
            <w:tcW w:w="476" w:type="dxa"/>
            <w:shd w:val="clear" w:color="auto" w:fill="auto"/>
            <w:noWrap/>
            <w:vAlign w:val="bottom"/>
            <w:hideMark/>
          </w:tcPr>
          <w:p w14:paraId="50AF0E5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48</w:t>
            </w:r>
          </w:p>
        </w:tc>
        <w:tc>
          <w:tcPr>
            <w:tcW w:w="476" w:type="dxa"/>
            <w:shd w:val="clear" w:color="auto" w:fill="auto"/>
            <w:noWrap/>
            <w:vAlign w:val="bottom"/>
            <w:hideMark/>
          </w:tcPr>
          <w:p w14:paraId="66C62D9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37</w:t>
            </w:r>
          </w:p>
        </w:tc>
        <w:tc>
          <w:tcPr>
            <w:tcW w:w="476" w:type="dxa"/>
            <w:shd w:val="clear" w:color="auto" w:fill="auto"/>
            <w:noWrap/>
            <w:vAlign w:val="bottom"/>
            <w:hideMark/>
          </w:tcPr>
          <w:p w14:paraId="5BD0021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475" w:type="dxa"/>
            <w:shd w:val="clear" w:color="auto" w:fill="auto"/>
            <w:noWrap/>
            <w:vAlign w:val="bottom"/>
            <w:hideMark/>
          </w:tcPr>
          <w:p w14:paraId="55EC7548"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46</w:t>
            </w:r>
          </w:p>
        </w:tc>
        <w:tc>
          <w:tcPr>
            <w:tcW w:w="504" w:type="dxa"/>
            <w:shd w:val="clear" w:color="auto" w:fill="auto"/>
            <w:noWrap/>
            <w:vAlign w:val="bottom"/>
            <w:hideMark/>
          </w:tcPr>
          <w:p w14:paraId="6B5C37F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30</w:t>
            </w:r>
          </w:p>
        </w:tc>
        <w:tc>
          <w:tcPr>
            <w:tcW w:w="504" w:type="dxa"/>
            <w:shd w:val="clear" w:color="auto" w:fill="auto"/>
            <w:noWrap/>
            <w:vAlign w:val="bottom"/>
            <w:hideMark/>
          </w:tcPr>
          <w:p w14:paraId="4BDB5B9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38</w:t>
            </w:r>
          </w:p>
        </w:tc>
        <w:tc>
          <w:tcPr>
            <w:tcW w:w="511" w:type="dxa"/>
            <w:shd w:val="clear" w:color="auto" w:fill="auto"/>
            <w:noWrap/>
            <w:vAlign w:val="bottom"/>
            <w:hideMark/>
          </w:tcPr>
          <w:p w14:paraId="3955828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21</w:t>
            </w:r>
          </w:p>
        </w:tc>
        <w:tc>
          <w:tcPr>
            <w:tcW w:w="1533" w:type="dxa"/>
            <w:shd w:val="clear" w:color="auto" w:fill="auto"/>
            <w:noWrap/>
            <w:vAlign w:val="bottom"/>
            <w:hideMark/>
          </w:tcPr>
          <w:p w14:paraId="207C4FC1"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-29</w:t>
            </w:r>
          </w:p>
        </w:tc>
        <w:tc>
          <w:tcPr>
            <w:tcW w:w="876" w:type="dxa"/>
            <w:shd w:val="clear" w:color="auto" w:fill="auto"/>
            <w:noWrap/>
            <w:vAlign w:val="bottom"/>
            <w:hideMark/>
          </w:tcPr>
          <w:p w14:paraId="5C0C5E2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-59</w:t>
            </w:r>
          </w:p>
        </w:tc>
      </w:tr>
      <w:tr w:rsidR="000831BA" w:rsidRPr="000F65EF" w14:paraId="091DBC6B" w14:textId="77777777" w:rsidTr="000831BA">
        <w:trPr>
          <w:trHeight w:val="240"/>
        </w:trPr>
        <w:tc>
          <w:tcPr>
            <w:tcW w:w="965" w:type="dxa"/>
            <w:vMerge/>
            <w:shd w:val="clear" w:color="auto" w:fill="auto"/>
            <w:vAlign w:val="center"/>
            <w:hideMark/>
          </w:tcPr>
          <w:p w14:paraId="1C7F9399"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shd w:val="clear" w:color="auto" w:fill="auto"/>
            <w:noWrap/>
            <w:hideMark/>
          </w:tcPr>
          <w:p w14:paraId="654E0FC6" w14:textId="166D517C"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Los más ricos</w:t>
            </w:r>
          </w:p>
        </w:tc>
        <w:tc>
          <w:tcPr>
            <w:tcW w:w="460" w:type="dxa"/>
            <w:shd w:val="clear" w:color="auto" w:fill="auto"/>
            <w:noWrap/>
            <w:vAlign w:val="bottom"/>
            <w:hideMark/>
          </w:tcPr>
          <w:p w14:paraId="7EC00BCC"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62" w:type="dxa"/>
            <w:shd w:val="clear" w:color="auto" w:fill="auto"/>
            <w:noWrap/>
            <w:vAlign w:val="bottom"/>
            <w:hideMark/>
          </w:tcPr>
          <w:p w14:paraId="28918E64"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p>
        </w:tc>
        <w:tc>
          <w:tcPr>
            <w:tcW w:w="476" w:type="dxa"/>
            <w:shd w:val="clear" w:color="auto" w:fill="auto"/>
            <w:noWrap/>
            <w:vAlign w:val="bottom"/>
            <w:hideMark/>
          </w:tcPr>
          <w:p w14:paraId="731060C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19</w:t>
            </w:r>
          </w:p>
        </w:tc>
        <w:tc>
          <w:tcPr>
            <w:tcW w:w="476" w:type="dxa"/>
            <w:shd w:val="clear" w:color="auto" w:fill="auto"/>
            <w:noWrap/>
            <w:vAlign w:val="bottom"/>
            <w:hideMark/>
          </w:tcPr>
          <w:p w14:paraId="565D92F3"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28</w:t>
            </w:r>
          </w:p>
        </w:tc>
        <w:tc>
          <w:tcPr>
            <w:tcW w:w="476" w:type="dxa"/>
            <w:shd w:val="clear" w:color="auto" w:fill="auto"/>
            <w:noWrap/>
            <w:vAlign w:val="bottom"/>
            <w:hideMark/>
          </w:tcPr>
          <w:p w14:paraId="5EDB5A67"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20</w:t>
            </w:r>
          </w:p>
        </w:tc>
        <w:tc>
          <w:tcPr>
            <w:tcW w:w="476" w:type="dxa"/>
            <w:shd w:val="clear" w:color="auto" w:fill="auto"/>
            <w:noWrap/>
            <w:vAlign w:val="bottom"/>
            <w:hideMark/>
          </w:tcPr>
          <w:p w14:paraId="2028115D"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9</w:t>
            </w:r>
          </w:p>
        </w:tc>
        <w:tc>
          <w:tcPr>
            <w:tcW w:w="475" w:type="dxa"/>
            <w:shd w:val="clear" w:color="auto" w:fill="auto"/>
            <w:noWrap/>
            <w:vAlign w:val="bottom"/>
            <w:hideMark/>
          </w:tcPr>
          <w:p w14:paraId="3C2EDE7F"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20</w:t>
            </w:r>
          </w:p>
        </w:tc>
        <w:tc>
          <w:tcPr>
            <w:tcW w:w="504" w:type="dxa"/>
            <w:shd w:val="clear" w:color="auto" w:fill="auto"/>
            <w:noWrap/>
            <w:vAlign w:val="bottom"/>
            <w:hideMark/>
          </w:tcPr>
          <w:p w14:paraId="6D1A937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7</w:t>
            </w:r>
          </w:p>
        </w:tc>
        <w:tc>
          <w:tcPr>
            <w:tcW w:w="504" w:type="dxa"/>
            <w:shd w:val="clear" w:color="auto" w:fill="auto"/>
            <w:noWrap/>
            <w:vAlign w:val="bottom"/>
            <w:hideMark/>
          </w:tcPr>
          <w:p w14:paraId="2F971FB5"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17</w:t>
            </w:r>
          </w:p>
        </w:tc>
        <w:tc>
          <w:tcPr>
            <w:tcW w:w="511" w:type="dxa"/>
            <w:shd w:val="clear" w:color="auto" w:fill="auto"/>
            <w:noWrap/>
            <w:vAlign w:val="bottom"/>
            <w:hideMark/>
          </w:tcPr>
          <w:p w14:paraId="53A82B82"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8</w:t>
            </w:r>
          </w:p>
        </w:tc>
        <w:tc>
          <w:tcPr>
            <w:tcW w:w="1533" w:type="dxa"/>
            <w:shd w:val="clear" w:color="auto" w:fill="auto"/>
            <w:noWrap/>
            <w:vAlign w:val="bottom"/>
            <w:hideMark/>
          </w:tcPr>
          <w:p w14:paraId="759A0260"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-11</w:t>
            </w:r>
          </w:p>
        </w:tc>
        <w:tc>
          <w:tcPr>
            <w:tcW w:w="876" w:type="dxa"/>
            <w:shd w:val="clear" w:color="auto" w:fill="auto"/>
            <w:noWrap/>
            <w:vAlign w:val="bottom"/>
            <w:hideMark/>
          </w:tcPr>
          <w:p w14:paraId="305A0926" w14:textId="77777777" w:rsidR="00CD692A" w:rsidRPr="000F65EF" w:rsidRDefault="00CD692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-57</w:t>
            </w:r>
          </w:p>
        </w:tc>
      </w:tr>
      <w:tr w:rsidR="000831BA" w:rsidRPr="000F65EF" w14:paraId="68B2CFF8" w14:textId="77777777" w:rsidTr="000831BA">
        <w:trPr>
          <w:trHeight w:val="240"/>
        </w:trPr>
        <w:tc>
          <w:tcPr>
            <w:tcW w:w="965" w:type="dxa"/>
            <w:vMerge w:val="restart"/>
            <w:shd w:val="clear" w:color="auto" w:fill="auto"/>
            <w:vAlign w:val="center"/>
          </w:tcPr>
          <w:p w14:paraId="39EFE295" w14:textId="239AC94E"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Nivel de enseñanza</w:t>
            </w:r>
          </w:p>
        </w:tc>
        <w:tc>
          <w:tcPr>
            <w:tcW w:w="1445" w:type="dxa"/>
            <w:shd w:val="clear" w:color="auto" w:fill="auto"/>
            <w:noWrap/>
          </w:tcPr>
          <w:p w14:paraId="42D44199" w14:textId="7ADBCF38"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Ninguna</w:t>
            </w:r>
          </w:p>
        </w:tc>
        <w:tc>
          <w:tcPr>
            <w:tcW w:w="460" w:type="dxa"/>
            <w:shd w:val="clear" w:color="auto" w:fill="auto"/>
            <w:noWrap/>
            <w:vAlign w:val="bottom"/>
          </w:tcPr>
          <w:p w14:paraId="63E571C2" w14:textId="4C0E44FF"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64</w:t>
            </w:r>
          </w:p>
        </w:tc>
        <w:tc>
          <w:tcPr>
            <w:tcW w:w="462" w:type="dxa"/>
            <w:shd w:val="clear" w:color="auto" w:fill="auto"/>
            <w:noWrap/>
            <w:vAlign w:val="bottom"/>
          </w:tcPr>
          <w:p w14:paraId="7449FDE2" w14:textId="5A79D2A3"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59</w:t>
            </w:r>
          </w:p>
        </w:tc>
        <w:tc>
          <w:tcPr>
            <w:tcW w:w="476" w:type="dxa"/>
            <w:shd w:val="clear" w:color="auto" w:fill="auto"/>
            <w:noWrap/>
            <w:vAlign w:val="bottom"/>
          </w:tcPr>
          <w:p w14:paraId="559DC235" w14:textId="0E92958E"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58</w:t>
            </w:r>
          </w:p>
        </w:tc>
        <w:tc>
          <w:tcPr>
            <w:tcW w:w="476" w:type="dxa"/>
            <w:shd w:val="clear" w:color="auto" w:fill="auto"/>
            <w:noWrap/>
            <w:vAlign w:val="bottom"/>
          </w:tcPr>
          <w:p w14:paraId="203055E1" w14:textId="28801000"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55</w:t>
            </w:r>
          </w:p>
        </w:tc>
        <w:tc>
          <w:tcPr>
            <w:tcW w:w="476" w:type="dxa"/>
            <w:shd w:val="clear" w:color="auto" w:fill="auto"/>
            <w:noWrap/>
            <w:vAlign w:val="bottom"/>
          </w:tcPr>
          <w:p w14:paraId="795B5E6B" w14:textId="53F2984E"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45</w:t>
            </w:r>
          </w:p>
        </w:tc>
        <w:tc>
          <w:tcPr>
            <w:tcW w:w="476" w:type="dxa"/>
            <w:shd w:val="clear" w:color="auto" w:fill="auto"/>
            <w:noWrap/>
            <w:vAlign w:val="bottom"/>
          </w:tcPr>
          <w:p w14:paraId="41422C3A"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475" w:type="dxa"/>
            <w:shd w:val="clear" w:color="auto" w:fill="auto"/>
            <w:noWrap/>
            <w:vAlign w:val="bottom"/>
          </w:tcPr>
          <w:p w14:paraId="22A78291" w14:textId="1CC9CD0B"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50</w:t>
            </w:r>
          </w:p>
        </w:tc>
        <w:tc>
          <w:tcPr>
            <w:tcW w:w="504" w:type="dxa"/>
            <w:shd w:val="clear" w:color="auto" w:fill="auto"/>
            <w:noWrap/>
            <w:vAlign w:val="bottom"/>
          </w:tcPr>
          <w:p w14:paraId="0F48B1D2"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504" w:type="dxa"/>
            <w:shd w:val="clear" w:color="auto" w:fill="auto"/>
            <w:noWrap/>
            <w:vAlign w:val="bottom"/>
          </w:tcPr>
          <w:p w14:paraId="72DA8127" w14:textId="04CBD745"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42</w:t>
            </w:r>
          </w:p>
        </w:tc>
        <w:tc>
          <w:tcPr>
            <w:tcW w:w="511" w:type="dxa"/>
            <w:shd w:val="clear" w:color="auto" w:fill="auto"/>
            <w:noWrap/>
            <w:vAlign w:val="bottom"/>
          </w:tcPr>
          <w:p w14:paraId="4399BA64"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1533" w:type="dxa"/>
            <w:shd w:val="clear" w:color="auto" w:fill="auto"/>
            <w:noWrap/>
            <w:vAlign w:val="bottom"/>
          </w:tcPr>
          <w:p w14:paraId="7B9066AA" w14:textId="1B0E355B"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-21</w:t>
            </w:r>
          </w:p>
        </w:tc>
        <w:tc>
          <w:tcPr>
            <w:tcW w:w="876" w:type="dxa"/>
            <w:shd w:val="clear" w:color="auto" w:fill="auto"/>
            <w:noWrap/>
            <w:vAlign w:val="bottom"/>
          </w:tcPr>
          <w:p w14:paraId="6DBF8DE1" w14:textId="0B219BE2"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-33</w:t>
            </w:r>
          </w:p>
        </w:tc>
      </w:tr>
      <w:tr w:rsidR="000831BA" w:rsidRPr="000F65EF" w14:paraId="015EE79B" w14:textId="77777777" w:rsidTr="00FE178D">
        <w:trPr>
          <w:trHeight w:val="240"/>
        </w:trPr>
        <w:tc>
          <w:tcPr>
            <w:tcW w:w="965" w:type="dxa"/>
            <w:vMerge/>
            <w:shd w:val="clear" w:color="auto" w:fill="auto"/>
          </w:tcPr>
          <w:p w14:paraId="718F773B" w14:textId="77777777"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tcBorders>
              <w:bottom w:val="nil"/>
            </w:tcBorders>
            <w:shd w:val="clear" w:color="auto" w:fill="auto"/>
            <w:noWrap/>
          </w:tcPr>
          <w:p w14:paraId="27DE04B3" w14:textId="5DA99AFE"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Primaria</w:t>
            </w:r>
          </w:p>
        </w:tc>
        <w:tc>
          <w:tcPr>
            <w:tcW w:w="460" w:type="dxa"/>
            <w:tcBorders>
              <w:bottom w:val="nil"/>
            </w:tcBorders>
            <w:shd w:val="clear" w:color="auto" w:fill="auto"/>
            <w:noWrap/>
            <w:vAlign w:val="bottom"/>
          </w:tcPr>
          <w:p w14:paraId="0B672105" w14:textId="2365ECF1"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58</w:t>
            </w:r>
          </w:p>
        </w:tc>
        <w:tc>
          <w:tcPr>
            <w:tcW w:w="462" w:type="dxa"/>
            <w:tcBorders>
              <w:bottom w:val="nil"/>
            </w:tcBorders>
            <w:shd w:val="clear" w:color="auto" w:fill="auto"/>
            <w:noWrap/>
            <w:vAlign w:val="bottom"/>
          </w:tcPr>
          <w:p w14:paraId="0E6A7611" w14:textId="183FAA1A"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53</w:t>
            </w:r>
          </w:p>
        </w:tc>
        <w:tc>
          <w:tcPr>
            <w:tcW w:w="476" w:type="dxa"/>
            <w:tcBorders>
              <w:bottom w:val="nil"/>
            </w:tcBorders>
            <w:shd w:val="clear" w:color="auto" w:fill="auto"/>
            <w:noWrap/>
            <w:vAlign w:val="bottom"/>
          </w:tcPr>
          <w:p w14:paraId="254014F6" w14:textId="5D6D6509"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54</w:t>
            </w:r>
          </w:p>
        </w:tc>
        <w:tc>
          <w:tcPr>
            <w:tcW w:w="476" w:type="dxa"/>
            <w:tcBorders>
              <w:bottom w:val="nil"/>
            </w:tcBorders>
            <w:shd w:val="clear" w:color="auto" w:fill="auto"/>
            <w:noWrap/>
            <w:vAlign w:val="bottom"/>
          </w:tcPr>
          <w:p w14:paraId="2670F058" w14:textId="48C9EFF2"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51</w:t>
            </w:r>
          </w:p>
        </w:tc>
        <w:tc>
          <w:tcPr>
            <w:tcW w:w="476" w:type="dxa"/>
            <w:tcBorders>
              <w:bottom w:val="nil"/>
            </w:tcBorders>
            <w:shd w:val="clear" w:color="auto" w:fill="auto"/>
            <w:noWrap/>
            <w:vAlign w:val="bottom"/>
          </w:tcPr>
          <w:p w14:paraId="55C124AD" w14:textId="0607036A"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43</w:t>
            </w:r>
          </w:p>
        </w:tc>
        <w:tc>
          <w:tcPr>
            <w:tcW w:w="476" w:type="dxa"/>
            <w:tcBorders>
              <w:bottom w:val="nil"/>
            </w:tcBorders>
            <w:shd w:val="clear" w:color="auto" w:fill="auto"/>
            <w:noWrap/>
            <w:vAlign w:val="bottom"/>
          </w:tcPr>
          <w:p w14:paraId="6DA8F057"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475" w:type="dxa"/>
            <w:tcBorders>
              <w:bottom w:val="nil"/>
            </w:tcBorders>
            <w:shd w:val="clear" w:color="auto" w:fill="auto"/>
            <w:noWrap/>
            <w:vAlign w:val="bottom"/>
          </w:tcPr>
          <w:p w14:paraId="05191E3D" w14:textId="561AAD95"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48</w:t>
            </w:r>
          </w:p>
        </w:tc>
        <w:tc>
          <w:tcPr>
            <w:tcW w:w="504" w:type="dxa"/>
            <w:tcBorders>
              <w:bottom w:val="nil"/>
            </w:tcBorders>
            <w:shd w:val="clear" w:color="auto" w:fill="auto"/>
            <w:noWrap/>
            <w:vAlign w:val="bottom"/>
          </w:tcPr>
          <w:p w14:paraId="2FA9BB8A"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504" w:type="dxa"/>
            <w:tcBorders>
              <w:bottom w:val="nil"/>
            </w:tcBorders>
            <w:shd w:val="clear" w:color="auto" w:fill="auto"/>
            <w:noWrap/>
            <w:vAlign w:val="bottom"/>
          </w:tcPr>
          <w:p w14:paraId="1D8C6B83" w14:textId="5882102F"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40</w:t>
            </w:r>
          </w:p>
        </w:tc>
        <w:tc>
          <w:tcPr>
            <w:tcW w:w="511" w:type="dxa"/>
            <w:tcBorders>
              <w:bottom w:val="nil"/>
            </w:tcBorders>
            <w:shd w:val="clear" w:color="auto" w:fill="auto"/>
            <w:noWrap/>
            <w:vAlign w:val="bottom"/>
          </w:tcPr>
          <w:p w14:paraId="2F0533EB"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1533" w:type="dxa"/>
            <w:tcBorders>
              <w:bottom w:val="nil"/>
            </w:tcBorders>
            <w:shd w:val="clear" w:color="auto" w:fill="auto"/>
            <w:noWrap/>
            <w:vAlign w:val="bottom"/>
          </w:tcPr>
          <w:p w14:paraId="75A5821A" w14:textId="10B3B9DD"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-18</w:t>
            </w:r>
          </w:p>
        </w:tc>
        <w:tc>
          <w:tcPr>
            <w:tcW w:w="876" w:type="dxa"/>
            <w:tcBorders>
              <w:bottom w:val="nil"/>
            </w:tcBorders>
            <w:shd w:val="clear" w:color="auto" w:fill="auto"/>
            <w:noWrap/>
            <w:vAlign w:val="bottom"/>
          </w:tcPr>
          <w:p w14:paraId="697D2770" w14:textId="59EDFE25"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-31</w:t>
            </w:r>
          </w:p>
        </w:tc>
      </w:tr>
      <w:tr w:rsidR="000831BA" w:rsidRPr="000F65EF" w14:paraId="7978C738" w14:textId="77777777" w:rsidTr="00FE178D">
        <w:trPr>
          <w:trHeight w:val="240"/>
        </w:trPr>
        <w:tc>
          <w:tcPr>
            <w:tcW w:w="965" w:type="dxa"/>
            <w:vMerge/>
            <w:tcBorders>
              <w:bottom w:val="single" w:sz="12" w:space="0" w:color="auto"/>
            </w:tcBorders>
            <w:shd w:val="clear" w:color="auto" w:fill="auto"/>
          </w:tcPr>
          <w:p w14:paraId="7FAD079C" w14:textId="77777777"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lang w:val="en-GB"/>
              </w:rPr>
            </w:pPr>
          </w:p>
        </w:tc>
        <w:tc>
          <w:tcPr>
            <w:tcW w:w="1445" w:type="dxa"/>
            <w:tcBorders>
              <w:top w:val="nil"/>
              <w:bottom w:val="single" w:sz="12" w:space="0" w:color="auto"/>
            </w:tcBorders>
            <w:shd w:val="clear" w:color="auto" w:fill="auto"/>
            <w:noWrap/>
          </w:tcPr>
          <w:p w14:paraId="2C09D9AB" w14:textId="40BC544E" w:rsidR="000831BA" w:rsidRPr="000F65EF" w:rsidRDefault="000831BA" w:rsidP="000F65EF">
            <w:pPr>
              <w:pStyle w:val="SingleTxtG"/>
              <w:tabs>
                <w:tab w:val="clear" w:pos="1701"/>
                <w:tab w:val="clear" w:pos="2268"/>
                <w:tab w:val="clear" w:pos="2835"/>
              </w:tabs>
              <w:spacing w:before="40" w:after="40" w:line="220" w:lineRule="exact"/>
              <w:ind w:left="0" w:right="0"/>
              <w:jc w:val="left"/>
              <w:rPr>
                <w:sz w:val="18"/>
              </w:rPr>
            </w:pPr>
            <w:r w:rsidRPr="000F65EF">
              <w:rPr>
                <w:sz w:val="18"/>
              </w:rPr>
              <w:t xml:space="preserve">Secundaria </w:t>
            </w:r>
          </w:p>
        </w:tc>
        <w:tc>
          <w:tcPr>
            <w:tcW w:w="460" w:type="dxa"/>
            <w:tcBorders>
              <w:top w:val="nil"/>
              <w:bottom w:val="single" w:sz="12" w:space="0" w:color="auto"/>
            </w:tcBorders>
            <w:shd w:val="clear" w:color="auto" w:fill="auto"/>
            <w:noWrap/>
            <w:vAlign w:val="bottom"/>
          </w:tcPr>
          <w:p w14:paraId="10F0417A" w14:textId="1A3BA763"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25</w:t>
            </w:r>
          </w:p>
        </w:tc>
        <w:tc>
          <w:tcPr>
            <w:tcW w:w="462" w:type="dxa"/>
            <w:tcBorders>
              <w:top w:val="nil"/>
              <w:bottom w:val="single" w:sz="12" w:space="0" w:color="auto"/>
            </w:tcBorders>
            <w:shd w:val="clear" w:color="auto" w:fill="auto"/>
            <w:noWrap/>
            <w:vAlign w:val="bottom"/>
          </w:tcPr>
          <w:p w14:paraId="6C0C9C51" w14:textId="7D91418D"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lang w:val="en-GB"/>
              </w:rPr>
            </w:pPr>
            <w:r w:rsidRPr="000F65EF">
              <w:rPr>
                <w:sz w:val="18"/>
              </w:rPr>
              <w:t>24</w:t>
            </w:r>
          </w:p>
        </w:tc>
        <w:tc>
          <w:tcPr>
            <w:tcW w:w="476" w:type="dxa"/>
            <w:tcBorders>
              <w:top w:val="nil"/>
              <w:bottom w:val="single" w:sz="12" w:space="0" w:color="auto"/>
            </w:tcBorders>
            <w:shd w:val="clear" w:color="auto" w:fill="auto"/>
            <w:noWrap/>
            <w:vAlign w:val="bottom"/>
          </w:tcPr>
          <w:p w14:paraId="3AD5B5B4" w14:textId="488CAE1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28</w:t>
            </w:r>
          </w:p>
        </w:tc>
        <w:tc>
          <w:tcPr>
            <w:tcW w:w="476" w:type="dxa"/>
            <w:tcBorders>
              <w:top w:val="nil"/>
              <w:bottom w:val="single" w:sz="12" w:space="0" w:color="auto"/>
            </w:tcBorders>
            <w:shd w:val="clear" w:color="auto" w:fill="auto"/>
            <w:noWrap/>
            <w:vAlign w:val="bottom"/>
          </w:tcPr>
          <w:p w14:paraId="33A891FC" w14:textId="57FF8989"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31</w:t>
            </w:r>
          </w:p>
        </w:tc>
        <w:tc>
          <w:tcPr>
            <w:tcW w:w="476" w:type="dxa"/>
            <w:tcBorders>
              <w:top w:val="nil"/>
              <w:bottom w:val="single" w:sz="12" w:space="0" w:color="auto"/>
            </w:tcBorders>
            <w:shd w:val="clear" w:color="auto" w:fill="auto"/>
            <w:noWrap/>
            <w:vAlign w:val="bottom"/>
          </w:tcPr>
          <w:p w14:paraId="64F530FC" w14:textId="014C3D2B"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r w:rsidRPr="000F65EF">
              <w:rPr>
                <w:sz w:val="18"/>
              </w:rPr>
              <w:t>24</w:t>
            </w:r>
          </w:p>
        </w:tc>
        <w:tc>
          <w:tcPr>
            <w:tcW w:w="476" w:type="dxa"/>
            <w:tcBorders>
              <w:top w:val="nil"/>
              <w:bottom w:val="single" w:sz="12" w:space="0" w:color="auto"/>
            </w:tcBorders>
            <w:shd w:val="clear" w:color="auto" w:fill="auto"/>
            <w:noWrap/>
            <w:vAlign w:val="bottom"/>
          </w:tcPr>
          <w:p w14:paraId="2D65157B"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475" w:type="dxa"/>
            <w:tcBorders>
              <w:top w:val="nil"/>
              <w:bottom w:val="single" w:sz="12" w:space="0" w:color="auto"/>
            </w:tcBorders>
            <w:shd w:val="clear" w:color="auto" w:fill="auto"/>
            <w:noWrap/>
            <w:vAlign w:val="bottom"/>
          </w:tcPr>
          <w:p w14:paraId="19F5D2AC"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504" w:type="dxa"/>
            <w:tcBorders>
              <w:top w:val="nil"/>
              <w:bottom w:val="single" w:sz="12" w:space="0" w:color="auto"/>
            </w:tcBorders>
            <w:shd w:val="clear" w:color="auto" w:fill="auto"/>
            <w:noWrap/>
            <w:vAlign w:val="bottom"/>
          </w:tcPr>
          <w:p w14:paraId="069FD2CD"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504" w:type="dxa"/>
            <w:tcBorders>
              <w:top w:val="nil"/>
              <w:bottom w:val="single" w:sz="12" w:space="0" w:color="auto"/>
            </w:tcBorders>
            <w:shd w:val="clear" w:color="auto" w:fill="auto"/>
            <w:noWrap/>
            <w:vAlign w:val="bottom"/>
          </w:tcPr>
          <w:p w14:paraId="3C66AC6F"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511" w:type="dxa"/>
            <w:tcBorders>
              <w:top w:val="nil"/>
              <w:bottom w:val="single" w:sz="12" w:space="0" w:color="auto"/>
            </w:tcBorders>
            <w:shd w:val="clear" w:color="auto" w:fill="auto"/>
            <w:noWrap/>
            <w:vAlign w:val="bottom"/>
          </w:tcPr>
          <w:p w14:paraId="49F1ED60"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1533" w:type="dxa"/>
            <w:tcBorders>
              <w:top w:val="nil"/>
              <w:bottom w:val="single" w:sz="12" w:space="0" w:color="auto"/>
            </w:tcBorders>
            <w:shd w:val="clear" w:color="auto" w:fill="auto"/>
            <w:noWrap/>
            <w:vAlign w:val="bottom"/>
          </w:tcPr>
          <w:p w14:paraId="612C478D"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c>
          <w:tcPr>
            <w:tcW w:w="876" w:type="dxa"/>
            <w:tcBorders>
              <w:top w:val="nil"/>
              <w:bottom w:val="single" w:sz="12" w:space="0" w:color="auto"/>
            </w:tcBorders>
            <w:shd w:val="clear" w:color="auto" w:fill="auto"/>
            <w:noWrap/>
            <w:vAlign w:val="bottom"/>
          </w:tcPr>
          <w:p w14:paraId="7AC1D797" w14:textId="77777777" w:rsidR="000831BA" w:rsidRPr="000F65EF" w:rsidRDefault="000831BA" w:rsidP="000831BA">
            <w:pPr>
              <w:pStyle w:val="SingleTxtG"/>
              <w:tabs>
                <w:tab w:val="clear" w:pos="1701"/>
                <w:tab w:val="clear" w:pos="2268"/>
                <w:tab w:val="clear" w:pos="2835"/>
              </w:tabs>
              <w:spacing w:before="40" w:after="40" w:line="220" w:lineRule="exact"/>
              <w:ind w:left="28" w:right="28"/>
              <w:jc w:val="right"/>
              <w:rPr>
                <w:sz w:val="18"/>
              </w:rPr>
            </w:pPr>
          </w:p>
        </w:tc>
      </w:tr>
    </w:tbl>
    <w:p w14:paraId="3901D8B5" w14:textId="77777777" w:rsidR="00CD692A" w:rsidRPr="000F65EF" w:rsidRDefault="00CD692A" w:rsidP="000F65EF">
      <w:pPr>
        <w:pStyle w:val="SingleTxtG"/>
        <w:spacing w:before="120" w:after="240"/>
        <w:ind w:left="0" w:right="424" w:firstLine="170"/>
        <w:jc w:val="left"/>
        <w:rPr>
          <w:sz w:val="18"/>
          <w:szCs w:val="18"/>
        </w:rPr>
      </w:pPr>
      <w:r w:rsidRPr="000F65EF">
        <w:rPr>
          <w:i/>
          <w:iCs/>
          <w:sz w:val="18"/>
          <w:szCs w:val="18"/>
        </w:rPr>
        <w:t>Fuente</w:t>
      </w:r>
      <w:r w:rsidRPr="000831BA">
        <w:rPr>
          <w:i/>
          <w:iCs/>
          <w:sz w:val="18"/>
          <w:szCs w:val="18"/>
        </w:rPr>
        <w:t>:</w:t>
      </w:r>
      <w:r w:rsidRPr="000F65EF">
        <w:rPr>
          <w:sz w:val="18"/>
          <w:szCs w:val="18"/>
        </w:rPr>
        <w:t xml:space="preserve"> Encuesta Demográfica y de Salud (EDS), Encuesta de Indicadores Múltiples por Conglomerados (MICS).</w:t>
      </w:r>
    </w:p>
    <w:p w14:paraId="16E36F6C" w14:textId="11E614C7" w:rsidR="00CD692A" w:rsidRPr="00CD692A" w:rsidRDefault="00CD692A" w:rsidP="00CD692A">
      <w:pPr>
        <w:pStyle w:val="SingleTxtG"/>
      </w:pPr>
      <w:r w:rsidRPr="00CD692A">
        <w:t>108.</w:t>
      </w:r>
      <w:r w:rsidRPr="00CD692A">
        <w:tab/>
        <w:t>Como muestra el cuadro 16, el acceso al agua potable ha mejorado desde 1992. Este aumento se atribuye a diversas políticas y programas aplicados por el Gobierno, en colaboración con los asociados para el desarrollo.</w:t>
      </w:r>
    </w:p>
    <w:p w14:paraId="2E3649A4" w14:textId="214C371A" w:rsidR="00CD692A" w:rsidRPr="00CD692A" w:rsidRDefault="000F65EF" w:rsidP="000F65EF">
      <w:pPr>
        <w:pStyle w:val="H23G"/>
      </w:pPr>
      <w:r>
        <w:lastRenderedPageBreak/>
        <w:tab/>
      </w:r>
      <w:r>
        <w:tab/>
      </w:r>
      <w:r w:rsidR="00CD692A" w:rsidRPr="00CD692A">
        <w:t>Derecho a una vivienda adecuada</w:t>
      </w:r>
    </w:p>
    <w:p w14:paraId="73B3F663" w14:textId="77777777" w:rsidR="00CD692A" w:rsidRPr="00CD692A" w:rsidRDefault="00CD692A" w:rsidP="00CD692A">
      <w:pPr>
        <w:pStyle w:val="SingleTxtG"/>
      </w:pPr>
      <w:r w:rsidRPr="00CD692A">
        <w:t>109.</w:t>
      </w:r>
      <w:r w:rsidRPr="00CD692A">
        <w:tab/>
        <w:t>El Gobierno de Malawi reconoce su obligación de garantizar que la población del país tenga acceso a una vivienda digna y adecuada. Una vivienda adecuada entraña la seguridad jurídica de la tenencia, lo que incluye la protección contra el desalojo forzoso; la disponibilidad de servicios, materiales, instalaciones e infraestructura, incluido el acceso al agua potable salubre y al saneamiento; la asequibilidad, incluso para los más pobres, a través de subvenciones a la vivienda y protección contra los niveles o aumentos desproporcionados de los alquileres; la habitabilidad, lo que incluye la protección contra el frío, la humedad, el calor, la lluvia, el viento y los vectores de enfermedades; la accesibilidad para los grupos desfavorecidos, como los ancianos, los niños, las personas con discapacidad, los enfermos terminales y las víctimas de desastres naturales; la ubicación, lejos de los lugares o fuentes de contaminación, pero cerca de la asistencia sanitaria, los servicios, las escuelas, las guarderías y otros establecimientos sociales.</w:t>
      </w:r>
    </w:p>
    <w:p w14:paraId="5A001DB0" w14:textId="582CC7BA" w:rsidR="00CD692A" w:rsidRPr="00CD692A" w:rsidRDefault="00CD692A" w:rsidP="00CD692A">
      <w:pPr>
        <w:pStyle w:val="SingleTxtG"/>
      </w:pPr>
      <w:r w:rsidRPr="00CD692A">
        <w:t>110.</w:t>
      </w:r>
      <w:r w:rsidRPr="00CD692A">
        <w:tab/>
        <w:t>Según el Censo de Población y Vivienda de 2018, había en el país 4.805.431</w:t>
      </w:r>
      <w:r w:rsidR="00952378">
        <w:t>  </w:t>
      </w:r>
      <w:r w:rsidRPr="00CD692A">
        <w:t>viviendas. De estas viviendas, el 41,1 % eran permanentes, el 23 %, semipermanentes y el 35,9 %, tradicionales. En la región septentrional, el 53,9 % de las viviendas eran permanentes, el 26,3 %, semipermanentes y el 35,9 %, tradicionales. En la región central, el 33,6 % de las viviendas eran permanentes, el 22,1 %, semipermanentes y el 44,3 %, tradicionales. En la región meridional, el 45,1 % de las viviendas eran permanentes, el 23,1</w:t>
      </w:r>
      <w:r w:rsidR="001F12BD">
        <w:t xml:space="preserve"> </w:t>
      </w:r>
      <w:r w:rsidRPr="00CD692A">
        <w:t>%, semipermanentes y el 31,8 %, tradicionales.</w:t>
      </w:r>
    </w:p>
    <w:p w14:paraId="2F150A4F" w14:textId="447970A6" w:rsidR="00CD692A" w:rsidRPr="00CD692A" w:rsidRDefault="000F65EF" w:rsidP="000F65EF">
      <w:pPr>
        <w:pStyle w:val="H23G"/>
        <w:rPr>
          <w:lang w:val="en-GB"/>
        </w:rPr>
      </w:pPr>
      <w:r w:rsidRPr="000F65EF">
        <w:rPr>
          <w:b w:val="0"/>
          <w:bCs/>
        </w:rPr>
        <w:tab/>
      </w:r>
      <w:r w:rsidRPr="000F65EF">
        <w:rPr>
          <w:b w:val="0"/>
          <w:bCs/>
        </w:rPr>
        <w:tab/>
      </w:r>
      <w:r w:rsidR="00CD692A" w:rsidRPr="000F65EF">
        <w:rPr>
          <w:b w:val="0"/>
          <w:bCs/>
        </w:rPr>
        <w:t>Cuadro 17</w:t>
      </w:r>
      <w:r w:rsidRPr="000F65EF">
        <w:rPr>
          <w:b w:val="0"/>
          <w:bCs/>
        </w:rPr>
        <w:br/>
      </w:r>
      <w:r w:rsidR="00CD692A" w:rsidRPr="00CD692A">
        <w:t>Tipo de viviendas</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43"/>
        <w:gridCol w:w="851"/>
        <w:gridCol w:w="850"/>
        <w:gridCol w:w="810"/>
        <w:gridCol w:w="853"/>
        <w:gridCol w:w="857"/>
        <w:gridCol w:w="882"/>
        <w:gridCol w:w="824"/>
        <w:gridCol w:w="735"/>
      </w:tblGrid>
      <w:tr w:rsidR="000F65EF" w:rsidRPr="000F65EF" w14:paraId="4A553D0B" w14:textId="77777777" w:rsidTr="00952378">
        <w:trPr>
          <w:trHeight w:val="240"/>
          <w:tblHeader/>
        </w:trPr>
        <w:tc>
          <w:tcPr>
            <w:tcW w:w="1843" w:type="dxa"/>
            <w:vMerge w:val="restart"/>
            <w:tcBorders>
              <w:top w:val="single" w:sz="4" w:space="0" w:color="auto"/>
              <w:bottom w:val="single" w:sz="4" w:space="0" w:color="auto"/>
            </w:tcBorders>
            <w:shd w:val="clear" w:color="auto" w:fill="auto"/>
            <w:vAlign w:val="bottom"/>
          </w:tcPr>
          <w:p w14:paraId="55394580"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left"/>
              <w:rPr>
                <w:i/>
                <w:sz w:val="16"/>
                <w:lang w:val="en-GB"/>
              </w:rPr>
            </w:pPr>
            <w:r w:rsidRPr="000F65EF">
              <w:rPr>
                <w:i/>
                <w:iCs/>
                <w:sz w:val="16"/>
              </w:rPr>
              <w:t>Tipo de vivienda</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112C204F"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center"/>
              <w:rPr>
                <w:i/>
                <w:sz w:val="16"/>
                <w:lang w:val="en-GB"/>
              </w:rPr>
            </w:pPr>
            <w:r w:rsidRPr="000F65EF">
              <w:rPr>
                <w:i/>
                <w:iCs/>
                <w:sz w:val="16"/>
              </w:rPr>
              <w:t>Malawi</w:t>
            </w:r>
          </w:p>
        </w:tc>
        <w:tc>
          <w:tcPr>
            <w:tcW w:w="16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E04440"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center"/>
              <w:rPr>
                <w:i/>
                <w:sz w:val="16"/>
                <w:lang w:val="en-GB"/>
              </w:rPr>
            </w:pPr>
            <w:r w:rsidRPr="000F65EF">
              <w:rPr>
                <w:i/>
                <w:iCs/>
                <w:sz w:val="16"/>
              </w:rPr>
              <w:t>Región septentrional</w:t>
            </w:r>
          </w:p>
        </w:tc>
        <w:tc>
          <w:tcPr>
            <w:tcW w:w="173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A72505"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center"/>
              <w:rPr>
                <w:i/>
                <w:sz w:val="16"/>
                <w:lang w:val="en-GB"/>
              </w:rPr>
            </w:pPr>
            <w:r w:rsidRPr="000F65EF">
              <w:rPr>
                <w:i/>
                <w:iCs/>
                <w:sz w:val="16"/>
              </w:rPr>
              <w:t>Región central</w:t>
            </w:r>
          </w:p>
        </w:tc>
        <w:tc>
          <w:tcPr>
            <w:tcW w:w="1559" w:type="dxa"/>
            <w:gridSpan w:val="2"/>
            <w:tcBorders>
              <w:top w:val="single" w:sz="4" w:space="0" w:color="auto"/>
              <w:left w:val="single" w:sz="24" w:space="0" w:color="FFFFFF" w:themeColor="background1"/>
              <w:bottom w:val="single" w:sz="4" w:space="0" w:color="auto"/>
            </w:tcBorders>
            <w:shd w:val="clear" w:color="auto" w:fill="auto"/>
            <w:vAlign w:val="bottom"/>
          </w:tcPr>
          <w:p w14:paraId="4943D528" w14:textId="77777777" w:rsidR="00CD692A" w:rsidRPr="000F65EF" w:rsidRDefault="00CD692A" w:rsidP="000F65EF">
            <w:pPr>
              <w:pStyle w:val="SingleTxtG"/>
              <w:tabs>
                <w:tab w:val="clear" w:pos="1701"/>
                <w:tab w:val="clear" w:pos="2268"/>
                <w:tab w:val="clear" w:pos="2835"/>
              </w:tabs>
              <w:spacing w:before="80" w:after="80" w:line="200" w:lineRule="exact"/>
              <w:ind w:left="0" w:right="0"/>
              <w:jc w:val="center"/>
              <w:rPr>
                <w:i/>
                <w:sz w:val="16"/>
                <w:lang w:val="en-GB"/>
              </w:rPr>
            </w:pPr>
            <w:r w:rsidRPr="000F65EF">
              <w:rPr>
                <w:i/>
                <w:iCs/>
                <w:sz w:val="16"/>
              </w:rPr>
              <w:t>Región meridional</w:t>
            </w:r>
          </w:p>
        </w:tc>
      </w:tr>
      <w:tr w:rsidR="000F65EF" w:rsidRPr="000F65EF" w14:paraId="3949091A" w14:textId="77777777" w:rsidTr="00952378">
        <w:trPr>
          <w:trHeight w:val="240"/>
        </w:trPr>
        <w:tc>
          <w:tcPr>
            <w:tcW w:w="1843" w:type="dxa"/>
            <w:vMerge/>
            <w:tcBorders>
              <w:top w:val="single" w:sz="4" w:space="0" w:color="auto"/>
              <w:bottom w:val="single" w:sz="12" w:space="0" w:color="auto"/>
            </w:tcBorders>
            <w:shd w:val="clear" w:color="auto" w:fill="auto"/>
            <w:vAlign w:val="bottom"/>
          </w:tcPr>
          <w:p w14:paraId="43139CD9"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p>
        </w:tc>
        <w:tc>
          <w:tcPr>
            <w:tcW w:w="851" w:type="dxa"/>
            <w:tcBorders>
              <w:top w:val="single" w:sz="4" w:space="0" w:color="auto"/>
              <w:bottom w:val="single" w:sz="12" w:space="0" w:color="auto"/>
            </w:tcBorders>
            <w:shd w:val="clear" w:color="auto" w:fill="auto"/>
            <w:vAlign w:val="bottom"/>
          </w:tcPr>
          <w:p w14:paraId="6275001B"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Número</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D91EC64"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Porcentaje</w:t>
            </w:r>
          </w:p>
        </w:tc>
        <w:tc>
          <w:tcPr>
            <w:tcW w:w="810" w:type="dxa"/>
            <w:tcBorders>
              <w:top w:val="single" w:sz="4" w:space="0" w:color="auto"/>
              <w:left w:val="single" w:sz="24" w:space="0" w:color="FFFFFF" w:themeColor="background1"/>
              <w:bottom w:val="single" w:sz="12" w:space="0" w:color="auto"/>
            </w:tcBorders>
            <w:shd w:val="clear" w:color="auto" w:fill="auto"/>
            <w:vAlign w:val="bottom"/>
          </w:tcPr>
          <w:p w14:paraId="22269757"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Número</w:t>
            </w:r>
          </w:p>
        </w:tc>
        <w:tc>
          <w:tcPr>
            <w:tcW w:w="853" w:type="dxa"/>
            <w:tcBorders>
              <w:top w:val="single" w:sz="4" w:space="0" w:color="auto"/>
              <w:bottom w:val="single" w:sz="12" w:space="0" w:color="auto"/>
              <w:right w:val="single" w:sz="24" w:space="0" w:color="FFFFFF" w:themeColor="background1"/>
            </w:tcBorders>
            <w:shd w:val="clear" w:color="auto" w:fill="auto"/>
            <w:vAlign w:val="bottom"/>
          </w:tcPr>
          <w:p w14:paraId="3D88A45F"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Porcentaje</w:t>
            </w:r>
          </w:p>
        </w:tc>
        <w:tc>
          <w:tcPr>
            <w:tcW w:w="857" w:type="dxa"/>
            <w:tcBorders>
              <w:top w:val="single" w:sz="4" w:space="0" w:color="auto"/>
              <w:left w:val="single" w:sz="24" w:space="0" w:color="FFFFFF" w:themeColor="background1"/>
              <w:bottom w:val="single" w:sz="12" w:space="0" w:color="auto"/>
            </w:tcBorders>
            <w:shd w:val="clear" w:color="auto" w:fill="auto"/>
            <w:vAlign w:val="bottom"/>
          </w:tcPr>
          <w:p w14:paraId="3E169A17"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Número</w:t>
            </w:r>
          </w:p>
        </w:tc>
        <w:tc>
          <w:tcPr>
            <w:tcW w:w="882" w:type="dxa"/>
            <w:tcBorders>
              <w:top w:val="single" w:sz="4" w:space="0" w:color="auto"/>
              <w:bottom w:val="single" w:sz="12" w:space="0" w:color="auto"/>
              <w:right w:val="single" w:sz="24" w:space="0" w:color="FFFFFF" w:themeColor="background1"/>
            </w:tcBorders>
            <w:shd w:val="clear" w:color="auto" w:fill="auto"/>
            <w:vAlign w:val="bottom"/>
          </w:tcPr>
          <w:p w14:paraId="04224C6F"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Porcentaje</w:t>
            </w:r>
          </w:p>
        </w:tc>
        <w:tc>
          <w:tcPr>
            <w:tcW w:w="824" w:type="dxa"/>
            <w:tcBorders>
              <w:top w:val="single" w:sz="4" w:space="0" w:color="auto"/>
              <w:left w:val="single" w:sz="24" w:space="0" w:color="FFFFFF" w:themeColor="background1"/>
              <w:bottom w:val="single" w:sz="12" w:space="0" w:color="auto"/>
            </w:tcBorders>
            <w:shd w:val="clear" w:color="auto" w:fill="auto"/>
            <w:vAlign w:val="bottom"/>
          </w:tcPr>
          <w:p w14:paraId="32DAFD44"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Número</w:t>
            </w:r>
          </w:p>
        </w:tc>
        <w:tc>
          <w:tcPr>
            <w:tcW w:w="735" w:type="dxa"/>
            <w:tcBorders>
              <w:top w:val="single" w:sz="4" w:space="0" w:color="auto"/>
              <w:bottom w:val="single" w:sz="12" w:space="0" w:color="auto"/>
            </w:tcBorders>
            <w:shd w:val="clear" w:color="auto" w:fill="auto"/>
            <w:vAlign w:val="bottom"/>
          </w:tcPr>
          <w:p w14:paraId="1632E35C" w14:textId="77777777" w:rsidR="00CD692A" w:rsidRPr="000F65EF" w:rsidRDefault="00CD692A" w:rsidP="000F65EF">
            <w:pPr>
              <w:pStyle w:val="SingleTxtG"/>
              <w:tabs>
                <w:tab w:val="clear" w:pos="1701"/>
                <w:tab w:val="clear" w:pos="2268"/>
                <w:tab w:val="clear" w:pos="2835"/>
              </w:tabs>
              <w:spacing w:before="80" w:after="80" w:line="200" w:lineRule="exact"/>
              <w:ind w:left="0" w:right="28"/>
              <w:jc w:val="right"/>
              <w:rPr>
                <w:i/>
                <w:iCs/>
                <w:sz w:val="16"/>
              </w:rPr>
            </w:pPr>
            <w:r w:rsidRPr="000F65EF">
              <w:rPr>
                <w:i/>
                <w:iCs/>
                <w:sz w:val="16"/>
              </w:rPr>
              <w:t>Porcentaje</w:t>
            </w:r>
          </w:p>
        </w:tc>
      </w:tr>
      <w:tr w:rsidR="000F65EF" w:rsidRPr="00D24E4F" w14:paraId="2B660AEA" w14:textId="77777777" w:rsidTr="00952378">
        <w:trPr>
          <w:trHeight w:val="240"/>
        </w:trPr>
        <w:tc>
          <w:tcPr>
            <w:tcW w:w="1843" w:type="dxa"/>
            <w:tcBorders>
              <w:top w:val="single" w:sz="12" w:space="0" w:color="auto"/>
              <w:bottom w:val="single" w:sz="4" w:space="0" w:color="auto"/>
            </w:tcBorders>
            <w:shd w:val="clear" w:color="auto" w:fill="auto"/>
          </w:tcPr>
          <w:p w14:paraId="41EF0BA1" w14:textId="77777777" w:rsidR="00CD692A" w:rsidRPr="00D24E4F" w:rsidRDefault="00CD692A" w:rsidP="00D24E4F">
            <w:pPr>
              <w:pStyle w:val="SingleTxtG"/>
              <w:tabs>
                <w:tab w:val="clear" w:pos="1701"/>
                <w:tab w:val="clear" w:pos="2268"/>
                <w:tab w:val="clear" w:pos="2835"/>
              </w:tabs>
              <w:spacing w:before="80" w:after="80" w:line="220" w:lineRule="exact"/>
              <w:ind w:left="283" w:right="0"/>
              <w:jc w:val="left"/>
              <w:rPr>
                <w:b/>
                <w:sz w:val="18"/>
                <w:lang w:val="en-GB"/>
              </w:rPr>
            </w:pPr>
            <w:r w:rsidRPr="00D24E4F">
              <w:rPr>
                <w:b/>
                <w:sz w:val="18"/>
              </w:rPr>
              <w:t>Total de viviendas</w:t>
            </w:r>
          </w:p>
        </w:tc>
        <w:tc>
          <w:tcPr>
            <w:tcW w:w="851" w:type="dxa"/>
            <w:tcBorders>
              <w:top w:val="single" w:sz="12" w:space="0" w:color="auto"/>
              <w:bottom w:val="single" w:sz="4" w:space="0" w:color="auto"/>
            </w:tcBorders>
            <w:shd w:val="clear" w:color="auto" w:fill="auto"/>
            <w:vAlign w:val="bottom"/>
          </w:tcPr>
          <w:p w14:paraId="0A9DE985" w14:textId="23991EC8"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4</w:t>
            </w:r>
            <w:r w:rsidR="000F65EF" w:rsidRPr="00D24E4F">
              <w:rPr>
                <w:b/>
                <w:sz w:val="18"/>
              </w:rPr>
              <w:t xml:space="preserve"> </w:t>
            </w:r>
            <w:r w:rsidRPr="00D24E4F">
              <w:rPr>
                <w:b/>
                <w:sz w:val="18"/>
              </w:rPr>
              <w:t>805</w:t>
            </w:r>
            <w:r w:rsidR="000F65EF" w:rsidRPr="00D24E4F">
              <w:rPr>
                <w:b/>
                <w:sz w:val="18"/>
              </w:rPr>
              <w:t xml:space="preserve"> </w:t>
            </w:r>
            <w:r w:rsidRPr="00D24E4F">
              <w:rPr>
                <w:b/>
                <w:sz w:val="18"/>
              </w:rPr>
              <w:t>431</w:t>
            </w:r>
          </w:p>
        </w:tc>
        <w:tc>
          <w:tcPr>
            <w:tcW w:w="850" w:type="dxa"/>
            <w:tcBorders>
              <w:top w:val="single" w:sz="12" w:space="0" w:color="auto"/>
              <w:bottom w:val="single" w:sz="4" w:space="0" w:color="auto"/>
            </w:tcBorders>
            <w:shd w:val="clear" w:color="auto" w:fill="auto"/>
            <w:vAlign w:val="bottom"/>
          </w:tcPr>
          <w:p w14:paraId="67145879" w14:textId="77777777"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100</w:t>
            </w:r>
          </w:p>
        </w:tc>
        <w:tc>
          <w:tcPr>
            <w:tcW w:w="810" w:type="dxa"/>
            <w:tcBorders>
              <w:top w:val="single" w:sz="12" w:space="0" w:color="auto"/>
              <w:bottom w:val="single" w:sz="4" w:space="0" w:color="auto"/>
            </w:tcBorders>
            <w:shd w:val="clear" w:color="auto" w:fill="auto"/>
            <w:vAlign w:val="bottom"/>
          </w:tcPr>
          <w:p w14:paraId="12930CE6" w14:textId="33E860F1"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565</w:t>
            </w:r>
            <w:r w:rsidR="000F65EF" w:rsidRPr="00D24E4F">
              <w:rPr>
                <w:b/>
                <w:sz w:val="18"/>
              </w:rPr>
              <w:t xml:space="preserve"> </w:t>
            </w:r>
            <w:r w:rsidRPr="00D24E4F">
              <w:rPr>
                <w:b/>
                <w:sz w:val="18"/>
              </w:rPr>
              <w:t>331</w:t>
            </w:r>
          </w:p>
        </w:tc>
        <w:tc>
          <w:tcPr>
            <w:tcW w:w="853" w:type="dxa"/>
            <w:tcBorders>
              <w:top w:val="single" w:sz="12" w:space="0" w:color="auto"/>
              <w:bottom w:val="single" w:sz="4" w:space="0" w:color="auto"/>
            </w:tcBorders>
            <w:shd w:val="clear" w:color="auto" w:fill="auto"/>
            <w:vAlign w:val="bottom"/>
          </w:tcPr>
          <w:p w14:paraId="2E629F75" w14:textId="77777777"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100</w:t>
            </w:r>
          </w:p>
        </w:tc>
        <w:tc>
          <w:tcPr>
            <w:tcW w:w="857" w:type="dxa"/>
            <w:tcBorders>
              <w:top w:val="single" w:sz="12" w:space="0" w:color="auto"/>
              <w:bottom w:val="single" w:sz="4" w:space="0" w:color="auto"/>
            </w:tcBorders>
            <w:shd w:val="clear" w:color="auto" w:fill="auto"/>
            <w:vAlign w:val="bottom"/>
          </w:tcPr>
          <w:p w14:paraId="188C256C" w14:textId="29825266"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2</w:t>
            </w:r>
            <w:r w:rsidR="000F65EF" w:rsidRPr="00D24E4F">
              <w:rPr>
                <w:b/>
                <w:sz w:val="18"/>
              </w:rPr>
              <w:t xml:space="preserve"> </w:t>
            </w:r>
            <w:r w:rsidRPr="00D24E4F">
              <w:rPr>
                <w:b/>
                <w:sz w:val="18"/>
              </w:rPr>
              <w:t>098</w:t>
            </w:r>
            <w:r w:rsidR="000F65EF" w:rsidRPr="00D24E4F">
              <w:rPr>
                <w:b/>
                <w:sz w:val="18"/>
              </w:rPr>
              <w:t xml:space="preserve"> </w:t>
            </w:r>
            <w:r w:rsidRPr="00D24E4F">
              <w:rPr>
                <w:b/>
                <w:sz w:val="18"/>
              </w:rPr>
              <w:t>353</w:t>
            </w:r>
          </w:p>
        </w:tc>
        <w:tc>
          <w:tcPr>
            <w:tcW w:w="882" w:type="dxa"/>
            <w:tcBorders>
              <w:top w:val="single" w:sz="12" w:space="0" w:color="auto"/>
              <w:bottom w:val="single" w:sz="4" w:space="0" w:color="auto"/>
            </w:tcBorders>
            <w:shd w:val="clear" w:color="auto" w:fill="auto"/>
            <w:vAlign w:val="bottom"/>
          </w:tcPr>
          <w:p w14:paraId="53845283" w14:textId="77777777"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100</w:t>
            </w:r>
          </w:p>
        </w:tc>
        <w:tc>
          <w:tcPr>
            <w:tcW w:w="824" w:type="dxa"/>
            <w:tcBorders>
              <w:top w:val="single" w:sz="12" w:space="0" w:color="auto"/>
              <w:bottom w:val="single" w:sz="4" w:space="0" w:color="auto"/>
            </w:tcBorders>
            <w:shd w:val="clear" w:color="auto" w:fill="auto"/>
            <w:vAlign w:val="bottom"/>
          </w:tcPr>
          <w:p w14:paraId="165E40DC" w14:textId="36F0A1F9"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2</w:t>
            </w:r>
            <w:r w:rsidR="000F65EF" w:rsidRPr="00D24E4F">
              <w:rPr>
                <w:b/>
                <w:sz w:val="18"/>
              </w:rPr>
              <w:t xml:space="preserve"> </w:t>
            </w:r>
            <w:r w:rsidRPr="00D24E4F">
              <w:rPr>
                <w:b/>
                <w:sz w:val="18"/>
              </w:rPr>
              <w:t>141</w:t>
            </w:r>
            <w:r w:rsidR="000F65EF" w:rsidRPr="00D24E4F">
              <w:rPr>
                <w:b/>
                <w:sz w:val="18"/>
              </w:rPr>
              <w:t xml:space="preserve"> </w:t>
            </w:r>
            <w:r w:rsidRPr="00D24E4F">
              <w:rPr>
                <w:b/>
                <w:sz w:val="18"/>
              </w:rPr>
              <w:t>747</w:t>
            </w:r>
          </w:p>
        </w:tc>
        <w:tc>
          <w:tcPr>
            <w:tcW w:w="735" w:type="dxa"/>
            <w:tcBorders>
              <w:top w:val="single" w:sz="12" w:space="0" w:color="auto"/>
              <w:bottom w:val="single" w:sz="4" w:space="0" w:color="auto"/>
            </w:tcBorders>
            <w:shd w:val="clear" w:color="auto" w:fill="auto"/>
            <w:vAlign w:val="bottom"/>
          </w:tcPr>
          <w:p w14:paraId="38EB0686" w14:textId="77777777" w:rsidR="00CD692A" w:rsidRPr="00D24E4F" w:rsidRDefault="00CD692A" w:rsidP="00D24E4F">
            <w:pPr>
              <w:pStyle w:val="SingleTxtG"/>
              <w:tabs>
                <w:tab w:val="clear" w:pos="1701"/>
                <w:tab w:val="clear" w:pos="2268"/>
                <w:tab w:val="clear" w:pos="2835"/>
              </w:tabs>
              <w:spacing w:before="80" w:after="80" w:line="220" w:lineRule="exact"/>
              <w:ind w:left="0" w:right="28"/>
              <w:jc w:val="right"/>
              <w:rPr>
                <w:b/>
                <w:sz w:val="18"/>
                <w:lang w:val="en-GB"/>
              </w:rPr>
            </w:pPr>
            <w:r w:rsidRPr="00D24E4F">
              <w:rPr>
                <w:b/>
                <w:sz w:val="18"/>
              </w:rPr>
              <w:t>100</w:t>
            </w:r>
          </w:p>
        </w:tc>
      </w:tr>
      <w:tr w:rsidR="000F65EF" w:rsidRPr="000F65EF" w14:paraId="1781481A" w14:textId="77777777" w:rsidTr="00952378">
        <w:trPr>
          <w:trHeight w:val="240"/>
        </w:trPr>
        <w:tc>
          <w:tcPr>
            <w:tcW w:w="1843" w:type="dxa"/>
            <w:tcBorders>
              <w:top w:val="single" w:sz="4" w:space="0" w:color="auto"/>
            </w:tcBorders>
            <w:shd w:val="clear" w:color="auto" w:fill="auto"/>
          </w:tcPr>
          <w:p w14:paraId="04BD6A62"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Permanentes</w:t>
            </w:r>
          </w:p>
        </w:tc>
        <w:tc>
          <w:tcPr>
            <w:tcW w:w="851" w:type="dxa"/>
            <w:tcBorders>
              <w:top w:val="single" w:sz="4" w:space="0" w:color="auto"/>
            </w:tcBorders>
            <w:shd w:val="clear" w:color="auto" w:fill="auto"/>
            <w:vAlign w:val="bottom"/>
          </w:tcPr>
          <w:p w14:paraId="71A6EDFE" w14:textId="5DB31242"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w:t>
            </w:r>
            <w:r w:rsidR="000F65EF">
              <w:rPr>
                <w:sz w:val="18"/>
              </w:rPr>
              <w:t xml:space="preserve"> </w:t>
            </w:r>
            <w:r w:rsidRPr="000F65EF">
              <w:rPr>
                <w:sz w:val="18"/>
              </w:rPr>
              <w:t>974</w:t>
            </w:r>
            <w:r w:rsidR="000F65EF">
              <w:rPr>
                <w:sz w:val="18"/>
              </w:rPr>
              <w:t xml:space="preserve"> </w:t>
            </w:r>
            <w:r w:rsidRPr="000F65EF">
              <w:rPr>
                <w:sz w:val="18"/>
              </w:rPr>
              <w:t>613</w:t>
            </w:r>
          </w:p>
        </w:tc>
        <w:tc>
          <w:tcPr>
            <w:tcW w:w="850" w:type="dxa"/>
            <w:tcBorders>
              <w:top w:val="single" w:sz="4" w:space="0" w:color="auto"/>
            </w:tcBorders>
            <w:shd w:val="clear" w:color="auto" w:fill="auto"/>
            <w:vAlign w:val="bottom"/>
          </w:tcPr>
          <w:p w14:paraId="2C05128D"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41,1</w:t>
            </w:r>
          </w:p>
        </w:tc>
        <w:tc>
          <w:tcPr>
            <w:tcW w:w="810" w:type="dxa"/>
            <w:tcBorders>
              <w:top w:val="single" w:sz="4" w:space="0" w:color="auto"/>
            </w:tcBorders>
            <w:shd w:val="clear" w:color="auto" w:fill="auto"/>
            <w:vAlign w:val="bottom"/>
          </w:tcPr>
          <w:p w14:paraId="59A566A4" w14:textId="088D9583"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304</w:t>
            </w:r>
            <w:r w:rsidR="000F65EF">
              <w:rPr>
                <w:sz w:val="18"/>
              </w:rPr>
              <w:t xml:space="preserve"> </w:t>
            </w:r>
            <w:r w:rsidRPr="000F65EF">
              <w:rPr>
                <w:sz w:val="18"/>
              </w:rPr>
              <w:t>588</w:t>
            </w:r>
          </w:p>
        </w:tc>
        <w:tc>
          <w:tcPr>
            <w:tcW w:w="853" w:type="dxa"/>
            <w:tcBorders>
              <w:top w:val="single" w:sz="4" w:space="0" w:color="auto"/>
            </w:tcBorders>
            <w:shd w:val="clear" w:color="auto" w:fill="auto"/>
            <w:vAlign w:val="bottom"/>
          </w:tcPr>
          <w:p w14:paraId="395F7CFE"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53,9</w:t>
            </w:r>
          </w:p>
        </w:tc>
        <w:tc>
          <w:tcPr>
            <w:tcW w:w="857" w:type="dxa"/>
            <w:tcBorders>
              <w:top w:val="single" w:sz="4" w:space="0" w:color="auto"/>
            </w:tcBorders>
            <w:shd w:val="clear" w:color="auto" w:fill="auto"/>
            <w:vAlign w:val="bottom"/>
          </w:tcPr>
          <w:p w14:paraId="1F4AE6D4" w14:textId="2C71B205"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704</w:t>
            </w:r>
            <w:r w:rsidR="000F65EF">
              <w:rPr>
                <w:sz w:val="18"/>
              </w:rPr>
              <w:t xml:space="preserve"> </w:t>
            </w:r>
            <w:r w:rsidRPr="000F65EF">
              <w:rPr>
                <w:sz w:val="18"/>
              </w:rPr>
              <w:t>277</w:t>
            </w:r>
          </w:p>
        </w:tc>
        <w:tc>
          <w:tcPr>
            <w:tcW w:w="882" w:type="dxa"/>
            <w:tcBorders>
              <w:top w:val="single" w:sz="4" w:space="0" w:color="auto"/>
            </w:tcBorders>
            <w:shd w:val="clear" w:color="auto" w:fill="auto"/>
            <w:vAlign w:val="bottom"/>
          </w:tcPr>
          <w:p w14:paraId="17862298"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33,6</w:t>
            </w:r>
          </w:p>
        </w:tc>
        <w:tc>
          <w:tcPr>
            <w:tcW w:w="824" w:type="dxa"/>
            <w:tcBorders>
              <w:top w:val="single" w:sz="4" w:space="0" w:color="auto"/>
            </w:tcBorders>
            <w:shd w:val="clear" w:color="auto" w:fill="auto"/>
            <w:vAlign w:val="bottom"/>
          </w:tcPr>
          <w:p w14:paraId="0FE9D0F4" w14:textId="1678A158"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965</w:t>
            </w:r>
            <w:r w:rsidR="000F65EF">
              <w:rPr>
                <w:sz w:val="18"/>
              </w:rPr>
              <w:t xml:space="preserve"> </w:t>
            </w:r>
            <w:r w:rsidRPr="000F65EF">
              <w:rPr>
                <w:sz w:val="18"/>
              </w:rPr>
              <w:t>748</w:t>
            </w:r>
          </w:p>
        </w:tc>
        <w:tc>
          <w:tcPr>
            <w:tcW w:w="735" w:type="dxa"/>
            <w:tcBorders>
              <w:top w:val="single" w:sz="4" w:space="0" w:color="auto"/>
            </w:tcBorders>
            <w:shd w:val="clear" w:color="auto" w:fill="auto"/>
            <w:vAlign w:val="bottom"/>
          </w:tcPr>
          <w:p w14:paraId="1801C8CE"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45,1</w:t>
            </w:r>
          </w:p>
        </w:tc>
      </w:tr>
      <w:tr w:rsidR="000F65EF" w:rsidRPr="000F65EF" w14:paraId="2E3D7520" w14:textId="77777777" w:rsidTr="00952378">
        <w:trPr>
          <w:trHeight w:val="240"/>
        </w:trPr>
        <w:tc>
          <w:tcPr>
            <w:tcW w:w="1843" w:type="dxa"/>
            <w:shd w:val="clear" w:color="auto" w:fill="auto"/>
          </w:tcPr>
          <w:p w14:paraId="55B7C8F0"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Semipermanentes</w:t>
            </w:r>
          </w:p>
        </w:tc>
        <w:tc>
          <w:tcPr>
            <w:tcW w:w="851" w:type="dxa"/>
            <w:shd w:val="clear" w:color="auto" w:fill="auto"/>
            <w:vAlign w:val="bottom"/>
          </w:tcPr>
          <w:p w14:paraId="06A48192" w14:textId="3BC171F5"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w:t>
            </w:r>
            <w:r w:rsidR="000F65EF">
              <w:rPr>
                <w:sz w:val="18"/>
              </w:rPr>
              <w:t xml:space="preserve"> </w:t>
            </w:r>
            <w:r w:rsidRPr="000F65EF">
              <w:rPr>
                <w:sz w:val="18"/>
              </w:rPr>
              <w:t>107</w:t>
            </w:r>
            <w:r w:rsidR="000F65EF">
              <w:rPr>
                <w:sz w:val="18"/>
              </w:rPr>
              <w:t xml:space="preserve"> </w:t>
            </w:r>
            <w:r w:rsidRPr="000F65EF">
              <w:rPr>
                <w:sz w:val="18"/>
              </w:rPr>
              <w:t>447</w:t>
            </w:r>
          </w:p>
        </w:tc>
        <w:tc>
          <w:tcPr>
            <w:tcW w:w="850" w:type="dxa"/>
            <w:shd w:val="clear" w:color="auto" w:fill="auto"/>
            <w:vAlign w:val="bottom"/>
          </w:tcPr>
          <w:p w14:paraId="700B8478"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23</w:t>
            </w:r>
          </w:p>
        </w:tc>
        <w:tc>
          <w:tcPr>
            <w:tcW w:w="810" w:type="dxa"/>
            <w:shd w:val="clear" w:color="auto" w:fill="auto"/>
            <w:vAlign w:val="bottom"/>
          </w:tcPr>
          <w:p w14:paraId="04E5E5E9" w14:textId="60A6C71B"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148</w:t>
            </w:r>
            <w:r w:rsidR="000F65EF">
              <w:rPr>
                <w:sz w:val="18"/>
              </w:rPr>
              <w:t xml:space="preserve"> </w:t>
            </w:r>
            <w:r w:rsidRPr="000F65EF">
              <w:rPr>
                <w:sz w:val="18"/>
              </w:rPr>
              <w:t>691</w:t>
            </w:r>
          </w:p>
        </w:tc>
        <w:tc>
          <w:tcPr>
            <w:tcW w:w="853" w:type="dxa"/>
            <w:shd w:val="clear" w:color="auto" w:fill="auto"/>
            <w:vAlign w:val="bottom"/>
          </w:tcPr>
          <w:p w14:paraId="02B1C7EE"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26,3</w:t>
            </w:r>
          </w:p>
        </w:tc>
        <w:tc>
          <w:tcPr>
            <w:tcW w:w="857" w:type="dxa"/>
            <w:shd w:val="clear" w:color="auto" w:fill="auto"/>
            <w:vAlign w:val="bottom"/>
          </w:tcPr>
          <w:p w14:paraId="794FB658" w14:textId="72883AEB"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463</w:t>
            </w:r>
            <w:r w:rsidR="000F65EF">
              <w:rPr>
                <w:sz w:val="18"/>
              </w:rPr>
              <w:t xml:space="preserve"> </w:t>
            </w:r>
            <w:r w:rsidRPr="000F65EF">
              <w:rPr>
                <w:sz w:val="18"/>
              </w:rPr>
              <w:t>829</w:t>
            </w:r>
          </w:p>
        </w:tc>
        <w:tc>
          <w:tcPr>
            <w:tcW w:w="882" w:type="dxa"/>
            <w:shd w:val="clear" w:color="auto" w:fill="auto"/>
            <w:vAlign w:val="bottom"/>
          </w:tcPr>
          <w:p w14:paraId="021359B7"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22,1</w:t>
            </w:r>
          </w:p>
        </w:tc>
        <w:tc>
          <w:tcPr>
            <w:tcW w:w="824" w:type="dxa"/>
            <w:shd w:val="clear" w:color="auto" w:fill="auto"/>
            <w:vAlign w:val="bottom"/>
          </w:tcPr>
          <w:p w14:paraId="3B6582BE" w14:textId="66FD7C2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494</w:t>
            </w:r>
            <w:r w:rsidR="000F65EF">
              <w:rPr>
                <w:sz w:val="18"/>
              </w:rPr>
              <w:t xml:space="preserve"> </w:t>
            </w:r>
            <w:r w:rsidRPr="000F65EF">
              <w:rPr>
                <w:sz w:val="18"/>
              </w:rPr>
              <w:t>927</w:t>
            </w:r>
          </w:p>
        </w:tc>
        <w:tc>
          <w:tcPr>
            <w:tcW w:w="735" w:type="dxa"/>
            <w:shd w:val="clear" w:color="auto" w:fill="auto"/>
            <w:vAlign w:val="bottom"/>
          </w:tcPr>
          <w:p w14:paraId="405594E2"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23,1</w:t>
            </w:r>
          </w:p>
        </w:tc>
      </w:tr>
      <w:tr w:rsidR="000F65EF" w:rsidRPr="000F65EF" w14:paraId="1F584BA1" w14:textId="77777777" w:rsidTr="00952378">
        <w:trPr>
          <w:trHeight w:val="240"/>
        </w:trPr>
        <w:tc>
          <w:tcPr>
            <w:tcW w:w="1843" w:type="dxa"/>
            <w:tcBorders>
              <w:bottom w:val="single" w:sz="12" w:space="0" w:color="auto"/>
            </w:tcBorders>
            <w:shd w:val="clear" w:color="auto" w:fill="auto"/>
          </w:tcPr>
          <w:p w14:paraId="06C309FF" w14:textId="77777777" w:rsidR="00CD692A" w:rsidRPr="000F65EF" w:rsidRDefault="00CD692A" w:rsidP="000F65EF">
            <w:pPr>
              <w:pStyle w:val="SingleTxtG"/>
              <w:tabs>
                <w:tab w:val="clear" w:pos="1701"/>
                <w:tab w:val="clear" w:pos="2268"/>
                <w:tab w:val="clear" w:pos="2835"/>
              </w:tabs>
              <w:spacing w:before="40" w:after="40" w:line="220" w:lineRule="exact"/>
              <w:ind w:left="0" w:right="0"/>
              <w:jc w:val="left"/>
              <w:rPr>
                <w:sz w:val="18"/>
                <w:lang w:val="en-GB"/>
              </w:rPr>
            </w:pPr>
            <w:r w:rsidRPr="000F65EF">
              <w:rPr>
                <w:sz w:val="18"/>
              </w:rPr>
              <w:t>Tradicionales</w:t>
            </w:r>
          </w:p>
        </w:tc>
        <w:tc>
          <w:tcPr>
            <w:tcW w:w="851" w:type="dxa"/>
            <w:tcBorders>
              <w:bottom w:val="single" w:sz="12" w:space="0" w:color="auto"/>
            </w:tcBorders>
            <w:shd w:val="clear" w:color="auto" w:fill="auto"/>
            <w:vAlign w:val="bottom"/>
          </w:tcPr>
          <w:p w14:paraId="0363260D" w14:textId="78678B5E"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w:t>
            </w:r>
            <w:r w:rsidR="000F65EF">
              <w:rPr>
                <w:sz w:val="18"/>
              </w:rPr>
              <w:t xml:space="preserve"> </w:t>
            </w:r>
            <w:r w:rsidRPr="000F65EF">
              <w:rPr>
                <w:sz w:val="18"/>
              </w:rPr>
              <w:t>723</w:t>
            </w:r>
            <w:r w:rsidR="000F65EF">
              <w:rPr>
                <w:sz w:val="18"/>
              </w:rPr>
              <w:t xml:space="preserve"> </w:t>
            </w:r>
            <w:r w:rsidRPr="000F65EF">
              <w:rPr>
                <w:sz w:val="18"/>
              </w:rPr>
              <w:t>371</w:t>
            </w:r>
          </w:p>
        </w:tc>
        <w:tc>
          <w:tcPr>
            <w:tcW w:w="850" w:type="dxa"/>
            <w:tcBorders>
              <w:bottom w:val="single" w:sz="12" w:space="0" w:color="auto"/>
            </w:tcBorders>
            <w:shd w:val="clear" w:color="auto" w:fill="auto"/>
            <w:vAlign w:val="bottom"/>
          </w:tcPr>
          <w:p w14:paraId="0DB76CDC"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35,9</w:t>
            </w:r>
          </w:p>
        </w:tc>
        <w:tc>
          <w:tcPr>
            <w:tcW w:w="810" w:type="dxa"/>
            <w:tcBorders>
              <w:bottom w:val="single" w:sz="12" w:space="0" w:color="auto"/>
            </w:tcBorders>
            <w:shd w:val="clear" w:color="auto" w:fill="auto"/>
            <w:vAlign w:val="bottom"/>
          </w:tcPr>
          <w:p w14:paraId="50D7E6DF" w14:textId="2A6DE071"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112</w:t>
            </w:r>
            <w:r w:rsidR="000F65EF">
              <w:rPr>
                <w:sz w:val="18"/>
              </w:rPr>
              <w:t xml:space="preserve"> </w:t>
            </w:r>
            <w:r w:rsidRPr="000F65EF">
              <w:rPr>
                <w:sz w:val="18"/>
              </w:rPr>
              <w:t>052</w:t>
            </w:r>
          </w:p>
        </w:tc>
        <w:tc>
          <w:tcPr>
            <w:tcW w:w="853" w:type="dxa"/>
            <w:tcBorders>
              <w:bottom w:val="single" w:sz="12" w:space="0" w:color="auto"/>
            </w:tcBorders>
            <w:shd w:val="clear" w:color="auto" w:fill="auto"/>
            <w:vAlign w:val="bottom"/>
          </w:tcPr>
          <w:p w14:paraId="05C0E6A3"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19,8</w:t>
            </w:r>
          </w:p>
        </w:tc>
        <w:tc>
          <w:tcPr>
            <w:tcW w:w="857" w:type="dxa"/>
            <w:tcBorders>
              <w:bottom w:val="single" w:sz="12" w:space="0" w:color="auto"/>
            </w:tcBorders>
            <w:shd w:val="clear" w:color="auto" w:fill="auto"/>
            <w:vAlign w:val="bottom"/>
          </w:tcPr>
          <w:p w14:paraId="545CA4B9" w14:textId="6DA937C4"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930</w:t>
            </w:r>
            <w:r w:rsidR="000F65EF">
              <w:rPr>
                <w:sz w:val="18"/>
              </w:rPr>
              <w:t xml:space="preserve"> </w:t>
            </w:r>
            <w:r w:rsidRPr="000F65EF">
              <w:rPr>
                <w:sz w:val="18"/>
              </w:rPr>
              <w:t>247</w:t>
            </w:r>
          </w:p>
        </w:tc>
        <w:tc>
          <w:tcPr>
            <w:tcW w:w="882" w:type="dxa"/>
            <w:tcBorders>
              <w:bottom w:val="single" w:sz="12" w:space="0" w:color="auto"/>
            </w:tcBorders>
            <w:shd w:val="clear" w:color="auto" w:fill="auto"/>
            <w:vAlign w:val="bottom"/>
          </w:tcPr>
          <w:p w14:paraId="01283F2D"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44,3</w:t>
            </w:r>
          </w:p>
        </w:tc>
        <w:tc>
          <w:tcPr>
            <w:tcW w:w="824" w:type="dxa"/>
            <w:tcBorders>
              <w:bottom w:val="single" w:sz="12" w:space="0" w:color="auto"/>
            </w:tcBorders>
            <w:shd w:val="clear" w:color="auto" w:fill="auto"/>
            <w:vAlign w:val="bottom"/>
          </w:tcPr>
          <w:p w14:paraId="000C5F64" w14:textId="540979D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681</w:t>
            </w:r>
            <w:r w:rsidR="000F65EF">
              <w:rPr>
                <w:sz w:val="18"/>
              </w:rPr>
              <w:t xml:space="preserve"> </w:t>
            </w:r>
            <w:r w:rsidRPr="000F65EF">
              <w:rPr>
                <w:sz w:val="18"/>
              </w:rPr>
              <w:t>072</w:t>
            </w:r>
          </w:p>
        </w:tc>
        <w:tc>
          <w:tcPr>
            <w:tcW w:w="735" w:type="dxa"/>
            <w:tcBorders>
              <w:bottom w:val="single" w:sz="12" w:space="0" w:color="auto"/>
            </w:tcBorders>
            <w:shd w:val="clear" w:color="auto" w:fill="auto"/>
            <w:vAlign w:val="bottom"/>
          </w:tcPr>
          <w:p w14:paraId="75B44216" w14:textId="77777777" w:rsidR="00CD692A" w:rsidRPr="000F65EF" w:rsidRDefault="00CD692A" w:rsidP="000F65EF">
            <w:pPr>
              <w:pStyle w:val="SingleTxtG"/>
              <w:tabs>
                <w:tab w:val="clear" w:pos="1701"/>
                <w:tab w:val="clear" w:pos="2268"/>
                <w:tab w:val="clear" w:pos="2835"/>
              </w:tabs>
              <w:spacing w:before="40" w:after="40" w:line="220" w:lineRule="exact"/>
              <w:ind w:left="0" w:right="28"/>
              <w:jc w:val="right"/>
              <w:rPr>
                <w:sz w:val="18"/>
                <w:lang w:val="en-GB"/>
              </w:rPr>
            </w:pPr>
            <w:r w:rsidRPr="000F65EF">
              <w:rPr>
                <w:sz w:val="18"/>
              </w:rPr>
              <w:t>31,8</w:t>
            </w:r>
          </w:p>
        </w:tc>
      </w:tr>
    </w:tbl>
    <w:p w14:paraId="195A0FAB" w14:textId="77777777" w:rsidR="00CD692A" w:rsidRPr="000F65EF" w:rsidRDefault="00CD692A" w:rsidP="000F65EF">
      <w:pPr>
        <w:pStyle w:val="SingleTxtG"/>
        <w:spacing w:before="120" w:after="240"/>
        <w:ind w:firstLine="170"/>
        <w:jc w:val="left"/>
        <w:rPr>
          <w:sz w:val="18"/>
          <w:szCs w:val="18"/>
        </w:rPr>
      </w:pPr>
      <w:r w:rsidRPr="000F65EF">
        <w:rPr>
          <w:i/>
          <w:iCs/>
          <w:sz w:val="18"/>
          <w:szCs w:val="18"/>
        </w:rPr>
        <w:t>Fuente:</w:t>
      </w:r>
      <w:r w:rsidRPr="000F65EF">
        <w:rPr>
          <w:sz w:val="18"/>
          <w:szCs w:val="18"/>
        </w:rPr>
        <w:t xml:space="preserve"> Censo de Población y Vivienda, 2018.</w:t>
      </w:r>
    </w:p>
    <w:p w14:paraId="2F17E518" w14:textId="77777777" w:rsidR="00CD692A" w:rsidRPr="00CD692A" w:rsidRDefault="00CD692A" w:rsidP="00CD692A">
      <w:pPr>
        <w:pStyle w:val="SingleTxtG"/>
      </w:pPr>
      <w:r w:rsidRPr="00CD692A">
        <w:t>111.</w:t>
      </w:r>
      <w:r w:rsidRPr="00CD692A">
        <w:tab/>
        <w:t>A fin de lograr el objetivo de garantizar una vivienda adecuada, Malawi ha adoptado políticas que elevarán ampliamente el nivel económico y social de la población. Cabe citar entre ellas la Tercera Estrategia de Crecimiento y Desarrollo de Malawi y el Programa de Transferencia Social en Efectivo, cuyo objetivo es empoderar económicamente a las personas en situación de pobreza extrema para que puedan acceder a la vivienda. Además, la Entidad de Vivienda de Malawi, organismo de derecho público creado en 1964 por la Ley de la Entidad de Vivienda de Malawi, de 1964, está facultada para construir viviendas asequibles para los malawianos de ingresos bajos y medios. La Entidad está construyendo actualmente viviendas para personas de ingresos bajos y medios en las ciudades de Lilongwe y Blantyre.</w:t>
      </w:r>
    </w:p>
    <w:p w14:paraId="5837C980" w14:textId="07516F8E" w:rsidR="00CD692A" w:rsidRPr="00CD692A" w:rsidRDefault="000F65EF" w:rsidP="000F65EF">
      <w:pPr>
        <w:pStyle w:val="H1G"/>
      </w:pPr>
      <w:bookmarkStart w:id="40" w:name="_Hlk63780622"/>
      <w:r>
        <w:tab/>
      </w:r>
      <w:r>
        <w:tab/>
      </w:r>
      <w:r w:rsidR="00CD692A" w:rsidRPr="00CD692A">
        <w:t>Artículo 12</w:t>
      </w:r>
      <w:r>
        <w:br/>
      </w:r>
      <w:r w:rsidR="00CD692A" w:rsidRPr="00CD692A">
        <w:t>Derecho a alcanzar el más alto nivel posible de salud física</w:t>
      </w:r>
      <w:r>
        <w:br/>
      </w:r>
      <w:r w:rsidR="00CD692A" w:rsidRPr="00CD692A">
        <w:t>y mental</w:t>
      </w:r>
    </w:p>
    <w:bookmarkEnd w:id="40"/>
    <w:p w14:paraId="6F3A271D" w14:textId="77777777" w:rsidR="00CD692A" w:rsidRPr="00CD692A" w:rsidRDefault="00CD692A" w:rsidP="00CD692A">
      <w:pPr>
        <w:pStyle w:val="SingleTxtG"/>
        <w:rPr>
          <w:bCs/>
        </w:rPr>
      </w:pPr>
      <w:r w:rsidRPr="00CD692A">
        <w:t>112.</w:t>
      </w:r>
      <w:r w:rsidRPr="00CD692A">
        <w:tab/>
        <w:t>Aunque el derecho a la salud no está expresamente recogido en la Carta de Derechos de la Constitución de Malawi, el artículo 13, en sus párrafos b) y c), establece que el Estado tiene que promover activamente el bienestar y el desarrollo de la población de Malawi mediante la adopción y aplicación progresiva de políticas y leyes destinadas a prestar una atención sanitaria adecuada, acorde con las necesidades de salud de la sociedad malawiana y las normas internacionales de atención de la salud.</w:t>
      </w:r>
    </w:p>
    <w:p w14:paraId="24FB67CB" w14:textId="39DE20FD" w:rsidR="00CD692A" w:rsidRPr="00CD692A" w:rsidRDefault="00CD692A" w:rsidP="00952378">
      <w:pPr>
        <w:pStyle w:val="SingleTxtG"/>
        <w:keepNext/>
        <w:keepLines/>
        <w:rPr>
          <w:bCs/>
        </w:rPr>
      </w:pPr>
      <w:r w:rsidRPr="00CD692A">
        <w:lastRenderedPageBreak/>
        <w:t>113.</w:t>
      </w:r>
      <w:r w:rsidRPr="00CD692A">
        <w:tab/>
        <w:t>A fin de desarrollar los párrafos citados de la Constitución, se han promulgado leyes y políticas. Entre las leyes promulgadas figuran la Ley de Salud Pública, la Ley de Tratamiento Psiquiátrico, la Ley de Anatomía, la Ley de Farmacia, Medicamentos y Venenos y la Ley de Prevención y Gestión del VIH/Sida.</w:t>
      </w:r>
    </w:p>
    <w:p w14:paraId="5BC98BB8" w14:textId="252CA4D1" w:rsidR="00CD692A" w:rsidRPr="00CD692A" w:rsidRDefault="000F65EF" w:rsidP="000F65EF">
      <w:pPr>
        <w:pStyle w:val="H23G"/>
      </w:pPr>
      <w:r>
        <w:tab/>
      </w:r>
      <w:r>
        <w:tab/>
      </w:r>
      <w:r w:rsidR="00CD692A" w:rsidRPr="00CD692A">
        <w:t>Sistema de salud de Malawi</w:t>
      </w:r>
    </w:p>
    <w:p w14:paraId="5E01FBCA" w14:textId="77777777" w:rsidR="00CD692A" w:rsidRPr="00CD692A" w:rsidRDefault="00CD692A" w:rsidP="00CD692A">
      <w:pPr>
        <w:pStyle w:val="SingleTxtG"/>
        <w:rPr>
          <w:b/>
          <w:bCs/>
        </w:rPr>
      </w:pPr>
      <w:r w:rsidRPr="00CD692A">
        <w:t>114.</w:t>
      </w:r>
      <w:r w:rsidRPr="00CD692A">
        <w:tab/>
        <w:t>El sistema de salud de Malawi está organizado en cuatro niveles: comunitario, primario, secundario y terciario. Estos diferentes niveles están vinculados entre sí a través de un sistema de remisión establecido. La atención comunitaria, primaria y secundaria depende de los consejos de distrito. El Oficial de Salud de Distrito es el jefe del sistema de atención sanitaria del distrito y depende del Comisionado del Distrito, que es el Oficial de Control de las instituciones públicas a nivel de distrito.</w:t>
      </w:r>
    </w:p>
    <w:p w14:paraId="0D256E72" w14:textId="7BC38BDF" w:rsidR="00CD692A" w:rsidRPr="00CD692A" w:rsidRDefault="00CD692A" w:rsidP="00CD692A">
      <w:pPr>
        <w:pStyle w:val="SingleTxtG"/>
        <w:rPr>
          <w:b/>
          <w:bCs/>
        </w:rPr>
      </w:pPr>
      <w:r w:rsidRPr="00CD692A">
        <w:t>115.</w:t>
      </w:r>
      <w:r w:rsidRPr="00CD692A">
        <w:tab/>
        <w:t xml:space="preserve">El sistema de salud se rige por el Plan Estratégico del Sector Sanitario. El Primer Plan Estratégico del Sector Sanitario se llevó a cabo entre 2011 y 2016. El objetivo de este Plan era </w:t>
      </w:r>
      <w:r w:rsidR="001B78B3">
        <w:t>“</w:t>
      </w:r>
      <w:r w:rsidRPr="00CD692A">
        <w:t>mejorar la calidad de vida de toda la población de Malawi reduciendo el riesgo de mala salud y muertes prematuras, contribuyendo así al desarrollo social y económico del país</w:t>
      </w:r>
      <w:r w:rsidR="001B78B3">
        <w:t>”</w:t>
      </w:r>
      <w:r w:rsidRPr="00CD692A">
        <w:t>. Al lograrlo, el Plan contribuyó a los buenos resultados de la aplicación de la Segunda Estrategia de Crecimiento y Desarrollo de Malawi y a la consecución de los Objetivos de Desarrollo del Milenio (ODM). Durante la aplicación del Plan se lograron importantes avances, pero también fue necesario hacer frente a dificultades.</w:t>
      </w:r>
      <w:bookmarkStart w:id="41" w:name="_Hlk63777363"/>
      <w:bookmarkStart w:id="42" w:name="_Hlk63777337"/>
      <w:bookmarkEnd w:id="41"/>
      <w:bookmarkEnd w:id="42"/>
    </w:p>
    <w:p w14:paraId="700ABAC4" w14:textId="306A0F0A" w:rsidR="00CD692A" w:rsidRPr="00CD692A" w:rsidRDefault="000F65EF" w:rsidP="000F65EF">
      <w:pPr>
        <w:pStyle w:val="H23G"/>
      </w:pPr>
      <w:r>
        <w:tab/>
      </w:r>
      <w:r>
        <w:tab/>
      </w:r>
      <w:r w:rsidR="00CD692A" w:rsidRPr="00CD692A">
        <w:t>Gasto en salud</w:t>
      </w:r>
    </w:p>
    <w:p w14:paraId="66ABE99C" w14:textId="77777777" w:rsidR="00CD692A" w:rsidRPr="00CD692A" w:rsidRDefault="00CD692A" w:rsidP="00CD692A">
      <w:pPr>
        <w:pStyle w:val="SingleTxtG"/>
        <w:rPr>
          <w:bCs/>
        </w:rPr>
      </w:pPr>
      <w:r w:rsidRPr="00CD692A">
        <w:t>116.</w:t>
      </w:r>
      <w:r w:rsidRPr="00CD692A">
        <w:tab/>
        <w:t>En 2016, el gasto del sector de la salud pública fue el 10,8 % del gasto público total. La meta para 2020 es que sea el 15 %. En el período 2014-2015 el gasto sanitario total per cápita fue de 39,2 dólares de los Estados Unidos. Las metas fijadas para 2018 y 2020 son de 43 y 45 dólares de los Estados Unidos, respectivamente.</w:t>
      </w:r>
    </w:p>
    <w:p w14:paraId="6C2E01FA" w14:textId="5B72DAB0" w:rsidR="00CD692A" w:rsidRPr="00CD692A" w:rsidRDefault="00CD692A" w:rsidP="00CD692A">
      <w:pPr>
        <w:pStyle w:val="SingleTxtG"/>
        <w:rPr>
          <w:b/>
          <w:bCs/>
        </w:rPr>
      </w:pPr>
      <w:r w:rsidRPr="00CD692A">
        <w:t>117.</w:t>
      </w:r>
      <w:r w:rsidRPr="00CD692A">
        <w:tab/>
        <w:t>Entre 2015 y 2018, hubo un aumento en la asignación presupuestaria al Ministerio de Salud. En el ejercicio económico 2015/16, se asignaron al Ministerio 77.400 millones de kwacha (aproximadamente 103,2 millones de dólares de los Estados Unidos); 95.800</w:t>
      </w:r>
      <w:r w:rsidR="00FB2F88">
        <w:t> </w:t>
      </w:r>
      <w:r w:rsidRPr="00CD692A">
        <w:t>millones de kwacha (aproximadamente 127,7 millones de dólares de los Estados Unidos) en el ejercicio 2016/17; y 190.000 millones de kwacha (aproximadamente 253,3</w:t>
      </w:r>
      <w:r w:rsidR="00FB2F88">
        <w:t> </w:t>
      </w:r>
      <w:r w:rsidRPr="00CD692A">
        <w:t>millones de dólares de los Estados Unidos) en el ejercicio 2017/18. Ahora bien, la asignación de 86.700 millones de kwacha (aproximadamente 115,6 millones de dólares de los Estados Unidos) en el ejercicio 2018/19 supone una enorme disminución respecto a la asignación anterior de 190.000 millones de kwacha (aproximadamente 253,3 millones de dólares de los Estados Unidos). El Gobierno pretende mejorar la prestación de servicios sanitarios mediante una iniciativa para emplear a 10.000 trabajadores de la salud. Actualmente se está construyendo un centro oncológico en la capital del país, Lilongwe.</w:t>
      </w:r>
    </w:p>
    <w:p w14:paraId="3C0EBAC6" w14:textId="0DBC7F7C" w:rsidR="00CD692A" w:rsidRPr="00CD692A" w:rsidRDefault="000F65EF" w:rsidP="000F65EF">
      <w:pPr>
        <w:pStyle w:val="H23G"/>
      </w:pPr>
      <w:r>
        <w:tab/>
      </w:r>
      <w:r>
        <w:tab/>
      </w:r>
      <w:r w:rsidR="00CD692A" w:rsidRPr="00CD692A">
        <w:t>Acceso a los establecimientos de salud</w:t>
      </w:r>
    </w:p>
    <w:p w14:paraId="1C200796" w14:textId="21678EE6" w:rsidR="00CD692A" w:rsidRPr="00CD692A" w:rsidRDefault="00CD692A" w:rsidP="00CD692A">
      <w:pPr>
        <w:pStyle w:val="SingleTxtG"/>
        <w:rPr>
          <w:bCs/>
        </w:rPr>
      </w:pPr>
      <w:r w:rsidRPr="00CD692A">
        <w:t>118.</w:t>
      </w:r>
      <w:r w:rsidRPr="00CD692A">
        <w:tab/>
        <w:t xml:space="preserve">En 2016, el 90 % de la población vivía a menos de 8 </w:t>
      </w:r>
      <w:r w:rsidR="00FB2F88">
        <w:t>km</w:t>
      </w:r>
      <w:r w:rsidRPr="00CD692A">
        <w:t xml:space="preserve"> de un establecimiento de salud. Las metas para 2018 y 2020 son el 92 % y el 94 %, respectivamente.</w:t>
      </w:r>
    </w:p>
    <w:p w14:paraId="13CFCE2D" w14:textId="4C69D6F0" w:rsidR="00CD692A" w:rsidRPr="00CD692A" w:rsidRDefault="000F65EF" w:rsidP="000F65EF">
      <w:pPr>
        <w:pStyle w:val="H23G"/>
      </w:pPr>
      <w:r>
        <w:tab/>
      </w:r>
      <w:r>
        <w:tab/>
      </w:r>
      <w:r w:rsidR="00CD692A" w:rsidRPr="00CD692A">
        <w:t>Salud infantil</w:t>
      </w:r>
    </w:p>
    <w:p w14:paraId="26254F2B" w14:textId="175F2E0D" w:rsidR="00CD692A" w:rsidRPr="00CD692A" w:rsidRDefault="00CD692A" w:rsidP="00CD692A">
      <w:pPr>
        <w:pStyle w:val="SingleTxtG"/>
        <w:rPr>
          <w:b/>
          <w:bCs/>
        </w:rPr>
      </w:pPr>
      <w:r w:rsidRPr="00CD692A">
        <w:t>119.</w:t>
      </w:r>
      <w:r w:rsidRPr="00CD692A">
        <w:tab/>
        <w:t>Se presentan a continuación los principales indicadores de salud del período sobre el que se informa, así como las metas establecidas para 2020. Por lo que se refiere a la salud infantil, en el período 2015-2016, el 64,7 % de los niños menores de 5 años que habían sufrido de diarrea en las dos semanas anteriores a la entrevista recibieron paquetes de sales de rehidratación oral. Se ha establecido como meta aumentar la cifra al 70 % en 2018, y al 79</w:t>
      </w:r>
      <w:r w:rsidR="001F12BD">
        <w:t> </w:t>
      </w:r>
      <w:r w:rsidRPr="00CD692A">
        <w:t>% en 2020. En el período 2015-2016, solo el 47,7 % de los niños menores de 1 año habían sido completamente inmunizados; se ha establecido como meta reducir la cifra al 88 % en 2018, y al 90 % en 2020. Según los datos del período 2015-2016, 27 de cada 1.000 nacidos vivos murieron durante los primeros 28 días de vida; se ha establecido como meta reducir la cifra a 26 por 1.000 en 2018, y a 24 por 1.000 en 2020.</w:t>
      </w:r>
    </w:p>
    <w:p w14:paraId="005AEEA8" w14:textId="3DB8A517" w:rsidR="00CD692A" w:rsidRPr="00CD692A" w:rsidRDefault="00CD692A" w:rsidP="00FB2F88">
      <w:pPr>
        <w:pStyle w:val="SingleTxtG"/>
        <w:keepNext/>
        <w:keepLines/>
        <w:rPr>
          <w:b/>
          <w:bCs/>
        </w:rPr>
      </w:pPr>
      <w:r w:rsidRPr="00CD692A">
        <w:lastRenderedPageBreak/>
        <w:t>120.</w:t>
      </w:r>
      <w:r w:rsidRPr="00CD692A">
        <w:tab/>
        <w:t>El 64 % de los niños de entre 6 y 59 meses recibieron suplementos de vitamina A en los seis meses anteriores a la entrevista. Se ha establecido como meta reducir la cifra al 99 % en 2018 y en 2020. En el período 2015-2016, el 37 % de los niños menores de 5 años presentaban un retraso del crecimiento moderado o severo; se ha establecido como meta reducir la cifra al 35 % en 2018, y al 33 % en 2020. En el período 2015-2016 había un 2,7 % de niños menores de 5 años con emaciación; se ha establecido como meta reducir la cifra al 2,2 % en 2018, y al 1,7 % en 2020. En el período 2015-2016 el 4,5 % de los niños menores de 5 años tenían sobrepeso; se ha establecido como meta reducir la cifra al 3,9 % en 2018, y al 3,3 % en 2020. En el período 2015-2016, el 12,9 % de los nacidos vivos pesaron menos de 2.500 gramos; se ha establecido como meta reducir la cifra al 11 % en 2018, y al 9,5 % en</w:t>
      </w:r>
      <w:r w:rsidR="00265CA8">
        <w:t> </w:t>
      </w:r>
      <w:r w:rsidRPr="00CD692A">
        <w:t>2020.</w:t>
      </w:r>
    </w:p>
    <w:p w14:paraId="3B8241D4" w14:textId="216D8E5A" w:rsidR="00CD692A" w:rsidRPr="00CD692A" w:rsidRDefault="00CD692A" w:rsidP="00CD692A">
      <w:pPr>
        <w:pStyle w:val="SingleTxtG"/>
        <w:rPr>
          <w:b/>
          <w:bCs/>
        </w:rPr>
      </w:pPr>
      <w:r w:rsidRPr="00CD692A">
        <w:t>121.</w:t>
      </w:r>
      <w:r w:rsidRPr="00CD692A">
        <w:tab/>
        <w:t>Según el informe presentado en 2017 por los propios Departamentos y Programas del Ministerio de Salud y Población, el 73,25 % de los centros pueden prestar los servicios del Programa Básico de Salud. Se ha establecido como meta aumentar la cifra al 75</w:t>
      </w:r>
      <w:r w:rsidR="001F12BD">
        <w:t xml:space="preserve"> </w:t>
      </w:r>
      <w:r w:rsidRPr="00CD692A">
        <w:t>% en 2018, y al 77</w:t>
      </w:r>
      <w:r w:rsidR="001F12BD">
        <w:t xml:space="preserve"> </w:t>
      </w:r>
      <w:r w:rsidRPr="00CD692A">
        <w:t>% en 2020. En 2015 se realizaron 1.046 consultas ambulatorias al año por cada 1.000</w:t>
      </w:r>
      <w:r w:rsidR="00265CA8">
        <w:t> </w:t>
      </w:r>
      <w:r w:rsidRPr="00CD692A">
        <w:t>habitantes; se ha establecido como meta aumentar la cifra a 1.100 consultas al año en</w:t>
      </w:r>
      <w:r w:rsidR="00265CA8">
        <w:t> </w:t>
      </w:r>
      <w:r w:rsidRPr="00CD692A">
        <w:t>2018 y en 2020. Según el Plan Estratégico Nacional de Servicios de Farmacia 2016-2020, el 20 % de los establecimientos de salud informaron de que sus existencias de medicamentos indicadores esenciales estaban agotadas. Se ha establecido como meta reducir la cifra al 5</w:t>
      </w:r>
      <w:r w:rsidR="001F12BD">
        <w:t xml:space="preserve"> </w:t>
      </w:r>
      <w:r w:rsidRPr="00CD692A">
        <w:t>% en 2018 y en 2020.</w:t>
      </w:r>
    </w:p>
    <w:p w14:paraId="0F242E99" w14:textId="0A5669A5" w:rsidR="00CD692A" w:rsidRPr="00CD692A" w:rsidRDefault="000F65EF" w:rsidP="000F65EF">
      <w:pPr>
        <w:pStyle w:val="H23G"/>
      </w:pPr>
      <w:r>
        <w:tab/>
      </w:r>
      <w:r>
        <w:tab/>
      </w:r>
      <w:r w:rsidR="00CD692A" w:rsidRPr="00CD692A">
        <w:t>Entorno de vida saludable</w:t>
      </w:r>
    </w:p>
    <w:p w14:paraId="7A1C5781" w14:textId="4604342D" w:rsidR="00CD692A" w:rsidRPr="00CD692A" w:rsidRDefault="00CD692A" w:rsidP="00CD692A">
      <w:pPr>
        <w:pStyle w:val="SingleTxtG"/>
        <w:rPr>
          <w:b/>
          <w:bCs/>
        </w:rPr>
      </w:pPr>
      <w:r w:rsidRPr="00CD692A">
        <w:t>122.</w:t>
      </w:r>
      <w:r w:rsidRPr="00CD692A">
        <w:tab/>
        <w:t>En relación con la salud ambiental, en el período 2015-2016, el 87 % de los hogares tenía acceso a mejoras en el suministro de agua. Se ha establecido como meta mantener esta cifra en 2018, y aumentarla al 91 % en 2020. El 51,8 % de los hogares tiene acceso a mejoras en las instalaciones de saneamiento. Se ha establecido como meta aumentar la cifra al 65 % en 2018, y al 75 % en 2020. Según la base de datos del Programa Básico de Salud, el 63 % de los centros de salud disponían de instalaciones básicas de agua, saneamiento e higiene. Se ha establecido como meta aumentar la cifra al 65 % en 2018 y al 75 % en 2020. En 2015, el</w:t>
      </w:r>
      <w:r w:rsidR="006D6012">
        <w:t> </w:t>
      </w:r>
      <w:r w:rsidRPr="00CD692A">
        <w:t>10,5 % de los hogares tenía acceso a instalaciones para lavarse las manos con agua y jabón. Se ha establecido como meta aumentar la cifra al 35 % en 2018, y al 75 % en 2020.</w:t>
      </w:r>
    </w:p>
    <w:p w14:paraId="2C55EB59" w14:textId="46ED5CC9" w:rsidR="00CD692A" w:rsidRPr="00CD692A" w:rsidRDefault="000F65EF" w:rsidP="000F65EF">
      <w:pPr>
        <w:pStyle w:val="H23G"/>
      </w:pPr>
      <w:r>
        <w:tab/>
      </w:r>
      <w:r>
        <w:tab/>
      </w:r>
      <w:r w:rsidR="00CD692A" w:rsidRPr="00CD692A">
        <w:t>VIH/sida</w:t>
      </w:r>
    </w:p>
    <w:p w14:paraId="773275FE" w14:textId="77777777" w:rsidR="00CD692A" w:rsidRPr="00CD692A" w:rsidRDefault="00CD692A" w:rsidP="00CD692A">
      <w:pPr>
        <w:pStyle w:val="SingleTxtG"/>
        <w:rPr>
          <w:b/>
          <w:bCs/>
        </w:rPr>
      </w:pPr>
      <w:r w:rsidRPr="00CD692A">
        <w:t>123.</w:t>
      </w:r>
      <w:r w:rsidRPr="00CD692A">
        <w:tab/>
        <w:t>En noviembre de 2017 se aprobó la Ley de Prevención y Gestión del VIH/Sida, que garantiza que las autoridades puedan prevenir y gestionar la pandemia del VIH/sida. En consonancia con las normas internacionales de derechos humanos, la Ley prohíbe las pruebas obligatorias para las mujeres embarazadas, los trabajadores domésticos y los hombres uniformados. Además, establece la Comisión Nacional del Sida como organismo de derecho público encargado de facilitar la gestión de la respuesta al VIH/sida en el país.</w:t>
      </w:r>
    </w:p>
    <w:p w14:paraId="65E5881C" w14:textId="77777777" w:rsidR="00CD692A" w:rsidRPr="00CD692A" w:rsidRDefault="00CD692A" w:rsidP="00CD692A">
      <w:pPr>
        <w:pStyle w:val="SingleTxtG"/>
        <w:rPr>
          <w:b/>
          <w:bCs/>
        </w:rPr>
      </w:pPr>
      <w:r w:rsidRPr="00CD692A">
        <w:t>124.</w:t>
      </w:r>
      <w:r w:rsidRPr="00CD692A">
        <w:tab/>
        <w:t xml:space="preserve">Los tribunales de Malawi también han manifestado su determinación de garantizar que no se vulnere la intimidad de las personas que viven con el VIH, ni siquiera en los juicios penales. En una causa de 2015 presentada en apelación ante el Tribunal Superior se había acusado a 11 trabajadoras del sexo comercial de propagar enfermedades venéreas en contravención del artículo 192 del Código Penal. El Tribunal dictaminó que someter a las trabajadoras del sexo comercial a las pruebas forzosas de detección del VIH no era razonable y constituía una violación de sus derechos a la intimidad, la igualdad, la dignidad y a no sufrir tratos crueles, inhumanos y degradantes. El Tribunal señaló que las autoridades se aprovecharon de que las trabajadoras del sexo comercial estaban bajo detención policial para obligarlas a someterse a las pruebas. En la causa de </w:t>
      </w:r>
      <w:r w:rsidRPr="00CD692A">
        <w:rPr>
          <w:i/>
          <w:iCs/>
        </w:rPr>
        <w:t>E.L (Female) v. Republic</w:t>
      </w:r>
      <w:r w:rsidRPr="00CD692A">
        <w:t xml:space="preserve">, el Tribunal expresó su preocupación por la vulneración del derecho de la recurrente a la dignidad y a la intimidad, garantizado por los artículos 19 y 21 de la Constitución. Según consta en el acta del juicio, se introdujo como prueba en el tribunal el estado serológico de la recurrente con respecto al VIH, así como su tratamiento. El Tribunal se preguntó cómo había obtenido la policía la información y cómo había admitido dicha información como prueba el tribunal inferior. Advirtió que estos asuntos debían ser motivo de especial preocupación para los tribunales, que los debían tratar con especial cuidado. En su empeño por servir y proteger a </w:t>
      </w:r>
      <w:r w:rsidRPr="00CD692A">
        <w:lastRenderedPageBreak/>
        <w:t>los ciudadanos, la policía debía asegurarse de no infringir la ley ni vulnerar los derechos de las personas.</w:t>
      </w:r>
    </w:p>
    <w:p w14:paraId="31A3774F" w14:textId="26403FAC" w:rsidR="00CD692A" w:rsidRPr="00CD692A" w:rsidRDefault="00CD692A" w:rsidP="00CD692A">
      <w:pPr>
        <w:pStyle w:val="SingleTxtG"/>
        <w:rPr>
          <w:bCs/>
        </w:rPr>
      </w:pPr>
      <w:r w:rsidRPr="00CD692A">
        <w:t>125.</w:t>
      </w:r>
      <w:r w:rsidRPr="00CD692A">
        <w:tab/>
        <w:t>Por lo que se refiere al número de muertes por VIH/sida y otras causas, en el período 2014-2015 se registraron 4,1 por cada 1.000 personas entre los adultos (de 15 a 49 años) con nuevas infecciones por el VIH. Se ha establecido como meta reducir la cifra a 2,6 muertes por cada 1.000 personas en 2018, y a 2,2 muertes por cada 1.000 personas en 2020. Según el Informe del Programa Integrado de Malawi sobre el VIH del cuarto trimestre de 2016, el 85</w:t>
      </w:r>
      <w:r w:rsidR="00E11036">
        <w:t> </w:t>
      </w:r>
      <w:r w:rsidR="001F12BD">
        <w:t> </w:t>
      </w:r>
      <w:r w:rsidRPr="00CD692A">
        <w:t>% de las mujeres embarazadas infectadas por el VIH ya reciben tratamiento antirretrovírico; se ha establecido como meta mantener esa cifra en 2018 y 2020. Además, el 69 % de los adultos y niños que viven actualmente con el VIH reciben terapia antirretrovírica con arreglo al protocolo de tratamiento aprobado a nivel nacional. Se ha establecido como meta aumentar la cifra al 68 % en 2018, y al 78 % en 2020. El 80 % de los adultos y los niños en terapia antirretrovírica seguían vivos a los 12 meses de haber iniciado el tratamiento. En cuanto al personal sanitario, en 2016 había 0,4 médicos y 0,7 oficiales médicos por cada 10.000 pacientes. Para 2020 se ha establecido como meta aumentar esta cifra a 0,3 médicos y 0,87 oficiales médicos.</w:t>
      </w:r>
    </w:p>
    <w:p w14:paraId="6724E312" w14:textId="69427BDB" w:rsidR="00CD692A" w:rsidRPr="00CD692A" w:rsidRDefault="000F65EF" w:rsidP="000F65EF">
      <w:pPr>
        <w:pStyle w:val="H23G"/>
      </w:pPr>
      <w:r>
        <w:tab/>
      </w:r>
      <w:r>
        <w:tab/>
      </w:r>
      <w:r w:rsidR="00CD692A" w:rsidRPr="00CD692A">
        <w:t>Atención de la salud en los establecimientos penitenciarios</w:t>
      </w:r>
    </w:p>
    <w:p w14:paraId="0D280D6C" w14:textId="77777777" w:rsidR="00CD692A" w:rsidRPr="00CD692A" w:rsidRDefault="00CD692A" w:rsidP="00CD692A">
      <w:pPr>
        <w:pStyle w:val="SingleTxtG"/>
        <w:rPr>
          <w:bCs/>
        </w:rPr>
      </w:pPr>
      <w:r w:rsidRPr="00CD692A">
        <w:t>126.</w:t>
      </w:r>
      <w:r w:rsidRPr="00CD692A">
        <w:tab/>
        <w:t>En relación con las medidas adoptadas para ocuparse de la atención de la salud en los establecimientos penitenciarios, incluida la de los presos con VIH/sida o tuberculosis, el Servicio Penitenciario de Malawi cuenta en cada prisión con personal sanitario, dirigido por un médico general, que presta asistencia sanitaria inmediata a los reclusos. Además, se ha capacitado a tres funcionarios de prisiones específicamente en salud mental. Si la enfermedad no puede ser atendida por el personal médico de la prisión, se traslada al recluso enfermo a un hospital en el distrito de la ciudad donde se encuentre la prisión. Además, el Servicio Penitenciario también prevé que los médicos visiten en la prisión a los reclusos enfermos que, debido a su estado de salud, no puedan ser trasladados inmediatamente a los hospitales principales. A los reclusos con VIH/sida se les proporciona la medicación adecuada y se los somete a una dieta especial. A los presos que sufren de tuberculosis también se les proporciona la medicación adecuada y una dieta especial y se los aloja en un lugar separado del resto de los presos. En todas las prisiones se realizan rutinariamente cribados poblacionales para detectar la tuberculosis y el VIH/sida.</w:t>
      </w:r>
    </w:p>
    <w:p w14:paraId="5497A094" w14:textId="41CEC473" w:rsidR="00CD692A" w:rsidRPr="00CD692A" w:rsidRDefault="000F65EF" w:rsidP="000F65EF">
      <w:pPr>
        <w:pStyle w:val="H23G"/>
      </w:pPr>
      <w:r>
        <w:tab/>
      </w:r>
      <w:r>
        <w:tab/>
      </w:r>
      <w:r w:rsidR="00CD692A" w:rsidRPr="00CD692A">
        <w:t>Malaria</w:t>
      </w:r>
    </w:p>
    <w:p w14:paraId="57F83E62" w14:textId="3B88449B" w:rsidR="00CD692A" w:rsidRPr="00CD692A" w:rsidRDefault="00CD692A" w:rsidP="00CD692A">
      <w:pPr>
        <w:pStyle w:val="SingleTxtG"/>
        <w:rPr>
          <w:bCs/>
        </w:rPr>
      </w:pPr>
      <w:r w:rsidRPr="00CD692A">
        <w:t>127.</w:t>
      </w:r>
      <w:r w:rsidRPr="00CD692A">
        <w:tab/>
        <w:t>En 2015 se registraron 304 casos de malaria por cada 1.000 habitantes. Se ha establecido como meta reducir la cifra a 302 por cada 1.000 en 2018, y a 260 por cada 1.000</w:t>
      </w:r>
      <w:r w:rsidR="00651E30">
        <w:t> </w:t>
      </w:r>
      <w:r w:rsidRPr="00CD692A">
        <w:t>en 2020. En 2014, el 33 % de los niños de entre 6 y 9 meses tenían infecciones de malaria confirmadas. Se ha establecido como meta reducir la cifra al 28 % en 2018, y al 24</w:t>
      </w:r>
      <w:r w:rsidR="00651E30">
        <w:t> </w:t>
      </w:r>
      <w:r w:rsidRPr="00CD692A">
        <w:t>% en 2020. Se registraron 23 muertes por cada 100.000 pacientes hospitalizados; se ha establecido como meta reducir la cifra a 20 por cada 100.000 en 2018, y a 17 por cada 100.000</w:t>
      </w:r>
      <w:r w:rsidR="00651E30">
        <w:t> </w:t>
      </w:r>
      <w:r w:rsidRPr="00CD692A">
        <w:t>en 2020.</w:t>
      </w:r>
    </w:p>
    <w:p w14:paraId="697E0FAA" w14:textId="7AE2BC91" w:rsidR="00CD692A" w:rsidRPr="00CD692A" w:rsidRDefault="000F65EF" w:rsidP="000F65EF">
      <w:pPr>
        <w:pStyle w:val="H23G"/>
      </w:pPr>
      <w:r>
        <w:tab/>
      </w:r>
      <w:r>
        <w:tab/>
      </w:r>
      <w:r w:rsidR="00CD692A" w:rsidRPr="00CD692A">
        <w:t>Tasas de mortalidad</w:t>
      </w:r>
    </w:p>
    <w:p w14:paraId="242BD356" w14:textId="1AB4A65B" w:rsidR="00CD692A" w:rsidRPr="00CD692A" w:rsidRDefault="00CD692A" w:rsidP="00CD692A">
      <w:pPr>
        <w:pStyle w:val="SingleTxtG"/>
        <w:rPr>
          <w:bCs/>
        </w:rPr>
      </w:pPr>
      <w:r w:rsidRPr="00CD692A">
        <w:t>128.</w:t>
      </w:r>
      <w:r w:rsidRPr="00CD692A">
        <w:tab/>
        <w:t xml:space="preserve">Según la Organización Mundial de la Salud (OMS), en 2013 murieron en accidentes de tráfico 35 personas por cada 100.000 habitantes; se ha establecido como meta reducir la cifra a 33 en 2018, y a 31 en 2020. En 2012 se produjeron 5,5 muertes por suicidio por cada 100.000 habitantes, y aún no se han establecido metas para más adelante. En 2014 había un 19 % de probabilidad de muerte por enfermedades cardiovasculares, cáncer, diabetes o enfermedades respiratorias crónicas. Se ha establecido como meta reducir la cifra al 15,2 % en 2018, y al 11,4 % en 2020. En 2009, se registró que el 19 % de los varones adultos consumían alcohol en exceso de forma ocasional; se ha establecido como meta reducir la cifra anual al 0,2 %. Actualmente no se dispone de bases de referencia o estimaciones por lo que se refiere a los </w:t>
      </w:r>
      <w:r w:rsidR="001B78B3">
        <w:t>“</w:t>
      </w:r>
      <w:r w:rsidRPr="00CD692A">
        <w:t>establecimientos de salud dotados de instalaciones operativas de agua, electricidad, comunicación y análisis de vulnerabilidad ante los peligros</w:t>
      </w:r>
      <w:r w:rsidR="001B78B3">
        <w:t>”</w:t>
      </w:r>
      <w:r w:rsidRPr="00CD692A">
        <w:t xml:space="preserve"> ni al </w:t>
      </w:r>
      <w:r w:rsidR="001B78B3">
        <w:t>“</w:t>
      </w:r>
      <w:r w:rsidRPr="00CD692A">
        <w:t>porcentaje de días en que los establecimientos de salud cuentan con equipos médicos esenciales operativos (en funcionamiento y seguros) de acuerdo con el nivel de atención</w:t>
      </w:r>
      <w:r w:rsidR="001B78B3">
        <w:t>”</w:t>
      </w:r>
      <w:r w:rsidRPr="00CD692A">
        <w:t>. Sin embargo, se ha establecido como meta llegar al 80 % en 2018, y al 85 % en 2020.</w:t>
      </w:r>
    </w:p>
    <w:p w14:paraId="40575745" w14:textId="41D54786" w:rsidR="00CD692A" w:rsidRPr="00CD692A" w:rsidRDefault="000F65EF" w:rsidP="000F65EF">
      <w:pPr>
        <w:pStyle w:val="H23G"/>
      </w:pPr>
      <w:r>
        <w:lastRenderedPageBreak/>
        <w:tab/>
      </w:r>
      <w:r>
        <w:tab/>
      </w:r>
      <w:r w:rsidR="00CD692A" w:rsidRPr="00CD692A">
        <w:t>Tasa de mortalidad materna</w:t>
      </w:r>
    </w:p>
    <w:p w14:paraId="71BBC16A" w14:textId="088ED8B3" w:rsidR="00CD692A" w:rsidRPr="00CD692A" w:rsidRDefault="00CD692A" w:rsidP="00CD692A">
      <w:pPr>
        <w:pStyle w:val="SingleTxtG"/>
        <w:rPr>
          <w:bCs/>
        </w:rPr>
      </w:pPr>
      <w:r w:rsidRPr="00CD692A">
        <w:t>129.</w:t>
      </w:r>
      <w:r w:rsidRPr="00CD692A">
        <w:tab/>
        <w:t>El cociente de mortalidad materna fue de 439 por cada 100.000 nacidos vivos en el período 2015-2016; para 2018 y 2020 se ha establecido como meta reducir la cifra a 380 por cada 100.000, y a 345 por cada 100.000, respectivamente. La tasa global de fecundidad en el período 2015-2016 fue de 4,4 hijos por mujer; para 2018 y 2020 se ha establecido como meta reducir la cifra a 4 y 3,5, respectivamente. En el período 2015-2016, el 50 % de las mujeres de 15 a 49 años de edad, con un nacido vivo en los dos últimos años recibió atención prenatal cuatro veces o más; para 2018 y 2020 se ha establecido como meta aumentar la cifra al 55 % y al 60 %, respectivamente. En 2015 se detectaron 121 casos de tuberculosis por cada 100.000</w:t>
      </w:r>
      <w:r w:rsidR="00F75605">
        <w:t>   </w:t>
      </w:r>
      <w:r w:rsidRPr="00CD692A">
        <w:t>habitantes. Para 2018 y 2020 se ha establecido como meta 196 por cada 100.000</w:t>
      </w:r>
      <w:r w:rsidR="00F75605">
        <w:t> </w:t>
      </w:r>
      <w:r w:rsidRPr="00CD692A">
        <w:t>habitantes. En 2015 la tasa de éxito del tratamiento de la tuberculosis fue del 84 %; se ha establecido como meta aumentar la cifra al 89 % en 2018, y al 90</w:t>
      </w:r>
      <w:r w:rsidR="001F12BD">
        <w:t xml:space="preserve"> </w:t>
      </w:r>
      <w:r w:rsidRPr="00CD692A">
        <w:t>% en 2020.</w:t>
      </w:r>
    </w:p>
    <w:p w14:paraId="4AF7E70F" w14:textId="755CB6BD" w:rsidR="00CD692A" w:rsidRPr="00CD692A" w:rsidRDefault="000F65EF" w:rsidP="000F65EF">
      <w:pPr>
        <w:pStyle w:val="H23G"/>
      </w:pPr>
      <w:r>
        <w:tab/>
      </w:r>
      <w:r>
        <w:tab/>
      </w:r>
      <w:r w:rsidR="00CD692A" w:rsidRPr="00CD692A">
        <w:t>Salud de la comunidad</w:t>
      </w:r>
    </w:p>
    <w:p w14:paraId="2368057D" w14:textId="77777777" w:rsidR="00CD692A" w:rsidRPr="00CD692A" w:rsidRDefault="00CD692A" w:rsidP="00CD692A">
      <w:pPr>
        <w:pStyle w:val="SingleTxtG"/>
        <w:rPr>
          <w:bCs/>
        </w:rPr>
      </w:pPr>
      <w:r w:rsidRPr="00CD692A">
        <w:t>130.</w:t>
      </w:r>
      <w:r w:rsidRPr="00CD692A">
        <w:tab/>
        <w:t>Reconociendo la importancia de la salud de la comunidad y de hacer frente a las dificultades conexas, el Ministerio de Salud y Población elaboró la Primera Estrategia Nacional de Salud de la Comunidad, para el período 2017-2022. La Sección de Servicios de Salud de la Comunidad dirigió ese trabajo en coordinación con el Departamento de Planificación y Desarrollo de Políticas. La Estrategia Nacional de Salud de la Comunidad está vinculada al Segundo Plan Estratégico del Sector Sanitario, que pone de relieve la atención primaria de salud y la participación de la comunidad como principios básicos. Más de 500 partes interesadas de todo el sistema sanitario participaron en el desarrollo de la Estrategia.</w:t>
      </w:r>
      <w:bookmarkStart w:id="43" w:name="_Hlk63778511"/>
      <w:bookmarkStart w:id="44" w:name="_Hlk63778526"/>
      <w:bookmarkEnd w:id="43"/>
      <w:bookmarkEnd w:id="44"/>
    </w:p>
    <w:p w14:paraId="68A75A7C" w14:textId="77777777" w:rsidR="00CD692A" w:rsidRPr="00CD692A" w:rsidRDefault="00CD692A" w:rsidP="00CD692A">
      <w:pPr>
        <w:pStyle w:val="SingleTxtG"/>
        <w:rPr>
          <w:bCs/>
        </w:rPr>
      </w:pPr>
      <w:r w:rsidRPr="00CD692A">
        <w:t>131.</w:t>
      </w:r>
      <w:r w:rsidRPr="00CD692A">
        <w:tab/>
        <w:t>La Estrategia Nacional de Salud de la Comunidad se propone mejorar los medios de vida de todos los habitantes de Malawi. Su misión consiste en garantizar la prestación de servicios de salud de la comunidad integrados y de calidad, asequibles, culturalmente aceptables, científicamente apropiados y accesibles a todos los hogares mediante la participación de la comunidad, a fin de promover la salud y mejorar la situación socioeconómica de todos los habitantes del país.</w:t>
      </w:r>
    </w:p>
    <w:p w14:paraId="77472B39" w14:textId="5C7DF1C1" w:rsidR="00CD692A" w:rsidRPr="00CD692A" w:rsidRDefault="00CD692A" w:rsidP="00CD692A">
      <w:pPr>
        <w:pStyle w:val="SingleTxtG"/>
        <w:rPr>
          <w:bCs/>
        </w:rPr>
      </w:pPr>
      <w:r w:rsidRPr="00CD692A">
        <w:t>132.</w:t>
      </w:r>
      <w:r w:rsidRPr="00CD692A">
        <w:tab/>
        <w:t>De conformidad con la Estrategia Nacional de Salud de la Comunidad, en 2022 se estarán realizando actividades para contribuir a alcanzar dos metas de resultados sanitarios alineadas con el Segundo Plan Estratégico del Sector Sanitario, a saber, una reducción del 25</w:t>
      </w:r>
      <w:r w:rsidR="001F12BD">
        <w:t> </w:t>
      </w:r>
      <w:r w:rsidRPr="00CD692A">
        <w:t>% de la tasa de mortalidad de niños menores de 5 años, que pasará de 64 a 48 por cada 1.000 nacidos vivos, y una reducción del 20 % del cociente de mortalidad materna, de 439 a 350 por cada 100.000 nacidos vivos. Con el fin de alcanzar esas metas, la Estrategia Nacional de Salud de la Comunidad define un nuevo sistema de salud de la comunidad para Malawi. En el marco de ese sistema, se entiende por salud de la comunidad un conjunto de servicios básicos de salud preventivos, promocionales, curativos, rehabilitadores y de vigilancia que se prestan al nivel de la comunidad con la participación y sentido de propiedad de las comunidades rurales y urbanas. Este conjunto de servicios, que constituyen los componentes comunitarios del Programa Básico de Salud, definido en el Segundo Plan Estratégico del Sector Sanitario, serán prestados por agentes de salud comunitarios a través de un enfoque integrado.</w:t>
      </w:r>
      <w:bookmarkStart w:id="45" w:name="_Hlk94181026"/>
      <w:bookmarkStart w:id="46" w:name="_Hlk63778564"/>
      <w:bookmarkStart w:id="47" w:name="_Hlk94182276"/>
      <w:bookmarkEnd w:id="45"/>
      <w:bookmarkEnd w:id="46"/>
      <w:bookmarkEnd w:id="47"/>
    </w:p>
    <w:p w14:paraId="0052244B" w14:textId="77777777" w:rsidR="00CD692A" w:rsidRPr="00CD692A" w:rsidRDefault="00CD692A" w:rsidP="00CD692A">
      <w:pPr>
        <w:pStyle w:val="SingleTxtG"/>
        <w:rPr>
          <w:bCs/>
        </w:rPr>
      </w:pPr>
      <w:r w:rsidRPr="00CD692A">
        <w:t>133.</w:t>
      </w:r>
      <w:r w:rsidRPr="00CD692A">
        <w:tab/>
        <w:t>De conformidad con la Estrategia Nacional de Salud de la Comunidad, la integración se define como la prestación coordinada de múltiples intervenciones de salud, así como de intervenciones de otros sectores que mejoran los resultados de salud. La integración tendrá lugar en el punto de atención, lo que contribuye a mejorar la eficiencia del sistema sanitario, reducir la fragmentación y aumentar el acceso a la atención. Otras características clave del sistema de salud de la comunidad son una estructura basada en la labor de equipos de agentes de salud comunitarios, una supervisión reforzada, instancias comunitarias reforzadas (por ejemplo, el Comité de Salud de la Aldea, el Grupo de Acción de Salud de la Comunidad), y una coordinación mejorada, bajo la dirección de la Sección de Servicios de Salud de la Comunidad y de los oficiales de salud de la comunidad a nivel de distrito. En general, la Estrategia Nacional de Salud de la Comunidad expone a grandes rasgos las aspiraciones sobre cómo debe funcionar el sistema de salud de la comunidad y pone en marcha procesos y actividades para alcanzar estos objetivos.</w:t>
      </w:r>
    </w:p>
    <w:p w14:paraId="6A470B03" w14:textId="77777777" w:rsidR="00CD692A" w:rsidRPr="00CD692A" w:rsidRDefault="00CD692A" w:rsidP="00CD692A">
      <w:pPr>
        <w:pStyle w:val="SingleTxtG"/>
        <w:rPr>
          <w:bCs/>
        </w:rPr>
      </w:pPr>
      <w:r w:rsidRPr="00CD692A">
        <w:lastRenderedPageBreak/>
        <w:t>134.</w:t>
      </w:r>
      <w:r w:rsidRPr="00CD692A">
        <w:tab/>
        <w:t>La Estrategia también establece para el sistema de salud de la comunidad seis objetivos estratégicos, cada uno de ellos con una ambiciosa meta e intervenciones previstas para 2022, como se indica a continuación:</w:t>
      </w:r>
    </w:p>
    <w:p w14:paraId="427E7404" w14:textId="4F4EEACB" w:rsidR="00CD692A" w:rsidRPr="00CD692A" w:rsidRDefault="000F65EF" w:rsidP="00CD692A">
      <w:pPr>
        <w:pStyle w:val="SingleTxtG"/>
        <w:rPr>
          <w:bCs/>
        </w:rPr>
      </w:pPr>
      <w:r>
        <w:tab/>
      </w:r>
      <w:r w:rsidR="00CD692A" w:rsidRPr="00CD692A">
        <w:t>a)</w:t>
      </w:r>
      <w:r w:rsidR="00CD692A" w:rsidRPr="00CD692A">
        <w:tab/>
        <w:t>Prestación de servicios de salud: ofrecer el Programa Básico de Salud a nivel comunitario a través de servicios integrados prestados por los agentes de salud comunitarios en los Equipos de Salud de la Comunidad. Entre las intervenciones clave para lograr este objetivo figuran ampliar la prestación integrada del Programa Básico de Salud a nivel comunitario y desplegar Equipos de Salud de la Comunidad con descripciones de trabajo claras para todos los grupos de agentes de salud comunitarios. La meta establecida para 2022 es que la mayoría de los servicios de los componentes comunitarios del Programa Básico de Salud sean prestados por el 75 % de los auxiliares de vigilancia de la salud</w:t>
      </w:r>
      <w:bookmarkStart w:id="48" w:name="_Hlk63778594"/>
      <w:bookmarkStart w:id="49" w:name="_Hlk94182334"/>
      <w:bookmarkEnd w:id="48"/>
      <w:bookmarkEnd w:id="49"/>
      <w:r w:rsidR="0050248E">
        <w:t>;</w:t>
      </w:r>
    </w:p>
    <w:p w14:paraId="0835A455" w14:textId="288735EC" w:rsidR="00CD692A" w:rsidRPr="00CD692A" w:rsidRDefault="000F65EF" w:rsidP="00CD692A">
      <w:pPr>
        <w:pStyle w:val="SingleTxtG"/>
        <w:rPr>
          <w:bCs/>
        </w:rPr>
      </w:pPr>
      <w:r>
        <w:tab/>
      </w:r>
      <w:r w:rsidR="00CD692A" w:rsidRPr="00CD692A">
        <w:t>b)</w:t>
      </w:r>
      <w:r w:rsidR="00CD692A" w:rsidRPr="00CD692A">
        <w:tab/>
        <w:t>Recursos humanos: establecer una fuerza de trabajo de salud de la comunidad suficiente, distribuida equitativamente y bien formada. Una de las intervenciones clave para lograr este objetivo es contratar expertos en salud de la comunidad en el marco de la Estrategia Nacional de Salud de la Comunidad para el período 2017-2022. La meta establecida para 2022 es que el 95 % de los auxiliares de vigilancia de la salud tengan una bicicleta de alta calidad y duradera, y que 900 puestos sanitarios estén operativos y apoyen la prestación de servicios de salud de la comunidad integrados en zonas de difícil acceso. Implicación comunitaria: Lograr en mayor medida que la comunidad se implique en la salud de la comunidad y se responsabilice de ella.</w:t>
      </w:r>
    </w:p>
    <w:p w14:paraId="0CEE136B" w14:textId="77777777" w:rsidR="00CD692A" w:rsidRPr="00CD692A" w:rsidRDefault="00CD692A" w:rsidP="00CD692A">
      <w:pPr>
        <w:pStyle w:val="SingleTxtG"/>
        <w:rPr>
          <w:bCs/>
        </w:rPr>
      </w:pPr>
      <w:r w:rsidRPr="00CD692A">
        <w:t>135.</w:t>
      </w:r>
      <w:r w:rsidRPr="00CD692A">
        <w:tab/>
        <w:t>Entre las intervenciones clave para lograrlo figuran generar apoyo a la salud de la comunidad (por ejemplo, mediante el establecimiento del día nacional de la salud de la comunidad); crear capacidad en las instancias comunitarias prioritarias (por ejemplo, los Comités de Salud de las Aldeas, los Grupos de Acción de Salud de la Comunidad y los Comités Asesores de los Centros de Salud), y poner en marcha mecanismos de responsabilidad social mejorados a nivel comunitario (por ejemplo, tarjetas de puntuación). La meta establecida para 2022 es que es que el 70 % de los Comités de Salud de las Aldeas se reúnan mensualmente para apoyar las actividades de salud de la comunidad y que el 70 % de los Grupos de Acción de Salud de la Comunidad y los Comités Asesores de los Centros de Salud estén activos.</w:t>
      </w:r>
      <w:bookmarkStart w:id="50" w:name="_Hlk63778618"/>
      <w:bookmarkEnd w:id="50"/>
    </w:p>
    <w:p w14:paraId="246BAEBD" w14:textId="77777777" w:rsidR="00CD692A" w:rsidRPr="00CD692A" w:rsidRDefault="00CD692A" w:rsidP="00CD692A">
      <w:pPr>
        <w:pStyle w:val="SingleTxtG"/>
        <w:rPr>
          <w:bCs/>
        </w:rPr>
      </w:pPr>
      <w:r w:rsidRPr="00CD692A">
        <w:t>136.</w:t>
      </w:r>
      <w:r w:rsidRPr="00CD692A">
        <w:tab/>
        <w:t>También se han reforzado el liderazgo y la coordinación para garantizar que la salud de la comunidad tenga apoyo en materia de políticas y financiación suficientes y que las actividades conexas se lleven a cabo y se coordinen a todos los niveles. Entre las intervenciones clave para lograr este objetivo figuran ampliar al nivel nacional la función de coordinación de la Sección de Servicios de Salud de la Comunidad; contratar un oficial de salud de la comunidad para cada distrito; reforzar la coordinación a nivel comunitario a través de los Grupos de Acción de Salud de la Comunidad y los Equipos de Salud de la Comunidad; y celebrar reuniones periódicas de coordinación entre las partes interesadas a todos los niveles. La meta establecida para 2022 es que los agentes de salud comunitarios hayan completado el 80 % de todas las actividades e hitos de coordinación acordados.</w:t>
      </w:r>
    </w:p>
    <w:p w14:paraId="521B4B58" w14:textId="77777777" w:rsidR="00CD692A" w:rsidRPr="00CD692A" w:rsidRDefault="00CD692A" w:rsidP="00CD692A">
      <w:pPr>
        <w:pStyle w:val="SingleTxtG"/>
        <w:rPr>
          <w:bCs/>
        </w:rPr>
      </w:pPr>
      <w:r w:rsidRPr="00CD692A">
        <w:t>137.</w:t>
      </w:r>
      <w:r w:rsidRPr="00CD692A">
        <w:tab/>
        <w:t>El plan de ejecución quinquenal ofrece información detallada sobre todas las actividades recomendadas. Además, el éxito de la Estrategia Nacional de Salud de la Comunidad se sustentará en seis principios rectores transversales, a saber, integración, liderazgo comunitario, equidad, igualdad de género, aprendizaje, y transparencia y rendición de cuentas. Los dos primeros principios ayudan a garantizar que los programas e iniciativas existentes relacionados con la salud de la comunidad aprovechen las alianzas y se integren sin tropiezos en todos los sectores, y que los miembros de la comunidad se apropien de la salud de sus poblaciones y sigan siendo responsables de ella. Los principios de equidad e igualdad exigen que todos los malawianos reciban una atención de alta calidad de un sistema de salud de la comunidad que promueva la igualdad de género. La Estrategia Nacional de Salud de la Comunidad fomenta el aprendizaje continuo y la corrección del rumbo sobre la base del fortalecimiento de la labor de seguimiento y evaluación. Por su parte, la transparencia y la rendición de cuentas son vitales para mantener la confianza y el respaldo de todas las partes interesadas. Estos principios son importantes en todo el sistema de salud de la comunidad y en todos los objetivos estratégicos de la Estrategia.</w:t>
      </w:r>
    </w:p>
    <w:p w14:paraId="7C266221" w14:textId="77777777" w:rsidR="00CD692A" w:rsidRPr="00CD692A" w:rsidRDefault="00CD692A" w:rsidP="00CD692A">
      <w:pPr>
        <w:pStyle w:val="SingleTxtG"/>
        <w:rPr>
          <w:bCs/>
        </w:rPr>
      </w:pPr>
      <w:r w:rsidRPr="00CD692A">
        <w:lastRenderedPageBreak/>
        <w:t>138.</w:t>
      </w:r>
      <w:r w:rsidRPr="00CD692A">
        <w:tab/>
        <w:t>En los próximos cinco años, la ejecución de la Estrategia requerirá una labor coordinada de todos los agentes que trabajan en el sistema de salud de la comunidad. La ejecución se llevará a cabo en dos fases teniendo en cuenta la necesidad de que, antes de poner en marcha y ampliar las actividades, se fortalezcan los elementos fundamentales de dicho sistema.</w:t>
      </w:r>
    </w:p>
    <w:p w14:paraId="678F9328" w14:textId="77777777" w:rsidR="00CD692A" w:rsidRPr="00CD692A" w:rsidRDefault="00CD692A" w:rsidP="00CD692A">
      <w:pPr>
        <w:pStyle w:val="SingleTxtG"/>
        <w:rPr>
          <w:bCs/>
        </w:rPr>
      </w:pPr>
      <w:r w:rsidRPr="00CD692A">
        <w:t>139.</w:t>
      </w:r>
      <w:r w:rsidRPr="00CD692A">
        <w:tab/>
        <w:t>La fase 1 se centrará en preparar el sistema de salud de la comunidad para la obtención de buenos resultados, aclarando las directrices y reforzando las estructuras. Paralelamente, se iniciará la ejecución de actividades de gran impacto, como la contratación de agentes de salud comunitarios y la adquisición de transporte para ellos, el despliegue de los Equipos de Salud de la Comunidad y el establecimiento de mecanismos de coordinación a todos los niveles.</w:t>
      </w:r>
    </w:p>
    <w:p w14:paraId="0A0D5973" w14:textId="77777777" w:rsidR="00CD692A" w:rsidRPr="00CD692A" w:rsidRDefault="00CD692A" w:rsidP="00CD692A">
      <w:pPr>
        <w:pStyle w:val="SingleTxtG"/>
        <w:rPr>
          <w:bCs/>
        </w:rPr>
      </w:pPr>
      <w:r w:rsidRPr="00CD692A">
        <w:t>140.</w:t>
      </w:r>
      <w:r w:rsidRPr="00CD692A">
        <w:tab/>
        <w:t>La fase 2 se centrará en la ampliación de las actividades de la fase 1 y en la realización de actividades adicionales, como la formación de los agentes de salud comunitarios en la prestación de servicios integrados, la garantía de la plena puesta en marcha del Programa Básico de Salud y del acceso a los suministros, y la construcción de viviendas para los agentes de salud comunitarios, entre otras.</w:t>
      </w:r>
    </w:p>
    <w:p w14:paraId="3D2D442E" w14:textId="21925D2B" w:rsidR="00CD692A" w:rsidRPr="00CD692A" w:rsidRDefault="00CD692A" w:rsidP="00CD692A">
      <w:pPr>
        <w:pStyle w:val="SingleTxtG"/>
        <w:rPr>
          <w:bCs/>
        </w:rPr>
      </w:pPr>
      <w:r w:rsidRPr="00CD692A">
        <w:t>141.</w:t>
      </w:r>
      <w:r w:rsidRPr="00CD692A">
        <w:tab/>
        <w:t>El seguimiento y la evaluación se llevarán a cabo en todas las fases de ejecución. La Sección de Servicios de Salud de la Comunidad del Ministerio de Salud es responsable de la implementación exitosa de la Estrategia Nacional de Salud de la Comunidad y debe contar con recursos suficientes para llevar a cabo este mandato. Entre las funciones específicas de la Sección de Servicios de Salud de la Comunidad figuran la coordinación y la planificación de todos los programas; la elaboración de herramientas y directrices; el seguimiento del cumplimiento de las políticas y directrices; la gestión general de los Equipos de Salud de la Comunidad, y el apoyo a las instancias comunitarias (Comités de Salud de las Aldeas, Grupos de Acción de Salud de la Comunidad, Comités Asesores de los Centros de Salud, etc.).</w:t>
      </w:r>
    </w:p>
    <w:p w14:paraId="0C9D636B" w14:textId="77777777" w:rsidR="00CD692A" w:rsidRPr="00CD692A" w:rsidRDefault="00CD692A" w:rsidP="00CD692A">
      <w:pPr>
        <w:pStyle w:val="SingleTxtG"/>
        <w:rPr>
          <w:bCs/>
        </w:rPr>
      </w:pPr>
      <w:r w:rsidRPr="00CD692A">
        <w:t>142.</w:t>
      </w:r>
      <w:r w:rsidRPr="00CD692A">
        <w:tab/>
        <w:t>Para el desempeño de estas funciones la Sección de Servicios de Salud de la Comunidad necesitará recursos financieros previsibles y capacidad humana adicional, de modo que, al final de la estrategia quinquenal, cuente con nueve empleados a tiempo completo. La gestión eficaz del Programa también depende de una dedicada labor de coordinación de todos los agentes, a fin de que en todo el sistema de salud de la comunidad se garantice el uso eficiente de los recursos y la coherencia.</w:t>
      </w:r>
    </w:p>
    <w:p w14:paraId="0CFBB706" w14:textId="69582260" w:rsidR="00CD692A" w:rsidRPr="00CD692A" w:rsidRDefault="000F65EF" w:rsidP="000F65EF">
      <w:pPr>
        <w:pStyle w:val="H23G"/>
      </w:pPr>
      <w:r>
        <w:tab/>
      </w:r>
      <w:r>
        <w:tab/>
      </w:r>
      <w:r w:rsidR="00CD692A" w:rsidRPr="00CD692A">
        <w:t>Salud mental</w:t>
      </w:r>
    </w:p>
    <w:p w14:paraId="2FA908AB" w14:textId="77777777" w:rsidR="00CD692A" w:rsidRPr="00CD692A" w:rsidRDefault="00CD692A" w:rsidP="00CD692A">
      <w:pPr>
        <w:pStyle w:val="SingleTxtG"/>
        <w:rPr>
          <w:bCs/>
        </w:rPr>
      </w:pPr>
      <w:r w:rsidRPr="00CD692A">
        <w:t>143.</w:t>
      </w:r>
      <w:r w:rsidRPr="00CD692A">
        <w:tab/>
        <w:t>La Ley de Tratamiento Psiquiátrico, de 1948 (cap. 34:02 de las Leyes de Malawi), establece disposiciones para el cuidado de las personas que padecen trastornos mentales, la tutela de esas personas y la gestión de sus bienes, y la gestión y el control de los hospitales mentales en Malawi. Desde su promulgación, aún no se ha revisado.</w:t>
      </w:r>
    </w:p>
    <w:p w14:paraId="02BE5766" w14:textId="77777777" w:rsidR="00CD692A" w:rsidRPr="00CD692A" w:rsidRDefault="00CD692A" w:rsidP="00CD692A">
      <w:pPr>
        <w:pStyle w:val="SingleTxtG"/>
        <w:rPr>
          <w:bCs/>
        </w:rPr>
      </w:pPr>
      <w:r w:rsidRPr="00CD692A">
        <w:t>144.</w:t>
      </w:r>
      <w:r w:rsidRPr="00CD692A">
        <w:tab/>
        <w:t>Los servicios de salud mental se prestan en los hospitales públicos centrales. Hay un hospital especializado en el tratamiento de los pacientes psiquiátricos, el Hospital Psiquiátrico de Zomba. También hay un hospital psiquiátrico privado, el Hospital Saint John of God. Hay cinco psiquiatras cualificados en Malawi.</w:t>
      </w:r>
    </w:p>
    <w:p w14:paraId="5B2B9E46" w14:textId="77777777" w:rsidR="00CD692A" w:rsidRPr="00CD692A" w:rsidRDefault="00CD692A" w:rsidP="00CD692A">
      <w:pPr>
        <w:pStyle w:val="SingleTxtG"/>
        <w:rPr>
          <w:bCs/>
        </w:rPr>
      </w:pPr>
      <w:r w:rsidRPr="00CD692A">
        <w:t>145.</w:t>
      </w:r>
      <w:r w:rsidRPr="00CD692A">
        <w:tab/>
        <w:t>El Ministerio de Salud, en colaboración con el Ministerio de Género, Desarrollo Comunitario y Bienestar Social y con el apoyo del Fondo de las Naciones Unidas para la Infancia (UNICEF), ha comenzado a ejecutar un proyecto piloto sobre salud mental en Malawi. El proyecto pretende formar a los oficiales de bienestar para que presten servicios de orientación a nivel de distrito. El proyecto se ensayará a título experimental en 8 distritos.</w:t>
      </w:r>
    </w:p>
    <w:p w14:paraId="15273FD2" w14:textId="4432E767" w:rsidR="00CD692A" w:rsidRPr="00CD692A" w:rsidRDefault="000F65EF" w:rsidP="000F65EF">
      <w:pPr>
        <w:pStyle w:val="H1G"/>
      </w:pPr>
      <w:bookmarkStart w:id="51" w:name="_Hlk63780677"/>
      <w:r>
        <w:tab/>
      </w:r>
      <w:r>
        <w:tab/>
      </w:r>
      <w:r w:rsidR="00CD692A" w:rsidRPr="00CD692A">
        <w:t>Artículos 13 y 14</w:t>
      </w:r>
      <w:r>
        <w:br/>
      </w:r>
      <w:r w:rsidR="00CD692A" w:rsidRPr="00CD692A">
        <w:t>Derecho a la educación</w:t>
      </w:r>
    </w:p>
    <w:bookmarkEnd w:id="51"/>
    <w:p w14:paraId="1DC81BCE" w14:textId="77777777" w:rsidR="00CD692A" w:rsidRPr="00CD692A" w:rsidRDefault="00CD692A" w:rsidP="00CD692A">
      <w:pPr>
        <w:pStyle w:val="SingleTxtG"/>
        <w:rPr>
          <w:bCs/>
        </w:rPr>
      </w:pPr>
      <w:r w:rsidRPr="00CD692A">
        <w:t>146.</w:t>
      </w:r>
      <w:r w:rsidRPr="00CD692A">
        <w:tab/>
        <w:t xml:space="preserve">La Constitución de Malawi, en su artículo 25, garantiza a todas las personas el derecho a la educación. Además, en su artículo 13 f) establece que el Estado promoverá activamente el bienestar y el desarrollo de la población de Malawi adoptando y aplicando progresivamente políticas y leyes destinadas a proporcionar recursos adecuados al sector educativo y a elaborar programas para eliminar el analfabetismo en el país, haciendo obligatoria y gratuita </w:t>
      </w:r>
      <w:r w:rsidRPr="00CD692A">
        <w:lastRenderedPageBreak/>
        <w:t>la educación primaria para todos los ciudadanos de Malawi y ofreciendo un mayor acceso a la enseñanza superior y a la educación permanente.</w:t>
      </w:r>
    </w:p>
    <w:p w14:paraId="20DF7060" w14:textId="16A9A029" w:rsidR="00CD692A" w:rsidRPr="00CD692A" w:rsidRDefault="00CD692A" w:rsidP="00CD692A">
      <w:pPr>
        <w:pStyle w:val="SingleTxtG"/>
        <w:rPr>
          <w:bCs/>
        </w:rPr>
      </w:pPr>
      <w:r w:rsidRPr="00CD692A">
        <w:t>147.</w:t>
      </w:r>
      <w:r w:rsidRPr="00CD692A">
        <w:tab/>
        <w:t>La Ley de Educación (cap. 30:01 de las Leyes de Malawi) desarrolla los artículos 13</w:t>
      </w:r>
      <w:r w:rsidR="0050248E">
        <w:t> </w:t>
      </w:r>
      <w:r w:rsidRPr="00CD692A">
        <w:t>f) y 25 de la Constitución. La Ley prevé la creación, organización, gobernanza, control, regulación y financiación de las escuelas y establecimientos de enseñanza superior, y establece el Consejo Pedagógico de Malawi y el Instituto de Educación de Malawi.</w:t>
      </w:r>
    </w:p>
    <w:p w14:paraId="36E6D1BE" w14:textId="77777777" w:rsidR="00CD692A" w:rsidRPr="00CD692A" w:rsidRDefault="00CD692A" w:rsidP="00CD692A">
      <w:pPr>
        <w:pStyle w:val="SingleTxtG"/>
        <w:rPr>
          <w:bCs/>
        </w:rPr>
      </w:pPr>
      <w:r w:rsidRPr="00CD692A">
        <w:t>148.</w:t>
      </w:r>
      <w:r w:rsidRPr="00CD692A">
        <w:tab/>
        <w:t>La Ley de Educación encomienda al Ministro de Educación la responsabilidad de promover la educación para toda la población de Malawi, independientemente de la raza, el origen étnico, el sexo, la religión, la discapacidad o cualquier otra característica discriminatoria; formular políticas, planificar y gestionar sistemas de información a nivel nacional; movilizar y asignar recursos; diseñar y desarrollar el plan de estudios nacional; establecer y mantener las normas nacionales de educación; vigilar, valorar y evaluar el sistema educativo; y establecer mecanismos eficaces para garantizar un sistema educativo transparente y responsable a todos los niveles. El Ministerio de Educación, Ciencia y Tecnología es el encargado de llevar a cabo estas tareas.</w:t>
      </w:r>
    </w:p>
    <w:p w14:paraId="500928B5" w14:textId="1F6B0886" w:rsidR="00CD692A" w:rsidRPr="00CD692A" w:rsidRDefault="000F65EF" w:rsidP="000F65EF">
      <w:pPr>
        <w:pStyle w:val="H23G"/>
      </w:pPr>
      <w:r>
        <w:tab/>
      </w:r>
      <w:r>
        <w:tab/>
      </w:r>
      <w:r w:rsidR="00CD692A" w:rsidRPr="00CD692A">
        <w:t>Normas Nacionales de Educación</w:t>
      </w:r>
    </w:p>
    <w:p w14:paraId="0A6B9AEC" w14:textId="77777777" w:rsidR="00CD692A" w:rsidRPr="00CD692A" w:rsidRDefault="00CD692A" w:rsidP="00CD692A">
      <w:pPr>
        <w:pStyle w:val="SingleTxtG"/>
        <w:rPr>
          <w:bCs/>
        </w:rPr>
      </w:pPr>
      <w:r w:rsidRPr="00CD692A">
        <w:t>149.</w:t>
      </w:r>
      <w:r w:rsidRPr="00CD692A">
        <w:tab/>
        <w:t>A fin de mejorar la calidad y el acceso a la educación en las escuelas primarias y secundarias, el Ministerio de Educación, Ciencia y Tecnología aprobó las Normas Nacionales de Educación. Se trata de 26 normas que especifican los resultados que han de obtener los estudiantes, y que deben ser promovidas por todos los prestadores de servicios educativos en las instituciones públicas y privadas. Asimismo, determinan los procesos de liderazgo, gestión y enseñanza que son esenciales para el logro de los resultados. Además, especifican metas para una práctica eficaz que son a la vez estimulantes y alcanzables.</w:t>
      </w:r>
    </w:p>
    <w:p w14:paraId="5D230A2D" w14:textId="77777777" w:rsidR="00CD692A" w:rsidRPr="00CD692A" w:rsidRDefault="00CD692A" w:rsidP="00CD692A">
      <w:pPr>
        <w:pStyle w:val="SingleTxtG"/>
        <w:rPr>
          <w:bCs/>
        </w:rPr>
      </w:pPr>
      <w:r w:rsidRPr="00CD692A">
        <w:t>150.</w:t>
      </w:r>
      <w:r w:rsidRPr="00CD692A">
        <w:tab/>
        <w:t>Las Normas están destinadas a ayudar a los encargados de formular políticas a nivel nacional, de división y de distrito a evaluar la eficacia de la educación en su zona y en todo el país; y a orientar a las instituciones y a los profesionales para que examinen y mejoren su práctica.</w:t>
      </w:r>
    </w:p>
    <w:p w14:paraId="244A5444" w14:textId="77777777" w:rsidR="00CD692A" w:rsidRPr="00CD692A" w:rsidRDefault="00CD692A" w:rsidP="00CD692A">
      <w:pPr>
        <w:pStyle w:val="SingleTxtG"/>
        <w:rPr>
          <w:bCs/>
        </w:rPr>
      </w:pPr>
      <w:r w:rsidRPr="00CD692A">
        <w:t>151.</w:t>
      </w:r>
      <w:r w:rsidRPr="00CD692A">
        <w:tab/>
        <w:t>En particular, las Normas Nacionales de Educación determinan los requisitos mínimos que todas las escuelas de Malawi deben tratar de alcanzar. Los centros escolares deben cumplir estos requisitos para promover la igualdad de oportunidades educativas y eliminar los obstáculos al buen desempeño.</w:t>
      </w:r>
    </w:p>
    <w:p w14:paraId="528F681A" w14:textId="7D96A970" w:rsidR="00CD692A" w:rsidRPr="00CD692A" w:rsidRDefault="000F65EF" w:rsidP="000F65EF">
      <w:pPr>
        <w:pStyle w:val="H23G"/>
      </w:pPr>
      <w:r>
        <w:tab/>
      </w:r>
      <w:r>
        <w:tab/>
      </w:r>
      <w:r w:rsidR="00CD692A" w:rsidRPr="00CD692A">
        <w:t>Escuelas primarias</w:t>
      </w:r>
    </w:p>
    <w:p w14:paraId="62999E83" w14:textId="6D18DF88" w:rsidR="00CD692A" w:rsidRPr="00CD692A" w:rsidRDefault="00CD692A" w:rsidP="00CD692A">
      <w:pPr>
        <w:pStyle w:val="SingleTxtG"/>
        <w:rPr>
          <w:bCs/>
        </w:rPr>
      </w:pPr>
      <w:r w:rsidRPr="00CD692A">
        <w:t>152.</w:t>
      </w:r>
      <w:r w:rsidRPr="00CD692A">
        <w:tab/>
        <w:t>El artículo 13 de la Ley de Educación establece que la enseñanza primaria en las escuelas públicas será gratuita para todos y obligatoria para todos los niños menores de 18</w:t>
      </w:r>
      <w:r w:rsidR="00597D8B">
        <w:t> </w:t>
      </w:r>
      <w:r w:rsidRPr="00CD692A">
        <w:t>años.</w:t>
      </w:r>
    </w:p>
    <w:p w14:paraId="3A62E51A" w14:textId="77777777" w:rsidR="00CD692A" w:rsidRPr="00CD692A" w:rsidRDefault="00CD692A" w:rsidP="00CD692A">
      <w:pPr>
        <w:pStyle w:val="SingleTxtG"/>
        <w:rPr>
          <w:bCs/>
        </w:rPr>
      </w:pPr>
      <w:r w:rsidRPr="00CD692A">
        <w:t>153.</w:t>
      </w:r>
      <w:r w:rsidRPr="00CD692A">
        <w:tab/>
        <w:t>La responsabilidad de impartir la enseñanza primaria recae en la autoridad gubernamental local de la zona sobre la que esta ejerce su jurisdicción. Cada autoridad gubernamental local nombra un comité de educación que supervisa todos los asuntos relacionados con el desempeño de dichas escuelas.</w:t>
      </w:r>
    </w:p>
    <w:p w14:paraId="7EFBE44B" w14:textId="4E391025" w:rsidR="00CD692A" w:rsidRPr="00CD692A" w:rsidRDefault="000F65EF" w:rsidP="000F65EF">
      <w:pPr>
        <w:pStyle w:val="H23G"/>
      </w:pPr>
      <w:r>
        <w:tab/>
      </w:r>
      <w:r>
        <w:tab/>
      </w:r>
      <w:r w:rsidR="00CD692A" w:rsidRPr="00CD692A">
        <w:t>Situación de la matrícula en las escuelas primarias</w:t>
      </w:r>
    </w:p>
    <w:p w14:paraId="207206E3" w14:textId="77777777" w:rsidR="00CD692A" w:rsidRPr="00CD692A" w:rsidRDefault="00CD692A" w:rsidP="00CD692A">
      <w:pPr>
        <w:pStyle w:val="SingleTxtG"/>
        <w:rPr>
          <w:b/>
          <w:bCs/>
        </w:rPr>
      </w:pPr>
      <w:r w:rsidRPr="00CD692A">
        <w:t>154.</w:t>
      </w:r>
      <w:r w:rsidRPr="00CD692A">
        <w:tab/>
        <w:t>Las matriculaciones pasaron de 4.154.427 en 2012 a 5.073.721 en 2017, lo que supone un crecimiento porcentual del 21 %. En total, estaban matriculados en escuelas públicas 4.964.474 alumnos, y en escuelas privadas solo 109.247, es decir, el 2,15 % (el 1,05 % niños y el 1,09 % niñas). La matrícula total ha crecido a una tasa media anual del 3,9 %. En el año escolar 2016/17 se matricularon un total de 802.445 nuevos alumnos, lo que representa un porcentaje del 15,8 %. (802.445 de un total de 5.073.721) del total de la matrícula. En cuanto a la edad de los que comienzan la escuela, se observó que el mayor porcentaje (63,5 %) se registra a los 6 años, que es la edad oficial de entrada en la escuela primaria.</w:t>
      </w:r>
    </w:p>
    <w:p w14:paraId="0D509454" w14:textId="110510B9" w:rsidR="00CD692A" w:rsidRPr="00CD692A" w:rsidRDefault="000F65EF" w:rsidP="000F65EF">
      <w:pPr>
        <w:pStyle w:val="H23G"/>
      </w:pPr>
      <w:r w:rsidRPr="000F65EF">
        <w:rPr>
          <w:b w:val="0"/>
          <w:bCs/>
        </w:rPr>
        <w:lastRenderedPageBreak/>
        <w:tab/>
      </w:r>
      <w:r w:rsidRPr="000F65EF">
        <w:rPr>
          <w:b w:val="0"/>
          <w:bCs/>
        </w:rPr>
        <w:tab/>
      </w:r>
      <w:r w:rsidR="00CD692A" w:rsidRPr="000F65EF">
        <w:rPr>
          <w:b w:val="0"/>
          <w:bCs/>
        </w:rPr>
        <w:t>Cuadro 18</w:t>
      </w:r>
      <w:r w:rsidRPr="000F65EF">
        <w:rPr>
          <w:b w:val="0"/>
          <w:bCs/>
        </w:rPr>
        <w:br/>
      </w:r>
      <w:r w:rsidR="00CD692A" w:rsidRPr="00CD692A">
        <w:t>Matriculación en la escuela primaria 2012-2017</w:t>
      </w:r>
    </w:p>
    <w:p w14:paraId="67571209" w14:textId="77777777" w:rsidR="00CD692A" w:rsidRPr="00CD692A" w:rsidRDefault="00CD692A" w:rsidP="00CD692A">
      <w:pPr>
        <w:pStyle w:val="SingleTxtG"/>
        <w:rPr>
          <w:bCs/>
          <w:lang w:val="en-GB"/>
        </w:rPr>
      </w:pPr>
      <w:r w:rsidRPr="00CD692A">
        <w:rPr>
          <w:bCs/>
          <w:noProof/>
        </w:rPr>
        <w:drawing>
          <wp:inline distT="0" distB="0" distL="0" distR="0" wp14:anchorId="3A97C668" wp14:editId="6BA35CCC">
            <wp:extent cx="4695825" cy="23131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76133" cy="2402011"/>
                    </a:xfrm>
                    <a:prstGeom prst="rect">
                      <a:avLst/>
                    </a:prstGeom>
                    <a:noFill/>
                  </pic:spPr>
                </pic:pic>
              </a:graphicData>
            </a:graphic>
          </wp:inline>
        </w:drawing>
      </w:r>
    </w:p>
    <w:p w14:paraId="125BD3F7" w14:textId="77777777" w:rsidR="00CD692A" w:rsidRPr="000831BA" w:rsidRDefault="00CD692A" w:rsidP="000831BA">
      <w:pPr>
        <w:pStyle w:val="SingleTxtG"/>
        <w:spacing w:before="120" w:after="240"/>
        <w:ind w:firstLine="170"/>
        <w:jc w:val="left"/>
        <w:rPr>
          <w:sz w:val="18"/>
          <w:szCs w:val="18"/>
        </w:rPr>
      </w:pPr>
      <w:r w:rsidRPr="000831BA">
        <w:rPr>
          <w:i/>
          <w:iCs/>
          <w:sz w:val="18"/>
          <w:szCs w:val="18"/>
        </w:rPr>
        <w:t>Fuente:</w:t>
      </w:r>
      <w:r w:rsidRPr="000831BA">
        <w:rPr>
          <w:sz w:val="18"/>
          <w:szCs w:val="18"/>
        </w:rPr>
        <w:t xml:space="preserve"> Ministerio de Educación, Ciencia y Tecnología.</w:t>
      </w:r>
    </w:p>
    <w:p w14:paraId="67DF6566" w14:textId="05080E2E" w:rsidR="00CD692A" w:rsidRPr="00CD692A" w:rsidRDefault="00CD692A" w:rsidP="00CD692A">
      <w:pPr>
        <w:pStyle w:val="SingleTxtG"/>
        <w:rPr>
          <w:bCs/>
        </w:rPr>
      </w:pPr>
      <w:r w:rsidRPr="00CD692A">
        <w:t>155.</w:t>
      </w:r>
      <w:r w:rsidRPr="00CD692A">
        <w:tab/>
        <w:t>El Informe de Desempeño del Sector Educativo 2019/20 publicado en 2020 revela que el promedio de niñas en la escuela primaria ha superado al de los niños, con una brecha entre los sexos más amplia cada año, como se indica en el cuadro 18 anterior. Esto es un fiel reflejo de la brecha de género en la población general, lo que también indica el logro de la paridad en la matriculación en la enseñanza primaria. La tasa media de crecimiento de la matriculación entre 2016 y 2020 ha disminuido tanto para las niñas como para los niños, del</w:t>
      </w:r>
      <w:r w:rsidR="00597D8B">
        <w:t> </w:t>
      </w:r>
      <w:r w:rsidRPr="00CD692A">
        <w:t>2,3 % al 1,7 % y del 1,7 % al 1,1 %, respectivamente.</w:t>
      </w:r>
    </w:p>
    <w:p w14:paraId="79B55AFD" w14:textId="6EAA2973" w:rsidR="00CD692A" w:rsidRPr="008D31CF" w:rsidRDefault="000831BA" w:rsidP="000831BA">
      <w:pPr>
        <w:pStyle w:val="H23G"/>
        <w:rPr>
          <w:b w:val="0"/>
          <w:bCs/>
          <w:sz w:val="16"/>
          <w:szCs w:val="16"/>
        </w:rPr>
      </w:pPr>
      <w:r w:rsidRPr="000831BA">
        <w:rPr>
          <w:b w:val="0"/>
          <w:bCs/>
        </w:rPr>
        <w:tab/>
      </w:r>
      <w:r w:rsidRPr="000831BA">
        <w:rPr>
          <w:b w:val="0"/>
          <w:bCs/>
        </w:rPr>
        <w:tab/>
      </w:r>
      <w:r w:rsidR="00CD692A" w:rsidRPr="000831BA">
        <w:rPr>
          <w:b w:val="0"/>
          <w:bCs/>
        </w:rPr>
        <w:t>Cuadro 19</w:t>
      </w:r>
      <w:r w:rsidRPr="000831BA">
        <w:br/>
      </w:r>
      <w:r w:rsidR="00CD692A" w:rsidRPr="00CD692A">
        <w:t>Evolución de la tasa de crecimiento de la matriculación en primaria por sexo</w:t>
      </w:r>
      <w:r w:rsidR="008D31CF">
        <w:br/>
      </w:r>
      <w:r w:rsidR="008D31CF" w:rsidRPr="008D31CF">
        <w:rPr>
          <w:b w:val="0"/>
          <w:bCs/>
          <w:sz w:val="16"/>
          <w:szCs w:val="16"/>
        </w:rPr>
        <w:t>(En porce</w:t>
      </w:r>
      <w:r w:rsidR="0085343A">
        <w:rPr>
          <w:b w:val="0"/>
          <w:bCs/>
          <w:sz w:val="16"/>
          <w:szCs w:val="16"/>
        </w:rPr>
        <w:t>n</w:t>
      </w:r>
      <w:r w:rsidR="008D31CF" w:rsidRPr="008D31CF">
        <w:rPr>
          <w:b w:val="0"/>
          <w:bCs/>
          <w:sz w:val="16"/>
          <w:szCs w:val="16"/>
        </w:rPr>
        <w:t>taje)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052"/>
        <w:gridCol w:w="1053"/>
        <w:gridCol w:w="1053"/>
        <w:gridCol w:w="1053"/>
        <w:gridCol w:w="1053"/>
        <w:gridCol w:w="1053"/>
        <w:gridCol w:w="1053"/>
      </w:tblGrid>
      <w:tr w:rsidR="00CD692A" w:rsidRPr="000831BA" w14:paraId="52F6BBF8" w14:textId="77777777" w:rsidTr="000831BA">
        <w:trPr>
          <w:trHeight w:val="240"/>
          <w:tblHeader/>
        </w:trPr>
        <w:tc>
          <w:tcPr>
            <w:tcW w:w="1052" w:type="dxa"/>
            <w:tcBorders>
              <w:top w:val="single" w:sz="4" w:space="0" w:color="auto"/>
              <w:bottom w:val="single" w:sz="12" w:space="0" w:color="auto"/>
            </w:tcBorders>
            <w:shd w:val="clear" w:color="auto" w:fill="auto"/>
            <w:vAlign w:val="bottom"/>
          </w:tcPr>
          <w:p w14:paraId="3D708E1A" w14:textId="77777777" w:rsidR="00CD692A" w:rsidRPr="000831BA" w:rsidRDefault="00CD692A" w:rsidP="000831BA">
            <w:pPr>
              <w:pStyle w:val="SingleTxtG"/>
              <w:tabs>
                <w:tab w:val="clear" w:pos="1701"/>
                <w:tab w:val="clear" w:pos="2268"/>
                <w:tab w:val="clear" w:pos="2835"/>
              </w:tabs>
              <w:spacing w:before="80" w:after="80" w:line="200" w:lineRule="exact"/>
              <w:ind w:left="0" w:right="0"/>
              <w:jc w:val="left"/>
              <w:rPr>
                <w:i/>
                <w:sz w:val="16"/>
              </w:rPr>
            </w:pPr>
          </w:p>
        </w:tc>
        <w:tc>
          <w:tcPr>
            <w:tcW w:w="1053" w:type="dxa"/>
            <w:tcBorders>
              <w:top w:val="single" w:sz="4" w:space="0" w:color="auto"/>
              <w:bottom w:val="single" w:sz="12" w:space="0" w:color="auto"/>
            </w:tcBorders>
            <w:shd w:val="clear" w:color="auto" w:fill="auto"/>
            <w:vAlign w:val="bottom"/>
          </w:tcPr>
          <w:p w14:paraId="22085CC8"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2016</w:t>
            </w:r>
          </w:p>
        </w:tc>
        <w:tc>
          <w:tcPr>
            <w:tcW w:w="1053" w:type="dxa"/>
            <w:tcBorders>
              <w:top w:val="single" w:sz="4" w:space="0" w:color="auto"/>
              <w:bottom w:val="single" w:sz="12" w:space="0" w:color="auto"/>
            </w:tcBorders>
            <w:shd w:val="clear" w:color="auto" w:fill="auto"/>
            <w:vAlign w:val="bottom"/>
          </w:tcPr>
          <w:p w14:paraId="35DC1642"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2017</w:t>
            </w:r>
          </w:p>
        </w:tc>
        <w:tc>
          <w:tcPr>
            <w:tcW w:w="1053" w:type="dxa"/>
            <w:tcBorders>
              <w:top w:val="single" w:sz="4" w:space="0" w:color="auto"/>
              <w:bottom w:val="single" w:sz="12" w:space="0" w:color="auto"/>
            </w:tcBorders>
            <w:shd w:val="clear" w:color="auto" w:fill="auto"/>
            <w:vAlign w:val="bottom"/>
          </w:tcPr>
          <w:p w14:paraId="574EC541"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2018</w:t>
            </w:r>
          </w:p>
        </w:tc>
        <w:tc>
          <w:tcPr>
            <w:tcW w:w="1053" w:type="dxa"/>
            <w:tcBorders>
              <w:top w:val="single" w:sz="4" w:space="0" w:color="auto"/>
              <w:bottom w:val="single" w:sz="12" w:space="0" w:color="auto"/>
            </w:tcBorders>
            <w:shd w:val="clear" w:color="auto" w:fill="auto"/>
            <w:vAlign w:val="bottom"/>
          </w:tcPr>
          <w:p w14:paraId="03F2424E"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2019</w:t>
            </w:r>
          </w:p>
        </w:tc>
        <w:tc>
          <w:tcPr>
            <w:tcW w:w="1053" w:type="dxa"/>
            <w:tcBorders>
              <w:top w:val="single" w:sz="4" w:space="0" w:color="auto"/>
              <w:bottom w:val="single" w:sz="12" w:space="0" w:color="auto"/>
            </w:tcBorders>
            <w:shd w:val="clear" w:color="auto" w:fill="auto"/>
            <w:vAlign w:val="bottom"/>
          </w:tcPr>
          <w:p w14:paraId="7FE66F31"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2020</w:t>
            </w:r>
          </w:p>
        </w:tc>
        <w:tc>
          <w:tcPr>
            <w:tcW w:w="1053" w:type="dxa"/>
            <w:tcBorders>
              <w:top w:val="single" w:sz="4" w:space="0" w:color="auto"/>
              <w:bottom w:val="single" w:sz="12" w:space="0" w:color="auto"/>
            </w:tcBorders>
            <w:shd w:val="clear" w:color="auto" w:fill="auto"/>
            <w:vAlign w:val="bottom"/>
          </w:tcPr>
          <w:p w14:paraId="4644A83B" w14:textId="77777777" w:rsidR="00CD692A" w:rsidRPr="000831BA" w:rsidRDefault="00CD692A" w:rsidP="000831BA">
            <w:pPr>
              <w:pStyle w:val="SingleTxtG"/>
              <w:tabs>
                <w:tab w:val="clear" w:pos="1701"/>
                <w:tab w:val="clear" w:pos="2268"/>
                <w:tab w:val="clear" w:pos="2835"/>
              </w:tabs>
              <w:spacing w:before="80" w:after="80" w:line="200" w:lineRule="exact"/>
              <w:ind w:left="57" w:right="28"/>
              <w:jc w:val="right"/>
              <w:rPr>
                <w:i/>
                <w:sz w:val="16"/>
                <w:lang w:val="en-GB"/>
              </w:rPr>
            </w:pPr>
            <w:r w:rsidRPr="000831BA">
              <w:rPr>
                <w:i/>
                <w:iCs/>
                <w:sz w:val="16"/>
              </w:rPr>
              <w:t>Promedio</w:t>
            </w:r>
          </w:p>
        </w:tc>
      </w:tr>
      <w:tr w:rsidR="00CD692A" w:rsidRPr="000831BA" w14:paraId="17EEAA2C" w14:textId="77777777" w:rsidTr="000831BA">
        <w:trPr>
          <w:trHeight w:val="240"/>
        </w:trPr>
        <w:tc>
          <w:tcPr>
            <w:tcW w:w="1052" w:type="dxa"/>
            <w:tcBorders>
              <w:top w:val="single" w:sz="12" w:space="0" w:color="auto"/>
            </w:tcBorders>
            <w:shd w:val="clear" w:color="auto" w:fill="auto"/>
          </w:tcPr>
          <w:p w14:paraId="5E95FF72"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Niños</w:t>
            </w:r>
          </w:p>
        </w:tc>
        <w:tc>
          <w:tcPr>
            <w:tcW w:w="1053" w:type="dxa"/>
            <w:tcBorders>
              <w:top w:val="single" w:sz="12" w:space="0" w:color="auto"/>
            </w:tcBorders>
            <w:shd w:val="clear" w:color="auto" w:fill="auto"/>
            <w:vAlign w:val="bottom"/>
          </w:tcPr>
          <w:p w14:paraId="3B7596E6"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1,7</w:t>
            </w:r>
          </w:p>
        </w:tc>
        <w:tc>
          <w:tcPr>
            <w:tcW w:w="1053" w:type="dxa"/>
            <w:tcBorders>
              <w:top w:val="single" w:sz="12" w:space="0" w:color="auto"/>
            </w:tcBorders>
            <w:shd w:val="clear" w:color="auto" w:fill="auto"/>
            <w:vAlign w:val="bottom"/>
          </w:tcPr>
          <w:p w14:paraId="292AD145"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3</w:t>
            </w:r>
          </w:p>
        </w:tc>
        <w:tc>
          <w:tcPr>
            <w:tcW w:w="1053" w:type="dxa"/>
            <w:tcBorders>
              <w:top w:val="single" w:sz="12" w:space="0" w:color="auto"/>
            </w:tcBorders>
            <w:shd w:val="clear" w:color="auto" w:fill="auto"/>
            <w:vAlign w:val="bottom"/>
          </w:tcPr>
          <w:p w14:paraId="6AAB0421"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w:t>
            </w:r>
          </w:p>
        </w:tc>
        <w:tc>
          <w:tcPr>
            <w:tcW w:w="1053" w:type="dxa"/>
            <w:tcBorders>
              <w:top w:val="single" w:sz="12" w:space="0" w:color="auto"/>
            </w:tcBorders>
            <w:shd w:val="clear" w:color="auto" w:fill="auto"/>
            <w:vAlign w:val="bottom"/>
          </w:tcPr>
          <w:p w14:paraId="3DCA4B71"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2,3</w:t>
            </w:r>
          </w:p>
        </w:tc>
        <w:tc>
          <w:tcPr>
            <w:tcW w:w="1053" w:type="dxa"/>
            <w:tcBorders>
              <w:top w:val="single" w:sz="12" w:space="0" w:color="auto"/>
            </w:tcBorders>
            <w:shd w:val="clear" w:color="auto" w:fill="auto"/>
            <w:vAlign w:val="bottom"/>
          </w:tcPr>
          <w:p w14:paraId="14BD05A5"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1,1</w:t>
            </w:r>
          </w:p>
        </w:tc>
        <w:tc>
          <w:tcPr>
            <w:tcW w:w="1053" w:type="dxa"/>
            <w:tcBorders>
              <w:top w:val="single" w:sz="12" w:space="0" w:color="auto"/>
            </w:tcBorders>
            <w:shd w:val="clear" w:color="auto" w:fill="auto"/>
            <w:vAlign w:val="bottom"/>
          </w:tcPr>
          <w:p w14:paraId="328E4B62"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w:t>
            </w:r>
          </w:p>
        </w:tc>
      </w:tr>
      <w:tr w:rsidR="00CD692A" w:rsidRPr="000831BA" w14:paraId="6004852B" w14:textId="77777777" w:rsidTr="000831BA">
        <w:trPr>
          <w:trHeight w:val="240"/>
        </w:trPr>
        <w:tc>
          <w:tcPr>
            <w:tcW w:w="1052" w:type="dxa"/>
            <w:tcBorders>
              <w:bottom w:val="single" w:sz="12" w:space="0" w:color="auto"/>
            </w:tcBorders>
            <w:shd w:val="clear" w:color="auto" w:fill="auto"/>
          </w:tcPr>
          <w:p w14:paraId="3A031CF9"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Niñas</w:t>
            </w:r>
          </w:p>
        </w:tc>
        <w:tc>
          <w:tcPr>
            <w:tcW w:w="1053" w:type="dxa"/>
            <w:tcBorders>
              <w:bottom w:val="single" w:sz="12" w:space="0" w:color="auto"/>
            </w:tcBorders>
            <w:shd w:val="clear" w:color="auto" w:fill="auto"/>
            <w:vAlign w:val="bottom"/>
          </w:tcPr>
          <w:p w14:paraId="247B3EC5"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2,3</w:t>
            </w:r>
          </w:p>
        </w:tc>
        <w:tc>
          <w:tcPr>
            <w:tcW w:w="1053" w:type="dxa"/>
            <w:tcBorders>
              <w:bottom w:val="single" w:sz="12" w:space="0" w:color="auto"/>
            </w:tcBorders>
            <w:shd w:val="clear" w:color="auto" w:fill="auto"/>
            <w:vAlign w:val="bottom"/>
          </w:tcPr>
          <w:p w14:paraId="2723DBE4"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4</w:t>
            </w:r>
          </w:p>
        </w:tc>
        <w:tc>
          <w:tcPr>
            <w:tcW w:w="1053" w:type="dxa"/>
            <w:tcBorders>
              <w:bottom w:val="single" w:sz="12" w:space="0" w:color="auto"/>
            </w:tcBorders>
            <w:shd w:val="clear" w:color="auto" w:fill="auto"/>
            <w:vAlign w:val="bottom"/>
          </w:tcPr>
          <w:p w14:paraId="25B788E1"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2,4</w:t>
            </w:r>
          </w:p>
        </w:tc>
        <w:tc>
          <w:tcPr>
            <w:tcW w:w="1053" w:type="dxa"/>
            <w:tcBorders>
              <w:bottom w:val="single" w:sz="12" w:space="0" w:color="auto"/>
            </w:tcBorders>
            <w:shd w:val="clear" w:color="auto" w:fill="auto"/>
            <w:vAlign w:val="bottom"/>
          </w:tcPr>
          <w:p w14:paraId="0D0AEB6B"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w:t>
            </w:r>
          </w:p>
        </w:tc>
        <w:tc>
          <w:tcPr>
            <w:tcW w:w="1053" w:type="dxa"/>
            <w:tcBorders>
              <w:bottom w:val="single" w:sz="12" w:space="0" w:color="auto"/>
            </w:tcBorders>
            <w:shd w:val="clear" w:color="auto" w:fill="auto"/>
            <w:vAlign w:val="bottom"/>
          </w:tcPr>
          <w:p w14:paraId="76F62CE1"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1,7</w:t>
            </w:r>
          </w:p>
        </w:tc>
        <w:tc>
          <w:tcPr>
            <w:tcW w:w="1053" w:type="dxa"/>
            <w:tcBorders>
              <w:bottom w:val="single" w:sz="12" w:space="0" w:color="auto"/>
            </w:tcBorders>
            <w:shd w:val="clear" w:color="auto" w:fill="auto"/>
            <w:vAlign w:val="bottom"/>
          </w:tcPr>
          <w:p w14:paraId="5D2498BD" w14:textId="77777777" w:rsidR="00CD692A" w:rsidRPr="000831BA" w:rsidRDefault="00CD692A" w:rsidP="000831BA">
            <w:pPr>
              <w:pStyle w:val="SingleTxtG"/>
              <w:tabs>
                <w:tab w:val="clear" w:pos="1701"/>
                <w:tab w:val="clear" w:pos="2268"/>
                <w:tab w:val="clear" w:pos="2835"/>
              </w:tabs>
              <w:spacing w:before="40" w:after="40" w:line="220" w:lineRule="exact"/>
              <w:ind w:left="57" w:right="28"/>
              <w:jc w:val="right"/>
              <w:rPr>
                <w:sz w:val="18"/>
                <w:lang w:val="en-GB"/>
              </w:rPr>
            </w:pPr>
            <w:r w:rsidRPr="000831BA">
              <w:rPr>
                <w:sz w:val="18"/>
              </w:rPr>
              <w:t>2,5</w:t>
            </w:r>
          </w:p>
        </w:tc>
      </w:tr>
    </w:tbl>
    <w:p w14:paraId="28759BCA" w14:textId="77777777" w:rsidR="00CD692A" w:rsidRPr="000831BA" w:rsidRDefault="00CD692A" w:rsidP="000831BA">
      <w:pPr>
        <w:pStyle w:val="SingleTxtG"/>
        <w:spacing w:before="120" w:after="240"/>
        <w:ind w:firstLine="170"/>
        <w:jc w:val="left"/>
        <w:rPr>
          <w:sz w:val="18"/>
          <w:szCs w:val="18"/>
          <w:lang w:val="en-GB"/>
        </w:rPr>
      </w:pPr>
      <w:r w:rsidRPr="000831BA">
        <w:rPr>
          <w:i/>
          <w:iCs/>
          <w:sz w:val="18"/>
          <w:szCs w:val="18"/>
        </w:rPr>
        <w:t>Fuente:</w:t>
      </w:r>
      <w:r w:rsidRPr="000831BA">
        <w:rPr>
          <w:sz w:val="18"/>
          <w:szCs w:val="18"/>
        </w:rPr>
        <w:t xml:space="preserve"> Ministerio de Educación.</w:t>
      </w:r>
    </w:p>
    <w:p w14:paraId="42E64DB4" w14:textId="77777777" w:rsidR="00CD692A" w:rsidRPr="00CD692A" w:rsidRDefault="00CD692A" w:rsidP="00CD692A">
      <w:pPr>
        <w:pStyle w:val="SingleTxtG"/>
        <w:rPr>
          <w:bCs/>
        </w:rPr>
      </w:pPr>
      <w:r w:rsidRPr="00CD692A">
        <w:t>156.</w:t>
      </w:r>
      <w:r w:rsidRPr="00CD692A">
        <w:tab/>
        <w:t>Si la tendencia se mantiene, la educación primaria seguirá registrando más niñas que niños, y esto puede requerir una reevaluación de las políticas para garantizar que las intervenciones en materia de igualdad de género no están dejando atrás a los niños.</w:t>
      </w:r>
    </w:p>
    <w:p w14:paraId="183FCA82" w14:textId="47F79ACF" w:rsidR="00CD692A" w:rsidRPr="00CD692A" w:rsidRDefault="000831BA" w:rsidP="000831BA">
      <w:pPr>
        <w:pStyle w:val="H23G"/>
      </w:pPr>
      <w:r>
        <w:tab/>
      </w:r>
      <w:r>
        <w:tab/>
      </w:r>
      <w:r w:rsidR="00CD692A" w:rsidRPr="00CD692A">
        <w:t>Infraestructura escolar e instalaciones y servicios esenciales en las escuelas</w:t>
      </w:r>
      <w:r>
        <w:br/>
      </w:r>
      <w:r w:rsidR="00CD692A" w:rsidRPr="00CD692A">
        <w:t>primarias</w:t>
      </w:r>
    </w:p>
    <w:p w14:paraId="6248A814" w14:textId="33DDDCEB" w:rsidR="00CD692A" w:rsidRPr="00CD692A" w:rsidRDefault="00CD692A" w:rsidP="00CD692A">
      <w:pPr>
        <w:pStyle w:val="SingleTxtG"/>
        <w:rPr>
          <w:bCs/>
        </w:rPr>
      </w:pPr>
      <w:r w:rsidRPr="00CD692A">
        <w:t>157.</w:t>
      </w:r>
      <w:r w:rsidRPr="00CD692A">
        <w:tab/>
        <w:t>Según revelaron los datos del censo, había 41.765 aulas permanentes en uso, 6.380</w:t>
      </w:r>
      <w:r w:rsidR="00597D8B">
        <w:t> </w:t>
      </w:r>
      <w:r w:rsidRPr="00CD692A">
        <w:t>aulas temporales completas en uso y 13.189 aulas que requerían restauración, y se necesitaban unas 27.113 aulas adicionales para todo el subsector de la enseñanza primaria. El número de aulas permanentes pasó de 35.804 en 2013 a 41.765 en 2017, lo que supone un crecimiento del 16,6 %.</w:t>
      </w:r>
    </w:p>
    <w:p w14:paraId="1864F2B7" w14:textId="77777777" w:rsidR="00CD692A" w:rsidRPr="00CD692A" w:rsidRDefault="00CD692A" w:rsidP="00CD692A">
      <w:pPr>
        <w:pStyle w:val="SingleTxtG"/>
        <w:rPr>
          <w:bCs/>
        </w:rPr>
      </w:pPr>
      <w:r w:rsidRPr="00CD692A">
        <w:t>158.</w:t>
      </w:r>
      <w:r w:rsidRPr="00CD692A">
        <w:tab/>
        <w:t>En cuanto a las escuelas con acceso a instalaciones y servicios esenciales, la mayoría de las escuelas en 2017 informaron de que su principal fuente de agua eran los pozos de agua (69 %), seguidos por el agua corriente (17 %). Alrededor del 6 % de las escuelas declararon no tener agua. Se presentan a continuación los datos de 2020 sobre las escuelas con acceso a los servicios básicos.</w:t>
      </w:r>
    </w:p>
    <w:p w14:paraId="2C026E61" w14:textId="07910307" w:rsidR="00CD692A" w:rsidRPr="00CD692A" w:rsidRDefault="000831BA" w:rsidP="000831BA">
      <w:pPr>
        <w:pStyle w:val="H23G"/>
      </w:pPr>
      <w:r w:rsidRPr="000831BA">
        <w:rPr>
          <w:b w:val="0"/>
          <w:bCs/>
        </w:rPr>
        <w:lastRenderedPageBreak/>
        <w:tab/>
      </w:r>
      <w:r w:rsidRPr="000831BA">
        <w:rPr>
          <w:b w:val="0"/>
          <w:bCs/>
        </w:rPr>
        <w:tab/>
      </w:r>
      <w:r w:rsidR="00CD692A" w:rsidRPr="000831BA">
        <w:rPr>
          <w:b w:val="0"/>
          <w:bCs/>
        </w:rPr>
        <w:t>Cuadro 20</w:t>
      </w:r>
      <w:r w:rsidRPr="000831BA">
        <w:rPr>
          <w:b w:val="0"/>
          <w:bCs/>
        </w:rPr>
        <w:br/>
      </w:r>
      <w:r w:rsidR="00CD692A" w:rsidRPr="00CD692A">
        <w:t>Porcentaje de escuelas con servicios e instalaciones esenciales</w:t>
      </w:r>
    </w:p>
    <w:p w14:paraId="745158C6" w14:textId="77777777" w:rsidR="00CD692A" w:rsidRPr="00CD692A" w:rsidRDefault="00CD692A" w:rsidP="00CD692A">
      <w:pPr>
        <w:pStyle w:val="SingleTxtG"/>
        <w:rPr>
          <w:bCs/>
          <w:lang w:val="en-GB"/>
        </w:rPr>
      </w:pPr>
      <w:r w:rsidRPr="00CD692A">
        <w:rPr>
          <w:noProof/>
        </w:rPr>
        <w:drawing>
          <wp:inline distT="0" distB="0" distL="0" distR="0" wp14:anchorId="752BE6DB" wp14:editId="30445D5D">
            <wp:extent cx="4734958" cy="170497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2627" t="5097" r="1757" b="5707"/>
                    <a:stretch/>
                  </pic:blipFill>
                  <pic:spPr bwMode="auto">
                    <a:xfrm>
                      <a:off x="0" y="0"/>
                      <a:ext cx="4746431" cy="1709106"/>
                    </a:xfrm>
                    <a:prstGeom prst="rect">
                      <a:avLst/>
                    </a:prstGeom>
                    <a:ln>
                      <a:noFill/>
                    </a:ln>
                    <a:extLst>
                      <a:ext uri="{53640926-AAD7-44D8-BBD7-CCE9431645EC}">
                        <a14:shadowObscured xmlns:a14="http://schemas.microsoft.com/office/drawing/2010/main"/>
                      </a:ext>
                    </a:extLst>
                  </pic:spPr>
                </pic:pic>
              </a:graphicData>
            </a:graphic>
          </wp:inline>
        </w:drawing>
      </w:r>
    </w:p>
    <w:p w14:paraId="6FC7A674" w14:textId="77777777" w:rsidR="00CD692A" w:rsidRPr="000831BA" w:rsidRDefault="00CD692A" w:rsidP="000831BA">
      <w:pPr>
        <w:pStyle w:val="SingleTxtG"/>
        <w:spacing w:before="120" w:after="240"/>
        <w:ind w:firstLine="170"/>
        <w:jc w:val="left"/>
        <w:rPr>
          <w:sz w:val="18"/>
          <w:szCs w:val="18"/>
        </w:rPr>
      </w:pPr>
      <w:r w:rsidRPr="000831BA">
        <w:rPr>
          <w:i/>
          <w:iCs/>
          <w:sz w:val="18"/>
          <w:szCs w:val="18"/>
        </w:rPr>
        <w:t>Fuente:</w:t>
      </w:r>
      <w:r w:rsidRPr="000831BA">
        <w:rPr>
          <w:sz w:val="18"/>
          <w:szCs w:val="18"/>
        </w:rPr>
        <w:t xml:space="preserve"> Ministerio de Educación.</w:t>
      </w:r>
    </w:p>
    <w:p w14:paraId="59499A2A" w14:textId="77777777" w:rsidR="00CD692A" w:rsidRPr="00CD692A" w:rsidRDefault="00CD692A" w:rsidP="00CD692A">
      <w:pPr>
        <w:pStyle w:val="SingleTxtG"/>
        <w:rPr>
          <w:bCs/>
        </w:rPr>
      </w:pPr>
      <w:r w:rsidRPr="00CD692A">
        <w:t>159.</w:t>
      </w:r>
      <w:r w:rsidRPr="00CD692A">
        <w:tab/>
        <w:t>El subsector de la educación primaria sigue enfrentándose a problemas de disponibilidad de pupitres para los alumnos. En 2020, el sistema solo tenía 32.455 pupitres para sus 5.371.563 alumnos. Esto indica que si se quiere que cada alumno tenga un pupitre, el sistema necesita suministrar al menos 2.653.327 pupitres de dos plazas.</w:t>
      </w:r>
    </w:p>
    <w:p w14:paraId="77AC17FE" w14:textId="43C43E86" w:rsidR="00CD692A" w:rsidRPr="00CD692A" w:rsidRDefault="000831BA" w:rsidP="000831BA">
      <w:pPr>
        <w:pStyle w:val="H23G"/>
      </w:pPr>
      <w:r>
        <w:tab/>
      </w:r>
      <w:r>
        <w:tab/>
      </w:r>
      <w:r w:rsidR="00CD692A" w:rsidRPr="00CD692A">
        <w:t>Indicadores de acceso a la escuela primaria</w:t>
      </w:r>
    </w:p>
    <w:p w14:paraId="20216A34" w14:textId="6F3462A8" w:rsidR="00CD692A" w:rsidRPr="00CD692A" w:rsidRDefault="00CD692A" w:rsidP="00CD692A">
      <w:pPr>
        <w:pStyle w:val="SingleTxtG"/>
        <w:rPr>
          <w:bCs/>
        </w:rPr>
      </w:pPr>
      <w:r w:rsidRPr="00CD692A">
        <w:t>160.</w:t>
      </w:r>
      <w:r w:rsidRPr="00CD692A">
        <w:tab/>
        <w:t>El coeficiente bruto de admisión general para el primer grado de primaria es de 203; para las niñas es de 202 y para los niños, de 204. La tasa neta de admisión en la escuela primaria indica un alto grado de acceso para los niños de 6 años, y una tasa más alta para las niñas que para los niños. La tasa neta de matriculación es la mejor forma de medir la escolarización organizada y a la edad adecuada. La tasa neta de matriculación se calcula dividiendo el número de alumnos de primaria de edad adecuada (6 a</w:t>
      </w:r>
      <w:r w:rsidR="004E2DD4">
        <w:t xml:space="preserve"> </w:t>
      </w:r>
      <w:r w:rsidRPr="00CD692A">
        <w:t>13 años) por la población en edad de cursar estudios de primaria (6 a 13 años). La tasa neta de matriculación ha ido disminuyendo, y pasó de 111 en 2013 a 88 en 2017.</w:t>
      </w:r>
      <w:bookmarkStart w:id="52" w:name="_Hlk63778717"/>
      <w:bookmarkEnd w:id="52"/>
    </w:p>
    <w:p w14:paraId="7BC9B942" w14:textId="4C0D1B67" w:rsidR="00CD692A" w:rsidRPr="00CD692A" w:rsidRDefault="000831BA" w:rsidP="000831BA">
      <w:pPr>
        <w:pStyle w:val="H23G"/>
      </w:pPr>
      <w:r w:rsidRPr="000831BA">
        <w:rPr>
          <w:b w:val="0"/>
          <w:bCs/>
        </w:rPr>
        <w:tab/>
      </w:r>
      <w:r w:rsidRPr="000831BA">
        <w:rPr>
          <w:b w:val="0"/>
          <w:bCs/>
        </w:rPr>
        <w:tab/>
      </w:r>
      <w:r w:rsidR="00CD692A" w:rsidRPr="000831BA">
        <w:rPr>
          <w:b w:val="0"/>
          <w:bCs/>
        </w:rPr>
        <w:t>Cuadro 21</w:t>
      </w:r>
      <w:r w:rsidRPr="000831BA">
        <w:rPr>
          <w:b w:val="0"/>
          <w:bCs/>
        </w:rPr>
        <w:br/>
      </w:r>
      <w:r w:rsidR="00CD692A" w:rsidRPr="00CD692A">
        <w:t>Abandono escolar en la enseñanza primaria</w:t>
      </w:r>
    </w:p>
    <w:p w14:paraId="04D52552" w14:textId="77777777" w:rsidR="00CD692A" w:rsidRPr="00CD692A" w:rsidRDefault="00CD692A" w:rsidP="00CD692A">
      <w:pPr>
        <w:pStyle w:val="SingleTxtG"/>
        <w:rPr>
          <w:b/>
          <w:bCs/>
          <w:lang w:val="en-GB"/>
        </w:rPr>
      </w:pPr>
      <w:r w:rsidRPr="00CD692A">
        <w:rPr>
          <w:b/>
          <w:bCs/>
          <w:noProof/>
        </w:rPr>
        <w:drawing>
          <wp:inline distT="0" distB="0" distL="0" distR="0" wp14:anchorId="49BE91BA" wp14:editId="2EE9575A">
            <wp:extent cx="4686935" cy="28010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4049" cy="2817272"/>
                    </a:xfrm>
                    <a:prstGeom prst="rect">
                      <a:avLst/>
                    </a:prstGeom>
                    <a:noFill/>
                  </pic:spPr>
                </pic:pic>
              </a:graphicData>
            </a:graphic>
          </wp:inline>
        </w:drawing>
      </w:r>
    </w:p>
    <w:p w14:paraId="00057683" w14:textId="77777777" w:rsidR="00CD692A" w:rsidRPr="000831BA" w:rsidRDefault="00CD692A" w:rsidP="000831BA">
      <w:pPr>
        <w:pStyle w:val="SingleTxtG"/>
        <w:spacing w:before="120" w:after="240"/>
        <w:ind w:firstLine="170"/>
        <w:jc w:val="left"/>
        <w:rPr>
          <w:sz w:val="18"/>
          <w:szCs w:val="18"/>
        </w:rPr>
      </w:pPr>
      <w:r w:rsidRPr="000831BA">
        <w:rPr>
          <w:i/>
          <w:iCs/>
          <w:sz w:val="18"/>
          <w:szCs w:val="18"/>
        </w:rPr>
        <w:t>Fuente:</w:t>
      </w:r>
      <w:r w:rsidRPr="000831BA">
        <w:rPr>
          <w:sz w:val="18"/>
          <w:szCs w:val="18"/>
        </w:rPr>
        <w:t xml:space="preserve"> Ministerio de Educación, Ciencia y Tecnología.</w:t>
      </w:r>
    </w:p>
    <w:p w14:paraId="6CA02A26" w14:textId="32162F3B" w:rsidR="00CD692A" w:rsidRPr="00CD692A" w:rsidRDefault="00CD692A" w:rsidP="00D24E4F">
      <w:pPr>
        <w:pStyle w:val="SingleTxtG"/>
        <w:rPr>
          <w:bCs/>
        </w:rPr>
      </w:pPr>
      <w:r w:rsidRPr="00CD692A">
        <w:t>161.</w:t>
      </w:r>
      <w:r w:rsidRPr="00CD692A">
        <w:tab/>
        <w:t xml:space="preserve">En 2017 abandonaron la escuela 97.514 niños y 104.057 niñas. El distrito de Mangochi tiene la mayor proporción de abandono escolar, con un 9,3 %, seguido de Machinga, con un 7,3 %. Los alumnos abandonan la escuela por diversos motivos, entre los que figuran los siguientes: la violencia en la escuela, la enfermedad, el embarazo, las </w:t>
      </w:r>
      <w:r w:rsidRPr="00CD692A">
        <w:lastRenderedPageBreak/>
        <w:t xml:space="preserve">instalaciones deficientes </w:t>
      </w:r>
      <w:r w:rsidR="00D24E4F" w:rsidRPr="00D24E4F">
        <w:t>—</w:t>
      </w:r>
      <w:r w:rsidRPr="00CD692A">
        <w:t>especialmente en el caso de las niñas</w:t>
      </w:r>
      <w:r w:rsidR="00D24E4F" w:rsidRPr="00D24E4F">
        <w:t>—</w:t>
      </w:r>
      <w:r w:rsidRPr="00CD692A">
        <w:t>, la falta de apoyo, la falta de interés por parte del alumno, los matrimonios precoces, la lejanía de la escuela, la falta de recursos para pagar las tasas, las responsabilidades familiares, el empleo y la falta de personal docente disponible.</w:t>
      </w:r>
    </w:p>
    <w:p w14:paraId="577DD43D" w14:textId="77777777" w:rsidR="00CD692A" w:rsidRPr="00CD692A" w:rsidRDefault="00CD692A" w:rsidP="00CD692A">
      <w:pPr>
        <w:pStyle w:val="SingleTxtG"/>
        <w:rPr>
          <w:bCs/>
        </w:rPr>
      </w:pPr>
      <w:r w:rsidRPr="00CD692A">
        <w:t>162.</w:t>
      </w:r>
      <w:r w:rsidRPr="00CD692A">
        <w:tab/>
        <w:t>En 2020, la tasa de abandono escolar fue más alta en el primer grado de enseñanza primaria y más baja en el tercero, como se refleja en el cuadro siguiente.</w:t>
      </w:r>
    </w:p>
    <w:p w14:paraId="79D102E0" w14:textId="1E36DBB4" w:rsidR="00CD692A" w:rsidRPr="00CD692A" w:rsidRDefault="000831BA" w:rsidP="000831BA">
      <w:pPr>
        <w:pStyle w:val="H23G"/>
      </w:pPr>
      <w:r w:rsidRPr="000831BA">
        <w:rPr>
          <w:b w:val="0"/>
          <w:bCs/>
        </w:rPr>
        <w:tab/>
      </w:r>
      <w:r w:rsidRPr="000831BA">
        <w:rPr>
          <w:b w:val="0"/>
          <w:bCs/>
        </w:rPr>
        <w:tab/>
      </w:r>
      <w:r w:rsidR="00CD692A" w:rsidRPr="000831BA">
        <w:rPr>
          <w:b w:val="0"/>
          <w:bCs/>
        </w:rPr>
        <w:t>Cuadro 22</w:t>
      </w:r>
      <w:r w:rsidRPr="000831BA">
        <w:rPr>
          <w:b w:val="0"/>
          <w:bCs/>
        </w:rPr>
        <w:br/>
      </w:r>
      <w:r w:rsidR="00CD692A" w:rsidRPr="00CD692A">
        <w:t>Distribución del abandono escolar por grado, 2020</w:t>
      </w:r>
    </w:p>
    <w:p w14:paraId="62683F70" w14:textId="77777777" w:rsidR="00CD692A" w:rsidRPr="00CD692A" w:rsidRDefault="00CD692A" w:rsidP="00CD692A">
      <w:pPr>
        <w:pStyle w:val="SingleTxtG"/>
        <w:rPr>
          <w:lang w:val="en-GB"/>
        </w:rPr>
      </w:pPr>
      <w:r w:rsidRPr="00CD692A">
        <w:rPr>
          <w:noProof/>
        </w:rPr>
        <w:drawing>
          <wp:inline distT="0" distB="0" distL="0" distR="0" wp14:anchorId="48C8D5D0" wp14:editId="5BBF564A">
            <wp:extent cx="4711538" cy="2486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4717287" cy="2489058"/>
                    </a:xfrm>
                    <a:prstGeom prst="rect">
                      <a:avLst/>
                    </a:prstGeom>
                  </pic:spPr>
                </pic:pic>
              </a:graphicData>
            </a:graphic>
          </wp:inline>
        </w:drawing>
      </w:r>
    </w:p>
    <w:p w14:paraId="54569376" w14:textId="77777777" w:rsidR="00CD692A" w:rsidRPr="000831BA" w:rsidRDefault="00CD692A" w:rsidP="000831BA">
      <w:pPr>
        <w:pStyle w:val="SingleTxtG"/>
        <w:spacing w:before="120" w:after="240"/>
        <w:ind w:firstLine="170"/>
        <w:jc w:val="left"/>
        <w:rPr>
          <w:sz w:val="18"/>
          <w:szCs w:val="18"/>
        </w:rPr>
      </w:pPr>
      <w:r w:rsidRPr="000831BA">
        <w:rPr>
          <w:i/>
          <w:iCs/>
          <w:sz w:val="18"/>
          <w:szCs w:val="18"/>
        </w:rPr>
        <w:t>Fuente</w:t>
      </w:r>
      <w:r w:rsidRPr="00597D8B">
        <w:rPr>
          <w:i/>
          <w:iCs/>
          <w:sz w:val="18"/>
          <w:szCs w:val="18"/>
        </w:rPr>
        <w:t>:</w:t>
      </w:r>
      <w:r w:rsidRPr="000831BA">
        <w:rPr>
          <w:sz w:val="18"/>
          <w:szCs w:val="18"/>
        </w:rPr>
        <w:t xml:space="preserve"> Ministerio de Educación, Ciencia y Tecnología.</w:t>
      </w:r>
    </w:p>
    <w:p w14:paraId="186405AA" w14:textId="0114D03E" w:rsidR="00CD692A" w:rsidRPr="00CD692A" w:rsidRDefault="000831BA" w:rsidP="000831BA">
      <w:pPr>
        <w:pStyle w:val="H23G"/>
      </w:pPr>
      <w:r>
        <w:tab/>
      </w:r>
      <w:r>
        <w:tab/>
      </w:r>
      <w:r w:rsidR="00CD692A" w:rsidRPr="00CD692A">
        <w:t>Niños con discapacidad en las escuelas primarias</w:t>
      </w:r>
    </w:p>
    <w:p w14:paraId="5039FE88" w14:textId="6921710B" w:rsidR="00CD692A" w:rsidRPr="00CD692A" w:rsidRDefault="00CD692A" w:rsidP="00CD692A">
      <w:pPr>
        <w:pStyle w:val="SingleTxtG"/>
        <w:rPr>
          <w:bCs/>
        </w:rPr>
      </w:pPr>
      <w:r w:rsidRPr="00CD692A">
        <w:t>163.</w:t>
      </w:r>
      <w:r w:rsidRPr="00CD692A">
        <w:tab/>
        <w:t>Malawi promulgó la Ley de Discapacidad en 2012. De conformidad con el artículo</w:t>
      </w:r>
      <w:r w:rsidR="00597D8B">
        <w:t> </w:t>
      </w:r>
      <w:r w:rsidRPr="00CD692A">
        <w:t>10</w:t>
      </w:r>
      <w:r w:rsidR="00597D8B">
        <w:t> </w:t>
      </w:r>
      <w:r w:rsidRPr="00CD692A">
        <w:t>a) de dicha Ley, las personas con discapacidad no serán excluidas del sistema educativo general en ningún nivel. En este sentido, el Ministerio de Género está ejerciendo influencia para que la educación sea inclusiva en todas las escuelas, tanto públicas como privadas. Para fortalecer esta iniciativa, el Ministerio de Educación puso en marcha la Estrategia Nacional de Educación Inclusiva 2016-2020.</w:t>
      </w:r>
    </w:p>
    <w:p w14:paraId="5BE694F3" w14:textId="77777777" w:rsidR="00CD692A" w:rsidRPr="00CD692A" w:rsidRDefault="00CD692A" w:rsidP="00CD692A">
      <w:pPr>
        <w:pStyle w:val="SingleTxtG"/>
        <w:rPr>
          <w:bCs/>
        </w:rPr>
      </w:pPr>
      <w:r w:rsidRPr="00CD692A">
        <w:t>164.</w:t>
      </w:r>
      <w:r w:rsidRPr="00CD692A">
        <w:tab/>
        <w:t>En 2017, alrededor del 2,8 % (146.048 de un total de 5.073.729) del total de la matrícula de enseñanza primaria eran alumnos con necesidades especiales. En 2020, el número total de alumnos con necesidades educativas especiales era de 186.422, lo que representa el 3,4 % de todos los alumnos. Este porcentaje es superior al 3,2 % que se registró en 2019.</w:t>
      </w:r>
    </w:p>
    <w:p w14:paraId="37ED1D8C" w14:textId="77777777" w:rsidR="00CD692A" w:rsidRPr="00CD692A" w:rsidRDefault="00CD692A" w:rsidP="00CD692A">
      <w:pPr>
        <w:pStyle w:val="SingleTxtG"/>
        <w:rPr>
          <w:bCs/>
        </w:rPr>
      </w:pPr>
      <w:r w:rsidRPr="00CD692A">
        <w:t>165.</w:t>
      </w:r>
      <w:r w:rsidRPr="00CD692A">
        <w:tab/>
        <w:t>Aunque el sector está haciendo algunos progresos en el aumento de la matriculación de alumnos con necesidades educativas especiales, la impartición de educación de calidad para estos alumnos sigue enfrentándose a dificultades, como la falta de materiales adecuados de enseñanza y aprendizaje; el escaso acceso a los servicios de salud durante el período de escolarización y; la mala percepción pública de las necesidades educativas especiales.</w:t>
      </w:r>
    </w:p>
    <w:p w14:paraId="1E935396" w14:textId="77777777" w:rsidR="00CD692A" w:rsidRPr="00CD692A" w:rsidRDefault="00CD692A" w:rsidP="00CD692A">
      <w:pPr>
        <w:pStyle w:val="SingleTxtG"/>
        <w:rPr>
          <w:bCs/>
        </w:rPr>
      </w:pPr>
      <w:r w:rsidRPr="00CD692A">
        <w:t>166.</w:t>
      </w:r>
      <w:r w:rsidRPr="00CD692A">
        <w:tab/>
        <w:t>En cuanto al acceso de los centros escolares a los recursos en materia de educación especial, en 2020 solo el 3,4 % disponía de aulas con recursos de ese tipo, y el 1,3 % disponía de un aula preparatoria para los alumnos con necesidades educativas especiales.</w:t>
      </w:r>
    </w:p>
    <w:p w14:paraId="14FA5F29" w14:textId="1B0D3A0A" w:rsidR="00CD692A" w:rsidRPr="00CD692A" w:rsidRDefault="000831BA" w:rsidP="000831BA">
      <w:pPr>
        <w:pStyle w:val="H23G"/>
      </w:pPr>
      <w:r>
        <w:tab/>
      </w:r>
      <w:r>
        <w:tab/>
      </w:r>
      <w:r w:rsidR="00CD692A" w:rsidRPr="00CD692A">
        <w:t>Escuelas secundarias</w:t>
      </w:r>
    </w:p>
    <w:p w14:paraId="64216E2D" w14:textId="2DB017DD" w:rsidR="00CD692A" w:rsidRPr="00CD692A" w:rsidRDefault="000831BA" w:rsidP="000831BA">
      <w:pPr>
        <w:pStyle w:val="H4G"/>
      </w:pPr>
      <w:r>
        <w:tab/>
      </w:r>
      <w:r>
        <w:tab/>
      </w:r>
      <w:r w:rsidR="00CD692A" w:rsidRPr="00CD692A">
        <w:t>Situación de la matrícula escolar</w:t>
      </w:r>
    </w:p>
    <w:p w14:paraId="718C9CB8" w14:textId="5647CA81" w:rsidR="00CD692A" w:rsidRPr="00CD692A" w:rsidRDefault="00CD692A" w:rsidP="00CD692A">
      <w:pPr>
        <w:pStyle w:val="SingleTxtG"/>
        <w:rPr>
          <w:bCs/>
        </w:rPr>
      </w:pPr>
      <w:r w:rsidRPr="00CD692A">
        <w:t>167.</w:t>
      </w:r>
      <w:r w:rsidRPr="00CD692A">
        <w:tab/>
        <w:t xml:space="preserve">En los cinco años comprendidos entre 2013 y 2017, la matrícula de la escuela secundaria aumentó de 307.216 en 2013 a 372.885 en 2017, lo que representa un crecimiento del 21,4 %. La matrícula en las escuelas secundarias públicas aumentó de forma constante entre 2013 y 2015, con una tasa media de crecimiento anual del 11,4 %, pero disminuyó un </w:t>
      </w:r>
      <w:r w:rsidRPr="00CD692A">
        <w:lastRenderedPageBreak/>
        <w:t>1,8 % en 2016. En el período comprendido entre los años escolares 2015/16 y 2016/17, la matrícula aumentó un 6 %. En cuanto al tipo de propiedad de las escuelas secundarias, en el año escolar 2016/17 la matrícula de las escuelas públicas representó aproximadamente el 79</w:t>
      </w:r>
      <w:r w:rsidR="001F12BD">
        <w:t>  </w:t>
      </w:r>
      <w:r w:rsidRPr="00CD692A">
        <w:t>% del total, y la de las escuelas privadas, el 21 %. En el año escolar 2016/17 se matricularon más niños (52 %) que niñas (48 %). La matrícula escolar aumentó de 377.731</w:t>
      </w:r>
      <w:r w:rsidR="00CF75DF">
        <w:t> </w:t>
      </w:r>
      <w:r w:rsidRPr="00CD692A">
        <w:t>alumnos en 2019 a 415.013 en 2020.</w:t>
      </w:r>
    </w:p>
    <w:p w14:paraId="5955DF59" w14:textId="6EB2BE3B" w:rsidR="00CD692A" w:rsidRPr="00CD692A" w:rsidRDefault="000831BA" w:rsidP="000831BA">
      <w:pPr>
        <w:pStyle w:val="H23G"/>
        <w:rPr>
          <w:lang w:val="en-GB"/>
        </w:rPr>
      </w:pPr>
      <w:r w:rsidRPr="000831BA">
        <w:rPr>
          <w:b w:val="0"/>
          <w:bCs/>
        </w:rPr>
        <w:tab/>
      </w:r>
      <w:r w:rsidRPr="000831BA">
        <w:rPr>
          <w:b w:val="0"/>
          <w:bCs/>
        </w:rPr>
        <w:tab/>
      </w:r>
      <w:r w:rsidR="00CD692A" w:rsidRPr="000831BA">
        <w:rPr>
          <w:b w:val="0"/>
          <w:bCs/>
        </w:rPr>
        <w:t>Cuadro 23</w:t>
      </w:r>
      <w:r w:rsidRPr="000831BA">
        <w:rPr>
          <w:b w:val="0"/>
          <w:bCs/>
        </w:rPr>
        <w:br/>
      </w:r>
      <w:r w:rsidR="00CD692A" w:rsidRPr="00CD692A">
        <w:t>Matriculación en secundaria 2013-2017</w:t>
      </w:r>
    </w:p>
    <w:p w14:paraId="4E6649E0" w14:textId="77777777" w:rsidR="00CD692A" w:rsidRPr="00CD692A" w:rsidRDefault="00CD692A" w:rsidP="00CD692A">
      <w:pPr>
        <w:pStyle w:val="SingleTxtG"/>
        <w:rPr>
          <w:b/>
          <w:bCs/>
          <w:lang w:val="en-GB"/>
        </w:rPr>
      </w:pPr>
      <w:r w:rsidRPr="00CD692A">
        <w:rPr>
          <w:b/>
          <w:bCs/>
          <w:noProof/>
        </w:rPr>
        <w:drawing>
          <wp:inline distT="0" distB="0" distL="0" distR="0" wp14:anchorId="565E4AE5" wp14:editId="0C983A36">
            <wp:extent cx="4711862" cy="27305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02928" cy="2783317"/>
                    </a:xfrm>
                    <a:prstGeom prst="rect">
                      <a:avLst/>
                    </a:prstGeom>
                    <a:noFill/>
                  </pic:spPr>
                </pic:pic>
              </a:graphicData>
            </a:graphic>
          </wp:inline>
        </w:drawing>
      </w:r>
    </w:p>
    <w:p w14:paraId="452CE978" w14:textId="77777777" w:rsidR="00CD692A" w:rsidRPr="000831BA" w:rsidRDefault="00CD692A" w:rsidP="000831BA">
      <w:pPr>
        <w:pStyle w:val="SingleTxtG"/>
        <w:spacing w:before="120" w:after="240"/>
        <w:ind w:firstLine="170"/>
        <w:jc w:val="left"/>
        <w:rPr>
          <w:sz w:val="18"/>
          <w:szCs w:val="18"/>
        </w:rPr>
      </w:pPr>
      <w:r w:rsidRPr="000831BA">
        <w:rPr>
          <w:i/>
          <w:iCs/>
          <w:sz w:val="18"/>
          <w:szCs w:val="18"/>
        </w:rPr>
        <w:t>Fuente:</w:t>
      </w:r>
      <w:r w:rsidRPr="000831BA">
        <w:rPr>
          <w:sz w:val="18"/>
          <w:szCs w:val="18"/>
        </w:rPr>
        <w:t xml:space="preserve"> Ministerio de Educación, Ciencia y Tecnología.</w:t>
      </w:r>
    </w:p>
    <w:p w14:paraId="5ABD88E5" w14:textId="19642115" w:rsidR="00CD692A" w:rsidRPr="00CD692A" w:rsidRDefault="000831BA" w:rsidP="000831BA">
      <w:pPr>
        <w:pStyle w:val="H23G"/>
      </w:pPr>
      <w:r w:rsidRPr="000831BA">
        <w:rPr>
          <w:b w:val="0"/>
          <w:bCs/>
        </w:rPr>
        <w:tab/>
      </w:r>
      <w:r w:rsidRPr="000831BA">
        <w:rPr>
          <w:b w:val="0"/>
          <w:bCs/>
        </w:rPr>
        <w:tab/>
      </w:r>
      <w:r w:rsidR="00CD692A" w:rsidRPr="000831BA">
        <w:rPr>
          <w:b w:val="0"/>
          <w:bCs/>
        </w:rPr>
        <w:t>Cuadro 24</w:t>
      </w:r>
      <w:r w:rsidRPr="000831BA">
        <w:rPr>
          <w:b w:val="0"/>
          <w:bCs/>
        </w:rPr>
        <w:br/>
      </w:r>
      <w:r w:rsidR="00CD692A" w:rsidRPr="00CD692A">
        <w:t>Matriculación de estudiantes de secundaria por tipo de propiedad de las escuelas y</w:t>
      </w:r>
      <w:r w:rsidR="008D31CF">
        <w:t> </w:t>
      </w:r>
      <w:r w:rsidR="00CD692A" w:rsidRPr="00CD692A">
        <w:t>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34"/>
        <w:gridCol w:w="1215"/>
        <w:gridCol w:w="1216"/>
        <w:gridCol w:w="1215"/>
        <w:gridCol w:w="1216"/>
        <w:gridCol w:w="1274"/>
      </w:tblGrid>
      <w:tr w:rsidR="00354965" w:rsidRPr="000831BA" w14:paraId="6BBE0FD6" w14:textId="77777777" w:rsidTr="008D31CF">
        <w:trPr>
          <w:trHeight w:val="240"/>
          <w:tblHeader/>
        </w:trPr>
        <w:tc>
          <w:tcPr>
            <w:tcW w:w="1234" w:type="dxa"/>
            <w:vMerge w:val="restart"/>
            <w:tcBorders>
              <w:top w:val="single" w:sz="4" w:space="0" w:color="auto"/>
              <w:bottom w:val="single" w:sz="4" w:space="0" w:color="auto"/>
            </w:tcBorders>
            <w:shd w:val="clear" w:color="auto" w:fill="auto"/>
            <w:vAlign w:val="bottom"/>
          </w:tcPr>
          <w:p w14:paraId="3439B26D" w14:textId="77777777" w:rsidR="00354965" w:rsidRPr="000831BA" w:rsidRDefault="00354965" w:rsidP="000831BA">
            <w:pPr>
              <w:pStyle w:val="SingleTxtG"/>
              <w:tabs>
                <w:tab w:val="clear" w:pos="1701"/>
                <w:tab w:val="clear" w:pos="2268"/>
                <w:tab w:val="clear" w:pos="2835"/>
              </w:tabs>
              <w:spacing w:before="80" w:after="80" w:line="200" w:lineRule="exact"/>
              <w:ind w:left="0" w:right="0"/>
              <w:jc w:val="left"/>
              <w:rPr>
                <w:i/>
                <w:sz w:val="16"/>
              </w:rPr>
            </w:pPr>
          </w:p>
        </w:tc>
        <w:tc>
          <w:tcPr>
            <w:tcW w:w="2431" w:type="dxa"/>
            <w:gridSpan w:val="2"/>
            <w:tcBorders>
              <w:top w:val="single" w:sz="4" w:space="0" w:color="auto"/>
              <w:bottom w:val="single" w:sz="4" w:space="0" w:color="auto"/>
              <w:right w:val="single" w:sz="24" w:space="0" w:color="FFFFFF" w:themeColor="background1"/>
            </w:tcBorders>
            <w:shd w:val="clear" w:color="auto" w:fill="auto"/>
            <w:vAlign w:val="bottom"/>
          </w:tcPr>
          <w:p w14:paraId="247ED564" w14:textId="77777777" w:rsidR="00354965" w:rsidRPr="000831BA" w:rsidRDefault="00354965" w:rsidP="000831BA">
            <w:pPr>
              <w:pStyle w:val="SingleTxtG"/>
              <w:tabs>
                <w:tab w:val="clear" w:pos="1701"/>
                <w:tab w:val="clear" w:pos="2268"/>
                <w:tab w:val="clear" w:pos="2835"/>
              </w:tabs>
              <w:spacing w:before="80" w:after="80" w:line="200" w:lineRule="exact"/>
              <w:ind w:left="0" w:right="0"/>
              <w:jc w:val="center"/>
              <w:rPr>
                <w:i/>
                <w:sz w:val="16"/>
                <w:lang w:val="en-GB"/>
              </w:rPr>
            </w:pPr>
            <w:r w:rsidRPr="000831BA">
              <w:rPr>
                <w:i/>
                <w:iCs/>
                <w:sz w:val="16"/>
              </w:rPr>
              <w:t>Escuelas públicas</w:t>
            </w:r>
          </w:p>
        </w:tc>
        <w:tc>
          <w:tcPr>
            <w:tcW w:w="2431" w:type="dxa"/>
            <w:gridSpan w:val="2"/>
            <w:tcBorders>
              <w:top w:val="single" w:sz="4" w:space="0" w:color="auto"/>
              <w:left w:val="single" w:sz="24" w:space="0" w:color="FFFFFF" w:themeColor="background1"/>
              <w:bottom w:val="single" w:sz="4" w:space="0" w:color="auto"/>
            </w:tcBorders>
            <w:shd w:val="clear" w:color="auto" w:fill="auto"/>
            <w:vAlign w:val="bottom"/>
          </w:tcPr>
          <w:p w14:paraId="30CD3658" w14:textId="77777777" w:rsidR="00354965" w:rsidRPr="000831BA" w:rsidRDefault="00354965" w:rsidP="000831BA">
            <w:pPr>
              <w:pStyle w:val="SingleTxtG"/>
              <w:tabs>
                <w:tab w:val="clear" w:pos="1701"/>
                <w:tab w:val="clear" w:pos="2268"/>
                <w:tab w:val="clear" w:pos="2835"/>
              </w:tabs>
              <w:spacing w:before="80" w:after="80" w:line="200" w:lineRule="exact"/>
              <w:ind w:left="0" w:right="0"/>
              <w:jc w:val="center"/>
              <w:rPr>
                <w:i/>
                <w:sz w:val="16"/>
                <w:lang w:val="en-GB"/>
              </w:rPr>
            </w:pPr>
            <w:r w:rsidRPr="000831BA">
              <w:rPr>
                <w:i/>
                <w:iCs/>
                <w:sz w:val="16"/>
              </w:rPr>
              <w:t>Escuelas privadas</w:t>
            </w:r>
          </w:p>
        </w:tc>
        <w:tc>
          <w:tcPr>
            <w:tcW w:w="1274" w:type="dxa"/>
            <w:vMerge w:val="restart"/>
            <w:tcBorders>
              <w:top w:val="single" w:sz="4" w:space="0" w:color="auto"/>
            </w:tcBorders>
            <w:shd w:val="clear" w:color="auto" w:fill="auto"/>
            <w:vAlign w:val="bottom"/>
          </w:tcPr>
          <w:p w14:paraId="4BAA9FB7"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sz w:val="16"/>
                <w:lang w:val="en-GB"/>
              </w:rPr>
            </w:pPr>
            <w:r w:rsidRPr="000831BA">
              <w:rPr>
                <w:i/>
                <w:iCs/>
                <w:sz w:val="16"/>
              </w:rPr>
              <w:t>Total</w:t>
            </w:r>
          </w:p>
        </w:tc>
      </w:tr>
      <w:tr w:rsidR="00354965" w:rsidRPr="000831BA" w14:paraId="71C21DB7" w14:textId="77777777" w:rsidTr="008D31CF">
        <w:trPr>
          <w:trHeight w:val="240"/>
          <w:tblHeader/>
        </w:trPr>
        <w:tc>
          <w:tcPr>
            <w:tcW w:w="1234" w:type="dxa"/>
            <w:vMerge/>
            <w:tcBorders>
              <w:top w:val="single" w:sz="4" w:space="0" w:color="auto"/>
              <w:bottom w:val="single" w:sz="12" w:space="0" w:color="auto"/>
            </w:tcBorders>
            <w:shd w:val="clear" w:color="auto" w:fill="auto"/>
            <w:vAlign w:val="bottom"/>
          </w:tcPr>
          <w:p w14:paraId="75727535" w14:textId="77777777" w:rsidR="00354965" w:rsidRPr="000831BA" w:rsidRDefault="00354965" w:rsidP="000831BA">
            <w:pPr>
              <w:pStyle w:val="SingleTxtG"/>
              <w:tabs>
                <w:tab w:val="clear" w:pos="1701"/>
                <w:tab w:val="clear" w:pos="2268"/>
                <w:tab w:val="clear" w:pos="2835"/>
              </w:tabs>
              <w:spacing w:before="40" w:after="40" w:line="220" w:lineRule="exact"/>
              <w:ind w:left="0" w:right="0"/>
              <w:jc w:val="left"/>
              <w:rPr>
                <w:sz w:val="18"/>
                <w:lang w:val="en-GB"/>
              </w:rPr>
            </w:pPr>
          </w:p>
        </w:tc>
        <w:tc>
          <w:tcPr>
            <w:tcW w:w="1215" w:type="dxa"/>
            <w:tcBorders>
              <w:top w:val="single" w:sz="4" w:space="0" w:color="auto"/>
              <w:bottom w:val="single" w:sz="12" w:space="0" w:color="auto"/>
            </w:tcBorders>
            <w:shd w:val="clear" w:color="auto" w:fill="auto"/>
            <w:vAlign w:val="bottom"/>
          </w:tcPr>
          <w:p w14:paraId="430764D2"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iCs/>
                <w:sz w:val="16"/>
              </w:rPr>
            </w:pPr>
            <w:r w:rsidRPr="000831BA">
              <w:rPr>
                <w:i/>
                <w:iCs/>
                <w:sz w:val="16"/>
              </w:rPr>
              <w:t>Alumnos</w:t>
            </w:r>
          </w:p>
        </w:tc>
        <w:tc>
          <w:tcPr>
            <w:tcW w:w="1216" w:type="dxa"/>
            <w:tcBorders>
              <w:top w:val="single" w:sz="4" w:space="0" w:color="auto"/>
              <w:bottom w:val="single" w:sz="12" w:space="0" w:color="auto"/>
              <w:right w:val="single" w:sz="24" w:space="0" w:color="FFFFFF" w:themeColor="background1"/>
            </w:tcBorders>
            <w:shd w:val="clear" w:color="auto" w:fill="auto"/>
            <w:vAlign w:val="bottom"/>
          </w:tcPr>
          <w:p w14:paraId="0DB39BCB"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iCs/>
                <w:sz w:val="16"/>
              </w:rPr>
            </w:pPr>
            <w:r w:rsidRPr="000831BA">
              <w:rPr>
                <w:i/>
                <w:iCs/>
                <w:sz w:val="16"/>
              </w:rPr>
              <w:t>Alumnas</w:t>
            </w:r>
          </w:p>
        </w:tc>
        <w:tc>
          <w:tcPr>
            <w:tcW w:w="1215" w:type="dxa"/>
            <w:tcBorders>
              <w:top w:val="single" w:sz="4" w:space="0" w:color="auto"/>
              <w:left w:val="single" w:sz="24" w:space="0" w:color="FFFFFF" w:themeColor="background1"/>
              <w:bottom w:val="single" w:sz="12" w:space="0" w:color="auto"/>
            </w:tcBorders>
            <w:shd w:val="clear" w:color="auto" w:fill="auto"/>
            <w:vAlign w:val="bottom"/>
          </w:tcPr>
          <w:p w14:paraId="3E6C6382"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iCs/>
                <w:sz w:val="16"/>
              </w:rPr>
            </w:pPr>
            <w:r w:rsidRPr="000831BA">
              <w:rPr>
                <w:i/>
                <w:iCs/>
                <w:sz w:val="16"/>
              </w:rPr>
              <w:t>Alumnos</w:t>
            </w:r>
          </w:p>
        </w:tc>
        <w:tc>
          <w:tcPr>
            <w:tcW w:w="1216" w:type="dxa"/>
            <w:tcBorders>
              <w:top w:val="single" w:sz="4" w:space="0" w:color="auto"/>
              <w:bottom w:val="single" w:sz="12" w:space="0" w:color="auto"/>
            </w:tcBorders>
            <w:shd w:val="clear" w:color="auto" w:fill="auto"/>
            <w:vAlign w:val="bottom"/>
          </w:tcPr>
          <w:p w14:paraId="5F3244DF"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iCs/>
                <w:sz w:val="16"/>
              </w:rPr>
            </w:pPr>
            <w:r w:rsidRPr="000831BA">
              <w:rPr>
                <w:i/>
                <w:iCs/>
                <w:sz w:val="16"/>
              </w:rPr>
              <w:t>Alumnas</w:t>
            </w:r>
          </w:p>
        </w:tc>
        <w:tc>
          <w:tcPr>
            <w:tcW w:w="1274" w:type="dxa"/>
            <w:vMerge/>
            <w:tcBorders>
              <w:bottom w:val="single" w:sz="12" w:space="0" w:color="auto"/>
            </w:tcBorders>
            <w:shd w:val="clear" w:color="auto" w:fill="auto"/>
            <w:vAlign w:val="bottom"/>
          </w:tcPr>
          <w:p w14:paraId="26890644" w14:textId="77777777" w:rsidR="00354965" w:rsidRPr="000831BA" w:rsidRDefault="00354965" w:rsidP="008D31CF">
            <w:pPr>
              <w:pStyle w:val="SingleTxtG"/>
              <w:tabs>
                <w:tab w:val="clear" w:pos="1701"/>
                <w:tab w:val="clear" w:pos="2268"/>
                <w:tab w:val="clear" w:pos="2835"/>
              </w:tabs>
              <w:spacing w:before="80" w:after="80" w:line="200" w:lineRule="exact"/>
              <w:ind w:left="113" w:right="28"/>
              <w:jc w:val="right"/>
              <w:rPr>
                <w:i/>
                <w:iCs/>
                <w:sz w:val="16"/>
              </w:rPr>
            </w:pPr>
          </w:p>
        </w:tc>
      </w:tr>
      <w:tr w:rsidR="00CD692A" w:rsidRPr="000831BA" w14:paraId="3C779B40" w14:textId="77777777" w:rsidTr="000831BA">
        <w:trPr>
          <w:trHeight w:val="240"/>
        </w:trPr>
        <w:tc>
          <w:tcPr>
            <w:tcW w:w="1234" w:type="dxa"/>
            <w:shd w:val="clear" w:color="auto" w:fill="auto"/>
          </w:tcPr>
          <w:p w14:paraId="444F4038"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Grado 1</w:t>
            </w:r>
          </w:p>
        </w:tc>
        <w:tc>
          <w:tcPr>
            <w:tcW w:w="1215" w:type="dxa"/>
            <w:shd w:val="clear" w:color="auto" w:fill="auto"/>
            <w:vAlign w:val="bottom"/>
          </w:tcPr>
          <w:p w14:paraId="2F5F865A" w14:textId="6D428A59"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47</w:t>
            </w:r>
            <w:r w:rsidR="00354965">
              <w:rPr>
                <w:sz w:val="18"/>
              </w:rPr>
              <w:t xml:space="preserve"> </w:t>
            </w:r>
            <w:r w:rsidRPr="000831BA">
              <w:rPr>
                <w:sz w:val="18"/>
              </w:rPr>
              <w:t>357</w:t>
            </w:r>
          </w:p>
        </w:tc>
        <w:tc>
          <w:tcPr>
            <w:tcW w:w="1216" w:type="dxa"/>
            <w:shd w:val="clear" w:color="auto" w:fill="auto"/>
            <w:vAlign w:val="bottom"/>
          </w:tcPr>
          <w:p w14:paraId="7EB1F4A5" w14:textId="37330402"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46</w:t>
            </w:r>
            <w:r w:rsidR="00354965">
              <w:rPr>
                <w:sz w:val="18"/>
              </w:rPr>
              <w:t xml:space="preserve"> </w:t>
            </w:r>
            <w:r w:rsidRPr="000831BA">
              <w:rPr>
                <w:sz w:val="18"/>
              </w:rPr>
              <w:t>179</w:t>
            </w:r>
          </w:p>
        </w:tc>
        <w:tc>
          <w:tcPr>
            <w:tcW w:w="1215" w:type="dxa"/>
            <w:shd w:val="clear" w:color="auto" w:fill="auto"/>
            <w:vAlign w:val="bottom"/>
          </w:tcPr>
          <w:p w14:paraId="0C0368DD" w14:textId="5F811EFE"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w:t>
            </w:r>
            <w:r w:rsidR="00354965">
              <w:rPr>
                <w:sz w:val="18"/>
              </w:rPr>
              <w:t xml:space="preserve"> </w:t>
            </w:r>
            <w:r w:rsidRPr="000831BA">
              <w:rPr>
                <w:sz w:val="18"/>
              </w:rPr>
              <w:t>677</w:t>
            </w:r>
          </w:p>
        </w:tc>
        <w:tc>
          <w:tcPr>
            <w:tcW w:w="1216" w:type="dxa"/>
            <w:shd w:val="clear" w:color="auto" w:fill="auto"/>
            <w:vAlign w:val="bottom"/>
          </w:tcPr>
          <w:p w14:paraId="79DA90C4" w14:textId="3FD7F76B"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10</w:t>
            </w:r>
            <w:r w:rsidR="00354965">
              <w:rPr>
                <w:sz w:val="18"/>
              </w:rPr>
              <w:t xml:space="preserve"> </w:t>
            </w:r>
            <w:r w:rsidRPr="000831BA">
              <w:rPr>
                <w:sz w:val="18"/>
              </w:rPr>
              <w:t>024</w:t>
            </w:r>
          </w:p>
        </w:tc>
        <w:tc>
          <w:tcPr>
            <w:tcW w:w="1274" w:type="dxa"/>
            <w:shd w:val="clear" w:color="auto" w:fill="auto"/>
            <w:vAlign w:val="bottom"/>
          </w:tcPr>
          <w:p w14:paraId="50F0AF08" w14:textId="19A81A96"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113</w:t>
            </w:r>
            <w:r w:rsidR="00354965">
              <w:rPr>
                <w:sz w:val="18"/>
              </w:rPr>
              <w:t xml:space="preserve"> </w:t>
            </w:r>
            <w:r w:rsidRPr="000831BA">
              <w:rPr>
                <w:sz w:val="18"/>
              </w:rPr>
              <w:t>237</w:t>
            </w:r>
          </w:p>
        </w:tc>
      </w:tr>
      <w:tr w:rsidR="00CD692A" w:rsidRPr="000831BA" w14:paraId="18DFB1B1" w14:textId="77777777" w:rsidTr="000831BA">
        <w:trPr>
          <w:trHeight w:val="240"/>
        </w:trPr>
        <w:tc>
          <w:tcPr>
            <w:tcW w:w="1234" w:type="dxa"/>
            <w:shd w:val="clear" w:color="auto" w:fill="auto"/>
          </w:tcPr>
          <w:p w14:paraId="538BBBD1"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Grado 2</w:t>
            </w:r>
          </w:p>
        </w:tc>
        <w:tc>
          <w:tcPr>
            <w:tcW w:w="1215" w:type="dxa"/>
            <w:shd w:val="clear" w:color="auto" w:fill="auto"/>
            <w:vAlign w:val="bottom"/>
          </w:tcPr>
          <w:p w14:paraId="32B12B66" w14:textId="54DE89E3"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44</w:t>
            </w:r>
            <w:r w:rsidR="00354965">
              <w:rPr>
                <w:sz w:val="18"/>
              </w:rPr>
              <w:t xml:space="preserve"> </w:t>
            </w:r>
            <w:r w:rsidRPr="000831BA">
              <w:rPr>
                <w:sz w:val="18"/>
              </w:rPr>
              <w:t>599</w:t>
            </w:r>
          </w:p>
        </w:tc>
        <w:tc>
          <w:tcPr>
            <w:tcW w:w="1216" w:type="dxa"/>
            <w:shd w:val="clear" w:color="auto" w:fill="auto"/>
            <w:vAlign w:val="bottom"/>
          </w:tcPr>
          <w:p w14:paraId="51DAC62A" w14:textId="163F2A02"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42</w:t>
            </w:r>
            <w:r w:rsidR="00354965">
              <w:rPr>
                <w:sz w:val="18"/>
              </w:rPr>
              <w:t xml:space="preserve"> </w:t>
            </w:r>
            <w:r w:rsidRPr="000831BA">
              <w:rPr>
                <w:sz w:val="18"/>
              </w:rPr>
              <w:t>288</w:t>
            </w:r>
          </w:p>
        </w:tc>
        <w:tc>
          <w:tcPr>
            <w:tcW w:w="1215" w:type="dxa"/>
            <w:shd w:val="clear" w:color="auto" w:fill="auto"/>
            <w:vAlign w:val="bottom"/>
          </w:tcPr>
          <w:p w14:paraId="50F1187E" w14:textId="4F757363"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8</w:t>
            </w:r>
            <w:r w:rsidR="00354965">
              <w:rPr>
                <w:sz w:val="18"/>
              </w:rPr>
              <w:t xml:space="preserve"> </w:t>
            </w:r>
            <w:r w:rsidRPr="000831BA">
              <w:rPr>
                <w:sz w:val="18"/>
              </w:rPr>
              <w:t>973</w:t>
            </w:r>
          </w:p>
        </w:tc>
        <w:tc>
          <w:tcPr>
            <w:tcW w:w="1216" w:type="dxa"/>
            <w:shd w:val="clear" w:color="auto" w:fill="auto"/>
            <w:vAlign w:val="bottom"/>
          </w:tcPr>
          <w:p w14:paraId="4C456E71" w14:textId="74FF5DC4"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w:t>
            </w:r>
            <w:r w:rsidR="00354965">
              <w:rPr>
                <w:sz w:val="18"/>
              </w:rPr>
              <w:t xml:space="preserve"> </w:t>
            </w:r>
            <w:r w:rsidRPr="000831BA">
              <w:rPr>
                <w:sz w:val="18"/>
              </w:rPr>
              <w:t>261</w:t>
            </w:r>
          </w:p>
        </w:tc>
        <w:tc>
          <w:tcPr>
            <w:tcW w:w="1274" w:type="dxa"/>
            <w:shd w:val="clear" w:color="auto" w:fill="auto"/>
            <w:vAlign w:val="bottom"/>
          </w:tcPr>
          <w:p w14:paraId="1EAAC8A2" w14:textId="08D585C7"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105</w:t>
            </w:r>
            <w:r w:rsidR="00354965">
              <w:rPr>
                <w:sz w:val="18"/>
              </w:rPr>
              <w:t xml:space="preserve"> </w:t>
            </w:r>
            <w:r w:rsidRPr="000831BA">
              <w:rPr>
                <w:sz w:val="18"/>
              </w:rPr>
              <w:t>121</w:t>
            </w:r>
          </w:p>
        </w:tc>
      </w:tr>
      <w:tr w:rsidR="00CD692A" w:rsidRPr="000831BA" w14:paraId="20EDE389" w14:textId="77777777" w:rsidTr="000831BA">
        <w:trPr>
          <w:trHeight w:val="240"/>
        </w:trPr>
        <w:tc>
          <w:tcPr>
            <w:tcW w:w="1234" w:type="dxa"/>
            <w:shd w:val="clear" w:color="auto" w:fill="auto"/>
          </w:tcPr>
          <w:p w14:paraId="58B087AD"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Grado 3</w:t>
            </w:r>
          </w:p>
        </w:tc>
        <w:tc>
          <w:tcPr>
            <w:tcW w:w="1215" w:type="dxa"/>
            <w:shd w:val="clear" w:color="auto" w:fill="auto"/>
            <w:vAlign w:val="bottom"/>
          </w:tcPr>
          <w:p w14:paraId="0751D06B" w14:textId="1528CCA6"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41</w:t>
            </w:r>
            <w:r w:rsidR="00354965">
              <w:rPr>
                <w:sz w:val="18"/>
              </w:rPr>
              <w:t xml:space="preserve"> </w:t>
            </w:r>
            <w:r w:rsidRPr="000831BA">
              <w:rPr>
                <w:sz w:val="18"/>
              </w:rPr>
              <w:t>659</w:t>
            </w:r>
          </w:p>
        </w:tc>
        <w:tc>
          <w:tcPr>
            <w:tcW w:w="1216" w:type="dxa"/>
            <w:shd w:val="clear" w:color="auto" w:fill="auto"/>
            <w:vAlign w:val="bottom"/>
          </w:tcPr>
          <w:p w14:paraId="68B540CE" w14:textId="7DC2B7BF"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37</w:t>
            </w:r>
            <w:r w:rsidR="00354965">
              <w:rPr>
                <w:sz w:val="18"/>
              </w:rPr>
              <w:t xml:space="preserve"> </w:t>
            </w:r>
            <w:r w:rsidRPr="000831BA">
              <w:rPr>
                <w:sz w:val="18"/>
              </w:rPr>
              <w:t>559</w:t>
            </w:r>
          </w:p>
        </w:tc>
        <w:tc>
          <w:tcPr>
            <w:tcW w:w="1215" w:type="dxa"/>
            <w:shd w:val="clear" w:color="auto" w:fill="auto"/>
            <w:vAlign w:val="bottom"/>
          </w:tcPr>
          <w:p w14:paraId="0C8417EC" w14:textId="2EEA23D4"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w:t>
            </w:r>
            <w:r w:rsidR="00354965">
              <w:rPr>
                <w:sz w:val="18"/>
              </w:rPr>
              <w:t xml:space="preserve"> </w:t>
            </w:r>
            <w:r w:rsidRPr="000831BA">
              <w:rPr>
                <w:sz w:val="18"/>
              </w:rPr>
              <w:t>903</w:t>
            </w:r>
          </w:p>
        </w:tc>
        <w:tc>
          <w:tcPr>
            <w:tcW w:w="1216" w:type="dxa"/>
            <w:shd w:val="clear" w:color="auto" w:fill="auto"/>
            <w:vAlign w:val="bottom"/>
          </w:tcPr>
          <w:p w14:paraId="42968097" w14:textId="65C903A8"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w:t>
            </w:r>
            <w:r w:rsidR="00354965">
              <w:rPr>
                <w:sz w:val="18"/>
              </w:rPr>
              <w:t xml:space="preserve"> </w:t>
            </w:r>
            <w:r w:rsidRPr="000831BA">
              <w:rPr>
                <w:sz w:val="18"/>
              </w:rPr>
              <w:t>697</w:t>
            </w:r>
          </w:p>
        </w:tc>
        <w:tc>
          <w:tcPr>
            <w:tcW w:w="1274" w:type="dxa"/>
            <w:shd w:val="clear" w:color="auto" w:fill="auto"/>
            <w:vAlign w:val="bottom"/>
          </w:tcPr>
          <w:p w14:paraId="22D0021D" w14:textId="2C73DF9B"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98</w:t>
            </w:r>
            <w:r w:rsidR="00354965">
              <w:rPr>
                <w:sz w:val="18"/>
              </w:rPr>
              <w:t xml:space="preserve"> </w:t>
            </w:r>
            <w:r w:rsidRPr="000831BA">
              <w:rPr>
                <w:sz w:val="18"/>
              </w:rPr>
              <w:t>818</w:t>
            </w:r>
          </w:p>
        </w:tc>
      </w:tr>
      <w:tr w:rsidR="00CD692A" w:rsidRPr="000831BA" w14:paraId="702C7C5A" w14:textId="77777777" w:rsidTr="000831BA">
        <w:trPr>
          <w:trHeight w:val="240"/>
        </w:trPr>
        <w:tc>
          <w:tcPr>
            <w:tcW w:w="1234" w:type="dxa"/>
            <w:tcBorders>
              <w:bottom w:val="single" w:sz="4" w:space="0" w:color="auto"/>
            </w:tcBorders>
            <w:shd w:val="clear" w:color="auto" w:fill="auto"/>
          </w:tcPr>
          <w:p w14:paraId="613EBFCE" w14:textId="77777777" w:rsidR="00CD692A" w:rsidRPr="000831BA" w:rsidRDefault="00CD692A" w:rsidP="000831BA">
            <w:pPr>
              <w:pStyle w:val="SingleTxtG"/>
              <w:tabs>
                <w:tab w:val="clear" w:pos="1701"/>
                <w:tab w:val="clear" w:pos="2268"/>
                <w:tab w:val="clear" w:pos="2835"/>
              </w:tabs>
              <w:spacing w:before="40" w:after="40" w:line="220" w:lineRule="exact"/>
              <w:ind w:left="0" w:right="0"/>
              <w:jc w:val="left"/>
              <w:rPr>
                <w:sz w:val="18"/>
                <w:lang w:val="en-GB"/>
              </w:rPr>
            </w:pPr>
            <w:r w:rsidRPr="000831BA">
              <w:rPr>
                <w:sz w:val="18"/>
              </w:rPr>
              <w:t>Grado 4</w:t>
            </w:r>
          </w:p>
        </w:tc>
        <w:tc>
          <w:tcPr>
            <w:tcW w:w="1215" w:type="dxa"/>
            <w:tcBorders>
              <w:bottom w:val="single" w:sz="4" w:space="0" w:color="auto"/>
            </w:tcBorders>
            <w:shd w:val="clear" w:color="auto" w:fill="auto"/>
            <w:vAlign w:val="bottom"/>
          </w:tcPr>
          <w:p w14:paraId="3F513527" w14:textId="256CA25C"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39</w:t>
            </w:r>
            <w:r w:rsidR="00354965">
              <w:rPr>
                <w:sz w:val="18"/>
              </w:rPr>
              <w:t xml:space="preserve"> </w:t>
            </w:r>
            <w:r w:rsidRPr="000831BA">
              <w:rPr>
                <w:sz w:val="18"/>
              </w:rPr>
              <w:t>571</w:t>
            </w:r>
          </w:p>
        </w:tc>
        <w:tc>
          <w:tcPr>
            <w:tcW w:w="1216" w:type="dxa"/>
            <w:tcBorders>
              <w:bottom w:val="single" w:sz="4" w:space="0" w:color="auto"/>
            </w:tcBorders>
            <w:shd w:val="clear" w:color="auto" w:fill="auto"/>
            <w:vAlign w:val="bottom"/>
          </w:tcPr>
          <w:p w14:paraId="2970E18D" w14:textId="5751F942"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34</w:t>
            </w:r>
            <w:r w:rsidR="00354965">
              <w:rPr>
                <w:sz w:val="18"/>
              </w:rPr>
              <w:t xml:space="preserve"> </w:t>
            </w:r>
            <w:r w:rsidRPr="000831BA">
              <w:rPr>
                <w:sz w:val="18"/>
              </w:rPr>
              <w:t>531</w:t>
            </w:r>
          </w:p>
        </w:tc>
        <w:tc>
          <w:tcPr>
            <w:tcW w:w="1215" w:type="dxa"/>
            <w:tcBorders>
              <w:bottom w:val="single" w:sz="4" w:space="0" w:color="auto"/>
            </w:tcBorders>
            <w:shd w:val="clear" w:color="auto" w:fill="auto"/>
            <w:vAlign w:val="bottom"/>
          </w:tcPr>
          <w:p w14:paraId="6A89A387" w14:textId="2FE773FE"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11</w:t>
            </w:r>
            <w:r w:rsidR="00354965">
              <w:rPr>
                <w:sz w:val="18"/>
              </w:rPr>
              <w:t xml:space="preserve"> </w:t>
            </w:r>
            <w:r w:rsidRPr="000831BA">
              <w:rPr>
                <w:sz w:val="18"/>
              </w:rPr>
              <w:t>692</w:t>
            </w:r>
          </w:p>
        </w:tc>
        <w:tc>
          <w:tcPr>
            <w:tcW w:w="1216" w:type="dxa"/>
            <w:tcBorders>
              <w:bottom w:val="single" w:sz="4" w:space="0" w:color="auto"/>
            </w:tcBorders>
            <w:shd w:val="clear" w:color="auto" w:fill="auto"/>
            <w:vAlign w:val="bottom"/>
          </w:tcPr>
          <w:p w14:paraId="3D5372EC" w14:textId="534E89D4"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12</w:t>
            </w:r>
            <w:r w:rsidR="00354965">
              <w:rPr>
                <w:sz w:val="18"/>
              </w:rPr>
              <w:t xml:space="preserve"> </w:t>
            </w:r>
            <w:r w:rsidRPr="000831BA">
              <w:rPr>
                <w:sz w:val="18"/>
              </w:rPr>
              <w:t>043</w:t>
            </w:r>
          </w:p>
        </w:tc>
        <w:tc>
          <w:tcPr>
            <w:tcW w:w="1274" w:type="dxa"/>
            <w:tcBorders>
              <w:bottom w:val="single" w:sz="4" w:space="0" w:color="auto"/>
            </w:tcBorders>
            <w:shd w:val="clear" w:color="auto" w:fill="auto"/>
            <w:vAlign w:val="bottom"/>
          </w:tcPr>
          <w:p w14:paraId="456C8B65" w14:textId="37463BF8" w:rsidR="00CD692A" w:rsidRPr="000831BA" w:rsidRDefault="00CD692A" w:rsidP="008D31CF">
            <w:pPr>
              <w:pStyle w:val="SingleTxtG"/>
              <w:tabs>
                <w:tab w:val="clear" w:pos="1701"/>
                <w:tab w:val="clear" w:pos="2268"/>
                <w:tab w:val="clear" w:pos="2835"/>
              </w:tabs>
              <w:spacing w:before="40" w:after="40" w:line="220" w:lineRule="exact"/>
              <w:ind w:left="113" w:right="28"/>
              <w:jc w:val="right"/>
              <w:rPr>
                <w:sz w:val="18"/>
                <w:lang w:val="en-GB"/>
              </w:rPr>
            </w:pPr>
            <w:r w:rsidRPr="000831BA">
              <w:rPr>
                <w:sz w:val="18"/>
              </w:rPr>
              <w:t>97</w:t>
            </w:r>
            <w:r w:rsidR="00354965">
              <w:rPr>
                <w:sz w:val="18"/>
              </w:rPr>
              <w:t xml:space="preserve"> </w:t>
            </w:r>
            <w:r w:rsidRPr="000831BA">
              <w:rPr>
                <w:sz w:val="18"/>
              </w:rPr>
              <w:t>837</w:t>
            </w:r>
          </w:p>
        </w:tc>
      </w:tr>
      <w:tr w:rsidR="00CD692A" w:rsidRPr="000831BA" w14:paraId="5C68D024" w14:textId="77777777" w:rsidTr="000831BA">
        <w:trPr>
          <w:trHeight w:val="240"/>
        </w:trPr>
        <w:tc>
          <w:tcPr>
            <w:tcW w:w="1234" w:type="dxa"/>
            <w:tcBorders>
              <w:top w:val="single" w:sz="4" w:space="0" w:color="auto"/>
              <w:bottom w:val="single" w:sz="12" w:space="0" w:color="auto"/>
            </w:tcBorders>
            <w:shd w:val="clear" w:color="auto" w:fill="auto"/>
          </w:tcPr>
          <w:p w14:paraId="75AB80A7" w14:textId="77777777" w:rsidR="00CD692A" w:rsidRPr="000831BA" w:rsidRDefault="00CD692A" w:rsidP="000831BA">
            <w:pPr>
              <w:pStyle w:val="SingleTxtG"/>
              <w:tabs>
                <w:tab w:val="clear" w:pos="1701"/>
                <w:tab w:val="clear" w:pos="2268"/>
                <w:tab w:val="clear" w:pos="2835"/>
              </w:tabs>
              <w:spacing w:before="80" w:after="80" w:line="220" w:lineRule="exact"/>
              <w:ind w:left="283" w:right="0"/>
              <w:jc w:val="left"/>
              <w:rPr>
                <w:b/>
                <w:sz w:val="18"/>
                <w:lang w:val="en-GB"/>
              </w:rPr>
            </w:pPr>
            <w:r w:rsidRPr="000831BA">
              <w:rPr>
                <w:b/>
                <w:bCs/>
                <w:sz w:val="18"/>
              </w:rPr>
              <w:t>Total</w:t>
            </w:r>
          </w:p>
        </w:tc>
        <w:tc>
          <w:tcPr>
            <w:tcW w:w="1215" w:type="dxa"/>
            <w:tcBorders>
              <w:top w:val="single" w:sz="4" w:space="0" w:color="auto"/>
              <w:bottom w:val="single" w:sz="12" w:space="0" w:color="auto"/>
            </w:tcBorders>
            <w:shd w:val="clear" w:color="auto" w:fill="auto"/>
            <w:vAlign w:val="bottom"/>
          </w:tcPr>
          <w:p w14:paraId="4F737F87" w14:textId="2CA69654" w:rsidR="00CD692A" w:rsidRPr="000831BA" w:rsidRDefault="00CD692A" w:rsidP="008D31CF">
            <w:pPr>
              <w:pStyle w:val="SingleTxtG"/>
              <w:tabs>
                <w:tab w:val="clear" w:pos="1701"/>
                <w:tab w:val="clear" w:pos="2268"/>
                <w:tab w:val="clear" w:pos="2835"/>
              </w:tabs>
              <w:spacing w:before="80" w:after="80" w:line="220" w:lineRule="exact"/>
              <w:ind w:left="0" w:right="28"/>
              <w:jc w:val="right"/>
              <w:rPr>
                <w:b/>
                <w:sz w:val="18"/>
                <w:lang w:val="en-GB"/>
              </w:rPr>
            </w:pPr>
            <w:r w:rsidRPr="000831BA">
              <w:rPr>
                <w:b/>
                <w:bCs/>
                <w:sz w:val="18"/>
              </w:rPr>
              <w:t>173</w:t>
            </w:r>
            <w:r w:rsidR="00354965">
              <w:rPr>
                <w:b/>
                <w:bCs/>
                <w:sz w:val="18"/>
              </w:rPr>
              <w:t xml:space="preserve"> </w:t>
            </w:r>
            <w:r w:rsidRPr="000831BA">
              <w:rPr>
                <w:b/>
                <w:bCs/>
                <w:sz w:val="18"/>
              </w:rPr>
              <w:t>186</w:t>
            </w:r>
          </w:p>
        </w:tc>
        <w:tc>
          <w:tcPr>
            <w:tcW w:w="1216" w:type="dxa"/>
            <w:tcBorders>
              <w:top w:val="single" w:sz="4" w:space="0" w:color="auto"/>
              <w:bottom w:val="single" w:sz="12" w:space="0" w:color="auto"/>
            </w:tcBorders>
            <w:shd w:val="clear" w:color="auto" w:fill="auto"/>
            <w:vAlign w:val="bottom"/>
          </w:tcPr>
          <w:p w14:paraId="1CF0376F" w14:textId="2AA262DC" w:rsidR="00CD692A" w:rsidRPr="000831BA" w:rsidRDefault="00CD692A" w:rsidP="008D31CF">
            <w:pPr>
              <w:pStyle w:val="SingleTxtG"/>
              <w:tabs>
                <w:tab w:val="clear" w:pos="1701"/>
                <w:tab w:val="clear" w:pos="2268"/>
                <w:tab w:val="clear" w:pos="2835"/>
              </w:tabs>
              <w:spacing w:before="80" w:after="80" w:line="220" w:lineRule="exact"/>
              <w:ind w:left="0" w:right="28"/>
              <w:jc w:val="right"/>
              <w:rPr>
                <w:b/>
                <w:sz w:val="18"/>
                <w:lang w:val="en-GB"/>
              </w:rPr>
            </w:pPr>
            <w:r w:rsidRPr="000831BA">
              <w:rPr>
                <w:b/>
                <w:bCs/>
                <w:sz w:val="18"/>
              </w:rPr>
              <w:t>160</w:t>
            </w:r>
            <w:r w:rsidR="00354965">
              <w:rPr>
                <w:b/>
                <w:bCs/>
                <w:sz w:val="18"/>
              </w:rPr>
              <w:t xml:space="preserve"> </w:t>
            </w:r>
            <w:r w:rsidRPr="000831BA">
              <w:rPr>
                <w:b/>
                <w:bCs/>
                <w:sz w:val="18"/>
              </w:rPr>
              <w:t>557</w:t>
            </w:r>
          </w:p>
        </w:tc>
        <w:tc>
          <w:tcPr>
            <w:tcW w:w="1215" w:type="dxa"/>
            <w:tcBorders>
              <w:top w:val="single" w:sz="4" w:space="0" w:color="auto"/>
              <w:bottom w:val="single" w:sz="12" w:space="0" w:color="auto"/>
            </w:tcBorders>
            <w:shd w:val="clear" w:color="auto" w:fill="auto"/>
            <w:vAlign w:val="bottom"/>
          </w:tcPr>
          <w:p w14:paraId="468B6B8D" w14:textId="3F6F0361" w:rsidR="00CD692A" w:rsidRPr="000831BA" w:rsidRDefault="00CD692A" w:rsidP="008D31CF">
            <w:pPr>
              <w:pStyle w:val="SingleTxtG"/>
              <w:tabs>
                <w:tab w:val="clear" w:pos="1701"/>
                <w:tab w:val="clear" w:pos="2268"/>
                <w:tab w:val="clear" w:pos="2835"/>
              </w:tabs>
              <w:spacing w:before="80" w:after="80" w:line="220" w:lineRule="exact"/>
              <w:ind w:left="0" w:right="28"/>
              <w:jc w:val="right"/>
              <w:rPr>
                <w:b/>
                <w:sz w:val="18"/>
                <w:lang w:val="en-GB"/>
              </w:rPr>
            </w:pPr>
            <w:r w:rsidRPr="000831BA">
              <w:rPr>
                <w:b/>
                <w:bCs/>
                <w:sz w:val="18"/>
              </w:rPr>
              <w:t>40</w:t>
            </w:r>
            <w:r w:rsidR="00354965">
              <w:rPr>
                <w:b/>
                <w:bCs/>
                <w:sz w:val="18"/>
              </w:rPr>
              <w:t xml:space="preserve"> </w:t>
            </w:r>
            <w:r w:rsidRPr="000831BA">
              <w:rPr>
                <w:b/>
                <w:bCs/>
                <w:sz w:val="18"/>
              </w:rPr>
              <w:t>245</w:t>
            </w:r>
          </w:p>
        </w:tc>
        <w:tc>
          <w:tcPr>
            <w:tcW w:w="1216" w:type="dxa"/>
            <w:tcBorders>
              <w:top w:val="single" w:sz="4" w:space="0" w:color="auto"/>
              <w:bottom w:val="single" w:sz="12" w:space="0" w:color="auto"/>
            </w:tcBorders>
            <w:shd w:val="clear" w:color="auto" w:fill="auto"/>
            <w:vAlign w:val="bottom"/>
          </w:tcPr>
          <w:p w14:paraId="6DA9CBF9" w14:textId="020D05DC" w:rsidR="00CD692A" w:rsidRPr="000831BA" w:rsidRDefault="00CD692A" w:rsidP="008D31CF">
            <w:pPr>
              <w:pStyle w:val="SingleTxtG"/>
              <w:tabs>
                <w:tab w:val="clear" w:pos="1701"/>
                <w:tab w:val="clear" w:pos="2268"/>
                <w:tab w:val="clear" w:pos="2835"/>
              </w:tabs>
              <w:spacing w:before="80" w:after="80" w:line="220" w:lineRule="exact"/>
              <w:ind w:left="0" w:right="28"/>
              <w:jc w:val="right"/>
              <w:rPr>
                <w:b/>
                <w:sz w:val="18"/>
                <w:lang w:val="en-GB"/>
              </w:rPr>
            </w:pPr>
            <w:r w:rsidRPr="000831BA">
              <w:rPr>
                <w:b/>
                <w:bCs/>
                <w:sz w:val="18"/>
              </w:rPr>
              <w:t>41</w:t>
            </w:r>
            <w:r w:rsidR="00354965">
              <w:rPr>
                <w:b/>
                <w:bCs/>
                <w:sz w:val="18"/>
              </w:rPr>
              <w:t xml:space="preserve"> </w:t>
            </w:r>
            <w:r w:rsidRPr="000831BA">
              <w:rPr>
                <w:b/>
                <w:bCs/>
                <w:sz w:val="18"/>
              </w:rPr>
              <w:t>025</w:t>
            </w:r>
          </w:p>
        </w:tc>
        <w:tc>
          <w:tcPr>
            <w:tcW w:w="1274" w:type="dxa"/>
            <w:tcBorders>
              <w:top w:val="single" w:sz="4" w:space="0" w:color="auto"/>
              <w:bottom w:val="single" w:sz="12" w:space="0" w:color="auto"/>
            </w:tcBorders>
            <w:shd w:val="clear" w:color="auto" w:fill="auto"/>
            <w:vAlign w:val="bottom"/>
          </w:tcPr>
          <w:p w14:paraId="260301CD" w14:textId="35F3A73F" w:rsidR="00CD692A" w:rsidRPr="000831BA" w:rsidRDefault="00CD692A" w:rsidP="008D31CF">
            <w:pPr>
              <w:pStyle w:val="SingleTxtG"/>
              <w:tabs>
                <w:tab w:val="clear" w:pos="1701"/>
                <w:tab w:val="clear" w:pos="2268"/>
                <w:tab w:val="clear" w:pos="2835"/>
              </w:tabs>
              <w:spacing w:before="80" w:after="80" w:line="220" w:lineRule="exact"/>
              <w:ind w:left="0" w:right="28"/>
              <w:jc w:val="right"/>
              <w:rPr>
                <w:b/>
                <w:sz w:val="18"/>
                <w:lang w:val="en-GB"/>
              </w:rPr>
            </w:pPr>
            <w:r w:rsidRPr="000831BA">
              <w:rPr>
                <w:b/>
                <w:bCs/>
                <w:sz w:val="18"/>
              </w:rPr>
              <w:t>415</w:t>
            </w:r>
            <w:r w:rsidR="00354965">
              <w:rPr>
                <w:b/>
                <w:bCs/>
                <w:sz w:val="18"/>
              </w:rPr>
              <w:t xml:space="preserve"> </w:t>
            </w:r>
            <w:r w:rsidRPr="000831BA">
              <w:rPr>
                <w:b/>
                <w:bCs/>
                <w:sz w:val="18"/>
              </w:rPr>
              <w:t>013</w:t>
            </w:r>
          </w:p>
        </w:tc>
      </w:tr>
    </w:tbl>
    <w:p w14:paraId="3C05D789" w14:textId="77777777" w:rsidR="00CD692A" w:rsidRPr="00354965" w:rsidRDefault="00CD692A" w:rsidP="00354965">
      <w:pPr>
        <w:pStyle w:val="SingleTxtG"/>
        <w:spacing w:before="120" w:after="240"/>
        <w:ind w:firstLine="170"/>
        <w:jc w:val="left"/>
        <w:rPr>
          <w:sz w:val="18"/>
          <w:szCs w:val="18"/>
        </w:rPr>
      </w:pPr>
      <w:r w:rsidRPr="00354965">
        <w:rPr>
          <w:i/>
          <w:iCs/>
          <w:sz w:val="18"/>
          <w:szCs w:val="18"/>
        </w:rPr>
        <w:t>Fuente:</w:t>
      </w:r>
      <w:r w:rsidRPr="00354965">
        <w:rPr>
          <w:sz w:val="18"/>
          <w:szCs w:val="18"/>
        </w:rPr>
        <w:t xml:space="preserve"> Ministerio de Educación, Ciencia y Tecnología.</w:t>
      </w:r>
    </w:p>
    <w:p w14:paraId="472A702C" w14:textId="5F5F645B" w:rsidR="00CD692A" w:rsidRPr="00CD692A" w:rsidRDefault="00354965" w:rsidP="00354965">
      <w:pPr>
        <w:pStyle w:val="H23G"/>
      </w:pPr>
      <w:r>
        <w:tab/>
      </w:r>
      <w:r>
        <w:tab/>
      </w:r>
      <w:r w:rsidR="00CD692A" w:rsidRPr="00CD692A">
        <w:t>Infraestructura escolar</w:t>
      </w:r>
    </w:p>
    <w:p w14:paraId="421E13D0" w14:textId="77777777" w:rsidR="00CD692A" w:rsidRPr="00CD692A" w:rsidRDefault="00CD692A" w:rsidP="00CD692A">
      <w:pPr>
        <w:pStyle w:val="SingleTxtG"/>
      </w:pPr>
      <w:r w:rsidRPr="00CD692A">
        <w:t>168.</w:t>
      </w:r>
      <w:r w:rsidRPr="00CD692A">
        <w:tab/>
        <w:t>En el siguiente cuadro se muestra el número de aulas disponibles para los estudiantes de secundaria y el tipo de aula.</w:t>
      </w:r>
    </w:p>
    <w:p w14:paraId="4C7388FD" w14:textId="265840FB" w:rsidR="00CD692A" w:rsidRPr="00CD692A" w:rsidRDefault="00354965" w:rsidP="00354965">
      <w:pPr>
        <w:pStyle w:val="H23G"/>
      </w:pPr>
      <w:r w:rsidRPr="00354965">
        <w:rPr>
          <w:b w:val="0"/>
          <w:bCs/>
        </w:rPr>
        <w:lastRenderedPageBreak/>
        <w:tab/>
      </w:r>
      <w:r w:rsidRPr="00354965">
        <w:rPr>
          <w:b w:val="0"/>
          <w:bCs/>
        </w:rPr>
        <w:tab/>
      </w:r>
      <w:r w:rsidR="00CD692A" w:rsidRPr="00354965">
        <w:rPr>
          <w:b w:val="0"/>
          <w:bCs/>
        </w:rPr>
        <w:t>Cuadro 25</w:t>
      </w:r>
      <w:r w:rsidRPr="00354965">
        <w:rPr>
          <w:b w:val="0"/>
          <w:bCs/>
        </w:rPr>
        <w:br/>
      </w:r>
      <w:r w:rsidR="00CD692A" w:rsidRPr="00CD692A">
        <w:t>Número y tipo de aulas</w:t>
      </w:r>
    </w:p>
    <w:p w14:paraId="075B26CF" w14:textId="77777777" w:rsidR="00CD692A" w:rsidRPr="00CD692A" w:rsidRDefault="00CD692A" w:rsidP="00CD692A">
      <w:pPr>
        <w:pStyle w:val="SingleTxtG"/>
        <w:rPr>
          <w:b/>
          <w:bCs/>
          <w:lang w:val="en-GB"/>
        </w:rPr>
      </w:pPr>
      <w:r w:rsidRPr="00CD692A">
        <w:rPr>
          <w:b/>
          <w:bCs/>
          <w:noProof/>
        </w:rPr>
        <w:drawing>
          <wp:inline distT="0" distB="0" distL="0" distR="0" wp14:anchorId="1EB85805" wp14:editId="215EC0B8">
            <wp:extent cx="4707890" cy="25185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50443" cy="2541319"/>
                    </a:xfrm>
                    <a:prstGeom prst="rect">
                      <a:avLst/>
                    </a:prstGeom>
                    <a:noFill/>
                  </pic:spPr>
                </pic:pic>
              </a:graphicData>
            </a:graphic>
          </wp:inline>
        </w:drawing>
      </w:r>
    </w:p>
    <w:p w14:paraId="4EEC7EF5" w14:textId="77777777" w:rsidR="00CD692A" w:rsidRPr="00354965" w:rsidRDefault="00CD692A" w:rsidP="00354965">
      <w:pPr>
        <w:pStyle w:val="SingleTxtG"/>
        <w:spacing w:before="120" w:after="240"/>
        <w:ind w:firstLine="170"/>
        <w:jc w:val="left"/>
        <w:rPr>
          <w:sz w:val="18"/>
          <w:szCs w:val="18"/>
        </w:rPr>
      </w:pPr>
      <w:r w:rsidRPr="00354965">
        <w:rPr>
          <w:i/>
          <w:iCs/>
          <w:sz w:val="18"/>
          <w:szCs w:val="18"/>
        </w:rPr>
        <w:t>Fuente:</w:t>
      </w:r>
      <w:r w:rsidRPr="00354965">
        <w:rPr>
          <w:sz w:val="18"/>
          <w:szCs w:val="18"/>
        </w:rPr>
        <w:t xml:space="preserve"> Ministerio de Educación, Ciencia y Tecnología.</w:t>
      </w:r>
    </w:p>
    <w:p w14:paraId="61CF59D7" w14:textId="7DF83507" w:rsidR="00CD692A" w:rsidRPr="00CD692A" w:rsidRDefault="00354965" w:rsidP="00354965">
      <w:pPr>
        <w:pStyle w:val="H23G"/>
      </w:pPr>
      <w:r>
        <w:tab/>
      </w:r>
      <w:r>
        <w:tab/>
      </w:r>
      <w:r w:rsidR="00CD692A" w:rsidRPr="00CD692A">
        <w:t>Indicadores de acceso a las escuelas secundarias</w:t>
      </w:r>
    </w:p>
    <w:p w14:paraId="6AB668F7" w14:textId="2AC6EB34" w:rsidR="00CD692A" w:rsidRPr="00CD692A" w:rsidRDefault="00CD692A" w:rsidP="00CD692A">
      <w:pPr>
        <w:pStyle w:val="SingleTxtG"/>
        <w:rPr>
          <w:bCs/>
        </w:rPr>
      </w:pPr>
      <w:r w:rsidRPr="00CD692A">
        <w:t>169.</w:t>
      </w:r>
      <w:r w:rsidRPr="00CD692A">
        <w:tab/>
        <w:t>La tasa bruta de matriculación ha venido oscilando entre 2013 y 2017. Entre 2013 y</w:t>
      </w:r>
      <w:r w:rsidR="00CF75DF">
        <w:t> </w:t>
      </w:r>
      <w:r w:rsidRPr="00CD692A">
        <w:t>2014 se observó un movimiento al alza, con tasas que pasaron del 22,3 % al 24,3 %. Entre</w:t>
      </w:r>
      <w:r w:rsidR="00A86061">
        <w:t> </w:t>
      </w:r>
      <w:r w:rsidRPr="00CD692A">
        <w:t>2014 y 2016 se observó un movimiento a la baja, con tasas que pasaron del 24,3 % al</w:t>
      </w:r>
      <w:r w:rsidR="00A86061">
        <w:t> </w:t>
      </w:r>
      <w:r w:rsidRPr="00CD692A">
        <w:t>23 %. Entre 2016 y 2017 la tasa aumentó ligeramente, del 23 % al 23,7 %. En general, los resultados indican que el acceso de los ciudadanos de Malawi a la educación secundaria es muy limitado. En el subsector de la enseñanza secundaria, la tasa neta de matriculación se ha mantenido por debajo del 20 % en los cinco últimos años. La tasa nacional se ha mantenido en el 15 % durante los cuatro últimos años, lo que indica un acceso limitado a la educación secundaria.</w:t>
      </w:r>
    </w:p>
    <w:p w14:paraId="72E5C017" w14:textId="35901B69" w:rsidR="00CD692A" w:rsidRPr="00CD692A" w:rsidRDefault="00354965" w:rsidP="00354965">
      <w:pPr>
        <w:pStyle w:val="H23G"/>
      </w:pPr>
      <w:r>
        <w:tab/>
      </w:r>
      <w:r>
        <w:tab/>
      </w:r>
      <w:r w:rsidR="00CD692A" w:rsidRPr="00CD692A">
        <w:t>Niños con discapacidad en las escuelas secundarias</w:t>
      </w:r>
    </w:p>
    <w:p w14:paraId="730735ED" w14:textId="77777777" w:rsidR="00CD692A" w:rsidRPr="00CD692A" w:rsidRDefault="00CD692A" w:rsidP="00CD692A">
      <w:pPr>
        <w:pStyle w:val="SingleTxtG"/>
        <w:rPr>
          <w:bCs/>
        </w:rPr>
      </w:pPr>
      <w:r w:rsidRPr="00CD692A">
        <w:t>170.</w:t>
      </w:r>
      <w:r w:rsidRPr="00CD692A">
        <w:tab/>
        <w:t>Alrededor del 1,6 % del número total de matriculados en las escuelas secundarias eran alumnos con necesidades especiales. El año anterior al de esta medición, había 5.289 alumnos con necesidades especiales, lo que supone un incremento de casi el 16 %. El sector está haciendo una buena labor en materia de incorporación de alumnos con necesidades especiales en sus escuelas, como indica el cuadro que se presenta más adelante. En 2015 y 2016 se cumplieron las metas establecidas, y en 2017 el porcentaje de alumnos con necesidades especiales incluso superó la meta prevista en el Segundo Plan de Implementación del Sector Educativo.</w:t>
      </w:r>
    </w:p>
    <w:p w14:paraId="5CE06F4E" w14:textId="7B83AABE" w:rsidR="00CD692A" w:rsidRPr="00CD692A" w:rsidRDefault="00354965" w:rsidP="00354965">
      <w:pPr>
        <w:pStyle w:val="H23G"/>
      </w:pPr>
      <w:r w:rsidRPr="00354965">
        <w:rPr>
          <w:b w:val="0"/>
          <w:bCs/>
        </w:rPr>
        <w:lastRenderedPageBreak/>
        <w:tab/>
      </w:r>
      <w:r w:rsidRPr="00354965">
        <w:rPr>
          <w:b w:val="0"/>
          <w:bCs/>
        </w:rPr>
        <w:tab/>
      </w:r>
      <w:r w:rsidR="00CD692A" w:rsidRPr="00354965">
        <w:rPr>
          <w:b w:val="0"/>
          <w:bCs/>
        </w:rPr>
        <w:t>Cuadro 26</w:t>
      </w:r>
      <w:r w:rsidRPr="00354965">
        <w:rPr>
          <w:b w:val="0"/>
          <w:bCs/>
        </w:rPr>
        <w:br/>
      </w:r>
      <w:r w:rsidR="00CD692A" w:rsidRPr="00CD692A">
        <w:t>Matrícula de alumnos con necesidades especiales</w:t>
      </w:r>
    </w:p>
    <w:p w14:paraId="291AE977" w14:textId="77777777" w:rsidR="00CD692A" w:rsidRPr="00CD692A" w:rsidRDefault="00CD692A" w:rsidP="00CD692A">
      <w:pPr>
        <w:pStyle w:val="SingleTxtG"/>
        <w:rPr>
          <w:b/>
          <w:bCs/>
          <w:lang w:val="en-GB"/>
        </w:rPr>
      </w:pPr>
      <w:r w:rsidRPr="00CD692A">
        <w:rPr>
          <w:b/>
          <w:bCs/>
          <w:noProof/>
        </w:rPr>
        <w:drawing>
          <wp:inline distT="0" distB="0" distL="0" distR="0" wp14:anchorId="4FE41558" wp14:editId="220444A6">
            <wp:extent cx="4670425" cy="2962469"/>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88509" cy="2973940"/>
                    </a:xfrm>
                    <a:prstGeom prst="rect">
                      <a:avLst/>
                    </a:prstGeom>
                    <a:noFill/>
                  </pic:spPr>
                </pic:pic>
              </a:graphicData>
            </a:graphic>
          </wp:inline>
        </w:drawing>
      </w:r>
    </w:p>
    <w:p w14:paraId="087B43D0" w14:textId="77777777" w:rsidR="00CD692A" w:rsidRPr="00354965" w:rsidRDefault="00CD692A" w:rsidP="00354965">
      <w:pPr>
        <w:pStyle w:val="SingleTxtG"/>
        <w:spacing w:before="120" w:after="240"/>
        <w:ind w:firstLine="170"/>
        <w:jc w:val="left"/>
        <w:rPr>
          <w:sz w:val="18"/>
          <w:szCs w:val="18"/>
        </w:rPr>
      </w:pPr>
      <w:r w:rsidRPr="00354965">
        <w:rPr>
          <w:i/>
          <w:iCs/>
          <w:sz w:val="18"/>
          <w:szCs w:val="18"/>
        </w:rPr>
        <w:t>Fuente:</w:t>
      </w:r>
      <w:r w:rsidRPr="00354965">
        <w:rPr>
          <w:sz w:val="18"/>
          <w:szCs w:val="18"/>
        </w:rPr>
        <w:t xml:space="preserve"> Ministerio de Educación, Ciencia y Tecnología.</w:t>
      </w:r>
    </w:p>
    <w:p w14:paraId="7BE54445" w14:textId="08309697" w:rsidR="00CD692A" w:rsidRPr="00CD692A" w:rsidRDefault="00354965" w:rsidP="00354965">
      <w:pPr>
        <w:pStyle w:val="H23G"/>
      </w:pPr>
      <w:r>
        <w:tab/>
      </w:r>
      <w:r>
        <w:tab/>
      </w:r>
      <w:r w:rsidR="00CD692A" w:rsidRPr="00CD692A">
        <w:t>Tasa de abandono escolar en la enseñanza secundaria</w:t>
      </w:r>
    </w:p>
    <w:p w14:paraId="257916BC" w14:textId="77777777" w:rsidR="00CD692A" w:rsidRPr="00CD692A" w:rsidRDefault="00CD692A" w:rsidP="00CD692A">
      <w:pPr>
        <w:pStyle w:val="SingleTxtG"/>
        <w:rPr>
          <w:bCs/>
        </w:rPr>
      </w:pPr>
      <w:r w:rsidRPr="00CD692A">
        <w:t>171.</w:t>
      </w:r>
      <w:r w:rsidRPr="00CD692A">
        <w:tab/>
        <w:t>El número total de alumnos que abandonaron la escuela en el año escolar 2016/17 fue de 18.042. Con respecto al total de 17.288 del año anterior, esta cifra representa un incremento de 754 abandonos. Los resultados indican que la mayoría de los alumnos, de ambos sexos, abandonaron la escuela principalmente por la falta de recursos para pagar las tasas escolares.</w:t>
      </w:r>
    </w:p>
    <w:p w14:paraId="48C0A052" w14:textId="35D5E3B4" w:rsidR="00CD692A" w:rsidRPr="00CD692A" w:rsidRDefault="00354965" w:rsidP="00354965">
      <w:pPr>
        <w:pStyle w:val="H23G"/>
      </w:pPr>
      <w:r w:rsidRPr="00354965">
        <w:rPr>
          <w:b w:val="0"/>
          <w:bCs/>
        </w:rPr>
        <w:tab/>
      </w:r>
      <w:r w:rsidRPr="00354965">
        <w:rPr>
          <w:b w:val="0"/>
          <w:bCs/>
        </w:rPr>
        <w:tab/>
      </w:r>
      <w:r w:rsidR="00CD692A" w:rsidRPr="00354965">
        <w:rPr>
          <w:b w:val="0"/>
          <w:bCs/>
        </w:rPr>
        <w:t>Cuadro 27</w:t>
      </w:r>
      <w:r w:rsidRPr="00354965">
        <w:rPr>
          <w:b w:val="0"/>
          <w:bCs/>
        </w:rPr>
        <w:br/>
      </w:r>
      <w:r w:rsidR="00CD692A" w:rsidRPr="00CD692A">
        <w:t>Abandono escolar en la enseñanza secundaria</w:t>
      </w:r>
    </w:p>
    <w:p w14:paraId="20D34AF9" w14:textId="77777777" w:rsidR="00CD692A" w:rsidRPr="00CD692A" w:rsidRDefault="00CD692A" w:rsidP="00CD692A">
      <w:pPr>
        <w:pStyle w:val="SingleTxtG"/>
        <w:rPr>
          <w:b/>
          <w:bCs/>
          <w:lang w:val="en-GB"/>
        </w:rPr>
      </w:pPr>
      <w:r w:rsidRPr="00CD692A">
        <w:rPr>
          <w:b/>
          <w:bCs/>
          <w:noProof/>
        </w:rPr>
        <w:drawing>
          <wp:inline distT="0" distB="0" distL="0" distR="0" wp14:anchorId="1CDF7298" wp14:editId="553F6146">
            <wp:extent cx="4670425" cy="26723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20611" cy="2701023"/>
                    </a:xfrm>
                    <a:prstGeom prst="rect">
                      <a:avLst/>
                    </a:prstGeom>
                    <a:noFill/>
                  </pic:spPr>
                </pic:pic>
              </a:graphicData>
            </a:graphic>
          </wp:inline>
        </w:drawing>
      </w:r>
    </w:p>
    <w:p w14:paraId="64EFFC7C" w14:textId="77777777" w:rsidR="00CD692A" w:rsidRPr="00354965" w:rsidRDefault="00CD692A" w:rsidP="00354965">
      <w:pPr>
        <w:pStyle w:val="SingleTxtG"/>
        <w:spacing w:before="120" w:after="240"/>
        <w:ind w:firstLine="170"/>
        <w:jc w:val="left"/>
        <w:rPr>
          <w:sz w:val="18"/>
          <w:szCs w:val="18"/>
        </w:rPr>
      </w:pPr>
      <w:r w:rsidRPr="00354965">
        <w:rPr>
          <w:i/>
          <w:iCs/>
          <w:sz w:val="18"/>
          <w:szCs w:val="18"/>
        </w:rPr>
        <w:t>Fuente:</w:t>
      </w:r>
      <w:r w:rsidRPr="00354965">
        <w:rPr>
          <w:sz w:val="18"/>
          <w:szCs w:val="18"/>
        </w:rPr>
        <w:t xml:space="preserve"> Ministerio de Educación, Ciencia y Tecnología.</w:t>
      </w:r>
    </w:p>
    <w:p w14:paraId="65B60C91" w14:textId="279E1A6E" w:rsidR="00CD692A" w:rsidRPr="00CD692A" w:rsidRDefault="00354965" w:rsidP="00354965">
      <w:pPr>
        <w:pStyle w:val="H23G"/>
      </w:pPr>
      <w:r>
        <w:tab/>
      </w:r>
      <w:r>
        <w:tab/>
      </w:r>
      <w:r w:rsidR="00CD692A" w:rsidRPr="00CD692A">
        <w:t>Gasto en educación</w:t>
      </w:r>
    </w:p>
    <w:p w14:paraId="140D099E" w14:textId="39C1E458" w:rsidR="00CD692A" w:rsidRPr="00CD692A" w:rsidRDefault="00CD692A" w:rsidP="00CD692A">
      <w:pPr>
        <w:pStyle w:val="SingleTxtG"/>
        <w:rPr>
          <w:bCs/>
        </w:rPr>
      </w:pPr>
      <w:r w:rsidRPr="00CD692A">
        <w:t>172.</w:t>
      </w:r>
      <w:r w:rsidRPr="00CD692A">
        <w:tab/>
        <w:t>El Gobierno de Malawi sigue valorando mucho el sector de la educación, como demuestra el hecho de que, en el ejercicio económico 2017/18, se asignó a este sector el 4,2</w:t>
      </w:r>
      <w:r w:rsidR="001F12BD">
        <w:t> </w:t>
      </w:r>
      <w:r w:rsidRPr="00CD692A">
        <w:t>% del producto interno bruto (PIB) del país.</w:t>
      </w:r>
    </w:p>
    <w:p w14:paraId="762F69E2" w14:textId="7C5675C5" w:rsidR="00CD692A" w:rsidRPr="00CD692A" w:rsidRDefault="00354965" w:rsidP="00354965">
      <w:pPr>
        <w:pStyle w:val="H23G"/>
        <w:rPr>
          <w:lang w:val="en-GB"/>
        </w:rPr>
      </w:pPr>
      <w:r w:rsidRPr="00354965">
        <w:rPr>
          <w:b w:val="0"/>
          <w:bCs/>
        </w:rPr>
        <w:lastRenderedPageBreak/>
        <w:tab/>
      </w:r>
      <w:r w:rsidRPr="00354965">
        <w:rPr>
          <w:b w:val="0"/>
          <w:bCs/>
        </w:rPr>
        <w:tab/>
      </w:r>
      <w:r w:rsidR="00CD692A" w:rsidRPr="00354965">
        <w:rPr>
          <w:b w:val="0"/>
          <w:bCs/>
        </w:rPr>
        <w:t>Cuadro 28</w:t>
      </w:r>
      <w:r w:rsidRPr="00354965">
        <w:rPr>
          <w:b w:val="0"/>
          <w:bCs/>
        </w:rPr>
        <w:br/>
      </w:r>
      <w:r w:rsidR="00CD692A" w:rsidRPr="00CD692A">
        <w:t>Gasto en educación 2012-2017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993"/>
        <w:gridCol w:w="850"/>
        <w:gridCol w:w="709"/>
        <w:gridCol w:w="709"/>
        <w:gridCol w:w="707"/>
      </w:tblGrid>
      <w:tr w:rsidR="00354965" w:rsidRPr="00354965" w14:paraId="78F0FB4B" w14:textId="77777777" w:rsidTr="008E4DAD">
        <w:trPr>
          <w:trHeight w:val="240"/>
          <w:tblHeader/>
        </w:trPr>
        <w:tc>
          <w:tcPr>
            <w:tcW w:w="3402" w:type="dxa"/>
            <w:tcBorders>
              <w:top w:val="single" w:sz="4" w:space="0" w:color="auto"/>
              <w:bottom w:val="single" w:sz="12" w:space="0" w:color="auto"/>
            </w:tcBorders>
            <w:shd w:val="clear" w:color="auto" w:fill="auto"/>
            <w:vAlign w:val="bottom"/>
          </w:tcPr>
          <w:p w14:paraId="13FE021C" w14:textId="77777777" w:rsidR="00CD692A" w:rsidRPr="00354965" w:rsidRDefault="00CD692A" w:rsidP="00354965">
            <w:pPr>
              <w:pStyle w:val="SingleTxtG"/>
              <w:tabs>
                <w:tab w:val="clear" w:pos="1701"/>
                <w:tab w:val="clear" w:pos="2268"/>
                <w:tab w:val="clear" w:pos="2835"/>
              </w:tabs>
              <w:spacing w:before="80" w:after="80" w:line="200" w:lineRule="exact"/>
              <w:ind w:left="0" w:right="0"/>
              <w:jc w:val="left"/>
              <w:rPr>
                <w:bCs/>
                <w:i/>
                <w:sz w:val="16"/>
                <w:lang w:val="en-GB"/>
              </w:rPr>
            </w:pPr>
            <w:r w:rsidRPr="00354965">
              <w:rPr>
                <w:i/>
                <w:iCs/>
                <w:sz w:val="16"/>
              </w:rPr>
              <w:t>Ejercicio económico</w:t>
            </w:r>
          </w:p>
        </w:tc>
        <w:tc>
          <w:tcPr>
            <w:tcW w:w="993" w:type="dxa"/>
            <w:tcBorders>
              <w:top w:val="single" w:sz="4" w:space="0" w:color="auto"/>
              <w:bottom w:val="single" w:sz="12" w:space="0" w:color="auto"/>
            </w:tcBorders>
            <w:shd w:val="clear" w:color="auto" w:fill="auto"/>
            <w:vAlign w:val="bottom"/>
          </w:tcPr>
          <w:p w14:paraId="12A39B28" w14:textId="77777777" w:rsidR="00CD692A" w:rsidRPr="00354965" w:rsidRDefault="00CD692A" w:rsidP="00354965">
            <w:pPr>
              <w:pStyle w:val="SingleTxtG"/>
              <w:tabs>
                <w:tab w:val="clear" w:pos="1701"/>
                <w:tab w:val="clear" w:pos="2268"/>
                <w:tab w:val="clear" w:pos="2835"/>
              </w:tabs>
              <w:spacing w:before="80" w:after="80" w:line="200" w:lineRule="exact"/>
              <w:ind w:left="28" w:right="28"/>
              <w:jc w:val="right"/>
              <w:rPr>
                <w:bCs/>
                <w:i/>
                <w:sz w:val="16"/>
                <w:lang w:val="en-GB"/>
              </w:rPr>
            </w:pPr>
            <w:r w:rsidRPr="00354965">
              <w:rPr>
                <w:i/>
                <w:iCs/>
                <w:sz w:val="16"/>
              </w:rPr>
              <w:t>2012/13</w:t>
            </w:r>
          </w:p>
        </w:tc>
        <w:tc>
          <w:tcPr>
            <w:tcW w:w="850" w:type="dxa"/>
            <w:tcBorders>
              <w:top w:val="single" w:sz="4" w:space="0" w:color="auto"/>
              <w:bottom w:val="single" w:sz="12" w:space="0" w:color="auto"/>
            </w:tcBorders>
            <w:shd w:val="clear" w:color="auto" w:fill="auto"/>
            <w:vAlign w:val="bottom"/>
          </w:tcPr>
          <w:p w14:paraId="2983FCBD" w14:textId="77777777" w:rsidR="00CD692A" w:rsidRPr="00354965" w:rsidRDefault="00CD692A" w:rsidP="00354965">
            <w:pPr>
              <w:pStyle w:val="SingleTxtG"/>
              <w:tabs>
                <w:tab w:val="clear" w:pos="1701"/>
                <w:tab w:val="clear" w:pos="2268"/>
                <w:tab w:val="clear" w:pos="2835"/>
              </w:tabs>
              <w:spacing w:before="80" w:after="80" w:line="200" w:lineRule="exact"/>
              <w:ind w:left="28" w:right="28"/>
              <w:jc w:val="right"/>
              <w:rPr>
                <w:bCs/>
                <w:i/>
                <w:sz w:val="16"/>
                <w:lang w:val="en-GB"/>
              </w:rPr>
            </w:pPr>
            <w:r w:rsidRPr="00354965">
              <w:rPr>
                <w:i/>
                <w:iCs/>
                <w:sz w:val="16"/>
              </w:rPr>
              <w:t>2013/14</w:t>
            </w:r>
          </w:p>
        </w:tc>
        <w:tc>
          <w:tcPr>
            <w:tcW w:w="709" w:type="dxa"/>
            <w:tcBorders>
              <w:top w:val="single" w:sz="4" w:space="0" w:color="auto"/>
              <w:bottom w:val="single" w:sz="12" w:space="0" w:color="auto"/>
            </w:tcBorders>
            <w:shd w:val="clear" w:color="auto" w:fill="auto"/>
            <w:vAlign w:val="bottom"/>
          </w:tcPr>
          <w:p w14:paraId="4783A2C5" w14:textId="77777777" w:rsidR="00CD692A" w:rsidRPr="00354965" w:rsidRDefault="00CD692A" w:rsidP="00354965">
            <w:pPr>
              <w:pStyle w:val="SingleTxtG"/>
              <w:tabs>
                <w:tab w:val="clear" w:pos="1701"/>
                <w:tab w:val="clear" w:pos="2268"/>
                <w:tab w:val="clear" w:pos="2835"/>
              </w:tabs>
              <w:spacing w:before="80" w:after="80" w:line="200" w:lineRule="exact"/>
              <w:ind w:left="28" w:right="28"/>
              <w:jc w:val="right"/>
              <w:rPr>
                <w:bCs/>
                <w:i/>
                <w:sz w:val="16"/>
                <w:lang w:val="en-GB"/>
              </w:rPr>
            </w:pPr>
            <w:r w:rsidRPr="00354965">
              <w:rPr>
                <w:i/>
                <w:iCs/>
                <w:sz w:val="16"/>
              </w:rPr>
              <w:t>2014/15</w:t>
            </w:r>
          </w:p>
        </w:tc>
        <w:tc>
          <w:tcPr>
            <w:tcW w:w="709" w:type="dxa"/>
            <w:tcBorders>
              <w:top w:val="single" w:sz="4" w:space="0" w:color="auto"/>
              <w:bottom w:val="single" w:sz="12" w:space="0" w:color="auto"/>
            </w:tcBorders>
            <w:shd w:val="clear" w:color="auto" w:fill="auto"/>
            <w:vAlign w:val="bottom"/>
          </w:tcPr>
          <w:p w14:paraId="20083DAE" w14:textId="77777777" w:rsidR="00CD692A" w:rsidRPr="00354965" w:rsidRDefault="00CD692A" w:rsidP="00354965">
            <w:pPr>
              <w:pStyle w:val="SingleTxtG"/>
              <w:tabs>
                <w:tab w:val="clear" w:pos="1701"/>
                <w:tab w:val="clear" w:pos="2268"/>
                <w:tab w:val="clear" w:pos="2835"/>
              </w:tabs>
              <w:spacing w:before="80" w:after="80" w:line="200" w:lineRule="exact"/>
              <w:ind w:left="28" w:right="28"/>
              <w:jc w:val="right"/>
              <w:rPr>
                <w:bCs/>
                <w:i/>
                <w:sz w:val="16"/>
                <w:lang w:val="en-GB"/>
              </w:rPr>
            </w:pPr>
            <w:r w:rsidRPr="00354965">
              <w:rPr>
                <w:i/>
                <w:iCs/>
                <w:sz w:val="16"/>
              </w:rPr>
              <w:t>2015/16</w:t>
            </w:r>
          </w:p>
        </w:tc>
        <w:tc>
          <w:tcPr>
            <w:tcW w:w="707" w:type="dxa"/>
            <w:tcBorders>
              <w:top w:val="single" w:sz="4" w:space="0" w:color="auto"/>
              <w:bottom w:val="single" w:sz="12" w:space="0" w:color="auto"/>
            </w:tcBorders>
            <w:shd w:val="clear" w:color="auto" w:fill="auto"/>
            <w:vAlign w:val="bottom"/>
          </w:tcPr>
          <w:p w14:paraId="7732F514" w14:textId="77777777" w:rsidR="00CD692A" w:rsidRPr="00354965" w:rsidRDefault="00CD692A" w:rsidP="00354965">
            <w:pPr>
              <w:pStyle w:val="SingleTxtG"/>
              <w:tabs>
                <w:tab w:val="clear" w:pos="1701"/>
                <w:tab w:val="clear" w:pos="2268"/>
                <w:tab w:val="clear" w:pos="2835"/>
              </w:tabs>
              <w:spacing w:before="80" w:after="80" w:line="200" w:lineRule="exact"/>
              <w:ind w:left="28" w:right="28"/>
              <w:jc w:val="right"/>
              <w:rPr>
                <w:bCs/>
                <w:i/>
                <w:sz w:val="16"/>
                <w:lang w:val="en-GB"/>
              </w:rPr>
            </w:pPr>
            <w:r w:rsidRPr="00354965">
              <w:rPr>
                <w:i/>
                <w:iCs/>
                <w:sz w:val="16"/>
              </w:rPr>
              <w:t>2016/17</w:t>
            </w:r>
          </w:p>
        </w:tc>
      </w:tr>
      <w:tr w:rsidR="00354965" w:rsidRPr="00354965" w14:paraId="0A76D0AA" w14:textId="77777777" w:rsidTr="008E4DAD">
        <w:trPr>
          <w:trHeight w:val="240"/>
        </w:trPr>
        <w:tc>
          <w:tcPr>
            <w:tcW w:w="3402" w:type="dxa"/>
            <w:tcBorders>
              <w:top w:val="single" w:sz="12" w:space="0" w:color="auto"/>
            </w:tcBorders>
            <w:shd w:val="clear" w:color="auto" w:fill="auto"/>
          </w:tcPr>
          <w:p w14:paraId="4FE57657" w14:textId="77777777" w:rsidR="00CD692A" w:rsidRPr="00354965" w:rsidRDefault="00CD692A" w:rsidP="00354965">
            <w:pPr>
              <w:pStyle w:val="SingleTxtG"/>
              <w:tabs>
                <w:tab w:val="clear" w:pos="1701"/>
                <w:tab w:val="clear" w:pos="2268"/>
                <w:tab w:val="clear" w:pos="2835"/>
              </w:tabs>
              <w:spacing w:before="40" w:after="40" w:line="220" w:lineRule="exact"/>
              <w:ind w:left="0" w:right="0"/>
              <w:jc w:val="left"/>
              <w:rPr>
                <w:sz w:val="18"/>
              </w:rPr>
            </w:pPr>
            <w:r w:rsidRPr="00354965">
              <w:rPr>
                <w:sz w:val="18"/>
              </w:rPr>
              <w:t xml:space="preserve">Asignación para el sector de la educación, menos desarrollo, parte 1 (miles de millones de kwacha) </w:t>
            </w:r>
          </w:p>
        </w:tc>
        <w:tc>
          <w:tcPr>
            <w:tcW w:w="993" w:type="dxa"/>
            <w:tcBorders>
              <w:top w:val="single" w:sz="12" w:space="0" w:color="auto"/>
            </w:tcBorders>
            <w:shd w:val="clear" w:color="auto" w:fill="auto"/>
            <w:vAlign w:val="bottom"/>
          </w:tcPr>
          <w:p w14:paraId="30F9B874" w14:textId="77777777"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79</w:t>
            </w:r>
          </w:p>
        </w:tc>
        <w:tc>
          <w:tcPr>
            <w:tcW w:w="850" w:type="dxa"/>
            <w:tcBorders>
              <w:top w:val="single" w:sz="12" w:space="0" w:color="auto"/>
            </w:tcBorders>
            <w:shd w:val="clear" w:color="auto" w:fill="auto"/>
            <w:vAlign w:val="bottom"/>
          </w:tcPr>
          <w:p w14:paraId="7726139A" w14:textId="77777777"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102</w:t>
            </w:r>
          </w:p>
        </w:tc>
        <w:tc>
          <w:tcPr>
            <w:tcW w:w="709" w:type="dxa"/>
            <w:tcBorders>
              <w:top w:val="single" w:sz="12" w:space="0" w:color="auto"/>
            </w:tcBorders>
            <w:shd w:val="clear" w:color="auto" w:fill="auto"/>
            <w:vAlign w:val="bottom"/>
          </w:tcPr>
          <w:p w14:paraId="0ACAF681" w14:textId="77777777"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119</w:t>
            </w:r>
          </w:p>
        </w:tc>
        <w:tc>
          <w:tcPr>
            <w:tcW w:w="709" w:type="dxa"/>
            <w:tcBorders>
              <w:top w:val="single" w:sz="12" w:space="0" w:color="auto"/>
            </w:tcBorders>
            <w:shd w:val="clear" w:color="auto" w:fill="auto"/>
            <w:vAlign w:val="bottom"/>
          </w:tcPr>
          <w:p w14:paraId="275F7A92" w14:textId="77777777"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163</w:t>
            </w:r>
          </w:p>
        </w:tc>
        <w:tc>
          <w:tcPr>
            <w:tcW w:w="707" w:type="dxa"/>
            <w:tcBorders>
              <w:top w:val="single" w:sz="12" w:space="0" w:color="auto"/>
            </w:tcBorders>
            <w:shd w:val="clear" w:color="auto" w:fill="auto"/>
            <w:vAlign w:val="bottom"/>
          </w:tcPr>
          <w:p w14:paraId="14EE065D" w14:textId="77777777"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179</w:t>
            </w:r>
          </w:p>
        </w:tc>
      </w:tr>
      <w:tr w:rsidR="00354965" w:rsidRPr="00354965" w14:paraId="64459D84" w14:textId="77777777" w:rsidTr="008E4DAD">
        <w:trPr>
          <w:trHeight w:val="240"/>
        </w:trPr>
        <w:tc>
          <w:tcPr>
            <w:tcW w:w="3402" w:type="dxa"/>
            <w:shd w:val="clear" w:color="auto" w:fill="auto"/>
          </w:tcPr>
          <w:p w14:paraId="0B2FCA0D" w14:textId="77777777" w:rsidR="00CD692A" w:rsidRPr="00354965" w:rsidRDefault="00CD692A" w:rsidP="00354965">
            <w:pPr>
              <w:pStyle w:val="SingleTxtG"/>
              <w:tabs>
                <w:tab w:val="clear" w:pos="1701"/>
                <w:tab w:val="clear" w:pos="2268"/>
                <w:tab w:val="clear" w:pos="2835"/>
              </w:tabs>
              <w:spacing w:before="40" w:after="40" w:line="220" w:lineRule="exact"/>
              <w:ind w:left="0" w:right="0"/>
              <w:jc w:val="left"/>
              <w:rPr>
                <w:sz w:val="18"/>
              </w:rPr>
            </w:pPr>
            <w:r w:rsidRPr="00354965">
              <w:rPr>
                <w:sz w:val="18"/>
              </w:rPr>
              <w:t xml:space="preserve">PIB (miles de millones de kwacha) </w:t>
            </w:r>
          </w:p>
        </w:tc>
        <w:tc>
          <w:tcPr>
            <w:tcW w:w="993" w:type="dxa"/>
            <w:shd w:val="clear" w:color="auto" w:fill="auto"/>
            <w:vAlign w:val="bottom"/>
          </w:tcPr>
          <w:p w14:paraId="4367025B" w14:textId="040B0124"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1</w:t>
            </w:r>
            <w:r w:rsidR="00354965">
              <w:rPr>
                <w:sz w:val="18"/>
              </w:rPr>
              <w:t xml:space="preserve"> </w:t>
            </w:r>
            <w:r w:rsidRPr="00354965">
              <w:rPr>
                <w:sz w:val="18"/>
              </w:rPr>
              <w:t>717</w:t>
            </w:r>
          </w:p>
        </w:tc>
        <w:tc>
          <w:tcPr>
            <w:tcW w:w="850" w:type="dxa"/>
            <w:shd w:val="clear" w:color="auto" w:fill="auto"/>
            <w:vAlign w:val="bottom"/>
          </w:tcPr>
          <w:p w14:paraId="61D22849" w14:textId="56D4FA4D"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2</w:t>
            </w:r>
            <w:r w:rsidR="00354965">
              <w:rPr>
                <w:sz w:val="18"/>
              </w:rPr>
              <w:t xml:space="preserve"> </w:t>
            </w:r>
            <w:r w:rsidRPr="00354965">
              <w:rPr>
                <w:sz w:val="18"/>
              </w:rPr>
              <w:t>242</w:t>
            </w:r>
          </w:p>
        </w:tc>
        <w:tc>
          <w:tcPr>
            <w:tcW w:w="709" w:type="dxa"/>
            <w:shd w:val="clear" w:color="auto" w:fill="auto"/>
            <w:vAlign w:val="bottom"/>
          </w:tcPr>
          <w:p w14:paraId="56606072" w14:textId="69EC3006"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2</w:t>
            </w:r>
            <w:r w:rsidR="00354965">
              <w:rPr>
                <w:sz w:val="18"/>
              </w:rPr>
              <w:t xml:space="preserve"> </w:t>
            </w:r>
            <w:r w:rsidRPr="00354965">
              <w:rPr>
                <w:sz w:val="18"/>
              </w:rPr>
              <w:t>848</w:t>
            </w:r>
          </w:p>
        </w:tc>
        <w:tc>
          <w:tcPr>
            <w:tcW w:w="709" w:type="dxa"/>
            <w:shd w:val="clear" w:color="auto" w:fill="auto"/>
            <w:vAlign w:val="bottom"/>
          </w:tcPr>
          <w:p w14:paraId="4A60CCC8" w14:textId="078A3A7F"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3</w:t>
            </w:r>
            <w:r w:rsidR="00354965">
              <w:rPr>
                <w:sz w:val="18"/>
              </w:rPr>
              <w:t xml:space="preserve"> </w:t>
            </w:r>
            <w:r w:rsidRPr="00354965">
              <w:rPr>
                <w:sz w:val="18"/>
              </w:rPr>
              <w:t>521</w:t>
            </w:r>
          </w:p>
        </w:tc>
        <w:tc>
          <w:tcPr>
            <w:tcW w:w="707" w:type="dxa"/>
            <w:shd w:val="clear" w:color="auto" w:fill="auto"/>
            <w:vAlign w:val="bottom"/>
          </w:tcPr>
          <w:p w14:paraId="7E9CE68D" w14:textId="45019EAF"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w:t>
            </w:r>
            <w:r w:rsidR="00354965">
              <w:rPr>
                <w:sz w:val="18"/>
              </w:rPr>
              <w:t xml:space="preserve"> </w:t>
            </w:r>
            <w:r w:rsidRPr="00354965">
              <w:rPr>
                <w:sz w:val="18"/>
              </w:rPr>
              <w:t>219</w:t>
            </w:r>
          </w:p>
        </w:tc>
      </w:tr>
      <w:tr w:rsidR="00354965" w:rsidRPr="00354965" w14:paraId="2CA7C3BA" w14:textId="77777777" w:rsidTr="008E4DAD">
        <w:trPr>
          <w:trHeight w:val="240"/>
        </w:trPr>
        <w:tc>
          <w:tcPr>
            <w:tcW w:w="3402" w:type="dxa"/>
            <w:tcBorders>
              <w:bottom w:val="single" w:sz="12" w:space="0" w:color="auto"/>
            </w:tcBorders>
            <w:shd w:val="clear" w:color="auto" w:fill="auto"/>
          </w:tcPr>
          <w:p w14:paraId="5DB8B92D" w14:textId="77777777" w:rsidR="00CD692A" w:rsidRPr="00354965" w:rsidRDefault="00CD692A" w:rsidP="00354965">
            <w:pPr>
              <w:pStyle w:val="SingleTxtG"/>
              <w:tabs>
                <w:tab w:val="clear" w:pos="1701"/>
                <w:tab w:val="clear" w:pos="2268"/>
                <w:tab w:val="clear" w:pos="2835"/>
              </w:tabs>
              <w:spacing w:before="40" w:after="40" w:line="220" w:lineRule="exact"/>
              <w:ind w:left="0" w:right="0"/>
              <w:jc w:val="left"/>
              <w:rPr>
                <w:sz w:val="18"/>
              </w:rPr>
            </w:pPr>
            <w:r w:rsidRPr="00354965">
              <w:rPr>
                <w:sz w:val="18"/>
              </w:rPr>
              <w:t xml:space="preserve">Porcentaje del PIB destinado a la educación </w:t>
            </w:r>
          </w:p>
        </w:tc>
        <w:tc>
          <w:tcPr>
            <w:tcW w:w="993" w:type="dxa"/>
            <w:tcBorders>
              <w:bottom w:val="single" w:sz="12" w:space="0" w:color="auto"/>
            </w:tcBorders>
            <w:shd w:val="clear" w:color="auto" w:fill="auto"/>
            <w:vAlign w:val="bottom"/>
          </w:tcPr>
          <w:p w14:paraId="12A4E697" w14:textId="3E849FC5"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4,6</w:t>
            </w:r>
          </w:p>
        </w:tc>
        <w:tc>
          <w:tcPr>
            <w:tcW w:w="850" w:type="dxa"/>
            <w:tcBorders>
              <w:bottom w:val="single" w:sz="12" w:space="0" w:color="auto"/>
            </w:tcBorders>
            <w:shd w:val="clear" w:color="auto" w:fill="auto"/>
            <w:vAlign w:val="bottom"/>
          </w:tcPr>
          <w:p w14:paraId="5B2EF044" w14:textId="63CE4513"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4,5</w:t>
            </w:r>
          </w:p>
        </w:tc>
        <w:tc>
          <w:tcPr>
            <w:tcW w:w="709" w:type="dxa"/>
            <w:tcBorders>
              <w:bottom w:val="single" w:sz="12" w:space="0" w:color="auto"/>
            </w:tcBorders>
            <w:shd w:val="clear" w:color="auto" w:fill="auto"/>
            <w:vAlign w:val="bottom"/>
          </w:tcPr>
          <w:p w14:paraId="32C4507F" w14:textId="65286D6B"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4,2</w:t>
            </w:r>
          </w:p>
        </w:tc>
        <w:tc>
          <w:tcPr>
            <w:tcW w:w="709" w:type="dxa"/>
            <w:tcBorders>
              <w:bottom w:val="single" w:sz="12" w:space="0" w:color="auto"/>
            </w:tcBorders>
            <w:shd w:val="clear" w:color="auto" w:fill="auto"/>
            <w:vAlign w:val="bottom"/>
          </w:tcPr>
          <w:p w14:paraId="3050F247" w14:textId="5663070C"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4,6</w:t>
            </w:r>
          </w:p>
        </w:tc>
        <w:tc>
          <w:tcPr>
            <w:tcW w:w="707" w:type="dxa"/>
            <w:tcBorders>
              <w:bottom w:val="single" w:sz="12" w:space="0" w:color="auto"/>
            </w:tcBorders>
            <w:shd w:val="clear" w:color="auto" w:fill="auto"/>
            <w:vAlign w:val="bottom"/>
          </w:tcPr>
          <w:p w14:paraId="2C6B54FA" w14:textId="462135C0" w:rsidR="00CD692A" w:rsidRPr="00354965" w:rsidRDefault="00CD692A" w:rsidP="00354965">
            <w:pPr>
              <w:pStyle w:val="SingleTxtG"/>
              <w:tabs>
                <w:tab w:val="clear" w:pos="1701"/>
                <w:tab w:val="clear" w:pos="2268"/>
                <w:tab w:val="clear" w:pos="2835"/>
              </w:tabs>
              <w:spacing w:before="40" w:after="40" w:line="220" w:lineRule="exact"/>
              <w:ind w:left="28" w:right="28"/>
              <w:jc w:val="right"/>
              <w:rPr>
                <w:bCs/>
                <w:sz w:val="18"/>
                <w:lang w:val="en-GB"/>
              </w:rPr>
            </w:pPr>
            <w:r w:rsidRPr="00354965">
              <w:rPr>
                <w:sz w:val="18"/>
              </w:rPr>
              <w:t>4,2</w:t>
            </w:r>
          </w:p>
        </w:tc>
      </w:tr>
    </w:tbl>
    <w:p w14:paraId="3B0C864B" w14:textId="77777777" w:rsidR="00CD692A" w:rsidRPr="00354965" w:rsidRDefault="00CD692A" w:rsidP="00354965">
      <w:pPr>
        <w:pStyle w:val="SingleTxtG"/>
        <w:spacing w:before="120" w:after="240"/>
        <w:ind w:firstLine="170"/>
        <w:jc w:val="left"/>
        <w:rPr>
          <w:sz w:val="18"/>
          <w:szCs w:val="18"/>
        </w:rPr>
      </w:pPr>
      <w:r w:rsidRPr="00354965">
        <w:rPr>
          <w:i/>
          <w:iCs/>
          <w:sz w:val="18"/>
          <w:szCs w:val="18"/>
        </w:rPr>
        <w:t>Fuente:</w:t>
      </w:r>
      <w:r w:rsidRPr="00354965">
        <w:rPr>
          <w:sz w:val="18"/>
          <w:szCs w:val="18"/>
        </w:rPr>
        <w:t xml:space="preserve"> Ministerio de Educación, Ciencia y Tecnología.</w:t>
      </w:r>
    </w:p>
    <w:p w14:paraId="6A88CF46" w14:textId="77777777" w:rsidR="00CD692A" w:rsidRPr="00CD692A" w:rsidRDefault="00CD692A" w:rsidP="00CD692A">
      <w:pPr>
        <w:pStyle w:val="SingleTxtG"/>
        <w:rPr>
          <w:bCs/>
        </w:rPr>
      </w:pPr>
      <w:r w:rsidRPr="00CD692A">
        <w:t>173.</w:t>
      </w:r>
      <w:r w:rsidRPr="00CD692A">
        <w:tab/>
        <w:t>En cuanto a la asignación destinada al sector de la educación en el presupuesto nacional ordinario, el cuadro siguiente muestra que esta ha sido de una media del 25,2 % de dicho presupuesto.</w:t>
      </w:r>
    </w:p>
    <w:p w14:paraId="038ACA48" w14:textId="0163ED3A" w:rsidR="00CD692A" w:rsidRPr="00A86061" w:rsidRDefault="00CD692A" w:rsidP="00A86061">
      <w:pPr>
        <w:pStyle w:val="H23G"/>
        <w:ind w:left="0" w:right="424" w:firstLine="0"/>
        <w:rPr>
          <w:b w:val="0"/>
          <w:bCs/>
          <w:sz w:val="16"/>
          <w:szCs w:val="16"/>
        </w:rPr>
      </w:pPr>
      <w:r w:rsidRPr="00354965">
        <w:rPr>
          <w:b w:val="0"/>
          <w:bCs/>
        </w:rPr>
        <w:t>Cuadro 29</w:t>
      </w:r>
      <w:r w:rsidR="00354965" w:rsidRPr="00354965">
        <w:rPr>
          <w:b w:val="0"/>
          <w:bCs/>
        </w:rPr>
        <w:br/>
      </w:r>
      <w:r w:rsidRPr="00CD692A">
        <w:t>Tendencias en la asignación destinada al sector de la educación en el presupuesto nacional ordinario total</w:t>
      </w:r>
      <w:r w:rsidR="00A86061">
        <w:br/>
      </w:r>
      <w:r w:rsidRPr="00A86061">
        <w:rPr>
          <w:b w:val="0"/>
          <w:bCs/>
          <w:sz w:val="16"/>
          <w:szCs w:val="16"/>
        </w:rPr>
        <w:t>(</w:t>
      </w:r>
      <w:r w:rsidR="00A86061" w:rsidRPr="00A86061">
        <w:rPr>
          <w:b w:val="0"/>
          <w:bCs/>
          <w:sz w:val="16"/>
          <w:szCs w:val="16"/>
        </w:rPr>
        <w:t xml:space="preserve">En </w:t>
      </w:r>
      <w:r w:rsidRPr="00A86061">
        <w:rPr>
          <w:b w:val="0"/>
          <w:bCs/>
          <w:sz w:val="16"/>
          <w:szCs w:val="16"/>
        </w:rPr>
        <w:t>miles de millones de kwacha)</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850"/>
        <w:gridCol w:w="658"/>
        <w:gridCol w:w="658"/>
        <w:gridCol w:w="700"/>
        <w:gridCol w:w="685"/>
        <w:gridCol w:w="672"/>
        <w:gridCol w:w="700"/>
        <w:gridCol w:w="686"/>
        <w:gridCol w:w="686"/>
        <w:gridCol w:w="792"/>
      </w:tblGrid>
      <w:tr w:rsidR="006973C1" w:rsidRPr="006973C1" w14:paraId="12F1CF7E" w14:textId="77777777" w:rsidTr="008E4DAD">
        <w:trPr>
          <w:trHeight w:val="240"/>
          <w:tblHeader/>
        </w:trPr>
        <w:tc>
          <w:tcPr>
            <w:tcW w:w="2552" w:type="dxa"/>
            <w:tcBorders>
              <w:top w:val="single" w:sz="4" w:space="0" w:color="auto"/>
              <w:bottom w:val="single" w:sz="12" w:space="0" w:color="auto"/>
            </w:tcBorders>
            <w:shd w:val="clear" w:color="auto" w:fill="auto"/>
            <w:vAlign w:val="bottom"/>
          </w:tcPr>
          <w:p w14:paraId="7E7EE09A" w14:textId="77777777" w:rsidR="00CD692A" w:rsidRPr="006973C1" w:rsidRDefault="00CD692A" w:rsidP="006973C1">
            <w:pPr>
              <w:pStyle w:val="SingleTxtG"/>
              <w:tabs>
                <w:tab w:val="clear" w:pos="1701"/>
                <w:tab w:val="clear" w:pos="2268"/>
                <w:tab w:val="clear" w:pos="2835"/>
              </w:tabs>
              <w:spacing w:before="80" w:after="80" w:line="200" w:lineRule="exact"/>
              <w:ind w:left="0" w:right="0"/>
              <w:jc w:val="left"/>
              <w:rPr>
                <w:bCs/>
                <w:i/>
                <w:sz w:val="16"/>
                <w:lang w:val="en-GB"/>
              </w:rPr>
            </w:pPr>
            <w:r w:rsidRPr="006973C1">
              <w:rPr>
                <w:i/>
                <w:iCs/>
                <w:sz w:val="16"/>
              </w:rPr>
              <w:t>Ejercicio económico</w:t>
            </w:r>
          </w:p>
        </w:tc>
        <w:tc>
          <w:tcPr>
            <w:tcW w:w="850" w:type="dxa"/>
            <w:tcBorders>
              <w:top w:val="single" w:sz="4" w:space="0" w:color="auto"/>
              <w:bottom w:val="single" w:sz="12" w:space="0" w:color="auto"/>
            </w:tcBorders>
            <w:shd w:val="clear" w:color="auto" w:fill="auto"/>
            <w:vAlign w:val="bottom"/>
          </w:tcPr>
          <w:p w14:paraId="647B79D7"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2010/11</w:t>
            </w:r>
          </w:p>
        </w:tc>
        <w:tc>
          <w:tcPr>
            <w:tcW w:w="658" w:type="dxa"/>
            <w:tcBorders>
              <w:top w:val="single" w:sz="4" w:space="0" w:color="auto"/>
              <w:bottom w:val="single" w:sz="12" w:space="0" w:color="auto"/>
            </w:tcBorders>
            <w:shd w:val="clear" w:color="auto" w:fill="auto"/>
            <w:vAlign w:val="bottom"/>
          </w:tcPr>
          <w:p w14:paraId="6FFE1DB8"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2011/12</w:t>
            </w:r>
          </w:p>
        </w:tc>
        <w:tc>
          <w:tcPr>
            <w:tcW w:w="658" w:type="dxa"/>
            <w:tcBorders>
              <w:top w:val="single" w:sz="4" w:space="0" w:color="auto"/>
              <w:bottom w:val="single" w:sz="12" w:space="0" w:color="auto"/>
            </w:tcBorders>
            <w:shd w:val="clear" w:color="auto" w:fill="auto"/>
            <w:vAlign w:val="bottom"/>
          </w:tcPr>
          <w:p w14:paraId="02C71C46"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2012/13</w:t>
            </w:r>
          </w:p>
        </w:tc>
        <w:tc>
          <w:tcPr>
            <w:tcW w:w="700" w:type="dxa"/>
            <w:tcBorders>
              <w:top w:val="single" w:sz="4" w:space="0" w:color="auto"/>
              <w:bottom w:val="single" w:sz="12" w:space="0" w:color="auto"/>
            </w:tcBorders>
            <w:shd w:val="clear" w:color="auto" w:fill="auto"/>
            <w:vAlign w:val="bottom"/>
          </w:tcPr>
          <w:p w14:paraId="2B9469CB"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2013/14</w:t>
            </w:r>
          </w:p>
        </w:tc>
        <w:tc>
          <w:tcPr>
            <w:tcW w:w="685" w:type="dxa"/>
            <w:tcBorders>
              <w:top w:val="single" w:sz="4" w:space="0" w:color="auto"/>
              <w:bottom w:val="single" w:sz="12" w:space="0" w:color="auto"/>
            </w:tcBorders>
            <w:shd w:val="clear" w:color="auto" w:fill="auto"/>
            <w:vAlign w:val="bottom"/>
          </w:tcPr>
          <w:p w14:paraId="77AB6BB5"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2014/15</w:t>
            </w:r>
          </w:p>
        </w:tc>
        <w:tc>
          <w:tcPr>
            <w:tcW w:w="672" w:type="dxa"/>
            <w:tcBorders>
              <w:top w:val="single" w:sz="4" w:space="0" w:color="auto"/>
              <w:bottom w:val="single" w:sz="12" w:space="0" w:color="auto"/>
            </w:tcBorders>
            <w:shd w:val="clear" w:color="auto" w:fill="auto"/>
            <w:vAlign w:val="bottom"/>
          </w:tcPr>
          <w:p w14:paraId="0650033B"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2015/16</w:t>
            </w:r>
          </w:p>
        </w:tc>
        <w:tc>
          <w:tcPr>
            <w:tcW w:w="700" w:type="dxa"/>
            <w:tcBorders>
              <w:top w:val="single" w:sz="4" w:space="0" w:color="auto"/>
              <w:bottom w:val="single" w:sz="12" w:space="0" w:color="auto"/>
            </w:tcBorders>
            <w:shd w:val="clear" w:color="auto" w:fill="auto"/>
            <w:vAlign w:val="bottom"/>
          </w:tcPr>
          <w:p w14:paraId="4698A74E"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2016/17</w:t>
            </w:r>
          </w:p>
        </w:tc>
        <w:tc>
          <w:tcPr>
            <w:tcW w:w="686" w:type="dxa"/>
            <w:tcBorders>
              <w:top w:val="single" w:sz="4" w:space="0" w:color="auto"/>
              <w:bottom w:val="single" w:sz="12" w:space="0" w:color="auto"/>
            </w:tcBorders>
            <w:shd w:val="clear" w:color="auto" w:fill="auto"/>
            <w:vAlign w:val="bottom"/>
          </w:tcPr>
          <w:p w14:paraId="69573001"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2017/18</w:t>
            </w:r>
          </w:p>
        </w:tc>
        <w:tc>
          <w:tcPr>
            <w:tcW w:w="686" w:type="dxa"/>
            <w:tcBorders>
              <w:top w:val="single" w:sz="4" w:space="0" w:color="auto"/>
              <w:bottom w:val="single" w:sz="12" w:space="0" w:color="auto"/>
            </w:tcBorders>
            <w:shd w:val="clear" w:color="auto" w:fill="auto"/>
            <w:vAlign w:val="bottom"/>
          </w:tcPr>
          <w:p w14:paraId="50D979F1"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2018/19</w:t>
            </w:r>
          </w:p>
        </w:tc>
        <w:tc>
          <w:tcPr>
            <w:tcW w:w="792" w:type="dxa"/>
            <w:tcBorders>
              <w:top w:val="single" w:sz="4" w:space="0" w:color="auto"/>
              <w:bottom w:val="single" w:sz="12" w:space="0" w:color="auto"/>
            </w:tcBorders>
            <w:shd w:val="clear" w:color="auto" w:fill="auto"/>
            <w:vAlign w:val="bottom"/>
          </w:tcPr>
          <w:p w14:paraId="4227FBC0" w14:textId="77777777" w:rsidR="00CD692A" w:rsidRPr="006973C1" w:rsidRDefault="00CD692A" w:rsidP="008F56A4">
            <w:pPr>
              <w:pStyle w:val="SingleTxtG"/>
              <w:tabs>
                <w:tab w:val="clear" w:pos="1701"/>
                <w:tab w:val="clear" w:pos="2268"/>
                <w:tab w:val="clear" w:pos="2835"/>
              </w:tabs>
              <w:spacing w:before="80" w:after="80" w:line="200" w:lineRule="exact"/>
              <w:ind w:left="0" w:right="28"/>
              <w:jc w:val="right"/>
              <w:rPr>
                <w:bCs/>
                <w:i/>
                <w:sz w:val="16"/>
                <w:lang w:val="en-GB"/>
              </w:rPr>
            </w:pPr>
            <w:r w:rsidRPr="006973C1">
              <w:rPr>
                <w:i/>
                <w:iCs/>
                <w:sz w:val="16"/>
              </w:rPr>
              <w:t>2019/20</w:t>
            </w:r>
          </w:p>
        </w:tc>
      </w:tr>
      <w:tr w:rsidR="006973C1" w:rsidRPr="008F56A4" w14:paraId="3B785E84" w14:textId="77777777" w:rsidTr="008E4DAD">
        <w:trPr>
          <w:trHeight w:val="240"/>
        </w:trPr>
        <w:tc>
          <w:tcPr>
            <w:tcW w:w="2552" w:type="dxa"/>
            <w:tcBorders>
              <w:top w:val="single" w:sz="12" w:space="0" w:color="auto"/>
              <w:bottom w:val="single" w:sz="4" w:space="0" w:color="auto"/>
            </w:tcBorders>
            <w:shd w:val="clear" w:color="auto" w:fill="auto"/>
          </w:tcPr>
          <w:p w14:paraId="61B1C6F9" w14:textId="77777777" w:rsidR="00CD692A" w:rsidRPr="008F56A4" w:rsidRDefault="00CD692A" w:rsidP="008F56A4">
            <w:pPr>
              <w:pStyle w:val="SingleTxtG"/>
              <w:tabs>
                <w:tab w:val="clear" w:pos="1701"/>
                <w:tab w:val="clear" w:pos="2268"/>
                <w:tab w:val="clear" w:pos="2835"/>
              </w:tabs>
              <w:spacing w:before="80" w:after="80" w:line="220" w:lineRule="exact"/>
              <w:ind w:left="283" w:right="0"/>
              <w:jc w:val="left"/>
              <w:rPr>
                <w:b/>
                <w:bCs/>
                <w:sz w:val="18"/>
              </w:rPr>
            </w:pPr>
            <w:r w:rsidRPr="008F56A4">
              <w:rPr>
                <w:b/>
                <w:bCs/>
                <w:sz w:val="18"/>
              </w:rPr>
              <w:t>Total de la asignación a la educación en el presupuesto ordinario</w:t>
            </w:r>
            <w:r w:rsidRPr="008F56A4">
              <w:rPr>
                <w:b/>
                <w:sz w:val="18"/>
              </w:rPr>
              <w:t xml:space="preserve"> </w:t>
            </w:r>
          </w:p>
        </w:tc>
        <w:tc>
          <w:tcPr>
            <w:tcW w:w="850" w:type="dxa"/>
            <w:tcBorders>
              <w:top w:val="single" w:sz="12" w:space="0" w:color="auto"/>
              <w:bottom w:val="single" w:sz="4" w:space="0" w:color="auto"/>
            </w:tcBorders>
            <w:shd w:val="clear" w:color="auto" w:fill="auto"/>
            <w:vAlign w:val="bottom"/>
          </w:tcPr>
          <w:p w14:paraId="7C2B331E" w14:textId="030A64EA"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43</w:t>
            </w:r>
            <w:r w:rsidR="006973C1" w:rsidRPr="008F56A4">
              <w:rPr>
                <w:b/>
                <w:bCs/>
                <w:sz w:val="18"/>
              </w:rPr>
              <w:t xml:space="preserve"> </w:t>
            </w:r>
            <w:r w:rsidRPr="008F56A4">
              <w:rPr>
                <w:b/>
                <w:bCs/>
                <w:sz w:val="18"/>
              </w:rPr>
              <w:t>750</w:t>
            </w:r>
          </w:p>
        </w:tc>
        <w:tc>
          <w:tcPr>
            <w:tcW w:w="658" w:type="dxa"/>
            <w:tcBorders>
              <w:top w:val="single" w:sz="12" w:space="0" w:color="auto"/>
              <w:bottom w:val="single" w:sz="4" w:space="0" w:color="auto"/>
            </w:tcBorders>
            <w:shd w:val="clear" w:color="auto" w:fill="auto"/>
            <w:vAlign w:val="bottom"/>
          </w:tcPr>
          <w:p w14:paraId="2054FEFC" w14:textId="3C3DCDDA"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49</w:t>
            </w:r>
            <w:r w:rsidR="006973C1" w:rsidRPr="008F56A4">
              <w:rPr>
                <w:b/>
                <w:bCs/>
                <w:sz w:val="18"/>
              </w:rPr>
              <w:t xml:space="preserve"> </w:t>
            </w:r>
            <w:r w:rsidRPr="008F56A4">
              <w:rPr>
                <w:b/>
                <w:bCs/>
                <w:sz w:val="18"/>
              </w:rPr>
              <w:t>890</w:t>
            </w:r>
          </w:p>
        </w:tc>
        <w:tc>
          <w:tcPr>
            <w:tcW w:w="658" w:type="dxa"/>
            <w:tcBorders>
              <w:top w:val="single" w:sz="12" w:space="0" w:color="auto"/>
              <w:bottom w:val="single" w:sz="4" w:space="0" w:color="auto"/>
            </w:tcBorders>
            <w:shd w:val="clear" w:color="auto" w:fill="auto"/>
            <w:vAlign w:val="bottom"/>
          </w:tcPr>
          <w:p w14:paraId="77C6D166" w14:textId="1D1A6699"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73</w:t>
            </w:r>
            <w:r w:rsidR="006973C1" w:rsidRPr="008F56A4">
              <w:rPr>
                <w:b/>
                <w:bCs/>
                <w:sz w:val="18"/>
              </w:rPr>
              <w:t xml:space="preserve"> </w:t>
            </w:r>
            <w:r w:rsidRPr="008F56A4">
              <w:rPr>
                <w:b/>
                <w:bCs/>
                <w:sz w:val="18"/>
              </w:rPr>
              <w:t>430</w:t>
            </w:r>
          </w:p>
        </w:tc>
        <w:tc>
          <w:tcPr>
            <w:tcW w:w="700" w:type="dxa"/>
            <w:tcBorders>
              <w:top w:val="single" w:sz="12" w:space="0" w:color="auto"/>
              <w:bottom w:val="single" w:sz="4" w:space="0" w:color="auto"/>
            </w:tcBorders>
            <w:shd w:val="clear" w:color="auto" w:fill="auto"/>
            <w:vAlign w:val="bottom"/>
          </w:tcPr>
          <w:p w14:paraId="215C3DAD" w14:textId="34334A00"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93</w:t>
            </w:r>
            <w:r w:rsidR="006973C1" w:rsidRPr="008F56A4">
              <w:rPr>
                <w:b/>
                <w:bCs/>
                <w:sz w:val="18"/>
              </w:rPr>
              <w:t xml:space="preserve"> </w:t>
            </w:r>
            <w:r w:rsidRPr="008F56A4">
              <w:rPr>
                <w:b/>
                <w:bCs/>
                <w:sz w:val="18"/>
              </w:rPr>
              <w:t>400</w:t>
            </w:r>
          </w:p>
        </w:tc>
        <w:tc>
          <w:tcPr>
            <w:tcW w:w="685" w:type="dxa"/>
            <w:tcBorders>
              <w:top w:val="single" w:sz="12" w:space="0" w:color="auto"/>
              <w:bottom w:val="single" w:sz="4" w:space="0" w:color="auto"/>
            </w:tcBorders>
            <w:shd w:val="clear" w:color="auto" w:fill="auto"/>
            <w:vAlign w:val="bottom"/>
          </w:tcPr>
          <w:p w14:paraId="6AB6E6FE" w14:textId="62DEA7DA"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112</w:t>
            </w:r>
            <w:r w:rsidR="006973C1" w:rsidRPr="008F56A4">
              <w:rPr>
                <w:b/>
                <w:bCs/>
                <w:sz w:val="18"/>
              </w:rPr>
              <w:t xml:space="preserve"> </w:t>
            </w:r>
            <w:r w:rsidRPr="008F56A4">
              <w:rPr>
                <w:b/>
                <w:bCs/>
                <w:sz w:val="18"/>
              </w:rPr>
              <w:t>790</w:t>
            </w:r>
          </w:p>
        </w:tc>
        <w:tc>
          <w:tcPr>
            <w:tcW w:w="672" w:type="dxa"/>
            <w:tcBorders>
              <w:top w:val="single" w:sz="12" w:space="0" w:color="auto"/>
              <w:bottom w:val="single" w:sz="4" w:space="0" w:color="auto"/>
            </w:tcBorders>
            <w:shd w:val="clear" w:color="auto" w:fill="auto"/>
            <w:vAlign w:val="bottom"/>
          </w:tcPr>
          <w:p w14:paraId="05C8939D" w14:textId="57F5D4FE"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157</w:t>
            </w:r>
            <w:r w:rsidR="006973C1" w:rsidRPr="008F56A4">
              <w:rPr>
                <w:b/>
                <w:bCs/>
                <w:sz w:val="18"/>
              </w:rPr>
              <w:t xml:space="preserve"> </w:t>
            </w:r>
            <w:r w:rsidRPr="008F56A4">
              <w:rPr>
                <w:b/>
                <w:bCs/>
                <w:sz w:val="18"/>
              </w:rPr>
              <w:t>869</w:t>
            </w:r>
          </w:p>
        </w:tc>
        <w:tc>
          <w:tcPr>
            <w:tcW w:w="700" w:type="dxa"/>
            <w:tcBorders>
              <w:top w:val="single" w:sz="12" w:space="0" w:color="auto"/>
              <w:bottom w:val="single" w:sz="4" w:space="0" w:color="auto"/>
            </w:tcBorders>
            <w:shd w:val="clear" w:color="auto" w:fill="auto"/>
            <w:vAlign w:val="bottom"/>
          </w:tcPr>
          <w:p w14:paraId="7AD3B2BE" w14:textId="45189D1A"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174</w:t>
            </w:r>
            <w:r w:rsidR="006973C1" w:rsidRPr="008F56A4">
              <w:rPr>
                <w:b/>
                <w:bCs/>
                <w:sz w:val="18"/>
              </w:rPr>
              <w:t xml:space="preserve"> </w:t>
            </w:r>
            <w:r w:rsidRPr="008F56A4">
              <w:rPr>
                <w:b/>
                <w:bCs/>
                <w:sz w:val="18"/>
              </w:rPr>
              <w:t>690</w:t>
            </w:r>
          </w:p>
        </w:tc>
        <w:tc>
          <w:tcPr>
            <w:tcW w:w="686" w:type="dxa"/>
            <w:tcBorders>
              <w:top w:val="single" w:sz="12" w:space="0" w:color="auto"/>
              <w:bottom w:val="single" w:sz="4" w:space="0" w:color="auto"/>
            </w:tcBorders>
            <w:shd w:val="clear" w:color="auto" w:fill="auto"/>
            <w:vAlign w:val="bottom"/>
          </w:tcPr>
          <w:p w14:paraId="267D1285" w14:textId="7E1F0F08"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207</w:t>
            </w:r>
            <w:r w:rsidR="006973C1" w:rsidRPr="008F56A4">
              <w:rPr>
                <w:b/>
                <w:bCs/>
                <w:sz w:val="18"/>
              </w:rPr>
              <w:t xml:space="preserve"> </w:t>
            </w:r>
            <w:r w:rsidRPr="008F56A4">
              <w:rPr>
                <w:b/>
                <w:bCs/>
                <w:sz w:val="18"/>
              </w:rPr>
              <w:t>589</w:t>
            </w:r>
          </w:p>
        </w:tc>
        <w:tc>
          <w:tcPr>
            <w:tcW w:w="686" w:type="dxa"/>
            <w:tcBorders>
              <w:top w:val="single" w:sz="12" w:space="0" w:color="auto"/>
              <w:bottom w:val="single" w:sz="4" w:space="0" w:color="auto"/>
            </w:tcBorders>
            <w:shd w:val="clear" w:color="auto" w:fill="auto"/>
            <w:vAlign w:val="bottom"/>
          </w:tcPr>
          <w:p w14:paraId="273C3695" w14:textId="2CF9F7AF"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224</w:t>
            </w:r>
            <w:r w:rsidR="006973C1" w:rsidRPr="008F56A4">
              <w:rPr>
                <w:b/>
                <w:bCs/>
                <w:sz w:val="18"/>
              </w:rPr>
              <w:t xml:space="preserve"> </w:t>
            </w:r>
            <w:r w:rsidRPr="008F56A4">
              <w:rPr>
                <w:b/>
                <w:bCs/>
                <w:sz w:val="18"/>
              </w:rPr>
              <w:t>545</w:t>
            </w:r>
          </w:p>
        </w:tc>
        <w:tc>
          <w:tcPr>
            <w:tcW w:w="792" w:type="dxa"/>
            <w:tcBorders>
              <w:top w:val="single" w:sz="12" w:space="0" w:color="auto"/>
              <w:bottom w:val="single" w:sz="4" w:space="0" w:color="auto"/>
            </w:tcBorders>
            <w:shd w:val="clear" w:color="auto" w:fill="auto"/>
            <w:vAlign w:val="bottom"/>
          </w:tcPr>
          <w:p w14:paraId="4C06C9CB" w14:textId="671548D4"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270</w:t>
            </w:r>
            <w:r w:rsidR="006973C1" w:rsidRPr="008F56A4">
              <w:rPr>
                <w:b/>
                <w:bCs/>
                <w:sz w:val="18"/>
              </w:rPr>
              <w:t xml:space="preserve"> </w:t>
            </w:r>
            <w:r w:rsidRPr="008F56A4">
              <w:rPr>
                <w:b/>
                <w:bCs/>
                <w:sz w:val="18"/>
              </w:rPr>
              <w:t>985</w:t>
            </w:r>
          </w:p>
        </w:tc>
      </w:tr>
      <w:tr w:rsidR="006973C1" w:rsidRPr="008F56A4" w14:paraId="00740D1C" w14:textId="77777777" w:rsidTr="008E4DAD">
        <w:trPr>
          <w:trHeight w:val="240"/>
        </w:trPr>
        <w:tc>
          <w:tcPr>
            <w:tcW w:w="2552" w:type="dxa"/>
            <w:tcBorders>
              <w:top w:val="single" w:sz="4" w:space="0" w:color="auto"/>
              <w:bottom w:val="single" w:sz="4" w:space="0" w:color="auto"/>
            </w:tcBorders>
            <w:shd w:val="clear" w:color="auto" w:fill="auto"/>
          </w:tcPr>
          <w:p w14:paraId="13CECBC4" w14:textId="77777777" w:rsidR="00CD692A" w:rsidRPr="008F56A4" w:rsidRDefault="00CD692A" w:rsidP="008F56A4">
            <w:pPr>
              <w:pStyle w:val="SingleTxtG"/>
              <w:tabs>
                <w:tab w:val="clear" w:pos="1701"/>
                <w:tab w:val="clear" w:pos="2268"/>
                <w:tab w:val="clear" w:pos="2835"/>
              </w:tabs>
              <w:spacing w:before="80" w:after="80" w:line="220" w:lineRule="exact"/>
              <w:ind w:left="283" w:right="0"/>
              <w:jc w:val="left"/>
              <w:rPr>
                <w:b/>
                <w:bCs/>
                <w:sz w:val="18"/>
              </w:rPr>
            </w:pPr>
            <w:r w:rsidRPr="008F56A4">
              <w:rPr>
                <w:b/>
                <w:bCs/>
                <w:sz w:val="18"/>
              </w:rPr>
              <w:t>Total de las asignaciones del presupuesto ordinario votado (excluye los gastos establecidos por ley)</w:t>
            </w:r>
            <w:r w:rsidRPr="008F56A4">
              <w:rPr>
                <w:b/>
                <w:sz w:val="18"/>
              </w:rPr>
              <w:t xml:space="preserve"> </w:t>
            </w:r>
          </w:p>
        </w:tc>
        <w:tc>
          <w:tcPr>
            <w:tcW w:w="850" w:type="dxa"/>
            <w:tcBorders>
              <w:top w:val="single" w:sz="4" w:space="0" w:color="auto"/>
              <w:bottom w:val="single" w:sz="4" w:space="0" w:color="auto"/>
            </w:tcBorders>
            <w:shd w:val="clear" w:color="auto" w:fill="auto"/>
            <w:vAlign w:val="bottom"/>
          </w:tcPr>
          <w:p w14:paraId="7F6BE18F" w14:textId="7A46D39D"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182</w:t>
            </w:r>
            <w:r w:rsidR="006973C1" w:rsidRPr="008F56A4">
              <w:rPr>
                <w:b/>
                <w:bCs/>
                <w:sz w:val="18"/>
              </w:rPr>
              <w:t xml:space="preserve"> </w:t>
            </w:r>
            <w:r w:rsidRPr="008F56A4">
              <w:rPr>
                <w:b/>
                <w:bCs/>
                <w:sz w:val="18"/>
              </w:rPr>
              <w:t>580</w:t>
            </w:r>
          </w:p>
        </w:tc>
        <w:tc>
          <w:tcPr>
            <w:tcW w:w="658" w:type="dxa"/>
            <w:tcBorders>
              <w:top w:val="single" w:sz="4" w:space="0" w:color="auto"/>
              <w:bottom w:val="single" w:sz="4" w:space="0" w:color="auto"/>
            </w:tcBorders>
            <w:shd w:val="clear" w:color="auto" w:fill="auto"/>
            <w:vAlign w:val="bottom"/>
          </w:tcPr>
          <w:p w14:paraId="68B93677" w14:textId="1843F477"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194</w:t>
            </w:r>
            <w:r w:rsidR="006973C1" w:rsidRPr="008F56A4">
              <w:rPr>
                <w:b/>
                <w:bCs/>
                <w:sz w:val="18"/>
              </w:rPr>
              <w:t xml:space="preserve"> </w:t>
            </w:r>
            <w:r w:rsidRPr="008F56A4">
              <w:rPr>
                <w:b/>
                <w:bCs/>
                <w:sz w:val="18"/>
              </w:rPr>
              <w:t>790</w:t>
            </w:r>
          </w:p>
        </w:tc>
        <w:tc>
          <w:tcPr>
            <w:tcW w:w="658" w:type="dxa"/>
            <w:tcBorders>
              <w:top w:val="single" w:sz="4" w:space="0" w:color="auto"/>
              <w:bottom w:val="single" w:sz="4" w:space="0" w:color="auto"/>
            </w:tcBorders>
            <w:shd w:val="clear" w:color="auto" w:fill="auto"/>
            <w:vAlign w:val="bottom"/>
          </w:tcPr>
          <w:p w14:paraId="246B5577" w14:textId="41C88F1B"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321</w:t>
            </w:r>
            <w:r w:rsidR="006973C1" w:rsidRPr="008F56A4">
              <w:rPr>
                <w:b/>
                <w:bCs/>
                <w:sz w:val="18"/>
              </w:rPr>
              <w:t xml:space="preserve"> </w:t>
            </w:r>
            <w:r w:rsidRPr="008F56A4">
              <w:rPr>
                <w:b/>
                <w:bCs/>
                <w:sz w:val="18"/>
              </w:rPr>
              <w:t>460</w:t>
            </w:r>
          </w:p>
        </w:tc>
        <w:tc>
          <w:tcPr>
            <w:tcW w:w="700" w:type="dxa"/>
            <w:tcBorders>
              <w:top w:val="single" w:sz="4" w:space="0" w:color="auto"/>
              <w:bottom w:val="single" w:sz="4" w:space="0" w:color="auto"/>
            </w:tcBorders>
            <w:shd w:val="clear" w:color="auto" w:fill="auto"/>
            <w:vAlign w:val="bottom"/>
          </w:tcPr>
          <w:p w14:paraId="44BA6EBA" w14:textId="5D888780"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386</w:t>
            </w:r>
            <w:r w:rsidR="006973C1" w:rsidRPr="008F56A4">
              <w:rPr>
                <w:b/>
                <w:bCs/>
                <w:sz w:val="18"/>
              </w:rPr>
              <w:t xml:space="preserve"> </w:t>
            </w:r>
            <w:r w:rsidRPr="008F56A4">
              <w:rPr>
                <w:b/>
                <w:bCs/>
                <w:sz w:val="18"/>
              </w:rPr>
              <w:t>220</w:t>
            </w:r>
          </w:p>
        </w:tc>
        <w:tc>
          <w:tcPr>
            <w:tcW w:w="685" w:type="dxa"/>
            <w:tcBorders>
              <w:top w:val="single" w:sz="4" w:space="0" w:color="auto"/>
              <w:bottom w:val="single" w:sz="4" w:space="0" w:color="auto"/>
            </w:tcBorders>
            <w:shd w:val="clear" w:color="auto" w:fill="auto"/>
            <w:vAlign w:val="bottom"/>
          </w:tcPr>
          <w:p w14:paraId="3F36ADC3" w14:textId="2F2DDB39"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495</w:t>
            </w:r>
            <w:r w:rsidR="006973C1" w:rsidRPr="008F56A4">
              <w:rPr>
                <w:b/>
                <w:bCs/>
                <w:sz w:val="18"/>
              </w:rPr>
              <w:t xml:space="preserve"> </w:t>
            </w:r>
            <w:r w:rsidRPr="008F56A4">
              <w:rPr>
                <w:b/>
                <w:bCs/>
                <w:sz w:val="18"/>
              </w:rPr>
              <w:t>750</w:t>
            </w:r>
          </w:p>
        </w:tc>
        <w:tc>
          <w:tcPr>
            <w:tcW w:w="672" w:type="dxa"/>
            <w:tcBorders>
              <w:top w:val="single" w:sz="4" w:space="0" w:color="auto"/>
              <w:bottom w:val="single" w:sz="4" w:space="0" w:color="auto"/>
            </w:tcBorders>
            <w:shd w:val="clear" w:color="auto" w:fill="auto"/>
            <w:vAlign w:val="bottom"/>
          </w:tcPr>
          <w:p w14:paraId="2FB4E3AA" w14:textId="66D43188"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582</w:t>
            </w:r>
            <w:r w:rsidR="006973C1" w:rsidRPr="008F56A4">
              <w:rPr>
                <w:b/>
                <w:bCs/>
                <w:sz w:val="18"/>
              </w:rPr>
              <w:t xml:space="preserve"> </w:t>
            </w:r>
            <w:r w:rsidRPr="008F56A4">
              <w:rPr>
                <w:b/>
                <w:bCs/>
                <w:sz w:val="18"/>
              </w:rPr>
              <w:t>522</w:t>
            </w:r>
          </w:p>
        </w:tc>
        <w:tc>
          <w:tcPr>
            <w:tcW w:w="700" w:type="dxa"/>
            <w:tcBorders>
              <w:top w:val="single" w:sz="4" w:space="0" w:color="auto"/>
              <w:bottom w:val="single" w:sz="4" w:space="0" w:color="auto"/>
            </w:tcBorders>
            <w:shd w:val="clear" w:color="auto" w:fill="auto"/>
            <w:vAlign w:val="bottom"/>
          </w:tcPr>
          <w:p w14:paraId="498EB1B8" w14:textId="5DEDAE4B"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666</w:t>
            </w:r>
            <w:r w:rsidR="006973C1" w:rsidRPr="008F56A4">
              <w:rPr>
                <w:b/>
                <w:bCs/>
                <w:sz w:val="18"/>
              </w:rPr>
              <w:t xml:space="preserve"> </w:t>
            </w:r>
            <w:r w:rsidRPr="008F56A4">
              <w:rPr>
                <w:b/>
                <w:bCs/>
                <w:sz w:val="18"/>
              </w:rPr>
              <w:t>255</w:t>
            </w:r>
          </w:p>
        </w:tc>
        <w:tc>
          <w:tcPr>
            <w:tcW w:w="686" w:type="dxa"/>
            <w:tcBorders>
              <w:top w:val="single" w:sz="4" w:space="0" w:color="auto"/>
              <w:bottom w:val="single" w:sz="4" w:space="0" w:color="auto"/>
            </w:tcBorders>
            <w:shd w:val="clear" w:color="auto" w:fill="auto"/>
            <w:vAlign w:val="bottom"/>
          </w:tcPr>
          <w:p w14:paraId="0244CC32" w14:textId="10E69B53"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788</w:t>
            </w:r>
            <w:r w:rsidR="006973C1" w:rsidRPr="008F56A4">
              <w:rPr>
                <w:b/>
                <w:bCs/>
                <w:sz w:val="18"/>
              </w:rPr>
              <w:t xml:space="preserve"> </w:t>
            </w:r>
            <w:r w:rsidRPr="008F56A4">
              <w:rPr>
                <w:b/>
                <w:bCs/>
                <w:sz w:val="18"/>
              </w:rPr>
              <w:t>999</w:t>
            </w:r>
          </w:p>
        </w:tc>
        <w:tc>
          <w:tcPr>
            <w:tcW w:w="686" w:type="dxa"/>
            <w:tcBorders>
              <w:top w:val="single" w:sz="4" w:space="0" w:color="auto"/>
              <w:bottom w:val="single" w:sz="4" w:space="0" w:color="auto"/>
            </w:tcBorders>
            <w:shd w:val="clear" w:color="auto" w:fill="auto"/>
            <w:vAlign w:val="bottom"/>
          </w:tcPr>
          <w:p w14:paraId="245A404E" w14:textId="5822BCBB"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840</w:t>
            </w:r>
            <w:r w:rsidR="006973C1" w:rsidRPr="008F56A4">
              <w:rPr>
                <w:b/>
                <w:bCs/>
                <w:sz w:val="18"/>
              </w:rPr>
              <w:t xml:space="preserve"> </w:t>
            </w:r>
            <w:r w:rsidRPr="008F56A4">
              <w:rPr>
                <w:b/>
                <w:bCs/>
                <w:sz w:val="18"/>
              </w:rPr>
              <w:t>966</w:t>
            </w:r>
          </w:p>
        </w:tc>
        <w:tc>
          <w:tcPr>
            <w:tcW w:w="792" w:type="dxa"/>
            <w:tcBorders>
              <w:top w:val="single" w:sz="4" w:space="0" w:color="auto"/>
              <w:bottom w:val="single" w:sz="4" w:space="0" w:color="auto"/>
            </w:tcBorders>
            <w:shd w:val="clear" w:color="auto" w:fill="auto"/>
            <w:vAlign w:val="bottom"/>
          </w:tcPr>
          <w:p w14:paraId="3561B546" w14:textId="164E8F77" w:rsidR="00CD692A" w:rsidRPr="008F56A4" w:rsidRDefault="00CD692A" w:rsidP="008F56A4">
            <w:pPr>
              <w:pStyle w:val="SingleTxtG"/>
              <w:tabs>
                <w:tab w:val="clear" w:pos="1701"/>
                <w:tab w:val="clear" w:pos="2268"/>
                <w:tab w:val="clear" w:pos="2835"/>
              </w:tabs>
              <w:spacing w:before="80" w:after="80" w:line="220" w:lineRule="exact"/>
              <w:ind w:left="0" w:right="28"/>
              <w:jc w:val="right"/>
              <w:rPr>
                <w:b/>
                <w:bCs/>
                <w:sz w:val="18"/>
                <w:lang w:val="en-GB"/>
              </w:rPr>
            </w:pPr>
            <w:r w:rsidRPr="008F56A4">
              <w:rPr>
                <w:b/>
                <w:bCs/>
                <w:sz w:val="18"/>
              </w:rPr>
              <w:t>1</w:t>
            </w:r>
            <w:r w:rsidR="006973C1" w:rsidRPr="008F56A4">
              <w:rPr>
                <w:b/>
                <w:bCs/>
                <w:sz w:val="18"/>
              </w:rPr>
              <w:t xml:space="preserve"> </w:t>
            </w:r>
            <w:r w:rsidRPr="008F56A4">
              <w:rPr>
                <w:b/>
                <w:bCs/>
                <w:sz w:val="18"/>
              </w:rPr>
              <w:t>054</w:t>
            </w:r>
            <w:r w:rsidR="006973C1" w:rsidRPr="008F56A4">
              <w:rPr>
                <w:b/>
                <w:bCs/>
                <w:sz w:val="18"/>
              </w:rPr>
              <w:t xml:space="preserve"> </w:t>
            </w:r>
            <w:r w:rsidRPr="008F56A4">
              <w:rPr>
                <w:b/>
                <w:bCs/>
                <w:sz w:val="18"/>
              </w:rPr>
              <w:t>959</w:t>
            </w:r>
          </w:p>
        </w:tc>
      </w:tr>
      <w:tr w:rsidR="006973C1" w:rsidRPr="006973C1" w14:paraId="62258865" w14:textId="77777777" w:rsidTr="008E4DAD">
        <w:trPr>
          <w:trHeight w:val="240"/>
        </w:trPr>
        <w:tc>
          <w:tcPr>
            <w:tcW w:w="2552" w:type="dxa"/>
            <w:tcBorders>
              <w:top w:val="single" w:sz="4" w:space="0" w:color="auto"/>
              <w:bottom w:val="single" w:sz="12" w:space="0" w:color="auto"/>
            </w:tcBorders>
            <w:shd w:val="clear" w:color="auto" w:fill="auto"/>
          </w:tcPr>
          <w:p w14:paraId="7F279401"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Porcentaje del presupuesto ordinario destinado a la educación (excluidos los gastos establecidos por ley) </w:t>
            </w:r>
          </w:p>
        </w:tc>
        <w:tc>
          <w:tcPr>
            <w:tcW w:w="850" w:type="dxa"/>
            <w:tcBorders>
              <w:top w:val="single" w:sz="4" w:space="0" w:color="auto"/>
              <w:bottom w:val="single" w:sz="12" w:space="0" w:color="auto"/>
            </w:tcBorders>
            <w:shd w:val="clear" w:color="auto" w:fill="auto"/>
            <w:vAlign w:val="bottom"/>
          </w:tcPr>
          <w:p w14:paraId="2C65EA58"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24</w:t>
            </w:r>
          </w:p>
        </w:tc>
        <w:tc>
          <w:tcPr>
            <w:tcW w:w="658" w:type="dxa"/>
            <w:tcBorders>
              <w:top w:val="single" w:sz="4" w:space="0" w:color="auto"/>
              <w:bottom w:val="single" w:sz="12" w:space="0" w:color="auto"/>
            </w:tcBorders>
            <w:shd w:val="clear" w:color="auto" w:fill="auto"/>
            <w:vAlign w:val="bottom"/>
          </w:tcPr>
          <w:p w14:paraId="5CDBFA46"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26</w:t>
            </w:r>
          </w:p>
        </w:tc>
        <w:tc>
          <w:tcPr>
            <w:tcW w:w="658" w:type="dxa"/>
            <w:tcBorders>
              <w:top w:val="single" w:sz="4" w:space="0" w:color="auto"/>
              <w:bottom w:val="single" w:sz="12" w:space="0" w:color="auto"/>
            </w:tcBorders>
            <w:shd w:val="clear" w:color="auto" w:fill="auto"/>
            <w:vAlign w:val="bottom"/>
          </w:tcPr>
          <w:p w14:paraId="7E1D3421"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23</w:t>
            </w:r>
          </w:p>
        </w:tc>
        <w:tc>
          <w:tcPr>
            <w:tcW w:w="700" w:type="dxa"/>
            <w:tcBorders>
              <w:top w:val="single" w:sz="4" w:space="0" w:color="auto"/>
              <w:bottom w:val="single" w:sz="12" w:space="0" w:color="auto"/>
            </w:tcBorders>
            <w:shd w:val="clear" w:color="auto" w:fill="auto"/>
            <w:vAlign w:val="bottom"/>
          </w:tcPr>
          <w:p w14:paraId="4165DAFC"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24</w:t>
            </w:r>
          </w:p>
        </w:tc>
        <w:tc>
          <w:tcPr>
            <w:tcW w:w="685" w:type="dxa"/>
            <w:tcBorders>
              <w:top w:val="single" w:sz="4" w:space="0" w:color="auto"/>
              <w:bottom w:val="single" w:sz="12" w:space="0" w:color="auto"/>
            </w:tcBorders>
            <w:shd w:val="clear" w:color="auto" w:fill="auto"/>
            <w:vAlign w:val="bottom"/>
          </w:tcPr>
          <w:p w14:paraId="7B8EDF44"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23</w:t>
            </w:r>
          </w:p>
        </w:tc>
        <w:tc>
          <w:tcPr>
            <w:tcW w:w="672" w:type="dxa"/>
            <w:tcBorders>
              <w:top w:val="single" w:sz="4" w:space="0" w:color="auto"/>
              <w:bottom w:val="single" w:sz="12" w:space="0" w:color="auto"/>
            </w:tcBorders>
            <w:shd w:val="clear" w:color="auto" w:fill="auto"/>
            <w:vAlign w:val="bottom"/>
          </w:tcPr>
          <w:p w14:paraId="33183F39"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27</w:t>
            </w:r>
          </w:p>
        </w:tc>
        <w:tc>
          <w:tcPr>
            <w:tcW w:w="700" w:type="dxa"/>
            <w:tcBorders>
              <w:top w:val="single" w:sz="4" w:space="0" w:color="auto"/>
              <w:bottom w:val="single" w:sz="12" w:space="0" w:color="auto"/>
            </w:tcBorders>
            <w:shd w:val="clear" w:color="auto" w:fill="auto"/>
            <w:vAlign w:val="bottom"/>
          </w:tcPr>
          <w:p w14:paraId="443E2993"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26</w:t>
            </w:r>
          </w:p>
        </w:tc>
        <w:tc>
          <w:tcPr>
            <w:tcW w:w="686" w:type="dxa"/>
            <w:tcBorders>
              <w:top w:val="single" w:sz="4" w:space="0" w:color="auto"/>
              <w:bottom w:val="single" w:sz="12" w:space="0" w:color="auto"/>
            </w:tcBorders>
            <w:shd w:val="clear" w:color="auto" w:fill="auto"/>
            <w:vAlign w:val="bottom"/>
          </w:tcPr>
          <w:p w14:paraId="1FCDCB44"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26</w:t>
            </w:r>
          </w:p>
        </w:tc>
        <w:tc>
          <w:tcPr>
            <w:tcW w:w="686" w:type="dxa"/>
            <w:tcBorders>
              <w:top w:val="single" w:sz="4" w:space="0" w:color="auto"/>
              <w:bottom w:val="single" w:sz="12" w:space="0" w:color="auto"/>
            </w:tcBorders>
            <w:shd w:val="clear" w:color="auto" w:fill="auto"/>
            <w:vAlign w:val="bottom"/>
          </w:tcPr>
          <w:p w14:paraId="34FBA188"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27</w:t>
            </w:r>
          </w:p>
        </w:tc>
        <w:tc>
          <w:tcPr>
            <w:tcW w:w="792" w:type="dxa"/>
            <w:tcBorders>
              <w:top w:val="single" w:sz="4" w:space="0" w:color="auto"/>
              <w:bottom w:val="single" w:sz="12" w:space="0" w:color="auto"/>
            </w:tcBorders>
            <w:shd w:val="clear" w:color="auto" w:fill="auto"/>
            <w:vAlign w:val="bottom"/>
          </w:tcPr>
          <w:p w14:paraId="3470B03B" w14:textId="77777777" w:rsidR="00CD692A" w:rsidRPr="006973C1" w:rsidRDefault="00CD692A" w:rsidP="008F56A4">
            <w:pPr>
              <w:pStyle w:val="SingleTxtG"/>
              <w:tabs>
                <w:tab w:val="clear" w:pos="1701"/>
                <w:tab w:val="clear" w:pos="2268"/>
                <w:tab w:val="clear" w:pos="2835"/>
              </w:tabs>
              <w:spacing w:before="40" w:after="40" w:line="220" w:lineRule="exact"/>
              <w:ind w:left="0" w:right="28"/>
              <w:jc w:val="right"/>
              <w:rPr>
                <w:bCs/>
                <w:sz w:val="18"/>
                <w:lang w:val="en-GB"/>
              </w:rPr>
            </w:pPr>
            <w:r w:rsidRPr="006973C1">
              <w:rPr>
                <w:sz w:val="18"/>
              </w:rPr>
              <w:t>26</w:t>
            </w:r>
          </w:p>
        </w:tc>
      </w:tr>
    </w:tbl>
    <w:p w14:paraId="54EE7709" w14:textId="77777777" w:rsidR="00CD692A" w:rsidRPr="008E4DAD" w:rsidRDefault="00CD692A" w:rsidP="006973C1">
      <w:pPr>
        <w:pStyle w:val="SingleTxtG"/>
        <w:spacing w:before="120" w:after="240"/>
        <w:ind w:left="0" w:firstLine="170"/>
        <w:jc w:val="left"/>
        <w:rPr>
          <w:sz w:val="18"/>
          <w:szCs w:val="18"/>
          <w:lang w:val="en-GB"/>
        </w:rPr>
      </w:pPr>
      <w:r w:rsidRPr="008E4DAD">
        <w:rPr>
          <w:i/>
          <w:iCs/>
          <w:sz w:val="18"/>
          <w:szCs w:val="18"/>
        </w:rPr>
        <w:t>Fuente:</w:t>
      </w:r>
      <w:r w:rsidRPr="008E4DAD">
        <w:rPr>
          <w:sz w:val="18"/>
          <w:szCs w:val="18"/>
        </w:rPr>
        <w:t xml:space="preserve"> Ministerio de Finanzas.</w:t>
      </w:r>
    </w:p>
    <w:p w14:paraId="5B598722" w14:textId="77777777" w:rsidR="00CD692A" w:rsidRPr="00CD692A" w:rsidRDefault="00CD692A" w:rsidP="00CD692A">
      <w:pPr>
        <w:pStyle w:val="SingleTxtG"/>
        <w:rPr>
          <w:b/>
        </w:rPr>
      </w:pPr>
      <w:r w:rsidRPr="00CD692A">
        <w:t>174.</w:t>
      </w:r>
      <w:r w:rsidRPr="00CD692A">
        <w:tab/>
        <w:t>En el ejercicio económico 2015/16, el Gobierno de Malawi cambió su sistema de presupuestación, pasando de la basada en productos a la basada en programas. Así pues, la asignación de recursos en el presupuesto del sector de la educación se basa en programas. El sector de la educación tiene cuatro programas: educación básica (educación primaria), educación secundaria, educación superior y administración y dirección. El cuadro 30 muestra la asignación presupuestaria total por programa en el sector de la educación.</w:t>
      </w:r>
    </w:p>
    <w:p w14:paraId="2818D457" w14:textId="0E66E674" w:rsidR="00CD692A" w:rsidRPr="006973C1" w:rsidRDefault="006973C1" w:rsidP="006973C1">
      <w:pPr>
        <w:pStyle w:val="H23G"/>
        <w:rPr>
          <w:b w:val="0"/>
          <w:bCs/>
          <w:sz w:val="16"/>
          <w:szCs w:val="16"/>
        </w:rPr>
      </w:pPr>
      <w:r w:rsidRPr="006973C1">
        <w:rPr>
          <w:b w:val="0"/>
          <w:bCs/>
        </w:rPr>
        <w:lastRenderedPageBreak/>
        <w:tab/>
      </w:r>
      <w:r w:rsidRPr="006973C1">
        <w:rPr>
          <w:b w:val="0"/>
          <w:bCs/>
        </w:rPr>
        <w:tab/>
      </w:r>
      <w:r w:rsidR="00CD692A" w:rsidRPr="006973C1">
        <w:rPr>
          <w:b w:val="0"/>
          <w:bCs/>
        </w:rPr>
        <w:t>Cuadro 30</w:t>
      </w:r>
      <w:r w:rsidRPr="006973C1">
        <w:rPr>
          <w:b w:val="0"/>
          <w:bCs/>
        </w:rPr>
        <w:br/>
      </w:r>
      <w:r w:rsidR="00CD692A" w:rsidRPr="00CD692A">
        <w:t>Asignación presupuestaria ordinaria por programa del sector de la educación para</w:t>
      </w:r>
      <w:r>
        <w:t> </w:t>
      </w:r>
      <w:r w:rsidR="00CD692A" w:rsidRPr="00CD692A">
        <w:t>el</w:t>
      </w:r>
      <w:r>
        <w:t> </w:t>
      </w:r>
      <w:r w:rsidR="00CD692A" w:rsidRPr="00CD692A">
        <w:t>ejercicio económico 2019/20</w:t>
      </w:r>
      <w:r>
        <w:br/>
      </w:r>
      <w:r w:rsidR="00CD692A" w:rsidRPr="006973C1">
        <w:rPr>
          <w:b w:val="0"/>
          <w:bCs/>
          <w:sz w:val="16"/>
          <w:szCs w:val="16"/>
        </w:rPr>
        <w:t>(</w:t>
      </w:r>
      <w:r>
        <w:rPr>
          <w:b w:val="0"/>
          <w:bCs/>
          <w:sz w:val="16"/>
          <w:szCs w:val="16"/>
        </w:rPr>
        <w:t>E</w:t>
      </w:r>
      <w:r w:rsidR="00CD692A" w:rsidRPr="006973C1">
        <w:rPr>
          <w:b w:val="0"/>
          <w:bCs/>
          <w:sz w:val="16"/>
          <w:szCs w:val="16"/>
        </w:rPr>
        <w:t>n porcentaje)</w:t>
      </w:r>
    </w:p>
    <w:p w14:paraId="5B96E5DF" w14:textId="77777777" w:rsidR="00CD692A" w:rsidRPr="00CD692A" w:rsidRDefault="00CD692A" w:rsidP="00CD692A">
      <w:pPr>
        <w:pStyle w:val="SingleTxtG"/>
        <w:rPr>
          <w:b/>
          <w:lang w:val="en-GB"/>
        </w:rPr>
      </w:pPr>
      <w:r w:rsidRPr="00CD692A">
        <w:rPr>
          <w:noProof/>
        </w:rPr>
        <w:drawing>
          <wp:inline distT="0" distB="0" distL="0" distR="0" wp14:anchorId="6CE0C567" wp14:editId="48647AB3">
            <wp:extent cx="4679950" cy="2419081"/>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4692012" cy="2425316"/>
                    </a:xfrm>
                    <a:prstGeom prst="rect">
                      <a:avLst/>
                    </a:prstGeom>
                  </pic:spPr>
                </pic:pic>
              </a:graphicData>
            </a:graphic>
          </wp:inline>
        </w:drawing>
      </w:r>
    </w:p>
    <w:p w14:paraId="46FD74CD" w14:textId="77777777" w:rsidR="00CD692A" w:rsidRPr="006973C1" w:rsidRDefault="00CD692A" w:rsidP="006973C1">
      <w:pPr>
        <w:pStyle w:val="SingleTxtG"/>
        <w:spacing w:before="120" w:after="240"/>
        <w:ind w:firstLine="170"/>
        <w:jc w:val="left"/>
        <w:rPr>
          <w:sz w:val="18"/>
          <w:szCs w:val="18"/>
        </w:rPr>
      </w:pPr>
      <w:r w:rsidRPr="006973C1">
        <w:rPr>
          <w:i/>
          <w:iCs/>
          <w:sz w:val="18"/>
          <w:szCs w:val="18"/>
        </w:rPr>
        <w:t>Fuente:</w:t>
      </w:r>
      <w:r w:rsidRPr="006973C1">
        <w:rPr>
          <w:sz w:val="18"/>
          <w:szCs w:val="18"/>
        </w:rPr>
        <w:t xml:space="preserve"> Ministerio de Finanzas.</w:t>
      </w:r>
    </w:p>
    <w:p w14:paraId="0476BFAF" w14:textId="77777777" w:rsidR="00CD692A" w:rsidRPr="00CD692A" w:rsidRDefault="00CD692A" w:rsidP="00CD692A">
      <w:pPr>
        <w:pStyle w:val="SingleTxtG"/>
        <w:rPr>
          <w:bCs/>
        </w:rPr>
      </w:pPr>
      <w:r w:rsidRPr="00CD692A">
        <w:t>175.</w:t>
      </w:r>
      <w:r w:rsidRPr="00CD692A">
        <w:tab/>
        <w:t>En el ejercicio económico 2019/20, el presupuesto aprobado para proyectos de desarrollo del sector de la educación fue de 49.500 millones de kwacha. La suma incluye una asignación presupuestaria aprobada de 18.200 millones de kwacha para proyectos de desarrollo que se ejecutaron en el marco del apoyo de organizaciones a la subvención de la educación. La mayor parte de los recursos del presupuesto para el desarrollo se asignaron a los tres programas principales de educación: básica, secundaria y superior.</w:t>
      </w:r>
    </w:p>
    <w:p w14:paraId="5AA43C91" w14:textId="77777777" w:rsidR="00CD692A" w:rsidRPr="00CD692A" w:rsidRDefault="00CD692A" w:rsidP="00CD692A">
      <w:pPr>
        <w:pStyle w:val="SingleTxtG"/>
        <w:rPr>
          <w:bCs/>
        </w:rPr>
      </w:pPr>
      <w:r w:rsidRPr="00CD692A">
        <w:t>176.</w:t>
      </w:r>
      <w:r w:rsidRPr="00CD692A">
        <w:tab/>
        <w:t>El siguiente cuadro muestra las asignaciones presupuestarias por programa para el desarrollo del sector de la educación.</w:t>
      </w:r>
    </w:p>
    <w:p w14:paraId="4B207482" w14:textId="25EF6BFC" w:rsidR="00CD692A" w:rsidRPr="00CD692A" w:rsidRDefault="006973C1" w:rsidP="006973C1">
      <w:pPr>
        <w:pStyle w:val="H23G"/>
      </w:pPr>
      <w:r w:rsidRPr="006973C1">
        <w:rPr>
          <w:b w:val="0"/>
          <w:bCs/>
        </w:rPr>
        <w:tab/>
      </w:r>
      <w:r w:rsidRPr="006973C1">
        <w:rPr>
          <w:b w:val="0"/>
          <w:bCs/>
        </w:rPr>
        <w:tab/>
      </w:r>
      <w:r w:rsidR="00CD692A" w:rsidRPr="006973C1">
        <w:rPr>
          <w:b w:val="0"/>
          <w:bCs/>
        </w:rPr>
        <w:t>Cuadro 31</w:t>
      </w:r>
      <w:r w:rsidRPr="006973C1">
        <w:rPr>
          <w:b w:val="0"/>
          <w:bCs/>
        </w:rPr>
        <w:br/>
      </w:r>
      <w:r w:rsidR="00CD692A" w:rsidRPr="00CD692A">
        <w:t>Asignaciones presupuestarias por programa para el desarrollo del sector de la educación, ejercicio económico 2019/20</w:t>
      </w:r>
    </w:p>
    <w:p w14:paraId="37227F23" w14:textId="77777777" w:rsidR="00CD692A" w:rsidRPr="00CD692A" w:rsidRDefault="00CD692A" w:rsidP="00CD692A">
      <w:pPr>
        <w:pStyle w:val="SingleTxtG"/>
        <w:rPr>
          <w:lang w:val="en-GB"/>
        </w:rPr>
      </w:pPr>
      <w:r w:rsidRPr="00CD692A">
        <w:rPr>
          <w:noProof/>
        </w:rPr>
        <w:drawing>
          <wp:inline distT="0" distB="0" distL="0" distR="0" wp14:anchorId="1189176E" wp14:editId="26A31D0C">
            <wp:extent cx="4656730" cy="2705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4683155" cy="2720450"/>
                    </a:xfrm>
                    <a:prstGeom prst="rect">
                      <a:avLst/>
                    </a:prstGeom>
                  </pic:spPr>
                </pic:pic>
              </a:graphicData>
            </a:graphic>
          </wp:inline>
        </w:drawing>
      </w:r>
    </w:p>
    <w:p w14:paraId="4174285F" w14:textId="77777777" w:rsidR="00CD692A" w:rsidRPr="006973C1" w:rsidRDefault="00CD692A" w:rsidP="006973C1">
      <w:pPr>
        <w:pStyle w:val="SingleTxtG"/>
        <w:spacing w:before="120" w:after="240"/>
        <w:ind w:firstLine="170"/>
        <w:jc w:val="left"/>
        <w:rPr>
          <w:sz w:val="18"/>
          <w:szCs w:val="18"/>
        </w:rPr>
      </w:pPr>
      <w:r w:rsidRPr="006973C1">
        <w:rPr>
          <w:i/>
          <w:iCs/>
          <w:sz w:val="18"/>
          <w:szCs w:val="18"/>
        </w:rPr>
        <w:t>Fuente:</w:t>
      </w:r>
      <w:r w:rsidRPr="006973C1">
        <w:rPr>
          <w:sz w:val="18"/>
          <w:szCs w:val="18"/>
        </w:rPr>
        <w:t xml:space="preserve"> Ministerio de Finanzas.</w:t>
      </w:r>
    </w:p>
    <w:p w14:paraId="203DA95E" w14:textId="3EB4D254" w:rsidR="00CD692A" w:rsidRPr="00CD692A" w:rsidRDefault="006973C1" w:rsidP="006973C1">
      <w:pPr>
        <w:pStyle w:val="H23G"/>
      </w:pPr>
      <w:r>
        <w:lastRenderedPageBreak/>
        <w:tab/>
      </w:r>
      <w:r>
        <w:tab/>
      </w:r>
      <w:r w:rsidR="00CD692A" w:rsidRPr="00CD692A">
        <w:t>Número de escuelas</w:t>
      </w:r>
    </w:p>
    <w:p w14:paraId="7897415A" w14:textId="7E2CEFBC" w:rsidR="00CD692A" w:rsidRPr="00CD692A" w:rsidRDefault="00CD692A" w:rsidP="00CD692A">
      <w:pPr>
        <w:pStyle w:val="SingleTxtG"/>
        <w:rPr>
          <w:bCs/>
        </w:rPr>
      </w:pPr>
      <w:r w:rsidRPr="00CD692A">
        <w:t>177.</w:t>
      </w:r>
      <w:r w:rsidRPr="00CD692A">
        <w:tab/>
        <w:t>El número de escuelas secundarias, tanto públicas como privadas, ha aumentado en los cinco últimos años. Las escuelas de secundaria públicas pasaron de 981 en 2013 a 1.105</w:t>
      </w:r>
      <w:r w:rsidR="008E4DAD">
        <w:t> </w:t>
      </w:r>
      <w:r w:rsidRPr="00CD692A">
        <w:t>en 2017, lo que representa un aumento del 13 %. También aumentó el número de escuelas de secundaria privadas, que pasaron de 209 en 2013 a 306 en 2017, es decir 97 más que la cifra inicial, lo que representa un aumento del 46 %.</w:t>
      </w:r>
    </w:p>
    <w:p w14:paraId="5DB32177" w14:textId="221AD0D2" w:rsidR="00CD692A" w:rsidRPr="00CD692A" w:rsidRDefault="006973C1" w:rsidP="006973C1">
      <w:pPr>
        <w:pStyle w:val="H23G"/>
      </w:pPr>
      <w:r>
        <w:tab/>
      </w:r>
      <w:r>
        <w:tab/>
      </w:r>
      <w:r w:rsidR="00CD692A" w:rsidRPr="00CD692A">
        <w:t>Becas</w:t>
      </w:r>
    </w:p>
    <w:p w14:paraId="3C17B12A" w14:textId="312BF239" w:rsidR="00CD692A" w:rsidRPr="00CD692A" w:rsidRDefault="00CD692A" w:rsidP="00CD692A">
      <w:pPr>
        <w:pStyle w:val="SingleTxtG"/>
        <w:rPr>
          <w:bCs/>
        </w:rPr>
      </w:pPr>
      <w:r w:rsidRPr="00CD692A">
        <w:t>178.</w:t>
      </w:r>
      <w:r w:rsidRPr="00CD692A">
        <w:tab/>
        <w:t>El acceso a la educación superior se mejoró a través de préstamos estudiantiles, becas y subvenciones proporcionadas por organizaciones y particulares. La introducción de los préstamos para estudiantes por parte de la Junta de Préstamos y Becas para Estudiantes de Educación Superior ha contribuido a que los estudiantes necesitados que, por sus limitaciones financieras, corren el riesgo de abandonar los estudios, puedan acceder a las universidades o establecimientos de educación superior y permanecer en ellos. Durante el ejercicio económico 2016/17, el total de la asignación presupuestaria máxima concedida a la Junta ascendió a 3.000 millones de kwacha, de los cuales 2.449 millones, o sea un 83</w:t>
      </w:r>
      <w:r w:rsidR="001F12BD">
        <w:t xml:space="preserve"> </w:t>
      </w:r>
      <w:r w:rsidRPr="00CD692A">
        <w:t>%, se destinaron a préstamos a estudiantes, y el resto, o sea, un 17 %, a las operaciones de la Junta.</w:t>
      </w:r>
      <w:bookmarkStart w:id="53" w:name="_Hlk63778757"/>
      <w:bookmarkEnd w:id="53"/>
    </w:p>
    <w:p w14:paraId="73F4776A" w14:textId="77777777" w:rsidR="00CD692A" w:rsidRPr="00CD692A" w:rsidRDefault="00CD692A" w:rsidP="00CD692A">
      <w:pPr>
        <w:pStyle w:val="SingleTxtG"/>
        <w:rPr>
          <w:bCs/>
        </w:rPr>
      </w:pPr>
      <w:r w:rsidRPr="00CD692A">
        <w:t>179.</w:t>
      </w:r>
      <w:r w:rsidRPr="00CD692A">
        <w:tab/>
        <w:t>Los cuadros que se presentan a continuación contienen un resumen de la situación de la educación en Malawi en 2018 en lo que respecta al acceso, la calidad, la eficiencia, la equidad y los gastos presupuestarios.</w:t>
      </w:r>
    </w:p>
    <w:p w14:paraId="0C2CF5D1" w14:textId="306BAC4A" w:rsidR="00CD692A" w:rsidRPr="00CD692A" w:rsidRDefault="006973C1" w:rsidP="006973C1">
      <w:pPr>
        <w:pStyle w:val="H23G"/>
        <w:rPr>
          <w:lang w:val="en-GB"/>
        </w:rPr>
      </w:pPr>
      <w:r w:rsidRPr="006973C1">
        <w:rPr>
          <w:b w:val="0"/>
          <w:bCs/>
        </w:rPr>
        <w:tab/>
      </w:r>
      <w:r w:rsidRPr="006973C1">
        <w:rPr>
          <w:b w:val="0"/>
          <w:bCs/>
        </w:rPr>
        <w:tab/>
      </w:r>
      <w:r w:rsidR="00CD692A" w:rsidRPr="006973C1">
        <w:rPr>
          <w:b w:val="0"/>
          <w:bCs/>
        </w:rPr>
        <w:t>Cuadro 32</w:t>
      </w:r>
      <w:r w:rsidRPr="006973C1">
        <w:rPr>
          <w:b w:val="0"/>
          <w:bCs/>
        </w:rPr>
        <w:br/>
      </w:r>
      <w:r w:rsidR="00CD692A" w:rsidRPr="00CD692A">
        <w:t>Indicadores de acceso, 2017-2018</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962"/>
        <w:gridCol w:w="1134"/>
        <w:gridCol w:w="1274"/>
      </w:tblGrid>
      <w:tr w:rsidR="006973C1" w:rsidRPr="006973C1" w14:paraId="77C59F05" w14:textId="77777777" w:rsidTr="008D31CF">
        <w:trPr>
          <w:trHeight w:val="240"/>
          <w:tblHeader/>
        </w:trPr>
        <w:tc>
          <w:tcPr>
            <w:tcW w:w="4962" w:type="dxa"/>
            <w:tcBorders>
              <w:top w:val="single" w:sz="4" w:space="0" w:color="auto"/>
              <w:bottom w:val="single" w:sz="12" w:space="0" w:color="auto"/>
            </w:tcBorders>
            <w:shd w:val="clear" w:color="auto" w:fill="auto"/>
            <w:vAlign w:val="bottom"/>
          </w:tcPr>
          <w:p w14:paraId="33DF1C5B" w14:textId="77777777" w:rsidR="00CD692A" w:rsidRPr="006973C1" w:rsidRDefault="00CD692A" w:rsidP="006973C1">
            <w:pPr>
              <w:pStyle w:val="SingleTxtG"/>
              <w:tabs>
                <w:tab w:val="clear" w:pos="1701"/>
                <w:tab w:val="clear" w:pos="2268"/>
                <w:tab w:val="clear" w:pos="2835"/>
              </w:tabs>
              <w:spacing w:before="80" w:after="80" w:line="200" w:lineRule="exact"/>
              <w:ind w:left="0" w:right="0"/>
              <w:jc w:val="left"/>
              <w:rPr>
                <w:bCs/>
                <w:i/>
                <w:sz w:val="16"/>
                <w:lang w:val="en-GB"/>
              </w:rPr>
            </w:pPr>
          </w:p>
        </w:tc>
        <w:tc>
          <w:tcPr>
            <w:tcW w:w="1134" w:type="dxa"/>
            <w:tcBorders>
              <w:top w:val="single" w:sz="4" w:space="0" w:color="auto"/>
              <w:bottom w:val="single" w:sz="12" w:space="0" w:color="auto"/>
            </w:tcBorders>
            <w:shd w:val="clear" w:color="auto" w:fill="auto"/>
            <w:vAlign w:val="bottom"/>
          </w:tcPr>
          <w:p w14:paraId="114FA933" w14:textId="77777777" w:rsidR="00CD692A" w:rsidRPr="006973C1" w:rsidRDefault="00CD692A" w:rsidP="006973C1">
            <w:pPr>
              <w:pStyle w:val="SingleTxtG"/>
              <w:tabs>
                <w:tab w:val="clear" w:pos="1701"/>
                <w:tab w:val="clear" w:pos="2268"/>
                <w:tab w:val="clear" w:pos="2835"/>
              </w:tabs>
              <w:spacing w:before="80" w:after="80" w:line="200" w:lineRule="exact"/>
              <w:ind w:left="28" w:right="28"/>
              <w:jc w:val="right"/>
              <w:rPr>
                <w:bCs/>
                <w:i/>
                <w:sz w:val="16"/>
                <w:lang w:val="en-GB"/>
              </w:rPr>
            </w:pPr>
            <w:r w:rsidRPr="006973C1">
              <w:rPr>
                <w:i/>
                <w:iCs/>
                <w:sz w:val="16"/>
              </w:rPr>
              <w:t>2017</w:t>
            </w:r>
          </w:p>
        </w:tc>
        <w:tc>
          <w:tcPr>
            <w:tcW w:w="1274" w:type="dxa"/>
            <w:tcBorders>
              <w:top w:val="single" w:sz="4" w:space="0" w:color="auto"/>
              <w:bottom w:val="single" w:sz="12" w:space="0" w:color="auto"/>
            </w:tcBorders>
            <w:shd w:val="clear" w:color="auto" w:fill="auto"/>
            <w:vAlign w:val="bottom"/>
          </w:tcPr>
          <w:p w14:paraId="381AD0B6" w14:textId="77777777" w:rsidR="00CD692A" w:rsidRPr="006973C1" w:rsidRDefault="00CD692A" w:rsidP="006973C1">
            <w:pPr>
              <w:pStyle w:val="SingleTxtG"/>
              <w:tabs>
                <w:tab w:val="clear" w:pos="1701"/>
                <w:tab w:val="clear" w:pos="2268"/>
                <w:tab w:val="clear" w:pos="2835"/>
              </w:tabs>
              <w:spacing w:before="80" w:after="80" w:line="200" w:lineRule="exact"/>
              <w:ind w:left="28" w:right="28"/>
              <w:jc w:val="right"/>
              <w:rPr>
                <w:bCs/>
                <w:i/>
                <w:sz w:val="16"/>
                <w:lang w:val="en-GB"/>
              </w:rPr>
            </w:pPr>
            <w:r w:rsidRPr="006973C1">
              <w:rPr>
                <w:i/>
                <w:iCs/>
                <w:sz w:val="16"/>
              </w:rPr>
              <w:t>2018</w:t>
            </w:r>
          </w:p>
        </w:tc>
      </w:tr>
      <w:tr w:rsidR="00CD692A" w:rsidRPr="006973C1" w14:paraId="2B658A2E" w14:textId="77777777" w:rsidTr="008D31CF">
        <w:trPr>
          <w:trHeight w:val="240"/>
        </w:trPr>
        <w:tc>
          <w:tcPr>
            <w:tcW w:w="4962" w:type="dxa"/>
            <w:tcBorders>
              <w:top w:val="single" w:sz="12" w:space="0" w:color="auto"/>
              <w:bottom w:val="single" w:sz="4" w:space="0" w:color="auto"/>
            </w:tcBorders>
            <w:shd w:val="clear" w:color="auto" w:fill="auto"/>
          </w:tcPr>
          <w:p w14:paraId="3E1D1FDB"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lang w:val="en-GB"/>
              </w:rPr>
            </w:pPr>
            <w:r w:rsidRPr="006973C1">
              <w:rPr>
                <w:b/>
                <w:bCs/>
                <w:sz w:val="18"/>
              </w:rPr>
              <w:t>Matriculación total en primaria</w:t>
            </w:r>
          </w:p>
        </w:tc>
        <w:tc>
          <w:tcPr>
            <w:tcW w:w="1134" w:type="dxa"/>
            <w:tcBorders>
              <w:top w:val="single" w:sz="12" w:space="0" w:color="auto"/>
              <w:bottom w:val="single" w:sz="4" w:space="0" w:color="auto"/>
            </w:tcBorders>
            <w:shd w:val="clear" w:color="auto" w:fill="auto"/>
            <w:vAlign w:val="bottom"/>
          </w:tcPr>
          <w:p w14:paraId="7E5BF477" w14:textId="5E3BD06D"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5</w:t>
            </w:r>
            <w:r w:rsidR="006973C1">
              <w:rPr>
                <w:b/>
                <w:bCs/>
                <w:sz w:val="18"/>
              </w:rPr>
              <w:t xml:space="preserve"> </w:t>
            </w:r>
            <w:r w:rsidRPr="006973C1">
              <w:rPr>
                <w:b/>
                <w:bCs/>
                <w:sz w:val="18"/>
              </w:rPr>
              <w:t>073</w:t>
            </w:r>
            <w:r w:rsidR="006973C1">
              <w:rPr>
                <w:b/>
                <w:bCs/>
                <w:sz w:val="18"/>
              </w:rPr>
              <w:t xml:space="preserve"> </w:t>
            </w:r>
            <w:r w:rsidRPr="006973C1">
              <w:rPr>
                <w:b/>
                <w:bCs/>
                <w:sz w:val="18"/>
              </w:rPr>
              <w:t>721</w:t>
            </w:r>
          </w:p>
        </w:tc>
        <w:tc>
          <w:tcPr>
            <w:tcW w:w="1274" w:type="dxa"/>
            <w:tcBorders>
              <w:top w:val="single" w:sz="12" w:space="0" w:color="auto"/>
              <w:bottom w:val="single" w:sz="4" w:space="0" w:color="auto"/>
            </w:tcBorders>
            <w:shd w:val="clear" w:color="auto" w:fill="auto"/>
            <w:vAlign w:val="bottom"/>
          </w:tcPr>
          <w:p w14:paraId="28BE6641" w14:textId="3D6A3B4C"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5</w:t>
            </w:r>
            <w:r w:rsidR="006973C1">
              <w:rPr>
                <w:b/>
                <w:bCs/>
                <w:sz w:val="18"/>
              </w:rPr>
              <w:t xml:space="preserve"> </w:t>
            </w:r>
            <w:r w:rsidRPr="006973C1">
              <w:rPr>
                <w:b/>
                <w:bCs/>
                <w:sz w:val="18"/>
              </w:rPr>
              <w:t>187</w:t>
            </w:r>
            <w:r w:rsidR="006973C1">
              <w:rPr>
                <w:b/>
                <w:bCs/>
                <w:sz w:val="18"/>
              </w:rPr>
              <w:t xml:space="preserve"> </w:t>
            </w:r>
            <w:r w:rsidRPr="006973C1">
              <w:rPr>
                <w:b/>
                <w:bCs/>
                <w:sz w:val="18"/>
              </w:rPr>
              <w:t>634</w:t>
            </w:r>
          </w:p>
        </w:tc>
      </w:tr>
      <w:tr w:rsidR="00CD692A" w:rsidRPr="006973C1" w14:paraId="4FB2B3F5" w14:textId="77777777" w:rsidTr="008D31CF">
        <w:trPr>
          <w:trHeight w:val="240"/>
        </w:trPr>
        <w:tc>
          <w:tcPr>
            <w:tcW w:w="4962" w:type="dxa"/>
            <w:tcBorders>
              <w:top w:val="single" w:sz="4" w:space="0" w:color="auto"/>
            </w:tcBorders>
            <w:shd w:val="clear" w:color="auto" w:fill="auto"/>
          </w:tcPr>
          <w:p w14:paraId="7172D3E2"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tcBorders>
              <w:top w:val="single" w:sz="4" w:space="0" w:color="auto"/>
            </w:tcBorders>
            <w:shd w:val="clear" w:color="auto" w:fill="auto"/>
            <w:vAlign w:val="bottom"/>
          </w:tcPr>
          <w:p w14:paraId="5D3788C0" w14:textId="742C005E"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513</w:t>
            </w:r>
            <w:r w:rsidR="006973C1">
              <w:rPr>
                <w:sz w:val="18"/>
              </w:rPr>
              <w:t xml:space="preserve"> </w:t>
            </w:r>
            <w:r w:rsidRPr="006973C1">
              <w:rPr>
                <w:sz w:val="18"/>
              </w:rPr>
              <w:t>876</w:t>
            </w:r>
          </w:p>
        </w:tc>
        <w:tc>
          <w:tcPr>
            <w:tcW w:w="1274" w:type="dxa"/>
            <w:tcBorders>
              <w:top w:val="single" w:sz="4" w:space="0" w:color="auto"/>
            </w:tcBorders>
            <w:shd w:val="clear" w:color="auto" w:fill="auto"/>
            <w:vAlign w:val="bottom"/>
          </w:tcPr>
          <w:p w14:paraId="36860D22" w14:textId="5A50687E"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565</w:t>
            </w:r>
            <w:r w:rsidR="006973C1">
              <w:rPr>
                <w:sz w:val="18"/>
              </w:rPr>
              <w:t xml:space="preserve"> </w:t>
            </w:r>
            <w:r w:rsidRPr="006973C1">
              <w:rPr>
                <w:sz w:val="18"/>
              </w:rPr>
              <w:t>344</w:t>
            </w:r>
          </w:p>
        </w:tc>
      </w:tr>
      <w:tr w:rsidR="00CD692A" w:rsidRPr="006973C1" w14:paraId="323536E0" w14:textId="77777777" w:rsidTr="008D31CF">
        <w:trPr>
          <w:trHeight w:val="240"/>
        </w:trPr>
        <w:tc>
          <w:tcPr>
            <w:tcW w:w="4962" w:type="dxa"/>
            <w:tcBorders>
              <w:bottom w:val="single" w:sz="4" w:space="0" w:color="auto"/>
            </w:tcBorders>
            <w:shd w:val="clear" w:color="auto" w:fill="auto"/>
          </w:tcPr>
          <w:p w14:paraId="15AE9958"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4" w:space="0" w:color="auto"/>
            </w:tcBorders>
            <w:shd w:val="clear" w:color="auto" w:fill="auto"/>
            <w:vAlign w:val="bottom"/>
          </w:tcPr>
          <w:p w14:paraId="663D888D" w14:textId="61CA57B6"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559</w:t>
            </w:r>
            <w:r w:rsidR="006973C1">
              <w:rPr>
                <w:sz w:val="18"/>
              </w:rPr>
              <w:t xml:space="preserve"> </w:t>
            </w:r>
            <w:r w:rsidRPr="006973C1">
              <w:rPr>
                <w:sz w:val="18"/>
              </w:rPr>
              <w:t>845</w:t>
            </w:r>
          </w:p>
        </w:tc>
        <w:tc>
          <w:tcPr>
            <w:tcW w:w="1274" w:type="dxa"/>
            <w:tcBorders>
              <w:bottom w:val="single" w:sz="4" w:space="0" w:color="auto"/>
            </w:tcBorders>
            <w:shd w:val="clear" w:color="auto" w:fill="auto"/>
            <w:vAlign w:val="bottom"/>
          </w:tcPr>
          <w:p w14:paraId="61AC8347" w14:textId="36B48A72"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622</w:t>
            </w:r>
            <w:r w:rsidR="006973C1">
              <w:rPr>
                <w:sz w:val="18"/>
              </w:rPr>
              <w:t xml:space="preserve"> </w:t>
            </w:r>
            <w:r w:rsidRPr="006973C1">
              <w:rPr>
                <w:sz w:val="18"/>
              </w:rPr>
              <w:t>290</w:t>
            </w:r>
          </w:p>
        </w:tc>
      </w:tr>
      <w:tr w:rsidR="00CD692A" w:rsidRPr="006973C1" w14:paraId="6357CC96" w14:textId="77777777" w:rsidTr="008D31CF">
        <w:trPr>
          <w:trHeight w:val="240"/>
        </w:trPr>
        <w:tc>
          <w:tcPr>
            <w:tcW w:w="4962" w:type="dxa"/>
            <w:tcBorders>
              <w:top w:val="single" w:sz="4" w:space="0" w:color="auto"/>
              <w:bottom w:val="single" w:sz="4" w:space="0" w:color="auto"/>
            </w:tcBorders>
            <w:shd w:val="clear" w:color="auto" w:fill="auto"/>
          </w:tcPr>
          <w:p w14:paraId="3E87016C"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rPr>
            </w:pPr>
            <w:r w:rsidRPr="006973C1">
              <w:rPr>
                <w:b/>
                <w:bCs/>
                <w:sz w:val="18"/>
              </w:rPr>
              <w:t>Matriculación total en escuelas de primaria públicas</w:t>
            </w:r>
          </w:p>
        </w:tc>
        <w:tc>
          <w:tcPr>
            <w:tcW w:w="1134" w:type="dxa"/>
            <w:tcBorders>
              <w:top w:val="single" w:sz="4" w:space="0" w:color="auto"/>
              <w:bottom w:val="single" w:sz="4" w:space="0" w:color="auto"/>
            </w:tcBorders>
            <w:shd w:val="clear" w:color="auto" w:fill="auto"/>
            <w:vAlign w:val="bottom"/>
          </w:tcPr>
          <w:p w14:paraId="5C4E621A" w14:textId="18476388"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4</w:t>
            </w:r>
            <w:r w:rsidR="006973C1">
              <w:rPr>
                <w:b/>
                <w:bCs/>
                <w:sz w:val="18"/>
              </w:rPr>
              <w:t xml:space="preserve"> </w:t>
            </w:r>
            <w:r w:rsidRPr="006973C1">
              <w:rPr>
                <w:b/>
                <w:bCs/>
                <w:sz w:val="18"/>
              </w:rPr>
              <w:t>964</w:t>
            </w:r>
            <w:r w:rsidR="006973C1">
              <w:rPr>
                <w:b/>
                <w:bCs/>
                <w:sz w:val="18"/>
              </w:rPr>
              <w:t xml:space="preserve"> </w:t>
            </w:r>
            <w:r w:rsidRPr="006973C1">
              <w:rPr>
                <w:b/>
                <w:bCs/>
                <w:sz w:val="18"/>
              </w:rPr>
              <w:t>474</w:t>
            </w:r>
          </w:p>
        </w:tc>
        <w:tc>
          <w:tcPr>
            <w:tcW w:w="1274" w:type="dxa"/>
            <w:tcBorders>
              <w:top w:val="single" w:sz="4" w:space="0" w:color="auto"/>
              <w:bottom w:val="single" w:sz="4" w:space="0" w:color="auto"/>
            </w:tcBorders>
            <w:shd w:val="clear" w:color="auto" w:fill="auto"/>
            <w:vAlign w:val="bottom"/>
          </w:tcPr>
          <w:p w14:paraId="46165F6E" w14:textId="7B4B9F58"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5</w:t>
            </w:r>
            <w:r w:rsidR="006973C1">
              <w:rPr>
                <w:b/>
                <w:bCs/>
                <w:sz w:val="18"/>
              </w:rPr>
              <w:t xml:space="preserve"> </w:t>
            </w:r>
            <w:r w:rsidRPr="006973C1">
              <w:rPr>
                <w:b/>
                <w:bCs/>
                <w:sz w:val="18"/>
              </w:rPr>
              <w:t>063</w:t>
            </w:r>
            <w:r w:rsidR="006973C1">
              <w:rPr>
                <w:b/>
                <w:bCs/>
                <w:sz w:val="18"/>
              </w:rPr>
              <w:t xml:space="preserve"> </w:t>
            </w:r>
            <w:r w:rsidRPr="006973C1">
              <w:rPr>
                <w:b/>
                <w:bCs/>
                <w:sz w:val="18"/>
              </w:rPr>
              <w:t>917</w:t>
            </w:r>
          </w:p>
        </w:tc>
      </w:tr>
      <w:tr w:rsidR="00CD692A" w:rsidRPr="006973C1" w14:paraId="12FDA7EB" w14:textId="77777777" w:rsidTr="008D31CF">
        <w:trPr>
          <w:trHeight w:val="240"/>
        </w:trPr>
        <w:tc>
          <w:tcPr>
            <w:tcW w:w="4962" w:type="dxa"/>
            <w:tcBorders>
              <w:top w:val="single" w:sz="4" w:space="0" w:color="auto"/>
            </w:tcBorders>
            <w:shd w:val="clear" w:color="auto" w:fill="auto"/>
          </w:tcPr>
          <w:p w14:paraId="3A50773A"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tcBorders>
              <w:top w:val="single" w:sz="4" w:space="0" w:color="auto"/>
            </w:tcBorders>
            <w:shd w:val="clear" w:color="auto" w:fill="auto"/>
            <w:vAlign w:val="bottom"/>
          </w:tcPr>
          <w:p w14:paraId="3BFAB2A7" w14:textId="668AA9AD"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460</w:t>
            </w:r>
            <w:r w:rsidR="006973C1">
              <w:rPr>
                <w:sz w:val="18"/>
              </w:rPr>
              <w:t xml:space="preserve"> </w:t>
            </w:r>
            <w:r w:rsidRPr="006973C1">
              <w:rPr>
                <w:sz w:val="18"/>
              </w:rPr>
              <w:t>112</w:t>
            </w:r>
          </w:p>
        </w:tc>
        <w:tc>
          <w:tcPr>
            <w:tcW w:w="1274" w:type="dxa"/>
            <w:tcBorders>
              <w:top w:val="single" w:sz="4" w:space="0" w:color="auto"/>
            </w:tcBorders>
            <w:shd w:val="clear" w:color="auto" w:fill="auto"/>
            <w:vAlign w:val="bottom"/>
          </w:tcPr>
          <w:p w14:paraId="1BA48E8E" w14:textId="6F7BEF3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504</w:t>
            </w:r>
            <w:r w:rsidR="006973C1">
              <w:rPr>
                <w:sz w:val="18"/>
              </w:rPr>
              <w:t xml:space="preserve"> </w:t>
            </w:r>
            <w:r w:rsidRPr="006973C1">
              <w:rPr>
                <w:sz w:val="18"/>
              </w:rPr>
              <w:t>357</w:t>
            </w:r>
          </w:p>
        </w:tc>
      </w:tr>
      <w:tr w:rsidR="00CD692A" w:rsidRPr="006973C1" w14:paraId="3655C44E" w14:textId="77777777" w:rsidTr="008D31CF">
        <w:trPr>
          <w:trHeight w:val="240"/>
        </w:trPr>
        <w:tc>
          <w:tcPr>
            <w:tcW w:w="4962" w:type="dxa"/>
            <w:tcBorders>
              <w:bottom w:val="single" w:sz="4" w:space="0" w:color="auto"/>
            </w:tcBorders>
            <w:shd w:val="clear" w:color="auto" w:fill="auto"/>
          </w:tcPr>
          <w:p w14:paraId="281F9D0B"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4" w:space="0" w:color="auto"/>
            </w:tcBorders>
            <w:shd w:val="clear" w:color="auto" w:fill="auto"/>
            <w:vAlign w:val="bottom"/>
          </w:tcPr>
          <w:p w14:paraId="5FD86B16" w14:textId="6DC60496"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504</w:t>
            </w:r>
            <w:r w:rsidR="006973C1">
              <w:rPr>
                <w:sz w:val="18"/>
              </w:rPr>
              <w:t xml:space="preserve"> </w:t>
            </w:r>
            <w:r w:rsidRPr="006973C1">
              <w:rPr>
                <w:sz w:val="18"/>
              </w:rPr>
              <w:t>362</w:t>
            </w:r>
          </w:p>
        </w:tc>
        <w:tc>
          <w:tcPr>
            <w:tcW w:w="1274" w:type="dxa"/>
            <w:tcBorders>
              <w:bottom w:val="single" w:sz="4" w:space="0" w:color="auto"/>
            </w:tcBorders>
            <w:shd w:val="clear" w:color="auto" w:fill="auto"/>
            <w:vAlign w:val="bottom"/>
          </w:tcPr>
          <w:p w14:paraId="0C911EC3" w14:textId="5ED8963C"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w:t>
            </w:r>
            <w:r w:rsidR="006973C1">
              <w:rPr>
                <w:sz w:val="18"/>
              </w:rPr>
              <w:t xml:space="preserve"> </w:t>
            </w:r>
            <w:r w:rsidRPr="006973C1">
              <w:rPr>
                <w:sz w:val="18"/>
              </w:rPr>
              <w:t>559</w:t>
            </w:r>
            <w:r w:rsidR="006973C1">
              <w:rPr>
                <w:sz w:val="18"/>
              </w:rPr>
              <w:t xml:space="preserve"> </w:t>
            </w:r>
            <w:r w:rsidRPr="006973C1">
              <w:rPr>
                <w:sz w:val="18"/>
              </w:rPr>
              <w:t>560</w:t>
            </w:r>
          </w:p>
        </w:tc>
      </w:tr>
      <w:tr w:rsidR="00CD692A" w:rsidRPr="006973C1" w14:paraId="372647D3" w14:textId="77777777" w:rsidTr="008D31CF">
        <w:trPr>
          <w:trHeight w:val="240"/>
        </w:trPr>
        <w:tc>
          <w:tcPr>
            <w:tcW w:w="4962" w:type="dxa"/>
            <w:tcBorders>
              <w:top w:val="single" w:sz="4" w:space="0" w:color="auto"/>
              <w:bottom w:val="single" w:sz="4" w:space="0" w:color="auto"/>
            </w:tcBorders>
            <w:shd w:val="clear" w:color="auto" w:fill="auto"/>
          </w:tcPr>
          <w:p w14:paraId="1358B749"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rPr>
            </w:pPr>
            <w:r w:rsidRPr="006973C1">
              <w:rPr>
                <w:b/>
                <w:bCs/>
                <w:sz w:val="18"/>
              </w:rPr>
              <w:t>Matriculación total en escuelas de primaria privadas</w:t>
            </w:r>
            <w:r w:rsidRPr="006973C1">
              <w:rPr>
                <w:b/>
                <w:sz w:val="18"/>
              </w:rPr>
              <w:t xml:space="preserve"> </w:t>
            </w:r>
          </w:p>
        </w:tc>
        <w:tc>
          <w:tcPr>
            <w:tcW w:w="1134" w:type="dxa"/>
            <w:tcBorders>
              <w:top w:val="single" w:sz="4" w:space="0" w:color="auto"/>
              <w:bottom w:val="single" w:sz="4" w:space="0" w:color="auto"/>
            </w:tcBorders>
            <w:shd w:val="clear" w:color="auto" w:fill="auto"/>
            <w:vAlign w:val="bottom"/>
          </w:tcPr>
          <w:p w14:paraId="4D7C21EB" w14:textId="7D9E2846"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109</w:t>
            </w:r>
            <w:r w:rsidR="006973C1">
              <w:rPr>
                <w:b/>
                <w:bCs/>
                <w:sz w:val="18"/>
              </w:rPr>
              <w:t xml:space="preserve"> </w:t>
            </w:r>
            <w:r w:rsidRPr="006973C1">
              <w:rPr>
                <w:b/>
                <w:bCs/>
                <w:sz w:val="18"/>
              </w:rPr>
              <w:t>247</w:t>
            </w:r>
          </w:p>
        </w:tc>
        <w:tc>
          <w:tcPr>
            <w:tcW w:w="1274" w:type="dxa"/>
            <w:tcBorders>
              <w:top w:val="single" w:sz="4" w:space="0" w:color="auto"/>
              <w:bottom w:val="single" w:sz="4" w:space="0" w:color="auto"/>
            </w:tcBorders>
            <w:shd w:val="clear" w:color="auto" w:fill="auto"/>
            <w:vAlign w:val="bottom"/>
          </w:tcPr>
          <w:p w14:paraId="2E2E0944" w14:textId="2AC5F70D"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123</w:t>
            </w:r>
            <w:r w:rsidR="006973C1">
              <w:rPr>
                <w:b/>
                <w:bCs/>
                <w:sz w:val="18"/>
              </w:rPr>
              <w:t xml:space="preserve"> </w:t>
            </w:r>
            <w:r w:rsidRPr="006973C1">
              <w:rPr>
                <w:b/>
                <w:bCs/>
                <w:sz w:val="18"/>
              </w:rPr>
              <w:t>717</w:t>
            </w:r>
          </w:p>
        </w:tc>
      </w:tr>
      <w:tr w:rsidR="00CD692A" w:rsidRPr="006973C1" w14:paraId="24C5852C" w14:textId="77777777" w:rsidTr="008D31CF">
        <w:trPr>
          <w:trHeight w:val="240"/>
        </w:trPr>
        <w:tc>
          <w:tcPr>
            <w:tcW w:w="4962" w:type="dxa"/>
            <w:tcBorders>
              <w:top w:val="single" w:sz="4" w:space="0" w:color="auto"/>
            </w:tcBorders>
            <w:shd w:val="clear" w:color="auto" w:fill="auto"/>
          </w:tcPr>
          <w:p w14:paraId="529E467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tcBorders>
              <w:top w:val="single" w:sz="4" w:space="0" w:color="auto"/>
            </w:tcBorders>
            <w:shd w:val="clear" w:color="auto" w:fill="auto"/>
            <w:vAlign w:val="bottom"/>
          </w:tcPr>
          <w:p w14:paraId="1D030546" w14:textId="23CBBC92"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53</w:t>
            </w:r>
            <w:r w:rsidR="006973C1">
              <w:rPr>
                <w:sz w:val="18"/>
              </w:rPr>
              <w:t xml:space="preserve"> </w:t>
            </w:r>
            <w:r w:rsidRPr="006973C1">
              <w:rPr>
                <w:sz w:val="18"/>
              </w:rPr>
              <w:t>764</w:t>
            </w:r>
          </w:p>
        </w:tc>
        <w:tc>
          <w:tcPr>
            <w:tcW w:w="1274" w:type="dxa"/>
            <w:tcBorders>
              <w:top w:val="single" w:sz="4" w:space="0" w:color="auto"/>
            </w:tcBorders>
            <w:shd w:val="clear" w:color="auto" w:fill="auto"/>
            <w:vAlign w:val="bottom"/>
          </w:tcPr>
          <w:p w14:paraId="17EE1C6F" w14:textId="6281CD14"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60</w:t>
            </w:r>
            <w:r w:rsidR="006973C1">
              <w:rPr>
                <w:sz w:val="18"/>
              </w:rPr>
              <w:t xml:space="preserve"> </w:t>
            </w:r>
            <w:r w:rsidRPr="006973C1">
              <w:rPr>
                <w:sz w:val="18"/>
              </w:rPr>
              <w:t>987</w:t>
            </w:r>
          </w:p>
        </w:tc>
      </w:tr>
      <w:tr w:rsidR="00CD692A" w:rsidRPr="006973C1" w14:paraId="1F329DAB" w14:textId="77777777" w:rsidTr="008D31CF">
        <w:trPr>
          <w:trHeight w:val="240"/>
        </w:trPr>
        <w:tc>
          <w:tcPr>
            <w:tcW w:w="4962" w:type="dxa"/>
            <w:tcBorders>
              <w:bottom w:val="single" w:sz="4" w:space="0" w:color="auto"/>
            </w:tcBorders>
            <w:shd w:val="clear" w:color="auto" w:fill="auto"/>
          </w:tcPr>
          <w:p w14:paraId="4892C153"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4" w:space="0" w:color="auto"/>
            </w:tcBorders>
            <w:shd w:val="clear" w:color="auto" w:fill="auto"/>
            <w:vAlign w:val="bottom"/>
          </w:tcPr>
          <w:p w14:paraId="410F6CE9" w14:textId="6C9021D8"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55</w:t>
            </w:r>
            <w:r w:rsidR="006973C1">
              <w:rPr>
                <w:sz w:val="18"/>
              </w:rPr>
              <w:t xml:space="preserve"> </w:t>
            </w:r>
            <w:r w:rsidRPr="006973C1">
              <w:rPr>
                <w:sz w:val="18"/>
              </w:rPr>
              <w:t>483</w:t>
            </w:r>
          </w:p>
        </w:tc>
        <w:tc>
          <w:tcPr>
            <w:tcW w:w="1274" w:type="dxa"/>
            <w:tcBorders>
              <w:bottom w:val="single" w:sz="4" w:space="0" w:color="auto"/>
            </w:tcBorders>
            <w:shd w:val="clear" w:color="auto" w:fill="auto"/>
            <w:vAlign w:val="bottom"/>
          </w:tcPr>
          <w:p w14:paraId="07D205BB" w14:textId="798D1921"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62</w:t>
            </w:r>
            <w:r w:rsidR="006973C1">
              <w:rPr>
                <w:sz w:val="18"/>
              </w:rPr>
              <w:t xml:space="preserve"> </w:t>
            </w:r>
            <w:r w:rsidRPr="006973C1">
              <w:rPr>
                <w:sz w:val="18"/>
              </w:rPr>
              <w:t>730</w:t>
            </w:r>
          </w:p>
        </w:tc>
      </w:tr>
      <w:tr w:rsidR="00CD692A" w:rsidRPr="006973C1" w14:paraId="6F6582FE" w14:textId="77777777" w:rsidTr="008D31CF">
        <w:trPr>
          <w:trHeight w:val="240"/>
        </w:trPr>
        <w:tc>
          <w:tcPr>
            <w:tcW w:w="4962" w:type="dxa"/>
            <w:tcBorders>
              <w:top w:val="single" w:sz="4" w:space="0" w:color="auto"/>
              <w:bottom w:val="single" w:sz="4" w:space="0" w:color="auto"/>
            </w:tcBorders>
            <w:shd w:val="clear" w:color="auto" w:fill="auto"/>
          </w:tcPr>
          <w:p w14:paraId="73D76E94" w14:textId="469402D0"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rPr>
            </w:pPr>
            <w:r w:rsidRPr="006973C1">
              <w:rPr>
                <w:b/>
                <w:bCs/>
                <w:sz w:val="18"/>
              </w:rPr>
              <w:t>Alumnos que comienzan la escuela primaria (grado 1)</w:t>
            </w:r>
          </w:p>
        </w:tc>
        <w:tc>
          <w:tcPr>
            <w:tcW w:w="1134" w:type="dxa"/>
            <w:tcBorders>
              <w:top w:val="single" w:sz="4" w:space="0" w:color="auto"/>
              <w:bottom w:val="single" w:sz="4" w:space="0" w:color="auto"/>
            </w:tcBorders>
            <w:shd w:val="clear" w:color="auto" w:fill="auto"/>
            <w:vAlign w:val="bottom"/>
          </w:tcPr>
          <w:p w14:paraId="2ABA0C38" w14:textId="5C4FB9B8"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802</w:t>
            </w:r>
            <w:r w:rsidR="006973C1">
              <w:rPr>
                <w:b/>
                <w:bCs/>
                <w:sz w:val="18"/>
              </w:rPr>
              <w:t xml:space="preserve"> </w:t>
            </w:r>
            <w:r w:rsidRPr="006973C1">
              <w:rPr>
                <w:b/>
                <w:bCs/>
                <w:sz w:val="18"/>
              </w:rPr>
              <w:t>445</w:t>
            </w:r>
          </w:p>
        </w:tc>
        <w:tc>
          <w:tcPr>
            <w:tcW w:w="1274" w:type="dxa"/>
            <w:tcBorders>
              <w:top w:val="single" w:sz="4" w:space="0" w:color="auto"/>
              <w:bottom w:val="single" w:sz="4" w:space="0" w:color="auto"/>
            </w:tcBorders>
            <w:shd w:val="clear" w:color="auto" w:fill="auto"/>
            <w:vAlign w:val="bottom"/>
          </w:tcPr>
          <w:p w14:paraId="3E737BEA" w14:textId="58BA8956"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717</w:t>
            </w:r>
            <w:r w:rsidR="006973C1">
              <w:rPr>
                <w:b/>
                <w:bCs/>
                <w:sz w:val="18"/>
              </w:rPr>
              <w:t xml:space="preserve"> </w:t>
            </w:r>
            <w:r w:rsidRPr="006973C1">
              <w:rPr>
                <w:b/>
                <w:bCs/>
                <w:sz w:val="18"/>
              </w:rPr>
              <w:t>277</w:t>
            </w:r>
          </w:p>
        </w:tc>
      </w:tr>
      <w:tr w:rsidR="00CD692A" w:rsidRPr="006973C1" w14:paraId="7B730A34" w14:textId="77777777" w:rsidTr="008D31CF">
        <w:trPr>
          <w:trHeight w:val="240"/>
        </w:trPr>
        <w:tc>
          <w:tcPr>
            <w:tcW w:w="4962" w:type="dxa"/>
            <w:tcBorders>
              <w:top w:val="single" w:sz="4" w:space="0" w:color="auto"/>
            </w:tcBorders>
            <w:shd w:val="clear" w:color="auto" w:fill="auto"/>
          </w:tcPr>
          <w:p w14:paraId="245F32F3"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tcBorders>
              <w:top w:val="single" w:sz="4" w:space="0" w:color="auto"/>
            </w:tcBorders>
            <w:shd w:val="clear" w:color="auto" w:fill="auto"/>
            <w:vAlign w:val="bottom"/>
          </w:tcPr>
          <w:p w14:paraId="733264AC" w14:textId="5FE3DC59"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409</w:t>
            </w:r>
            <w:r w:rsidR="006973C1">
              <w:rPr>
                <w:sz w:val="18"/>
              </w:rPr>
              <w:t xml:space="preserve"> </w:t>
            </w:r>
            <w:r w:rsidRPr="006973C1">
              <w:rPr>
                <w:sz w:val="18"/>
              </w:rPr>
              <w:t>754</w:t>
            </w:r>
          </w:p>
        </w:tc>
        <w:tc>
          <w:tcPr>
            <w:tcW w:w="1274" w:type="dxa"/>
            <w:tcBorders>
              <w:top w:val="single" w:sz="4" w:space="0" w:color="auto"/>
            </w:tcBorders>
            <w:shd w:val="clear" w:color="auto" w:fill="auto"/>
            <w:vAlign w:val="bottom"/>
          </w:tcPr>
          <w:p w14:paraId="6F4D16DD" w14:textId="0168EEDD"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362</w:t>
            </w:r>
            <w:r w:rsidR="006973C1">
              <w:rPr>
                <w:sz w:val="18"/>
              </w:rPr>
              <w:t xml:space="preserve"> </w:t>
            </w:r>
            <w:r w:rsidRPr="006973C1">
              <w:rPr>
                <w:sz w:val="18"/>
              </w:rPr>
              <w:t>225</w:t>
            </w:r>
          </w:p>
        </w:tc>
      </w:tr>
      <w:tr w:rsidR="00CD692A" w:rsidRPr="006973C1" w14:paraId="602A4FCE" w14:textId="77777777" w:rsidTr="008D31CF">
        <w:trPr>
          <w:trHeight w:val="240"/>
        </w:trPr>
        <w:tc>
          <w:tcPr>
            <w:tcW w:w="4962" w:type="dxa"/>
            <w:tcBorders>
              <w:bottom w:val="single" w:sz="4" w:space="0" w:color="auto"/>
            </w:tcBorders>
            <w:shd w:val="clear" w:color="auto" w:fill="auto"/>
          </w:tcPr>
          <w:p w14:paraId="075B58B7"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4" w:space="0" w:color="auto"/>
            </w:tcBorders>
            <w:shd w:val="clear" w:color="auto" w:fill="auto"/>
            <w:vAlign w:val="bottom"/>
          </w:tcPr>
          <w:p w14:paraId="566726A4" w14:textId="6B8F254A"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392</w:t>
            </w:r>
            <w:r w:rsidR="006973C1">
              <w:rPr>
                <w:sz w:val="18"/>
              </w:rPr>
              <w:t xml:space="preserve"> </w:t>
            </w:r>
            <w:r w:rsidRPr="006973C1">
              <w:rPr>
                <w:sz w:val="18"/>
              </w:rPr>
              <w:t>691</w:t>
            </w:r>
          </w:p>
        </w:tc>
        <w:tc>
          <w:tcPr>
            <w:tcW w:w="1274" w:type="dxa"/>
            <w:tcBorders>
              <w:bottom w:val="single" w:sz="4" w:space="0" w:color="auto"/>
            </w:tcBorders>
            <w:shd w:val="clear" w:color="auto" w:fill="auto"/>
            <w:vAlign w:val="bottom"/>
          </w:tcPr>
          <w:p w14:paraId="4E424A54" w14:textId="3F72FDEF"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355</w:t>
            </w:r>
            <w:r w:rsidR="006973C1">
              <w:rPr>
                <w:sz w:val="18"/>
              </w:rPr>
              <w:t xml:space="preserve"> </w:t>
            </w:r>
            <w:r w:rsidRPr="006973C1">
              <w:rPr>
                <w:sz w:val="18"/>
              </w:rPr>
              <w:t>052</w:t>
            </w:r>
          </w:p>
        </w:tc>
      </w:tr>
      <w:tr w:rsidR="00CD692A" w:rsidRPr="006973C1" w14:paraId="49878D72" w14:textId="77777777" w:rsidTr="008D31CF">
        <w:trPr>
          <w:trHeight w:val="240"/>
        </w:trPr>
        <w:tc>
          <w:tcPr>
            <w:tcW w:w="4962" w:type="dxa"/>
            <w:tcBorders>
              <w:top w:val="single" w:sz="4" w:space="0" w:color="auto"/>
              <w:bottom w:val="single" w:sz="4" w:space="0" w:color="auto"/>
            </w:tcBorders>
            <w:shd w:val="clear" w:color="auto" w:fill="auto"/>
          </w:tcPr>
          <w:p w14:paraId="52448320"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lang w:val="en-GB"/>
              </w:rPr>
            </w:pPr>
            <w:r w:rsidRPr="006973C1">
              <w:rPr>
                <w:b/>
                <w:bCs/>
                <w:sz w:val="18"/>
              </w:rPr>
              <w:t>Matriculación total en secundaria</w:t>
            </w:r>
          </w:p>
        </w:tc>
        <w:tc>
          <w:tcPr>
            <w:tcW w:w="1134" w:type="dxa"/>
            <w:tcBorders>
              <w:top w:val="single" w:sz="4" w:space="0" w:color="auto"/>
              <w:bottom w:val="single" w:sz="4" w:space="0" w:color="auto"/>
            </w:tcBorders>
            <w:shd w:val="clear" w:color="auto" w:fill="auto"/>
            <w:vAlign w:val="bottom"/>
          </w:tcPr>
          <w:p w14:paraId="2967550B" w14:textId="2BEE4BC7"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372</w:t>
            </w:r>
            <w:r w:rsidR="006973C1">
              <w:rPr>
                <w:b/>
                <w:bCs/>
                <w:sz w:val="18"/>
              </w:rPr>
              <w:t xml:space="preserve"> </w:t>
            </w:r>
            <w:r w:rsidRPr="006973C1">
              <w:rPr>
                <w:b/>
                <w:bCs/>
                <w:sz w:val="18"/>
              </w:rPr>
              <w:t>885</w:t>
            </w:r>
          </w:p>
        </w:tc>
        <w:tc>
          <w:tcPr>
            <w:tcW w:w="1274" w:type="dxa"/>
            <w:tcBorders>
              <w:top w:val="single" w:sz="4" w:space="0" w:color="auto"/>
              <w:bottom w:val="single" w:sz="4" w:space="0" w:color="auto"/>
            </w:tcBorders>
            <w:shd w:val="clear" w:color="auto" w:fill="auto"/>
            <w:vAlign w:val="bottom"/>
          </w:tcPr>
          <w:p w14:paraId="7C36487B" w14:textId="2FD1862E"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387</w:t>
            </w:r>
            <w:r w:rsidR="006973C1">
              <w:rPr>
                <w:b/>
                <w:bCs/>
                <w:sz w:val="18"/>
              </w:rPr>
              <w:t xml:space="preserve"> </w:t>
            </w:r>
            <w:r w:rsidRPr="006973C1">
              <w:rPr>
                <w:b/>
                <w:bCs/>
                <w:sz w:val="18"/>
              </w:rPr>
              <w:t>569</w:t>
            </w:r>
          </w:p>
        </w:tc>
      </w:tr>
      <w:tr w:rsidR="00CD692A" w:rsidRPr="006973C1" w14:paraId="0BBE22BC" w14:textId="77777777" w:rsidTr="008D31CF">
        <w:trPr>
          <w:trHeight w:val="240"/>
        </w:trPr>
        <w:tc>
          <w:tcPr>
            <w:tcW w:w="4962" w:type="dxa"/>
            <w:tcBorders>
              <w:top w:val="single" w:sz="4" w:space="0" w:color="auto"/>
            </w:tcBorders>
            <w:shd w:val="clear" w:color="auto" w:fill="auto"/>
          </w:tcPr>
          <w:p w14:paraId="704A2481"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tcBorders>
              <w:top w:val="single" w:sz="4" w:space="0" w:color="auto"/>
            </w:tcBorders>
            <w:shd w:val="clear" w:color="auto" w:fill="auto"/>
            <w:vAlign w:val="bottom"/>
          </w:tcPr>
          <w:p w14:paraId="67675DC0" w14:textId="12CA47BA"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194</w:t>
            </w:r>
            <w:r w:rsidR="006973C1">
              <w:rPr>
                <w:sz w:val="18"/>
              </w:rPr>
              <w:t xml:space="preserve"> </w:t>
            </w:r>
            <w:r w:rsidRPr="006973C1">
              <w:rPr>
                <w:sz w:val="18"/>
              </w:rPr>
              <w:t>537</w:t>
            </w:r>
          </w:p>
        </w:tc>
        <w:tc>
          <w:tcPr>
            <w:tcW w:w="1274" w:type="dxa"/>
            <w:tcBorders>
              <w:top w:val="single" w:sz="4" w:space="0" w:color="auto"/>
            </w:tcBorders>
            <w:shd w:val="clear" w:color="auto" w:fill="auto"/>
            <w:vAlign w:val="bottom"/>
          </w:tcPr>
          <w:p w14:paraId="03847661" w14:textId="12615B6D"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201</w:t>
            </w:r>
            <w:r w:rsidR="006973C1">
              <w:rPr>
                <w:sz w:val="18"/>
              </w:rPr>
              <w:t xml:space="preserve"> </w:t>
            </w:r>
            <w:r w:rsidRPr="006973C1">
              <w:rPr>
                <w:sz w:val="18"/>
              </w:rPr>
              <w:t>635</w:t>
            </w:r>
          </w:p>
        </w:tc>
      </w:tr>
      <w:tr w:rsidR="00CD692A" w:rsidRPr="006973C1" w14:paraId="52E1C395" w14:textId="77777777" w:rsidTr="008D31CF">
        <w:trPr>
          <w:trHeight w:val="240"/>
        </w:trPr>
        <w:tc>
          <w:tcPr>
            <w:tcW w:w="4962" w:type="dxa"/>
            <w:tcBorders>
              <w:bottom w:val="single" w:sz="4" w:space="0" w:color="auto"/>
            </w:tcBorders>
            <w:shd w:val="clear" w:color="auto" w:fill="auto"/>
          </w:tcPr>
          <w:p w14:paraId="18474251"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4" w:space="0" w:color="auto"/>
            </w:tcBorders>
            <w:shd w:val="clear" w:color="auto" w:fill="auto"/>
            <w:vAlign w:val="bottom"/>
          </w:tcPr>
          <w:p w14:paraId="00C7E3DD" w14:textId="790CD180"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178</w:t>
            </w:r>
            <w:r w:rsidR="006973C1">
              <w:rPr>
                <w:sz w:val="18"/>
              </w:rPr>
              <w:t xml:space="preserve"> </w:t>
            </w:r>
            <w:r w:rsidRPr="006973C1">
              <w:rPr>
                <w:sz w:val="18"/>
              </w:rPr>
              <w:t>348</w:t>
            </w:r>
          </w:p>
        </w:tc>
        <w:tc>
          <w:tcPr>
            <w:tcW w:w="1274" w:type="dxa"/>
            <w:tcBorders>
              <w:bottom w:val="single" w:sz="4" w:space="0" w:color="auto"/>
            </w:tcBorders>
            <w:shd w:val="clear" w:color="auto" w:fill="auto"/>
            <w:vAlign w:val="bottom"/>
          </w:tcPr>
          <w:p w14:paraId="0F7D3EE0" w14:textId="2BEFE6D0"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185</w:t>
            </w:r>
            <w:r w:rsidR="006973C1">
              <w:rPr>
                <w:sz w:val="18"/>
              </w:rPr>
              <w:t xml:space="preserve"> </w:t>
            </w:r>
            <w:r w:rsidRPr="006973C1">
              <w:rPr>
                <w:sz w:val="18"/>
              </w:rPr>
              <w:t>934</w:t>
            </w:r>
          </w:p>
        </w:tc>
      </w:tr>
      <w:tr w:rsidR="00CD692A" w:rsidRPr="006973C1" w14:paraId="49FC5207" w14:textId="77777777" w:rsidTr="008D31CF">
        <w:trPr>
          <w:trHeight w:val="240"/>
        </w:trPr>
        <w:tc>
          <w:tcPr>
            <w:tcW w:w="4962" w:type="dxa"/>
            <w:tcBorders>
              <w:top w:val="single" w:sz="4" w:space="0" w:color="auto"/>
              <w:bottom w:val="single" w:sz="4" w:space="0" w:color="auto"/>
            </w:tcBorders>
            <w:shd w:val="clear" w:color="auto" w:fill="auto"/>
          </w:tcPr>
          <w:p w14:paraId="3A1916EA"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rPr>
            </w:pPr>
            <w:r w:rsidRPr="006973C1">
              <w:rPr>
                <w:b/>
                <w:bCs/>
                <w:sz w:val="18"/>
              </w:rPr>
              <w:t>Matrícula total de las Escuelas Superiores de Magisterio (Formación Inicial de Maestros de Primaria)</w:t>
            </w:r>
            <w:r w:rsidRPr="006973C1">
              <w:rPr>
                <w:b/>
                <w:sz w:val="18"/>
              </w:rPr>
              <w:t xml:space="preserve"> </w:t>
            </w:r>
          </w:p>
        </w:tc>
        <w:tc>
          <w:tcPr>
            <w:tcW w:w="1134" w:type="dxa"/>
            <w:tcBorders>
              <w:top w:val="single" w:sz="4" w:space="0" w:color="auto"/>
              <w:bottom w:val="single" w:sz="4" w:space="0" w:color="auto"/>
            </w:tcBorders>
            <w:shd w:val="clear" w:color="auto" w:fill="auto"/>
            <w:vAlign w:val="bottom"/>
          </w:tcPr>
          <w:p w14:paraId="6F90E0D4" w14:textId="3746FC02"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7</w:t>
            </w:r>
            <w:r w:rsidR="006973C1">
              <w:rPr>
                <w:b/>
                <w:bCs/>
                <w:sz w:val="18"/>
              </w:rPr>
              <w:t xml:space="preserve"> </w:t>
            </w:r>
            <w:r w:rsidRPr="006973C1">
              <w:rPr>
                <w:b/>
                <w:bCs/>
                <w:sz w:val="18"/>
              </w:rPr>
              <w:t>373</w:t>
            </w:r>
          </w:p>
        </w:tc>
        <w:tc>
          <w:tcPr>
            <w:tcW w:w="1274" w:type="dxa"/>
            <w:tcBorders>
              <w:top w:val="single" w:sz="4" w:space="0" w:color="auto"/>
              <w:bottom w:val="single" w:sz="4" w:space="0" w:color="auto"/>
            </w:tcBorders>
            <w:shd w:val="clear" w:color="auto" w:fill="auto"/>
            <w:vAlign w:val="bottom"/>
          </w:tcPr>
          <w:p w14:paraId="240E0C58" w14:textId="77777777"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p>
        </w:tc>
      </w:tr>
      <w:tr w:rsidR="00CD692A" w:rsidRPr="006973C1" w14:paraId="47DE7C26" w14:textId="77777777" w:rsidTr="008D31CF">
        <w:trPr>
          <w:trHeight w:val="240"/>
        </w:trPr>
        <w:tc>
          <w:tcPr>
            <w:tcW w:w="4962" w:type="dxa"/>
            <w:tcBorders>
              <w:top w:val="single" w:sz="4" w:space="0" w:color="auto"/>
            </w:tcBorders>
            <w:shd w:val="clear" w:color="auto" w:fill="auto"/>
          </w:tcPr>
          <w:p w14:paraId="6FE3AA03"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Hombres </w:t>
            </w:r>
          </w:p>
        </w:tc>
        <w:tc>
          <w:tcPr>
            <w:tcW w:w="1134" w:type="dxa"/>
            <w:tcBorders>
              <w:top w:val="single" w:sz="4" w:space="0" w:color="auto"/>
            </w:tcBorders>
            <w:shd w:val="clear" w:color="auto" w:fill="auto"/>
            <w:vAlign w:val="bottom"/>
          </w:tcPr>
          <w:p w14:paraId="0BFE1C45" w14:textId="32A35563"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w:t>
            </w:r>
            <w:r w:rsidR="006973C1">
              <w:rPr>
                <w:sz w:val="18"/>
              </w:rPr>
              <w:t xml:space="preserve"> </w:t>
            </w:r>
            <w:r w:rsidRPr="006973C1">
              <w:rPr>
                <w:sz w:val="18"/>
              </w:rPr>
              <w:t>402</w:t>
            </w:r>
          </w:p>
        </w:tc>
        <w:tc>
          <w:tcPr>
            <w:tcW w:w="1274" w:type="dxa"/>
            <w:tcBorders>
              <w:top w:val="single" w:sz="4" w:space="0" w:color="auto"/>
            </w:tcBorders>
            <w:shd w:val="clear" w:color="auto" w:fill="auto"/>
            <w:vAlign w:val="bottom"/>
          </w:tcPr>
          <w:p w14:paraId="2E8F3B30"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p>
        </w:tc>
      </w:tr>
      <w:tr w:rsidR="00CD692A" w:rsidRPr="006973C1" w14:paraId="0A3DBBE4" w14:textId="77777777" w:rsidTr="008D31CF">
        <w:trPr>
          <w:trHeight w:val="240"/>
        </w:trPr>
        <w:tc>
          <w:tcPr>
            <w:tcW w:w="4962" w:type="dxa"/>
            <w:tcBorders>
              <w:bottom w:val="single" w:sz="4" w:space="0" w:color="auto"/>
            </w:tcBorders>
            <w:shd w:val="clear" w:color="auto" w:fill="auto"/>
          </w:tcPr>
          <w:p w14:paraId="3D4DA43B"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Mujeres </w:t>
            </w:r>
          </w:p>
        </w:tc>
        <w:tc>
          <w:tcPr>
            <w:tcW w:w="1134" w:type="dxa"/>
            <w:tcBorders>
              <w:bottom w:val="single" w:sz="4" w:space="0" w:color="auto"/>
            </w:tcBorders>
            <w:shd w:val="clear" w:color="auto" w:fill="auto"/>
            <w:vAlign w:val="bottom"/>
          </w:tcPr>
          <w:p w14:paraId="66A250E2" w14:textId="51DFCFC4"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w:t>
            </w:r>
            <w:r w:rsidR="006973C1">
              <w:rPr>
                <w:sz w:val="18"/>
              </w:rPr>
              <w:t xml:space="preserve"> </w:t>
            </w:r>
            <w:r w:rsidRPr="006973C1">
              <w:rPr>
                <w:sz w:val="18"/>
              </w:rPr>
              <w:t>971</w:t>
            </w:r>
          </w:p>
        </w:tc>
        <w:tc>
          <w:tcPr>
            <w:tcW w:w="1274" w:type="dxa"/>
            <w:tcBorders>
              <w:bottom w:val="single" w:sz="4" w:space="0" w:color="auto"/>
            </w:tcBorders>
            <w:shd w:val="clear" w:color="auto" w:fill="auto"/>
            <w:vAlign w:val="bottom"/>
          </w:tcPr>
          <w:p w14:paraId="7C05EC0D"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p>
        </w:tc>
      </w:tr>
      <w:tr w:rsidR="00CD692A" w:rsidRPr="006973C1" w14:paraId="54E8C3C3" w14:textId="77777777" w:rsidTr="008D31CF">
        <w:trPr>
          <w:trHeight w:val="240"/>
        </w:trPr>
        <w:tc>
          <w:tcPr>
            <w:tcW w:w="4962" w:type="dxa"/>
            <w:tcBorders>
              <w:top w:val="single" w:sz="4" w:space="0" w:color="auto"/>
              <w:bottom w:val="single" w:sz="4" w:space="0" w:color="auto"/>
            </w:tcBorders>
            <w:shd w:val="clear" w:color="auto" w:fill="auto"/>
          </w:tcPr>
          <w:p w14:paraId="7D5DD565" w14:textId="77777777" w:rsidR="00CD692A" w:rsidRPr="006973C1" w:rsidRDefault="00CD692A" w:rsidP="006973C1">
            <w:pPr>
              <w:pStyle w:val="SingleTxtG"/>
              <w:tabs>
                <w:tab w:val="clear" w:pos="1701"/>
                <w:tab w:val="clear" w:pos="2268"/>
                <w:tab w:val="clear" w:pos="2835"/>
              </w:tabs>
              <w:spacing w:before="80" w:after="80" w:line="220" w:lineRule="exact"/>
              <w:ind w:left="283" w:right="0"/>
              <w:jc w:val="left"/>
              <w:rPr>
                <w:b/>
                <w:bCs/>
                <w:sz w:val="18"/>
              </w:rPr>
            </w:pPr>
            <w:r w:rsidRPr="006973C1">
              <w:rPr>
                <w:b/>
                <w:bCs/>
                <w:sz w:val="18"/>
              </w:rPr>
              <w:t>Número total de escuelas primarias</w:t>
            </w:r>
            <w:r w:rsidRPr="006973C1">
              <w:rPr>
                <w:b/>
                <w:sz w:val="18"/>
              </w:rPr>
              <w:t xml:space="preserve"> </w:t>
            </w:r>
          </w:p>
        </w:tc>
        <w:tc>
          <w:tcPr>
            <w:tcW w:w="1134" w:type="dxa"/>
            <w:tcBorders>
              <w:top w:val="single" w:sz="4" w:space="0" w:color="auto"/>
              <w:bottom w:val="single" w:sz="4" w:space="0" w:color="auto"/>
            </w:tcBorders>
            <w:shd w:val="clear" w:color="auto" w:fill="auto"/>
            <w:vAlign w:val="bottom"/>
          </w:tcPr>
          <w:p w14:paraId="13D06D0B" w14:textId="373907B3"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6</w:t>
            </w:r>
            <w:r w:rsidR="006973C1">
              <w:rPr>
                <w:b/>
                <w:bCs/>
                <w:sz w:val="18"/>
              </w:rPr>
              <w:t xml:space="preserve"> </w:t>
            </w:r>
            <w:r w:rsidRPr="006973C1">
              <w:rPr>
                <w:b/>
                <w:bCs/>
                <w:sz w:val="18"/>
              </w:rPr>
              <w:t>065</w:t>
            </w:r>
          </w:p>
        </w:tc>
        <w:tc>
          <w:tcPr>
            <w:tcW w:w="1274" w:type="dxa"/>
            <w:tcBorders>
              <w:top w:val="single" w:sz="4" w:space="0" w:color="auto"/>
              <w:bottom w:val="single" w:sz="4" w:space="0" w:color="auto"/>
            </w:tcBorders>
            <w:shd w:val="clear" w:color="auto" w:fill="auto"/>
            <w:vAlign w:val="bottom"/>
          </w:tcPr>
          <w:p w14:paraId="3DF40175" w14:textId="07FD74C2" w:rsidR="00CD692A" w:rsidRPr="006973C1" w:rsidRDefault="00CD692A" w:rsidP="006973C1">
            <w:pPr>
              <w:pStyle w:val="SingleTxtG"/>
              <w:tabs>
                <w:tab w:val="clear" w:pos="1701"/>
                <w:tab w:val="clear" w:pos="2268"/>
                <w:tab w:val="clear" w:pos="2835"/>
              </w:tabs>
              <w:spacing w:before="80" w:after="80" w:line="220" w:lineRule="exact"/>
              <w:ind w:left="28" w:right="28"/>
              <w:jc w:val="right"/>
              <w:rPr>
                <w:b/>
                <w:bCs/>
                <w:sz w:val="18"/>
                <w:lang w:val="en-GB"/>
              </w:rPr>
            </w:pPr>
            <w:r w:rsidRPr="006973C1">
              <w:rPr>
                <w:b/>
                <w:bCs/>
                <w:sz w:val="18"/>
              </w:rPr>
              <w:t>6</w:t>
            </w:r>
            <w:r w:rsidR="006973C1">
              <w:rPr>
                <w:b/>
                <w:bCs/>
                <w:sz w:val="18"/>
              </w:rPr>
              <w:t xml:space="preserve"> </w:t>
            </w:r>
            <w:r w:rsidRPr="006973C1">
              <w:rPr>
                <w:b/>
                <w:bCs/>
                <w:sz w:val="18"/>
              </w:rPr>
              <w:t>194</w:t>
            </w:r>
          </w:p>
        </w:tc>
      </w:tr>
      <w:tr w:rsidR="00CD692A" w:rsidRPr="006973C1" w14:paraId="75669BC6" w14:textId="77777777" w:rsidTr="008D31CF">
        <w:trPr>
          <w:trHeight w:val="240"/>
        </w:trPr>
        <w:tc>
          <w:tcPr>
            <w:tcW w:w="4962" w:type="dxa"/>
            <w:tcBorders>
              <w:top w:val="single" w:sz="4" w:space="0" w:color="auto"/>
            </w:tcBorders>
            <w:shd w:val="clear" w:color="auto" w:fill="auto"/>
          </w:tcPr>
          <w:p w14:paraId="00AAFD04" w14:textId="7242B666"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Públicas</w:t>
            </w:r>
          </w:p>
        </w:tc>
        <w:tc>
          <w:tcPr>
            <w:tcW w:w="1134" w:type="dxa"/>
            <w:tcBorders>
              <w:top w:val="single" w:sz="4" w:space="0" w:color="auto"/>
            </w:tcBorders>
            <w:shd w:val="clear" w:color="auto" w:fill="auto"/>
            <w:vAlign w:val="bottom"/>
          </w:tcPr>
          <w:p w14:paraId="3AB92884" w14:textId="1FACEB61"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w:t>
            </w:r>
            <w:r w:rsidR="006973C1">
              <w:rPr>
                <w:sz w:val="18"/>
              </w:rPr>
              <w:t xml:space="preserve"> </w:t>
            </w:r>
            <w:r w:rsidRPr="006973C1">
              <w:rPr>
                <w:sz w:val="18"/>
              </w:rPr>
              <w:t>552</w:t>
            </w:r>
          </w:p>
        </w:tc>
        <w:tc>
          <w:tcPr>
            <w:tcW w:w="1274" w:type="dxa"/>
            <w:tcBorders>
              <w:top w:val="single" w:sz="4" w:space="0" w:color="auto"/>
            </w:tcBorders>
            <w:shd w:val="clear" w:color="auto" w:fill="auto"/>
            <w:vAlign w:val="bottom"/>
          </w:tcPr>
          <w:p w14:paraId="6C543448" w14:textId="60BC1929"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w:t>
            </w:r>
            <w:r w:rsidR="006973C1">
              <w:rPr>
                <w:sz w:val="18"/>
              </w:rPr>
              <w:t xml:space="preserve"> </w:t>
            </w:r>
            <w:r w:rsidRPr="006973C1">
              <w:rPr>
                <w:sz w:val="18"/>
              </w:rPr>
              <w:t>611</w:t>
            </w:r>
          </w:p>
        </w:tc>
      </w:tr>
      <w:tr w:rsidR="00CD692A" w:rsidRPr="006973C1" w14:paraId="6894A242" w14:textId="77777777" w:rsidTr="001D1B5D">
        <w:trPr>
          <w:trHeight w:val="240"/>
        </w:trPr>
        <w:tc>
          <w:tcPr>
            <w:tcW w:w="4962" w:type="dxa"/>
            <w:tcBorders>
              <w:bottom w:val="single" w:sz="4" w:space="0" w:color="auto"/>
            </w:tcBorders>
            <w:shd w:val="clear" w:color="auto" w:fill="auto"/>
          </w:tcPr>
          <w:p w14:paraId="7C72F13D" w14:textId="045C55E1"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Privadas</w:t>
            </w:r>
          </w:p>
        </w:tc>
        <w:tc>
          <w:tcPr>
            <w:tcW w:w="1134" w:type="dxa"/>
            <w:tcBorders>
              <w:bottom w:val="single" w:sz="4" w:space="0" w:color="auto"/>
            </w:tcBorders>
            <w:shd w:val="clear" w:color="auto" w:fill="auto"/>
            <w:vAlign w:val="bottom"/>
          </w:tcPr>
          <w:p w14:paraId="609DAA2B"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513</w:t>
            </w:r>
          </w:p>
        </w:tc>
        <w:tc>
          <w:tcPr>
            <w:tcW w:w="1274" w:type="dxa"/>
            <w:tcBorders>
              <w:bottom w:val="single" w:sz="4" w:space="0" w:color="auto"/>
            </w:tcBorders>
            <w:shd w:val="clear" w:color="auto" w:fill="auto"/>
            <w:vAlign w:val="bottom"/>
          </w:tcPr>
          <w:p w14:paraId="1B961AF3"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583</w:t>
            </w:r>
          </w:p>
        </w:tc>
      </w:tr>
      <w:tr w:rsidR="00CD692A" w:rsidRPr="001D1B5D" w14:paraId="1D441E69" w14:textId="77777777" w:rsidTr="001D1B5D">
        <w:trPr>
          <w:trHeight w:val="240"/>
        </w:trPr>
        <w:tc>
          <w:tcPr>
            <w:tcW w:w="4962" w:type="dxa"/>
            <w:tcBorders>
              <w:top w:val="single" w:sz="4" w:space="0" w:color="auto"/>
              <w:bottom w:val="single" w:sz="4" w:space="0" w:color="auto"/>
            </w:tcBorders>
            <w:shd w:val="clear" w:color="auto" w:fill="auto"/>
          </w:tcPr>
          <w:p w14:paraId="2921B0D8" w14:textId="77777777" w:rsidR="00CD692A" w:rsidRPr="001D1B5D" w:rsidRDefault="00CD692A" w:rsidP="00421AC6">
            <w:pPr>
              <w:pStyle w:val="SingleTxtG"/>
              <w:keepNext/>
              <w:keepLines/>
              <w:tabs>
                <w:tab w:val="clear" w:pos="1701"/>
                <w:tab w:val="clear" w:pos="2268"/>
                <w:tab w:val="clear" w:pos="2835"/>
              </w:tabs>
              <w:spacing w:before="80" w:after="80" w:line="220" w:lineRule="exact"/>
              <w:ind w:left="283" w:right="0"/>
              <w:jc w:val="left"/>
              <w:rPr>
                <w:b/>
                <w:bCs/>
                <w:sz w:val="18"/>
              </w:rPr>
            </w:pPr>
            <w:r w:rsidRPr="001D1B5D">
              <w:rPr>
                <w:b/>
                <w:bCs/>
                <w:sz w:val="18"/>
              </w:rPr>
              <w:lastRenderedPageBreak/>
              <w:t>Número total de escuelas secundarias</w:t>
            </w:r>
          </w:p>
        </w:tc>
        <w:tc>
          <w:tcPr>
            <w:tcW w:w="1134" w:type="dxa"/>
            <w:tcBorders>
              <w:top w:val="single" w:sz="4" w:space="0" w:color="auto"/>
              <w:bottom w:val="single" w:sz="4" w:space="0" w:color="auto"/>
            </w:tcBorders>
            <w:shd w:val="clear" w:color="auto" w:fill="auto"/>
            <w:vAlign w:val="bottom"/>
          </w:tcPr>
          <w:p w14:paraId="0C8A1368" w14:textId="40882FB0" w:rsidR="00CD692A" w:rsidRPr="001D1B5D" w:rsidRDefault="00CD692A" w:rsidP="00421AC6">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1D1B5D">
              <w:rPr>
                <w:b/>
                <w:bCs/>
                <w:sz w:val="18"/>
              </w:rPr>
              <w:t>1</w:t>
            </w:r>
            <w:r w:rsidR="006973C1" w:rsidRPr="001D1B5D">
              <w:rPr>
                <w:b/>
                <w:bCs/>
                <w:sz w:val="18"/>
              </w:rPr>
              <w:t xml:space="preserve"> </w:t>
            </w:r>
            <w:r w:rsidRPr="001D1B5D">
              <w:rPr>
                <w:b/>
                <w:bCs/>
                <w:sz w:val="18"/>
              </w:rPr>
              <w:t>469</w:t>
            </w:r>
          </w:p>
        </w:tc>
        <w:tc>
          <w:tcPr>
            <w:tcW w:w="1274" w:type="dxa"/>
            <w:tcBorders>
              <w:top w:val="single" w:sz="4" w:space="0" w:color="auto"/>
              <w:bottom w:val="single" w:sz="4" w:space="0" w:color="auto"/>
            </w:tcBorders>
            <w:shd w:val="clear" w:color="auto" w:fill="auto"/>
            <w:vAlign w:val="bottom"/>
          </w:tcPr>
          <w:p w14:paraId="28173474" w14:textId="77777777" w:rsidR="00CD692A" w:rsidRPr="001D1B5D" w:rsidRDefault="00CD692A" w:rsidP="00421AC6">
            <w:pPr>
              <w:pStyle w:val="SingleTxtG"/>
              <w:keepNext/>
              <w:keepLines/>
              <w:tabs>
                <w:tab w:val="clear" w:pos="1701"/>
                <w:tab w:val="clear" w:pos="2268"/>
                <w:tab w:val="clear" w:pos="2835"/>
              </w:tabs>
              <w:spacing w:before="80" w:after="80" w:line="220" w:lineRule="exact"/>
              <w:ind w:left="0" w:right="28"/>
              <w:jc w:val="right"/>
              <w:rPr>
                <w:b/>
                <w:bCs/>
                <w:sz w:val="18"/>
                <w:lang w:val="en-GB"/>
              </w:rPr>
            </w:pPr>
          </w:p>
        </w:tc>
      </w:tr>
      <w:tr w:rsidR="00CD692A" w:rsidRPr="006973C1" w14:paraId="677EBCDD" w14:textId="77777777" w:rsidTr="001D1B5D">
        <w:trPr>
          <w:trHeight w:val="240"/>
        </w:trPr>
        <w:tc>
          <w:tcPr>
            <w:tcW w:w="4962" w:type="dxa"/>
            <w:tcBorders>
              <w:top w:val="single" w:sz="4" w:space="0" w:color="auto"/>
            </w:tcBorders>
            <w:shd w:val="clear" w:color="auto" w:fill="auto"/>
          </w:tcPr>
          <w:p w14:paraId="594F5492" w14:textId="65573EBA"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Públicas (estatales y religiosas)</w:t>
            </w:r>
          </w:p>
        </w:tc>
        <w:tc>
          <w:tcPr>
            <w:tcW w:w="1134" w:type="dxa"/>
            <w:tcBorders>
              <w:top w:val="single" w:sz="4" w:space="0" w:color="auto"/>
            </w:tcBorders>
            <w:shd w:val="clear" w:color="auto" w:fill="auto"/>
            <w:vAlign w:val="bottom"/>
          </w:tcPr>
          <w:p w14:paraId="536C483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824</w:t>
            </w:r>
          </w:p>
        </w:tc>
        <w:tc>
          <w:tcPr>
            <w:tcW w:w="1274" w:type="dxa"/>
            <w:tcBorders>
              <w:top w:val="single" w:sz="4" w:space="0" w:color="auto"/>
            </w:tcBorders>
            <w:shd w:val="clear" w:color="auto" w:fill="auto"/>
            <w:vAlign w:val="bottom"/>
          </w:tcPr>
          <w:p w14:paraId="7C1C5F3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830</w:t>
            </w:r>
          </w:p>
        </w:tc>
      </w:tr>
      <w:tr w:rsidR="00CD692A" w:rsidRPr="006973C1" w14:paraId="5B1B6FEE" w14:textId="77777777" w:rsidTr="008D31CF">
        <w:trPr>
          <w:trHeight w:val="240"/>
        </w:trPr>
        <w:tc>
          <w:tcPr>
            <w:tcW w:w="4962" w:type="dxa"/>
            <w:shd w:val="clear" w:color="auto" w:fill="auto"/>
          </w:tcPr>
          <w:p w14:paraId="0420677F"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Privadas </w:t>
            </w:r>
          </w:p>
        </w:tc>
        <w:tc>
          <w:tcPr>
            <w:tcW w:w="1134" w:type="dxa"/>
            <w:shd w:val="clear" w:color="auto" w:fill="auto"/>
            <w:vAlign w:val="bottom"/>
          </w:tcPr>
          <w:p w14:paraId="6A2F1441"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383</w:t>
            </w:r>
          </w:p>
        </w:tc>
        <w:tc>
          <w:tcPr>
            <w:tcW w:w="1274" w:type="dxa"/>
            <w:shd w:val="clear" w:color="auto" w:fill="auto"/>
            <w:vAlign w:val="bottom"/>
          </w:tcPr>
          <w:p w14:paraId="2B28E66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353</w:t>
            </w:r>
          </w:p>
        </w:tc>
      </w:tr>
      <w:tr w:rsidR="00CD692A" w:rsidRPr="006973C1" w14:paraId="3A8277BC" w14:textId="77777777" w:rsidTr="008D31CF">
        <w:trPr>
          <w:trHeight w:val="240"/>
        </w:trPr>
        <w:tc>
          <w:tcPr>
            <w:tcW w:w="4962" w:type="dxa"/>
            <w:shd w:val="clear" w:color="auto" w:fill="auto"/>
          </w:tcPr>
          <w:p w14:paraId="46A1E2F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Escuelas secundarias con jornadas de puertas abiertas </w:t>
            </w:r>
          </w:p>
        </w:tc>
        <w:tc>
          <w:tcPr>
            <w:tcW w:w="1134" w:type="dxa"/>
            <w:shd w:val="clear" w:color="auto" w:fill="auto"/>
            <w:vAlign w:val="bottom"/>
          </w:tcPr>
          <w:p w14:paraId="4B8DE278"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620</w:t>
            </w:r>
          </w:p>
        </w:tc>
        <w:tc>
          <w:tcPr>
            <w:tcW w:w="1274" w:type="dxa"/>
            <w:shd w:val="clear" w:color="auto" w:fill="auto"/>
            <w:vAlign w:val="bottom"/>
          </w:tcPr>
          <w:p w14:paraId="1D35F847"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304</w:t>
            </w:r>
          </w:p>
        </w:tc>
      </w:tr>
      <w:tr w:rsidR="00CD692A" w:rsidRPr="006973C1" w14:paraId="4FB4F9BA" w14:textId="77777777" w:rsidTr="008D31CF">
        <w:trPr>
          <w:trHeight w:val="240"/>
        </w:trPr>
        <w:tc>
          <w:tcPr>
            <w:tcW w:w="4962" w:type="dxa"/>
            <w:shd w:val="clear" w:color="auto" w:fill="auto"/>
          </w:tcPr>
          <w:p w14:paraId="3A384D20"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bruta de admisión a la escuela primaria </w:t>
            </w:r>
          </w:p>
        </w:tc>
        <w:tc>
          <w:tcPr>
            <w:tcW w:w="1134" w:type="dxa"/>
            <w:shd w:val="clear" w:color="auto" w:fill="auto"/>
            <w:vAlign w:val="bottom"/>
          </w:tcPr>
          <w:p w14:paraId="1CF398B2"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147</w:t>
            </w:r>
          </w:p>
        </w:tc>
        <w:tc>
          <w:tcPr>
            <w:tcW w:w="1274" w:type="dxa"/>
            <w:shd w:val="clear" w:color="auto" w:fill="auto"/>
            <w:vAlign w:val="bottom"/>
          </w:tcPr>
          <w:p w14:paraId="4835B6DC"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123</w:t>
            </w:r>
          </w:p>
        </w:tc>
      </w:tr>
      <w:tr w:rsidR="00CD692A" w:rsidRPr="006973C1" w14:paraId="12F925CB" w14:textId="77777777" w:rsidTr="008D31CF">
        <w:trPr>
          <w:trHeight w:val="240"/>
        </w:trPr>
        <w:tc>
          <w:tcPr>
            <w:tcW w:w="4962" w:type="dxa"/>
            <w:shd w:val="clear" w:color="auto" w:fill="auto"/>
          </w:tcPr>
          <w:p w14:paraId="6CDD2C4F"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7BF9C76F"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144</w:t>
            </w:r>
          </w:p>
        </w:tc>
        <w:tc>
          <w:tcPr>
            <w:tcW w:w="1274" w:type="dxa"/>
            <w:shd w:val="clear" w:color="auto" w:fill="auto"/>
            <w:vAlign w:val="bottom"/>
          </w:tcPr>
          <w:p w14:paraId="3864ED87"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122</w:t>
            </w:r>
          </w:p>
        </w:tc>
      </w:tr>
      <w:tr w:rsidR="00CD692A" w:rsidRPr="006973C1" w14:paraId="70A0B639" w14:textId="77777777" w:rsidTr="008D31CF">
        <w:trPr>
          <w:trHeight w:val="240"/>
        </w:trPr>
        <w:tc>
          <w:tcPr>
            <w:tcW w:w="4962" w:type="dxa"/>
            <w:shd w:val="clear" w:color="auto" w:fill="auto"/>
          </w:tcPr>
          <w:p w14:paraId="7B2B96B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shd w:val="clear" w:color="auto" w:fill="auto"/>
            <w:vAlign w:val="bottom"/>
          </w:tcPr>
          <w:p w14:paraId="5242C120"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145</w:t>
            </w:r>
          </w:p>
        </w:tc>
        <w:tc>
          <w:tcPr>
            <w:tcW w:w="1274" w:type="dxa"/>
            <w:shd w:val="clear" w:color="auto" w:fill="auto"/>
            <w:vAlign w:val="bottom"/>
          </w:tcPr>
          <w:p w14:paraId="65F7DB30"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124</w:t>
            </w:r>
          </w:p>
        </w:tc>
      </w:tr>
      <w:tr w:rsidR="00CD692A" w:rsidRPr="006973C1" w14:paraId="5C850A30" w14:textId="77777777" w:rsidTr="008D31CF">
        <w:trPr>
          <w:trHeight w:val="240"/>
        </w:trPr>
        <w:tc>
          <w:tcPr>
            <w:tcW w:w="4962" w:type="dxa"/>
            <w:shd w:val="clear" w:color="auto" w:fill="auto"/>
          </w:tcPr>
          <w:p w14:paraId="607B973A"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neta de admisión a la escuela primaria </w:t>
            </w:r>
          </w:p>
        </w:tc>
        <w:tc>
          <w:tcPr>
            <w:tcW w:w="1134" w:type="dxa"/>
            <w:shd w:val="clear" w:color="auto" w:fill="auto"/>
            <w:vAlign w:val="bottom"/>
          </w:tcPr>
          <w:p w14:paraId="006562EB"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92</w:t>
            </w:r>
          </w:p>
        </w:tc>
        <w:tc>
          <w:tcPr>
            <w:tcW w:w="1274" w:type="dxa"/>
            <w:shd w:val="clear" w:color="auto" w:fill="auto"/>
            <w:vAlign w:val="bottom"/>
          </w:tcPr>
          <w:p w14:paraId="4C90727D"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84</w:t>
            </w:r>
          </w:p>
        </w:tc>
      </w:tr>
      <w:tr w:rsidR="00CD692A" w:rsidRPr="006973C1" w14:paraId="74954C9F" w14:textId="77777777" w:rsidTr="008D31CF">
        <w:trPr>
          <w:trHeight w:val="240"/>
        </w:trPr>
        <w:tc>
          <w:tcPr>
            <w:tcW w:w="4962" w:type="dxa"/>
            <w:shd w:val="clear" w:color="auto" w:fill="auto"/>
          </w:tcPr>
          <w:p w14:paraId="76E4C76C"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41C3815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89</w:t>
            </w:r>
          </w:p>
        </w:tc>
        <w:tc>
          <w:tcPr>
            <w:tcW w:w="1274" w:type="dxa"/>
            <w:shd w:val="clear" w:color="auto" w:fill="auto"/>
            <w:vAlign w:val="bottom"/>
          </w:tcPr>
          <w:p w14:paraId="0445608A"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82</w:t>
            </w:r>
          </w:p>
        </w:tc>
      </w:tr>
      <w:tr w:rsidR="00CD692A" w:rsidRPr="006973C1" w14:paraId="39B6B831" w14:textId="77777777" w:rsidTr="008D31CF">
        <w:trPr>
          <w:trHeight w:val="240"/>
        </w:trPr>
        <w:tc>
          <w:tcPr>
            <w:tcW w:w="4962" w:type="dxa"/>
            <w:shd w:val="clear" w:color="auto" w:fill="auto"/>
          </w:tcPr>
          <w:p w14:paraId="1EA95C56"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shd w:val="clear" w:color="auto" w:fill="auto"/>
            <w:vAlign w:val="bottom"/>
          </w:tcPr>
          <w:p w14:paraId="62480A5C"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95</w:t>
            </w:r>
          </w:p>
        </w:tc>
        <w:tc>
          <w:tcPr>
            <w:tcW w:w="1274" w:type="dxa"/>
            <w:shd w:val="clear" w:color="auto" w:fill="auto"/>
            <w:vAlign w:val="bottom"/>
          </w:tcPr>
          <w:p w14:paraId="00C25154"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86</w:t>
            </w:r>
          </w:p>
        </w:tc>
      </w:tr>
      <w:tr w:rsidR="00CD692A" w:rsidRPr="006973C1" w14:paraId="4302A551" w14:textId="77777777" w:rsidTr="008D31CF">
        <w:trPr>
          <w:trHeight w:val="240"/>
        </w:trPr>
        <w:tc>
          <w:tcPr>
            <w:tcW w:w="4962" w:type="dxa"/>
            <w:shd w:val="clear" w:color="auto" w:fill="auto"/>
          </w:tcPr>
          <w:p w14:paraId="31C4FDE1"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bruta de matriculación en la escuela primaria </w:t>
            </w:r>
          </w:p>
        </w:tc>
        <w:tc>
          <w:tcPr>
            <w:tcW w:w="1134" w:type="dxa"/>
            <w:shd w:val="clear" w:color="auto" w:fill="auto"/>
            <w:vAlign w:val="bottom"/>
          </w:tcPr>
          <w:p w14:paraId="6D4C6A04"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136</w:t>
            </w:r>
          </w:p>
        </w:tc>
        <w:tc>
          <w:tcPr>
            <w:tcW w:w="1274" w:type="dxa"/>
            <w:shd w:val="clear" w:color="auto" w:fill="auto"/>
            <w:vAlign w:val="bottom"/>
          </w:tcPr>
          <w:p w14:paraId="278C0E0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127</w:t>
            </w:r>
          </w:p>
        </w:tc>
      </w:tr>
      <w:tr w:rsidR="00CD692A" w:rsidRPr="006973C1" w14:paraId="607E35EE" w14:textId="77777777" w:rsidTr="008D31CF">
        <w:trPr>
          <w:trHeight w:val="240"/>
        </w:trPr>
        <w:tc>
          <w:tcPr>
            <w:tcW w:w="4962" w:type="dxa"/>
            <w:shd w:val="clear" w:color="auto" w:fill="auto"/>
          </w:tcPr>
          <w:p w14:paraId="578CE38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53026AD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135</w:t>
            </w:r>
          </w:p>
        </w:tc>
        <w:tc>
          <w:tcPr>
            <w:tcW w:w="1274" w:type="dxa"/>
            <w:shd w:val="clear" w:color="auto" w:fill="auto"/>
            <w:vAlign w:val="bottom"/>
          </w:tcPr>
          <w:p w14:paraId="1ECAADE7"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125</w:t>
            </w:r>
          </w:p>
        </w:tc>
      </w:tr>
      <w:tr w:rsidR="00CD692A" w:rsidRPr="006973C1" w14:paraId="1E451CFC" w14:textId="77777777" w:rsidTr="008D31CF">
        <w:trPr>
          <w:trHeight w:val="240"/>
        </w:trPr>
        <w:tc>
          <w:tcPr>
            <w:tcW w:w="4962" w:type="dxa"/>
            <w:shd w:val="clear" w:color="auto" w:fill="auto"/>
          </w:tcPr>
          <w:p w14:paraId="64E7E272"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shd w:val="clear" w:color="auto" w:fill="auto"/>
            <w:vAlign w:val="bottom"/>
          </w:tcPr>
          <w:p w14:paraId="2EE71A57"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136</w:t>
            </w:r>
          </w:p>
        </w:tc>
        <w:tc>
          <w:tcPr>
            <w:tcW w:w="1274" w:type="dxa"/>
            <w:shd w:val="clear" w:color="auto" w:fill="auto"/>
            <w:vAlign w:val="bottom"/>
          </w:tcPr>
          <w:p w14:paraId="72EA36CC"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128</w:t>
            </w:r>
          </w:p>
        </w:tc>
      </w:tr>
      <w:tr w:rsidR="00CD692A" w:rsidRPr="006973C1" w14:paraId="34743303" w14:textId="77777777" w:rsidTr="008D31CF">
        <w:trPr>
          <w:trHeight w:val="240"/>
        </w:trPr>
        <w:tc>
          <w:tcPr>
            <w:tcW w:w="4962" w:type="dxa"/>
            <w:shd w:val="clear" w:color="auto" w:fill="auto"/>
          </w:tcPr>
          <w:p w14:paraId="5C75A02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neta de matriculación en la escuela primaria </w:t>
            </w:r>
          </w:p>
        </w:tc>
        <w:tc>
          <w:tcPr>
            <w:tcW w:w="1134" w:type="dxa"/>
            <w:shd w:val="clear" w:color="auto" w:fill="auto"/>
            <w:vAlign w:val="bottom"/>
          </w:tcPr>
          <w:p w14:paraId="278EB3C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98</w:t>
            </w:r>
          </w:p>
        </w:tc>
        <w:tc>
          <w:tcPr>
            <w:tcW w:w="1274" w:type="dxa"/>
            <w:shd w:val="clear" w:color="auto" w:fill="auto"/>
            <w:vAlign w:val="bottom"/>
          </w:tcPr>
          <w:p w14:paraId="289342B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90</w:t>
            </w:r>
          </w:p>
        </w:tc>
      </w:tr>
      <w:tr w:rsidR="00CD692A" w:rsidRPr="006973C1" w14:paraId="1191BBE6" w14:textId="77777777" w:rsidTr="008D31CF">
        <w:trPr>
          <w:trHeight w:val="240"/>
        </w:trPr>
        <w:tc>
          <w:tcPr>
            <w:tcW w:w="4962" w:type="dxa"/>
            <w:shd w:val="clear" w:color="auto" w:fill="auto"/>
          </w:tcPr>
          <w:p w14:paraId="68D5D892"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6EE25B1D"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87</w:t>
            </w:r>
          </w:p>
        </w:tc>
        <w:tc>
          <w:tcPr>
            <w:tcW w:w="1274" w:type="dxa"/>
            <w:shd w:val="clear" w:color="auto" w:fill="auto"/>
            <w:vAlign w:val="bottom"/>
          </w:tcPr>
          <w:p w14:paraId="7CCE4DF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87</w:t>
            </w:r>
          </w:p>
        </w:tc>
      </w:tr>
      <w:tr w:rsidR="00CD692A" w:rsidRPr="006973C1" w14:paraId="3C9A0ABC" w14:textId="77777777" w:rsidTr="008D31CF">
        <w:trPr>
          <w:trHeight w:val="240"/>
        </w:trPr>
        <w:tc>
          <w:tcPr>
            <w:tcW w:w="4962" w:type="dxa"/>
            <w:shd w:val="clear" w:color="auto" w:fill="auto"/>
          </w:tcPr>
          <w:p w14:paraId="1EE21ED4"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shd w:val="clear" w:color="auto" w:fill="auto"/>
            <w:vAlign w:val="bottom"/>
          </w:tcPr>
          <w:p w14:paraId="63C56E4D"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89</w:t>
            </w:r>
          </w:p>
        </w:tc>
        <w:tc>
          <w:tcPr>
            <w:tcW w:w="1274" w:type="dxa"/>
            <w:shd w:val="clear" w:color="auto" w:fill="auto"/>
            <w:vAlign w:val="bottom"/>
          </w:tcPr>
          <w:p w14:paraId="28255E29"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92</w:t>
            </w:r>
          </w:p>
        </w:tc>
      </w:tr>
      <w:tr w:rsidR="00CD692A" w:rsidRPr="006973C1" w14:paraId="3875C2E2" w14:textId="77777777" w:rsidTr="008D31CF">
        <w:trPr>
          <w:trHeight w:val="240"/>
        </w:trPr>
        <w:tc>
          <w:tcPr>
            <w:tcW w:w="4962" w:type="dxa"/>
            <w:shd w:val="clear" w:color="auto" w:fill="auto"/>
          </w:tcPr>
          <w:p w14:paraId="7C9A9ED7"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bruta de matriculación en la escuela secundaria </w:t>
            </w:r>
          </w:p>
        </w:tc>
        <w:tc>
          <w:tcPr>
            <w:tcW w:w="1134" w:type="dxa"/>
            <w:shd w:val="clear" w:color="auto" w:fill="auto"/>
            <w:vAlign w:val="bottom"/>
          </w:tcPr>
          <w:p w14:paraId="52CCA86C"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23,7</w:t>
            </w:r>
          </w:p>
        </w:tc>
        <w:tc>
          <w:tcPr>
            <w:tcW w:w="1274" w:type="dxa"/>
            <w:shd w:val="clear" w:color="auto" w:fill="auto"/>
            <w:vAlign w:val="bottom"/>
          </w:tcPr>
          <w:p w14:paraId="10661D11"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25</w:t>
            </w:r>
          </w:p>
        </w:tc>
      </w:tr>
      <w:tr w:rsidR="00CD692A" w:rsidRPr="006973C1" w14:paraId="2E3788B4" w14:textId="77777777" w:rsidTr="008D31CF">
        <w:trPr>
          <w:trHeight w:val="240"/>
        </w:trPr>
        <w:tc>
          <w:tcPr>
            <w:tcW w:w="4962" w:type="dxa"/>
            <w:shd w:val="clear" w:color="auto" w:fill="auto"/>
          </w:tcPr>
          <w:p w14:paraId="18C22A4D"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6BDD8969"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25,1</w:t>
            </w:r>
          </w:p>
        </w:tc>
        <w:tc>
          <w:tcPr>
            <w:tcW w:w="1274" w:type="dxa"/>
            <w:shd w:val="clear" w:color="auto" w:fill="auto"/>
            <w:vAlign w:val="bottom"/>
          </w:tcPr>
          <w:p w14:paraId="2CED7F40"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26</w:t>
            </w:r>
          </w:p>
        </w:tc>
      </w:tr>
      <w:tr w:rsidR="00CD692A" w:rsidRPr="006973C1" w14:paraId="7F299662" w14:textId="77777777" w:rsidTr="008D31CF">
        <w:trPr>
          <w:trHeight w:val="240"/>
        </w:trPr>
        <w:tc>
          <w:tcPr>
            <w:tcW w:w="4962" w:type="dxa"/>
            <w:shd w:val="clear" w:color="auto" w:fill="auto"/>
          </w:tcPr>
          <w:p w14:paraId="23841BB0"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shd w:val="clear" w:color="auto" w:fill="auto"/>
            <w:vAlign w:val="bottom"/>
          </w:tcPr>
          <w:p w14:paraId="1E26EE8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22,7</w:t>
            </w:r>
          </w:p>
        </w:tc>
        <w:tc>
          <w:tcPr>
            <w:tcW w:w="1274" w:type="dxa"/>
            <w:shd w:val="clear" w:color="auto" w:fill="auto"/>
            <w:vAlign w:val="bottom"/>
          </w:tcPr>
          <w:p w14:paraId="569A793A"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24</w:t>
            </w:r>
          </w:p>
        </w:tc>
      </w:tr>
      <w:tr w:rsidR="00CD692A" w:rsidRPr="006973C1" w14:paraId="0E589146" w14:textId="77777777" w:rsidTr="008D31CF">
        <w:trPr>
          <w:trHeight w:val="240"/>
        </w:trPr>
        <w:tc>
          <w:tcPr>
            <w:tcW w:w="4962" w:type="dxa"/>
            <w:shd w:val="clear" w:color="auto" w:fill="auto"/>
          </w:tcPr>
          <w:p w14:paraId="797B3884"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rPr>
            </w:pPr>
            <w:r w:rsidRPr="006973C1">
              <w:rPr>
                <w:sz w:val="18"/>
              </w:rPr>
              <w:t xml:space="preserve">Tasa neta de matriculación en la escuela secundaria </w:t>
            </w:r>
          </w:p>
        </w:tc>
        <w:tc>
          <w:tcPr>
            <w:tcW w:w="1134" w:type="dxa"/>
            <w:shd w:val="clear" w:color="auto" w:fill="auto"/>
            <w:vAlign w:val="bottom"/>
          </w:tcPr>
          <w:p w14:paraId="0734172B"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16</w:t>
            </w:r>
          </w:p>
        </w:tc>
        <w:tc>
          <w:tcPr>
            <w:tcW w:w="1274" w:type="dxa"/>
            <w:shd w:val="clear" w:color="auto" w:fill="auto"/>
            <w:vAlign w:val="bottom"/>
          </w:tcPr>
          <w:p w14:paraId="74697FCB"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16</w:t>
            </w:r>
          </w:p>
        </w:tc>
      </w:tr>
      <w:tr w:rsidR="00CD692A" w:rsidRPr="006973C1" w14:paraId="6C1D3CAB" w14:textId="77777777" w:rsidTr="008D31CF">
        <w:trPr>
          <w:trHeight w:val="240"/>
        </w:trPr>
        <w:tc>
          <w:tcPr>
            <w:tcW w:w="4962" w:type="dxa"/>
            <w:shd w:val="clear" w:color="auto" w:fill="auto"/>
          </w:tcPr>
          <w:p w14:paraId="76C9EE16"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Niños </w:t>
            </w:r>
          </w:p>
        </w:tc>
        <w:tc>
          <w:tcPr>
            <w:tcW w:w="1134" w:type="dxa"/>
            <w:shd w:val="clear" w:color="auto" w:fill="auto"/>
            <w:vAlign w:val="bottom"/>
          </w:tcPr>
          <w:p w14:paraId="3BBFC305"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15</w:t>
            </w:r>
          </w:p>
        </w:tc>
        <w:tc>
          <w:tcPr>
            <w:tcW w:w="1274" w:type="dxa"/>
            <w:shd w:val="clear" w:color="auto" w:fill="auto"/>
            <w:vAlign w:val="bottom"/>
          </w:tcPr>
          <w:p w14:paraId="46A96890"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15</w:t>
            </w:r>
          </w:p>
        </w:tc>
      </w:tr>
      <w:tr w:rsidR="00CD692A" w:rsidRPr="006973C1" w14:paraId="5446D088" w14:textId="77777777" w:rsidTr="008D31CF">
        <w:trPr>
          <w:trHeight w:val="240"/>
        </w:trPr>
        <w:tc>
          <w:tcPr>
            <w:tcW w:w="4962" w:type="dxa"/>
            <w:tcBorders>
              <w:bottom w:val="single" w:sz="12" w:space="0" w:color="auto"/>
            </w:tcBorders>
            <w:shd w:val="clear" w:color="auto" w:fill="auto"/>
          </w:tcPr>
          <w:p w14:paraId="38AD5C97" w14:textId="77777777" w:rsidR="00CD692A" w:rsidRPr="006973C1" w:rsidRDefault="00CD692A" w:rsidP="006973C1">
            <w:pPr>
              <w:pStyle w:val="SingleTxtG"/>
              <w:tabs>
                <w:tab w:val="clear" w:pos="1701"/>
                <w:tab w:val="clear" w:pos="2268"/>
                <w:tab w:val="clear" w:pos="2835"/>
              </w:tabs>
              <w:spacing w:before="40" w:after="40" w:line="220" w:lineRule="exact"/>
              <w:ind w:left="0" w:right="0"/>
              <w:jc w:val="left"/>
              <w:rPr>
                <w:bCs/>
                <w:sz w:val="18"/>
                <w:lang w:val="en-GB"/>
              </w:rPr>
            </w:pPr>
            <w:r w:rsidRPr="006973C1">
              <w:rPr>
                <w:sz w:val="18"/>
              </w:rPr>
              <w:t xml:space="preserve">Niñas </w:t>
            </w:r>
          </w:p>
        </w:tc>
        <w:tc>
          <w:tcPr>
            <w:tcW w:w="1134" w:type="dxa"/>
            <w:tcBorders>
              <w:bottom w:val="single" w:sz="12" w:space="0" w:color="auto"/>
            </w:tcBorders>
            <w:shd w:val="clear" w:color="auto" w:fill="auto"/>
            <w:vAlign w:val="bottom"/>
          </w:tcPr>
          <w:p w14:paraId="6DC5D90E"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15,5</w:t>
            </w:r>
          </w:p>
        </w:tc>
        <w:tc>
          <w:tcPr>
            <w:tcW w:w="1274" w:type="dxa"/>
            <w:tcBorders>
              <w:bottom w:val="single" w:sz="12" w:space="0" w:color="auto"/>
            </w:tcBorders>
            <w:shd w:val="clear" w:color="auto" w:fill="auto"/>
            <w:vAlign w:val="bottom"/>
          </w:tcPr>
          <w:p w14:paraId="5A24E3DF" w14:textId="77777777" w:rsidR="00CD692A" w:rsidRPr="006973C1" w:rsidRDefault="00CD692A" w:rsidP="006973C1">
            <w:pPr>
              <w:pStyle w:val="SingleTxtG"/>
              <w:tabs>
                <w:tab w:val="clear" w:pos="1701"/>
                <w:tab w:val="clear" w:pos="2268"/>
                <w:tab w:val="clear" w:pos="2835"/>
              </w:tabs>
              <w:spacing w:before="40" w:after="40" w:line="220" w:lineRule="exact"/>
              <w:ind w:left="28" w:right="28"/>
              <w:jc w:val="right"/>
              <w:rPr>
                <w:bCs/>
                <w:sz w:val="18"/>
                <w:lang w:val="en-GB"/>
              </w:rPr>
            </w:pPr>
            <w:r w:rsidRPr="006973C1">
              <w:rPr>
                <w:sz w:val="18"/>
              </w:rPr>
              <w:t>15</w:t>
            </w:r>
          </w:p>
        </w:tc>
      </w:tr>
    </w:tbl>
    <w:p w14:paraId="3BBAC82C" w14:textId="77777777" w:rsidR="00CD692A" w:rsidRPr="00F34DBD" w:rsidRDefault="00CD692A" w:rsidP="00F34DBD">
      <w:pPr>
        <w:pStyle w:val="SingleTxtG"/>
        <w:spacing w:before="120" w:after="240"/>
        <w:ind w:firstLine="170"/>
        <w:jc w:val="left"/>
        <w:rPr>
          <w:sz w:val="18"/>
          <w:szCs w:val="18"/>
        </w:rPr>
      </w:pPr>
      <w:r w:rsidRPr="00F34DBD">
        <w:rPr>
          <w:i/>
          <w:iCs/>
          <w:sz w:val="18"/>
          <w:szCs w:val="18"/>
        </w:rPr>
        <w:t>Fuente:</w:t>
      </w:r>
      <w:r w:rsidRPr="00F34DBD">
        <w:rPr>
          <w:sz w:val="18"/>
          <w:szCs w:val="18"/>
        </w:rPr>
        <w:t xml:space="preserve"> Ministerio de Educación, Ciencia y Tecnología.</w:t>
      </w:r>
    </w:p>
    <w:p w14:paraId="5945AED2" w14:textId="5AD7DBF6" w:rsidR="00CD692A" w:rsidRPr="00CD692A" w:rsidRDefault="00F34DBD" w:rsidP="00F34DBD">
      <w:pPr>
        <w:pStyle w:val="H23G"/>
        <w:rPr>
          <w:lang w:val="en-GB"/>
        </w:rPr>
      </w:pPr>
      <w:r w:rsidRPr="00F34DBD">
        <w:rPr>
          <w:b w:val="0"/>
          <w:bCs/>
        </w:rPr>
        <w:tab/>
      </w:r>
      <w:r w:rsidRPr="00F34DBD">
        <w:rPr>
          <w:b w:val="0"/>
          <w:bCs/>
        </w:rPr>
        <w:tab/>
      </w:r>
      <w:r w:rsidR="00CD692A" w:rsidRPr="00F34DBD">
        <w:rPr>
          <w:b w:val="0"/>
          <w:bCs/>
        </w:rPr>
        <w:t>Cuadro 33</w:t>
      </w:r>
      <w:r w:rsidRPr="00F34DBD">
        <w:rPr>
          <w:b w:val="0"/>
          <w:bCs/>
        </w:rPr>
        <w:br/>
      </w:r>
      <w:r w:rsidR="00CD692A" w:rsidRPr="00CD692A">
        <w:t>Indicadores de calidad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962"/>
        <w:gridCol w:w="1134"/>
        <w:gridCol w:w="1274"/>
      </w:tblGrid>
      <w:tr w:rsidR="00CD692A" w:rsidRPr="00F34DBD" w14:paraId="5B9C4B24" w14:textId="77777777" w:rsidTr="008D31CF">
        <w:trPr>
          <w:trHeight w:val="240"/>
          <w:tblHeader/>
        </w:trPr>
        <w:tc>
          <w:tcPr>
            <w:tcW w:w="4962" w:type="dxa"/>
            <w:tcBorders>
              <w:top w:val="single" w:sz="4" w:space="0" w:color="auto"/>
              <w:bottom w:val="single" w:sz="12" w:space="0" w:color="auto"/>
            </w:tcBorders>
            <w:shd w:val="clear" w:color="auto" w:fill="auto"/>
            <w:vAlign w:val="bottom"/>
          </w:tcPr>
          <w:p w14:paraId="61509384" w14:textId="77777777" w:rsidR="00CD692A" w:rsidRPr="00F34DBD" w:rsidRDefault="00CD692A" w:rsidP="00F34DBD">
            <w:pPr>
              <w:pStyle w:val="SingleTxtG"/>
              <w:tabs>
                <w:tab w:val="clear" w:pos="1701"/>
                <w:tab w:val="clear" w:pos="2268"/>
                <w:tab w:val="clear" w:pos="2835"/>
              </w:tabs>
              <w:spacing w:before="80" w:after="80" w:line="200" w:lineRule="exact"/>
              <w:ind w:left="0" w:right="0"/>
              <w:jc w:val="left"/>
              <w:rPr>
                <w:bCs/>
                <w:i/>
                <w:sz w:val="16"/>
                <w:lang w:val="en-GB"/>
              </w:rPr>
            </w:pPr>
          </w:p>
        </w:tc>
        <w:tc>
          <w:tcPr>
            <w:tcW w:w="1134" w:type="dxa"/>
            <w:tcBorders>
              <w:top w:val="single" w:sz="4" w:space="0" w:color="auto"/>
              <w:bottom w:val="single" w:sz="12" w:space="0" w:color="auto"/>
            </w:tcBorders>
            <w:shd w:val="clear" w:color="auto" w:fill="auto"/>
            <w:vAlign w:val="bottom"/>
          </w:tcPr>
          <w:p w14:paraId="6B381800" w14:textId="77777777" w:rsidR="00CD692A" w:rsidRPr="00F34DBD" w:rsidRDefault="00CD692A" w:rsidP="00F34DBD">
            <w:pPr>
              <w:pStyle w:val="SingleTxtG"/>
              <w:tabs>
                <w:tab w:val="clear" w:pos="1701"/>
                <w:tab w:val="clear" w:pos="2268"/>
                <w:tab w:val="clear" w:pos="2835"/>
              </w:tabs>
              <w:spacing w:before="80" w:after="80" w:line="200" w:lineRule="exact"/>
              <w:ind w:left="57" w:right="28"/>
              <w:jc w:val="right"/>
              <w:rPr>
                <w:bCs/>
                <w:i/>
                <w:sz w:val="16"/>
                <w:lang w:val="en-GB"/>
              </w:rPr>
            </w:pPr>
            <w:r w:rsidRPr="00F34DBD">
              <w:rPr>
                <w:i/>
                <w:iCs/>
                <w:sz w:val="16"/>
              </w:rPr>
              <w:t>2017</w:t>
            </w:r>
          </w:p>
        </w:tc>
        <w:tc>
          <w:tcPr>
            <w:tcW w:w="1274" w:type="dxa"/>
            <w:tcBorders>
              <w:top w:val="single" w:sz="4" w:space="0" w:color="auto"/>
              <w:bottom w:val="single" w:sz="12" w:space="0" w:color="auto"/>
            </w:tcBorders>
            <w:shd w:val="clear" w:color="auto" w:fill="auto"/>
            <w:vAlign w:val="bottom"/>
          </w:tcPr>
          <w:p w14:paraId="61FDAB2A" w14:textId="77777777" w:rsidR="00CD692A" w:rsidRPr="00F34DBD" w:rsidRDefault="00CD692A" w:rsidP="00F34DBD">
            <w:pPr>
              <w:pStyle w:val="SingleTxtG"/>
              <w:tabs>
                <w:tab w:val="clear" w:pos="1701"/>
                <w:tab w:val="clear" w:pos="2268"/>
                <w:tab w:val="clear" w:pos="2835"/>
              </w:tabs>
              <w:spacing w:before="80" w:after="80" w:line="200" w:lineRule="exact"/>
              <w:ind w:left="57" w:right="28"/>
              <w:jc w:val="right"/>
              <w:rPr>
                <w:bCs/>
                <w:i/>
                <w:sz w:val="16"/>
                <w:lang w:val="en-GB"/>
              </w:rPr>
            </w:pPr>
            <w:r w:rsidRPr="00F34DBD">
              <w:rPr>
                <w:i/>
                <w:iCs/>
                <w:sz w:val="16"/>
              </w:rPr>
              <w:t>2018</w:t>
            </w:r>
          </w:p>
        </w:tc>
      </w:tr>
      <w:tr w:rsidR="00CD692A" w:rsidRPr="00F34DBD" w14:paraId="20FD0AF2" w14:textId="77777777" w:rsidTr="008D31CF">
        <w:trPr>
          <w:trHeight w:val="240"/>
        </w:trPr>
        <w:tc>
          <w:tcPr>
            <w:tcW w:w="4962" w:type="dxa"/>
            <w:tcBorders>
              <w:top w:val="single" w:sz="12" w:space="0" w:color="auto"/>
            </w:tcBorders>
            <w:shd w:val="clear" w:color="auto" w:fill="auto"/>
          </w:tcPr>
          <w:p w14:paraId="15FB789A" w14:textId="24B6376F" w:rsidR="00CD692A" w:rsidRPr="00F34DBD" w:rsidRDefault="00CD692A" w:rsidP="00D24E4F">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maestro </w:t>
            </w:r>
            <w:r w:rsidR="00D24E4F" w:rsidRPr="00D24E4F">
              <w:rPr>
                <w:sz w:val="18"/>
              </w:rPr>
              <w:t>−</w:t>
            </w:r>
            <w:r w:rsidRPr="00F34DBD">
              <w:rPr>
                <w:sz w:val="18"/>
              </w:rPr>
              <w:t xml:space="preserve"> Primaria </w:t>
            </w:r>
          </w:p>
        </w:tc>
        <w:tc>
          <w:tcPr>
            <w:tcW w:w="1134" w:type="dxa"/>
            <w:tcBorders>
              <w:top w:val="single" w:sz="12" w:space="0" w:color="auto"/>
            </w:tcBorders>
            <w:shd w:val="clear" w:color="auto" w:fill="auto"/>
            <w:vAlign w:val="bottom"/>
          </w:tcPr>
          <w:p w14:paraId="6B4E5B39"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71,3</w:t>
            </w:r>
          </w:p>
        </w:tc>
        <w:tc>
          <w:tcPr>
            <w:tcW w:w="1274" w:type="dxa"/>
            <w:tcBorders>
              <w:top w:val="single" w:sz="12" w:space="0" w:color="auto"/>
            </w:tcBorders>
            <w:shd w:val="clear" w:color="auto" w:fill="auto"/>
            <w:vAlign w:val="bottom"/>
          </w:tcPr>
          <w:p w14:paraId="380E8B2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66,8</w:t>
            </w:r>
          </w:p>
        </w:tc>
      </w:tr>
      <w:tr w:rsidR="00CD692A" w:rsidRPr="00F34DBD" w14:paraId="17D5BFE2" w14:textId="77777777" w:rsidTr="008D31CF">
        <w:trPr>
          <w:trHeight w:val="240"/>
        </w:trPr>
        <w:tc>
          <w:tcPr>
            <w:tcW w:w="4962" w:type="dxa"/>
            <w:shd w:val="clear" w:color="auto" w:fill="auto"/>
          </w:tcPr>
          <w:p w14:paraId="2699AD19" w14:textId="0BF2F0D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maestro cualificado </w:t>
            </w:r>
            <w:r w:rsidR="00D24E4F" w:rsidRPr="00D24E4F">
              <w:rPr>
                <w:sz w:val="18"/>
              </w:rPr>
              <w:t>−</w:t>
            </w:r>
            <w:r w:rsidRPr="00F34DBD">
              <w:rPr>
                <w:sz w:val="18"/>
              </w:rPr>
              <w:t xml:space="preserve"> Primaria </w:t>
            </w:r>
          </w:p>
        </w:tc>
        <w:tc>
          <w:tcPr>
            <w:tcW w:w="1134" w:type="dxa"/>
            <w:shd w:val="clear" w:color="auto" w:fill="auto"/>
            <w:vAlign w:val="bottom"/>
          </w:tcPr>
          <w:p w14:paraId="709260FC"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76,9</w:t>
            </w:r>
          </w:p>
        </w:tc>
        <w:tc>
          <w:tcPr>
            <w:tcW w:w="1274" w:type="dxa"/>
            <w:shd w:val="clear" w:color="auto" w:fill="auto"/>
            <w:vAlign w:val="bottom"/>
          </w:tcPr>
          <w:p w14:paraId="3A9F99A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70</w:t>
            </w:r>
          </w:p>
        </w:tc>
      </w:tr>
      <w:tr w:rsidR="00CD692A" w:rsidRPr="00F34DBD" w14:paraId="3DFD2555" w14:textId="77777777" w:rsidTr="008D31CF">
        <w:trPr>
          <w:trHeight w:val="240"/>
        </w:trPr>
        <w:tc>
          <w:tcPr>
            <w:tcW w:w="4962" w:type="dxa"/>
            <w:shd w:val="clear" w:color="auto" w:fill="auto"/>
          </w:tcPr>
          <w:p w14:paraId="7E2F0761" w14:textId="7441BDE8"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aula permanente </w:t>
            </w:r>
            <w:r w:rsidR="00D24E4F" w:rsidRPr="00D24E4F">
              <w:rPr>
                <w:sz w:val="18"/>
              </w:rPr>
              <w:t>−</w:t>
            </w:r>
            <w:r w:rsidRPr="00F34DBD">
              <w:rPr>
                <w:sz w:val="18"/>
              </w:rPr>
              <w:t xml:space="preserve"> Primaria </w:t>
            </w:r>
          </w:p>
        </w:tc>
        <w:tc>
          <w:tcPr>
            <w:tcW w:w="1134" w:type="dxa"/>
            <w:shd w:val="clear" w:color="auto" w:fill="auto"/>
            <w:vAlign w:val="bottom"/>
          </w:tcPr>
          <w:p w14:paraId="6D3B22F9"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121,4</w:t>
            </w:r>
          </w:p>
        </w:tc>
        <w:tc>
          <w:tcPr>
            <w:tcW w:w="1274" w:type="dxa"/>
            <w:shd w:val="clear" w:color="auto" w:fill="auto"/>
            <w:vAlign w:val="bottom"/>
          </w:tcPr>
          <w:p w14:paraId="10B9ABB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120,9</w:t>
            </w:r>
          </w:p>
        </w:tc>
      </w:tr>
      <w:tr w:rsidR="00CD692A" w:rsidRPr="00F34DBD" w14:paraId="16A98F86" w14:textId="77777777" w:rsidTr="008D31CF">
        <w:trPr>
          <w:trHeight w:val="240"/>
        </w:trPr>
        <w:tc>
          <w:tcPr>
            <w:tcW w:w="4962" w:type="dxa"/>
            <w:shd w:val="clear" w:color="auto" w:fill="auto"/>
          </w:tcPr>
          <w:p w14:paraId="338DFAE8"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Índice de finalización de la enseñanza primaria </w:t>
            </w:r>
          </w:p>
        </w:tc>
        <w:tc>
          <w:tcPr>
            <w:tcW w:w="1134" w:type="dxa"/>
            <w:shd w:val="clear" w:color="auto" w:fill="auto"/>
            <w:vAlign w:val="bottom"/>
          </w:tcPr>
          <w:p w14:paraId="68DF65A1"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53</w:t>
            </w:r>
          </w:p>
        </w:tc>
        <w:tc>
          <w:tcPr>
            <w:tcW w:w="1274" w:type="dxa"/>
            <w:shd w:val="clear" w:color="auto" w:fill="auto"/>
            <w:vAlign w:val="bottom"/>
          </w:tcPr>
          <w:p w14:paraId="5D4AB90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52</w:t>
            </w:r>
          </w:p>
        </w:tc>
      </w:tr>
      <w:tr w:rsidR="00CD692A" w:rsidRPr="00F34DBD" w14:paraId="19802CA6" w14:textId="77777777" w:rsidTr="008D31CF">
        <w:trPr>
          <w:trHeight w:val="240"/>
        </w:trPr>
        <w:tc>
          <w:tcPr>
            <w:tcW w:w="4962" w:type="dxa"/>
            <w:shd w:val="clear" w:color="auto" w:fill="auto"/>
          </w:tcPr>
          <w:p w14:paraId="01F3C7D3"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134" w:type="dxa"/>
            <w:shd w:val="clear" w:color="auto" w:fill="auto"/>
            <w:vAlign w:val="bottom"/>
          </w:tcPr>
          <w:p w14:paraId="0045895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55</w:t>
            </w:r>
          </w:p>
        </w:tc>
        <w:tc>
          <w:tcPr>
            <w:tcW w:w="1274" w:type="dxa"/>
            <w:shd w:val="clear" w:color="auto" w:fill="auto"/>
            <w:vAlign w:val="bottom"/>
          </w:tcPr>
          <w:p w14:paraId="06B2EECF"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54</w:t>
            </w:r>
          </w:p>
        </w:tc>
      </w:tr>
      <w:tr w:rsidR="00CD692A" w:rsidRPr="00F34DBD" w14:paraId="143D16E2" w14:textId="77777777" w:rsidTr="008D31CF">
        <w:trPr>
          <w:trHeight w:val="240"/>
        </w:trPr>
        <w:tc>
          <w:tcPr>
            <w:tcW w:w="4962" w:type="dxa"/>
            <w:shd w:val="clear" w:color="auto" w:fill="auto"/>
          </w:tcPr>
          <w:p w14:paraId="653DA165"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134" w:type="dxa"/>
            <w:shd w:val="clear" w:color="auto" w:fill="auto"/>
            <w:vAlign w:val="bottom"/>
          </w:tcPr>
          <w:p w14:paraId="08659AE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51</w:t>
            </w:r>
          </w:p>
        </w:tc>
        <w:tc>
          <w:tcPr>
            <w:tcW w:w="1274" w:type="dxa"/>
            <w:shd w:val="clear" w:color="auto" w:fill="auto"/>
            <w:vAlign w:val="bottom"/>
          </w:tcPr>
          <w:p w14:paraId="3CF4BE80"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51</w:t>
            </w:r>
          </w:p>
        </w:tc>
      </w:tr>
      <w:tr w:rsidR="00CD692A" w:rsidRPr="00F34DBD" w14:paraId="48F1ECCA" w14:textId="77777777" w:rsidTr="008D31CF">
        <w:trPr>
          <w:trHeight w:val="240"/>
        </w:trPr>
        <w:tc>
          <w:tcPr>
            <w:tcW w:w="4962" w:type="dxa"/>
            <w:shd w:val="clear" w:color="auto" w:fill="auto"/>
          </w:tcPr>
          <w:p w14:paraId="06A3A28A"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Índice de finalización de la enseñanza secundaria </w:t>
            </w:r>
          </w:p>
        </w:tc>
        <w:tc>
          <w:tcPr>
            <w:tcW w:w="1134" w:type="dxa"/>
            <w:shd w:val="clear" w:color="auto" w:fill="auto"/>
            <w:vAlign w:val="bottom"/>
          </w:tcPr>
          <w:p w14:paraId="4E9F31B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24</w:t>
            </w:r>
          </w:p>
        </w:tc>
        <w:tc>
          <w:tcPr>
            <w:tcW w:w="1274" w:type="dxa"/>
            <w:shd w:val="clear" w:color="auto" w:fill="auto"/>
            <w:vAlign w:val="bottom"/>
          </w:tcPr>
          <w:p w14:paraId="4C43326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p>
        </w:tc>
      </w:tr>
      <w:tr w:rsidR="00CD692A" w:rsidRPr="00F34DBD" w14:paraId="0B278618" w14:textId="77777777" w:rsidTr="008D31CF">
        <w:trPr>
          <w:trHeight w:val="240"/>
        </w:trPr>
        <w:tc>
          <w:tcPr>
            <w:tcW w:w="4962" w:type="dxa"/>
            <w:shd w:val="clear" w:color="auto" w:fill="auto"/>
          </w:tcPr>
          <w:p w14:paraId="0415EAE3"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Grado 2 </w:t>
            </w:r>
          </w:p>
        </w:tc>
        <w:tc>
          <w:tcPr>
            <w:tcW w:w="1134" w:type="dxa"/>
            <w:shd w:val="clear" w:color="auto" w:fill="auto"/>
            <w:vAlign w:val="bottom"/>
          </w:tcPr>
          <w:p w14:paraId="57E0B059"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p>
        </w:tc>
        <w:tc>
          <w:tcPr>
            <w:tcW w:w="1274" w:type="dxa"/>
            <w:shd w:val="clear" w:color="auto" w:fill="auto"/>
            <w:vAlign w:val="bottom"/>
          </w:tcPr>
          <w:p w14:paraId="61DA34C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p>
        </w:tc>
      </w:tr>
      <w:tr w:rsidR="00CD692A" w:rsidRPr="00F34DBD" w14:paraId="73ADED02" w14:textId="77777777" w:rsidTr="008D31CF">
        <w:trPr>
          <w:trHeight w:val="240"/>
        </w:trPr>
        <w:tc>
          <w:tcPr>
            <w:tcW w:w="4962" w:type="dxa"/>
            <w:shd w:val="clear" w:color="auto" w:fill="auto"/>
          </w:tcPr>
          <w:p w14:paraId="06500B5B"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Grado 4 </w:t>
            </w:r>
          </w:p>
        </w:tc>
        <w:tc>
          <w:tcPr>
            <w:tcW w:w="1134" w:type="dxa"/>
            <w:shd w:val="clear" w:color="auto" w:fill="auto"/>
            <w:vAlign w:val="bottom"/>
          </w:tcPr>
          <w:p w14:paraId="47D0643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21,9</w:t>
            </w:r>
          </w:p>
        </w:tc>
        <w:tc>
          <w:tcPr>
            <w:tcW w:w="1274" w:type="dxa"/>
            <w:shd w:val="clear" w:color="auto" w:fill="auto"/>
            <w:vAlign w:val="bottom"/>
          </w:tcPr>
          <w:p w14:paraId="20A1A119"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p>
        </w:tc>
      </w:tr>
      <w:tr w:rsidR="00CD692A" w:rsidRPr="00F34DBD" w14:paraId="4CBDB0D8" w14:textId="77777777" w:rsidTr="008D31CF">
        <w:trPr>
          <w:trHeight w:val="240"/>
        </w:trPr>
        <w:tc>
          <w:tcPr>
            <w:tcW w:w="4962" w:type="dxa"/>
            <w:shd w:val="clear" w:color="auto" w:fill="auto"/>
          </w:tcPr>
          <w:p w14:paraId="726A5704"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134" w:type="dxa"/>
            <w:shd w:val="clear" w:color="auto" w:fill="auto"/>
            <w:vAlign w:val="bottom"/>
          </w:tcPr>
          <w:p w14:paraId="749926DE"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24</w:t>
            </w:r>
          </w:p>
        </w:tc>
        <w:tc>
          <w:tcPr>
            <w:tcW w:w="1274" w:type="dxa"/>
            <w:shd w:val="clear" w:color="auto" w:fill="auto"/>
            <w:vAlign w:val="bottom"/>
          </w:tcPr>
          <w:p w14:paraId="3274FA93"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26</w:t>
            </w:r>
          </w:p>
        </w:tc>
      </w:tr>
      <w:tr w:rsidR="00CD692A" w:rsidRPr="00F34DBD" w14:paraId="1CF6AA82" w14:textId="77777777" w:rsidTr="008D31CF">
        <w:trPr>
          <w:trHeight w:val="240"/>
        </w:trPr>
        <w:tc>
          <w:tcPr>
            <w:tcW w:w="4962" w:type="dxa"/>
            <w:shd w:val="clear" w:color="auto" w:fill="auto"/>
          </w:tcPr>
          <w:p w14:paraId="24362756"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134" w:type="dxa"/>
            <w:shd w:val="clear" w:color="auto" w:fill="auto"/>
            <w:vAlign w:val="bottom"/>
          </w:tcPr>
          <w:p w14:paraId="4C8FD20D"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20</w:t>
            </w:r>
          </w:p>
        </w:tc>
        <w:tc>
          <w:tcPr>
            <w:tcW w:w="1274" w:type="dxa"/>
            <w:shd w:val="clear" w:color="auto" w:fill="auto"/>
            <w:vAlign w:val="bottom"/>
          </w:tcPr>
          <w:p w14:paraId="447A2553"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22</w:t>
            </w:r>
          </w:p>
        </w:tc>
      </w:tr>
      <w:tr w:rsidR="00CD692A" w:rsidRPr="00F34DBD" w14:paraId="078614E4" w14:textId="77777777" w:rsidTr="008D31CF">
        <w:trPr>
          <w:trHeight w:val="240"/>
        </w:trPr>
        <w:tc>
          <w:tcPr>
            <w:tcW w:w="4962" w:type="dxa"/>
            <w:shd w:val="clear" w:color="auto" w:fill="auto"/>
          </w:tcPr>
          <w:p w14:paraId="3DF81066" w14:textId="6592B87A"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maestro cualificado </w:t>
            </w:r>
            <w:r w:rsidR="00D24E4F" w:rsidRPr="00D24E4F">
              <w:rPr>
                <w:sz w:val="18"/>
              </w:rPr>
              <w:t>−</w:t>
            </w:r>
            <w:r w:rsidRPr="00F34DBD">
              <w:rPr>
                <w:sz w:val="18"/>
              </w:rPr>
              <w:t xml:space="preserve"> Secundaria </w:t>
            </w:r>
          </w:p>
        </w:tc>
        <w:tc>
          <w:tcPr>
            <w:tcW w:w="1134" w:type="dxa"/>
            <w:shd w:val="clear" w:color="auto" w:fill="auto"/>
            <w:vAlign w:val="bottom"/>
          </w:tcPr>
          <w:p w14:paraId="7099E45B"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45,4</w:t>
            </w:r>
          </w:p>
        </w:tc>
        <w:tc>
          <w:tcPr>
            <w:tcW w:w="1274" w:type="dxa"/>
            <w:shd w:val="clear" w:color="auto" w:fill="auto"/>
            <w:vAlign w:val="bottom"/>
          </w:tcPr>
          <w:p w14:paraId="5ADA65F3"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41</w:t>
            </w:r>
          </w:p>
        </w:tc>
      </w:tr>
      <w:tr w:rsidR="00CD692A" w:rsidRPr="00F34DBD" w14:paraId="277532A5" w14:textId="77777777" w:rsidTr="008D31CF">
        <w:trPr>
          <w:trHeight w:val="240"/>
        </w:trPr>
        <w:tc>
          <w:tcPr>
            <w:tcW w:w="4962" w:type="dxa"/>
            <w:shd w:val="clear" w:color="auto" w:fill="auto"/>
          </w:tcPr>
          <w:p w14:paraId="3DDC1ABD" w14:textId="5E992F0A"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maestro cualificado </w:t>
            </w:r>
            <w:r w:rsidR="00D24E4F" w:rsidRPr="00D24E4F">
              <w:rPr>
                <w:sz w:val="18"/>
              </w:rPr>
              <w:t>−</w:t>
            </w:r>
            <w:r w:rsidRPr="00F34DBD">
              <w:rPr>
                <w:sz w:val="18"/>
              </w:rPr>
              <w:t xml:space="preserve"> Secundaria </w:t>
            </w:r>
            <w:r w:rsidR="000F4C56">
              <w:rPr>
                <w:sz w:val="18"/>
              </w:rPr>
              <w:t>p</w:t>
            </w:r>
            <w:r w:rsidRPr="00F34DBD">
              <w:rPr>
                <w:sz w:val="18"/>
              </w:rPr>
              <w:t>ública</w:t>
            </w:r>
          </w:p>
        </w:tc>
        <w:tc>
          <w:tcPr>
            <w:tcW w:w="1134" w:type="dxa"/>
            <w:shd w:val="clear" w:color="auto" w:fill="auto"/>
            <w:vAlign w:val="bottom"/>
          </w:tcPr>
          <w:p w14:paraId="3FFA891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42,6</w:t>
            </w:r>
          </w:p>
        </w:tc>
        <w:tc>
          <w:tcPr>
            <w:tcW w:w="1274" w:type="dxa"/>
            <w:shd w:val="clear" w:color="auto" w:fill="auto"/>
            <w:vAlign w:val="bottom"/>
          </w:tcPr>
          <w:p w14:paraId="09694B2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44,3</w:t>
            </w:r>
          </w:p>
        </w:tc>
      </w:tr>
      <w:tr w:rsidR="00CD692A" w:rsidRPr="00F34DBD" w14:paraId="6365D692" w14:textId="77777777" w:rsidTr="008D31CF">
        <w:trPr>
          <w:trHeight w:val="240"/>
        </w:trPr>
        <w:tc>
          <w:tcPr>
            <w:tcW w:w="4962" w:type="dxa"/>
            <w:shd w:val="clear" w:color="auto" w:fill="auto"/>
          </w:tcPr>
          <w:p w14:paraId="5624BA1C" w14:textId="35AE685A"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maestro cualificado </w:t>
            </w:r>
            <w:r w:rsidR="00D24E4F" w:rsidRPr="00D24E4F">
              <w:rPr>
                <w:sz w:val="18"/>
              </w:rPr>
              <w:t>−</w:t>
            </w:r>
            <w:r w:rsidRPr="00F34DBD">
              <w:rPr>
                <w:sz w:val="18"/>
              </w:rPr>
              <w:t xml:space="preserve"> Secundaria </w:t>
            </w:r>
            <w:r w:rsidR="000F4C56">
              <w:rPr>
                <w:sz w:val="18"/>
              </w:rPr>
              <w:t>p</w:t>
            </w:r>
            <w:r w:rsidRPr="00F34DBD">
              <w:rPr>
                <w:sz w:val="18"/>
              </w:rPr>
              <w:t>rivada</w:t>
            </w:r>
          </w:p>
        </w:tc>
        <w:tc>
          <w:tcPr>
            <w:tcW w:w="1134" w:type="dxa"/>
            <w:shd w:val="clear" w:color="auto" w:fill="auto"/>
            <w:vAlign w:val="bottom"/>
          </w:tcPr>
          <w:p w14:paraId="5A0499AA"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61,2</w:t>
            </w:r>
          </w:p>
        </w:tc>
        <w:tc>
          <w:tcPr>
            <w:tcW w:w="1274" w:type="dxa"/>
            <w:shd w:val="clear" w:color="auto" w:fill="auto"/>
            <w:vAlign w:val="bottom"/>
          </w:tcPr>
          <w:p w14:paraId="7D87F24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27,6</w:t>
            </w:r>
          </w:p>
        </w:tc>
      </w:tr>
      <w:tr w:rsidR="00CD692A" w:rsidRPr="00F34DBD" w14:paraId="52D0ADC9" w14:textId="77777777" w:rsidTr="008D31CF">
        <w:trPr>
          <w:trHeight w:val="240"/>
        </w:trPr>
        <w:tc>
          <w:tcPr>
            <w:tcW w:w="4962" w:type="dxa"/>
            <w:tcBorders>
              <w:bottom w:val="single" w:sz="12" w:space="0" w:color="auto"/>
            </w:tcBorders>
            <w:shd w:val="clear" w:color="auto" w:fill="auto"/>
          </w:tcPr>
          <w:p w14:paraId="54E57DF9" w14:textId="580887CD"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Número de alumnos por aula permanente </w:t>
            </w:r>
            <w:r w:rsidR="00D24E4F" w:rsidRPr="00D24E4F">
              <w:rPr>
                <w:sz w:val="18"/>
              </w:rPr>
              <w:t>−</w:t>
            </w:r>
            <w:r w:rsidRPr="00F34DBD">
              <w:rPr>
                <w:sz w:val="18"/>
              </w:rPr>
              <w:t xml:space="preserve"> Secundaria </w:t>
            </w:r>
          </w:p>
        </w:tc>
        <w:tc>
          <w:tcPr>
            <w:tcW w:w="1134" w:type="dxa"/>
            <w:tcBorders>
              <w:bottom w:val="single" w:sz="12" w:space="0" w:color="auto"/>
            </w:tcBorders>
            <w:shd w:val="clear" w:color="auto" w:fill="auto"/>
            <w:vAlign w:val="bottom"/>
          </w:tcPr>
          <w:p w14:paraId="031E989F"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58,7</w:t>
            </w:r>
          </w:p>
        </w:tc>
        <w:tc>
          <w:tcPr>
            <w:tcW w:w="1274" w:type="dxa"/>
            <w:tcBorders>
              <w:bottom w:val="single" w:sz="12" w:space="0" w:color="auto"/>
            </w:tcBorders>
            <w:shd w:val="clear" w:color="auto" w:fill="auto"/>
            <w:vAlign w:val="bottom"/>
          </w:tcPr>
          <w:p w14:paraId="47D1B319"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58,7</w:t>
            </w:r>
          </w:p>
        </w:tc>
      </w:tr>
    </w:tbl>
    <w:p w14:paraId="2AA7D17C" w14:textId="77777777" w:rsidR="00CD692A" w:rsidRPr="00F34DBD" w:rsidRDefault="00CD692A" w:rsidP="00F34DBD">
      <w:pPr>
        <w:pStyle w:val="SingleTxtG"/>
        <w:spacing w:before="120" w:after="240"/>
        <w:ind w:firstLine="170"/>
        <w:jc w:val="left"/>
        <w:rPr>
          <w:sz w:val="18"/>
          <w:szCs w:val="18"/>
        </w:rPr>
      </w:pPr>
      <w:r w:rsidRPr="00F34DBD">
        <w:rPr>
          <w:i/>
          <w:iCs/>
          <w:sz w:val="18"/>
          <w:szCs w:val="18"/>
        </w:rPr>
        <w:t>Fuente:</w:t>
      </w:r>
      <w:r w:rsidRPr="00F34DBD">
        <w:rPr>
          <w:sz w:val="18"/>
          <w:szCs w:val="18"/>
        </w:rPr>
        <w:t xml:space="preserve"> Ministerio de Educación, Ciencia y Tecnología.</w:t>
      </w:r>
    </w:p>
    <w:p w14:paraId="714BAD27" w14:textId="7837CE8B" w:rsidR="00CD692A" w:rsidRPr="00CD692A" w:rsidRDefault="00F34DBD" w:rsidP="00F34DBD">
      <w:pPr>
        <w:pStyle w:val="H23G"/>
        <w:rPr>
          <w:lang w:val="en-GB"/>
        </w:rPr>
      </w:pPr>
      <w:r w:rsidRPr="00F34DBD">
        <w:rPr>
          <w:b w:val="0"/>
          <w:bCs/>
        </w:rPr>
        <w:lastRenderedPageBreak/>
        <w:tab/>
      </w:r>
      <w:r w:rsidRPr="00F34DBD">
        <w:rPr>
          <w:b w:val="0"/>
          <w:bCs/>
        </w:rPr>
        <w:tab/>
      </w:r>
      <w:r w:rsidR="00CD692A" w:rsidRPr="00F34DBD">
        <w:rPr>
          <w:b w:val="0"/>
          <w:bCs/>
        </w:rPr>
        <w:t>Cuadro 34</w:t>
      </w:r>
      <w:r w:rsidRPr="00F34DBD">
        <w:rPr>
          <w:b w:val="0"/>
          <w:bCs/>
        </w:rPr>
        <w:br/>
      </w:r>
      <w:r w:rsidR="00CD692A" w:rsidRPr="00CD692A">
        <w:t>Indicadores de eficiencia</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395"/>
        <w:gridCol w:w="1417"/>
        <w:gridCol w:w="1558"/>
      </w:tblGrid>
      <w:tr w:rsidR="00CD692A" w:rsidRPr="00F34DBD" w14:paraId="5F116243" w14:textId="77777777" w:rsidTr="00F34DBD">
        <w:trPr>
          <w:trHeight w:val="240"/>
          <w:tblHeader/>
        </w:trPr>
        <w:tc>
          <w:tcPr>
            <w:tcW w:w="4395" w:type="dxa"/>
            <w:tcBorders>
              <w:top w:val="single" w:sz="4" w:space="0" w:color="auto"/>
              <w:bottom w:val="single" w:sz="12" w:space="0" w:color="auto"/>
            </w:tcBorders>
            <w:shd w:val="clear" w:color="auto" w:fill="auto"/>
            <w:vAlign w:val="bottom"/>
          </w:tcPr>
          <w:p w14:paraId="7F3EA3E2" w14:textId="77777777" w:rsidR="00CD692A" w:rsidRPr="00F34DBD" w:rsidRDefault="00CD692A" w:rsidP="00F34DBD">
            <w:pPr>
              <w:pStyle w:val="SingleTxtG"/>
              <w:tabs>
                <w:tab w:val="clear" w:pos="1701"/>
                <w:tab w:val="clear" w:pos="2268"/>
                <w:tab w:val="clear" w:pos="2835"/>
              </w:tabs>
              <w:spacing w:before="80" w:after="80" w:line="200" w:lineRule="exact"/>
              <w:ind w:left="0" w:right="0"/>
              <w:jc w:val="left"/>
              <w:rPr>
                <w:bCs/>
                <w:i/>
                <w:sz w:val="16"/>
                <w:lang w:val="en-GB"/>
              </w:rPr>
            </w:pPr>
          </w:p>
        </w:tc>
        <w:tc>
          <w:tcPr>
            <w:tcW w:w="1417" w:type="dxa"/>
            <w:tcBorders>
              <w:top w:val="single" w:sz="4" w:space="0" w:color="auto"/>
              <w:bottom w:val="single" w:sz="12" w:space="0" w:color="auto"/>
            </w:tcBorders>
            <w:shd w:val="clear" w:color="auto" w:fill="auto"/>
            <w:vAlign w:val="bottom"/>
          </w:tcPr>
          <w:p w14:paraId="21220978" w14:textId="77777777" w:rsidR="00CD692A" w:rsidRPr="00F34DBD" w:rsidRDefault="00CD692A" w:rsidP="00F34DBD">
            <w:pPr>
              <w:pStyle w:val="SingleTxtG"/>
              <w:tabs>
                <w:tab w:val="clear" w:pos="1701"/>
                <w:tab w:val="clear" w:pos="2268"/>
                <w:tab w:val="clear" w:pos="2835"/>
              </w:tabs>
              <w:spacing w:before="80" w:after="80" w:line="200" w:lineRule="exact"/>
              <w:ind w:left="57" w:right="28"/>
              <w:jc w:val="right"/>
              <w:rPr>
                <w:bCs/>
                <w:i/>
                <w:sz w:val="16"/>
                <w:lang w:val="en-GB"/>
              </w:rPr>
            </w:pPr>
            <w:r w:rsidRPr="00F34DBD">
              <w:rPr>
                <w:i/>
                <w:iCs/>
                <w:sz w:val="16"/>
              </w:rPr>
              <w:t>2017</w:t>
            </w:r>
          </w:p>
        </w:tc>
        <w:tc>
          <w:tcPr>
            <w:tcW w:w="1558" w:type="dxa"/>
            <w:tcBorders>
              <w:top w:val="single" w:sz="4" w:space="0" w:color="auto"/>
              <w:bottom w:val="single" w:sz="12" w:space="0" w:color="auto"/>
            </w:tcBorders>
            <w:shd w:val="clear" w:color="auto" w:fill="auto"/>
            <w:vAlign w:val="bottom"/>
          </w:tcPr>
          <w:p w14:paraId="31D1F784" w14:textId="77777777" w:rsidR="00CD692A" w:rsidRPr="00F34DBD" w:rsidRDefault="00CD692A" w:rsidP="00F34DBD">
            <w:pPr>
              <w:pStyle w:val="SingleTxtG"/>
              <w:tabs>
                <w:tab w:val="clear" w:pos="1701"/>
                <w:tab w:val="clear" w:pos="2268"/>
                <w:tab w:val="clear" w:pos="2835"/>
              </w:tabs>
              <w:spacing w:before="80" w:after="80" w:line="200" w:lineRule="exact"/>
              <w:ind w:left="57" w:right="28"/>
              <w:jc w:val="right"/>
              <w:rPr>
                <w:bCs/>
                <w:i/>
                <w:sz w:val="16"/>
                <w:lang w:val="en-GB"/>
              </w:rPr>
            </w:pPr>
            <w:r w:rsidRPr="00F34DBD">
              <w:rPr>
                <w:i/>
                <w:iCs/>
                <w:sz w:val="16"/>
              </w:rPr>
              <w:t>2018</w:t>
            </w:r>
          </w:p>
        </w:tc>
      </w:tr>
      <w:tr w:rsidR="00CD692A" w:rsidRPr="00F34DBD" w14:paraId="2EF2C6B4" w14:textId="77777777" w:rsidTr="00F34DBD">
        <w:trPr>
          <w:trHeight w:val="240"/>
        </w:trPr>
        <w:tc>
          <w:tcPr>
            <w:tcW w:w="4395" w:type="dxa"/>
            <w:shd w:val="clear" w:color="auto" w:fill="auto"/>
          </w:tcPr>
          <w:p w14:paraId="62B9E4FA"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Tasa de abandono escolar en la enseñanza primaria </w:t>
            </w:r>
          </w:p>
        </w:tc>
        <w:tc>
          <w:tcPr>
            <w:tcW w:w="1417" w:type="dxa"/>
            <w:shd w:val="clear" w:color="auto" w:fill="auto"/>
            <w:vAlign w:val="bottom"/>
          </w:tcPr>
          <w:p w14:paraId="10923D3D"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4,1</w:t>
            </w:r>
          </w:p>
        </w:tc>
        <w:tc>
          <w:tcPr>
            <w:tcW w:w="1558" w:type="dxa"/>
            <w:shd w:val="clear" w:color="auto" w:fill="auto"/>
            <w:vAlign w:val="bottom"/>
          </w:tcPr>
          <w:p w14:paraId="55440EA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3,2</w:t>
            </w:r>
          </w:p>
        </w:tc>
      </w:tr>
      <w:tr w:rsidR="00CD692A" w:rsidRPr="00F34DBD" w14:paraId="72451F69" w14:textId="77777777" w:rsidTr="00F34DBD">
        <w:trPr>
          <w:trHeight w:val="240"/>
        </w:trPr>
        <w:tc>
          <w:tcPr>
            <w:tcW w:w="4395" w:type="dxa"/>
            <w:shd w:val="clear" w:color="auto" w:fill="auto"/>
          </w:tcPr>
          <w:p w14:paraId="32BDBD69"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417" w:type="dxa"/>
            <w:shd w:val="clear" w:color="auto" w:fill="auto"/>
            <w:vAlign w:val="bottom"/>
          </w:tcPr>
          <w:p w14:paraId="34182CB4"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w:t>
            </w:r>
          </w:p>
        </w:tc>
        <w:tc>
          <w:tcPr>
            <w:tcW w:w="1558" w:type="dxa"/>
            <w:shd w:val="clear" w:color="auto" w:fill="auto"/>
            <w:vAlign w:val="bottom"/>
          </w:tcPr>
          <w:p w14:paraId="1E77BAC7"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3,1</w:t>
            </w:r>
          </w:p>
        </w:tc>
      </w:tr>
      <w:tr w:rsidR="00CD692A" w:rsidRPr="00F34DBD" w14:paraId="2E82C92B" w14:textId="77777777" w:rsidTr="00F34DBD">
        <w:trPr>
          <w:trHeight w:val="240"/>
        </w:trPr>
        <w:tc>
          <w:tcPr>
            <w:tcW w:w="4395" w:type="dxa"/>
            <w:shd w:val="clear" w:color="auto" w:fill="auto"/>
          </w:tcPr>
          <w:p w14:paraId="60D2E50C"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417" w:type="dxa"/>
            <w:shd w:val="clear" w:color="auto" w:fill="auto"/>
            <w:vAlign w:val="bottom"/>
          </w:tcPr>
          <w:p w14:paraId="15A9D86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4,2</w:t>
            </w:r>
          </w:p>
        </w:tc>
        <w:tc>
          <w:tcPr>
            <w:tcW w:w="1558" w:type="dxa"/>
            <w:shd w:val="clear" w:color="auto" w:fill="auto"/>
            <w:vAlign w:val="bottom"/>
          </w:tcPr>
          <w:p w14:paraId="2FDF8F2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3,2</w:t>
            </w:r>
          </w:p>
        </w:tc>
      </w:tr>
      <w:tr w:rsidR="00CD692A" w:rsidRPr="00F34DBD" w14:paraId="6B0D7EB2" w14:textId="77777777" w:rsidTr="00F34DBD">
        <w:trPr>
          <w:trHeight w:val="240"/>
        </w:trPr>
        <w:tc>
          <w:tcPr>
            <w:tcW w:w="4395" w:type="dxa"/>
            <w:shd w:val="clear" w:color="auto" w:fill="auto"/>
          </w:tcPr>
          <w:p w14:paraId="6A6C4AD7"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Tasa de abandono escolar en la enseñanza secundaria </w:t>
            </w:r>
          </w:p>
        </w:tc>
        <w:tc>
          <w:tcPr>
            <w:tcW w:w="1417" w:type="dxa"/>
            <w:shd w:val="clear" w:color="auto" w:fill="auto"/>
            <w:vAlign w:val="bottom"/>
          </w:tcPr>
          <w:p w14:paraId="577FFA3D"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4,8</w:t>
            </w:r>
          </w:p>
        </w:tc>
        <w:tc>
          <w:tcPr>
            <w:tcW w:w="1558" w:type="dxa"/>
            <w:shd w:val="clear" w:color="auto" w:fill="auto"/>
            <w:vAlign w:val="bottom"/>
          </w:tcPr>
          <w:p w14:paraId="63AFD1B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p>
        </w:tc>
      </w:tr>
      <w:tr w:rsidR="00CD692A" w:rsidRPr="00F34DBD" w14:paraId="251267BA" w14:textId="77777777" w:rsidTr="00F34DBD">
        <w:trPr>
          <w:trHeight w:val="240"/>
        </w:trPr>
        <w:tc>
          <w:tcPr>
            <w:tcW w:w="4395" w:type="dxa"/>
            <w:shd w:val="clear" w:color="auto" w:fill="auto"/>
          </w:tcPr>
          <w:p w14:paraId="7FC2605B"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417" w:type="dxa"/>
            <w:shd w:val="clear" w:color="auto" w:fill="auto"/>
            <w:vAlign w:val="bottom"/>
          </w:tcPr>
          <w:p w14:paraId="5EF78043"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3,8</w:t>
            </w:r>
          </w:p>
        </w:tc>
        <w:tc>
          <w:tcPr>
            <w:tcW w:w="1558" w:type="dxa"/>
            <w:shd w:val="clear" w:color="auto" w:fill="auto"/>
            <w:vAlign w:val="bottom"/>
          </w:tcPr>
          <w:p w14:paraId="5800784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8,46</w:t>
            </w:r>
          </w:p>
        </w:tc>
      </w:tr>
      <w:tr w:rsidR="00CD692A" w:rsidRPr="00F34DBD" w14:paraId="2F9C8685" w14:textId="77777777" w:rsidTr="00F34DBD">
        <w:trPr>
          <w:trHeight w:val="240"/>
        </w:trPr>
        <w:tc>
          <w:tcPr>
            <w:tcW w:w="4395" w:type="dxa"/>
            <w:shd w:val="clear" w:color="auto" w:fill="auto"/>
          </w:tcPr>
          <w:p w14:paraId="4E2205B0"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417" w:type="dxa"/>
            <w:shd w:val="clear" w:color="auto" w:fill="auto"/>
            <w:vAlign w:val="bottom"/>
          </w:tcPr>
          <w:p w14:paraId="0A4116D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5,9</w:t>
            </w:r>
          </w:p>
        </w:tc>
        <w:tc>
          <w:tcPr>
            <w:tcW w:w="1558" w:type="dxa"/>
            <w:shd w:val="clear" w:color="auto" w:fill="auto"/>
            <w:vAlign w:val="bottom"/>
          </w:tcPr>
          <w:p w14:paraId="7E161124"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13,35</w:t>
            </w:r>
          </w:p>
        </w:tc>
      </w:tr>
      <w:tr w:rsidR="00CD692A" w:rsidRPr="00F34DBD" w14:paraId="20F73EF4" w14:textId="77777777" w:rsidTr="00F34DBD">
        <w:trPr>
          <w:trHeight w:val="240"/>
        </w:trPr>
        <w:tc>
          <w:tcPr>
            <w:tcW w:w="4395" w:type="dxa"/>
            <w:shd w:val="clear" w:color="auto" w:fill="auto"/>
          </w:tcPr>
          <w:p w14:paraId="22E15A49"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Tasa de transición a la enseñanza secundaria </w:t>
            </w:r>
          </w:p>
        </w:tc>
        <w:tc>
          <w:tcPr>
            <w:tcW w:w="1417" w:type="dxa"/>
            <w:shd w:val="clear" w:color="auto" w:fill="auto"/>
            <w:vAlign w:val="bottom"/>
          </w:tcPr>
          <w:p w14:paraId="3A515E50"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38,4</w:t>
            </w:r>
          </w:p>
        </w:tc>
        <w:tc>
          <w:tcPr>
            <w:tcW w:w="1558" w:type="dxa"/>
            <w:shd w:val="clear" w:color="auto" w:fill="auto"/>
            <w:vAlign w:val="bottom"/>
          </w:tcPr>
          <w:p w14:paraId="5E9BFAF4"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38,4</w:t>
            </w:r>
          </w:p>
        </w:tc>
      </w:tr>
      <w:tr w:rsidR="00CD692A" w:rsidRPr="00F34DBD" w14:paraId="331DEF5E" w14:textId="77777777" w:rsidTr="00F34DBD">
        <w:trPr>
          <w:trHeight w:val="240"/>
        </w:trPr>
        <w:tc>
          <w:tcPr>
            <w:tcW w:w="4395" w:type="dxa"/>
            <w:shd w:val="clear" w:color="auto" w:fill="auto"/>
          </w:tcPr>
          <w:p w14:paraId="4836E816"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417" w:type="dxa"/>
            <w:shd w:val="clear" w:color="auto" w:fill="auto"/>
            <w:vAlign w:val="bottom"/>
          </w:tcPr>
          <w:p w14:paraId="7D727ED6"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40,9</w:t>
            </w:r>
          </w:p>
        </w:tc>
        <w:tc>
          <w:tcPr>
            <w:tcW w:w="1558" w:type="dxa"/>
            <w:shd w:val="clear" w:color="auto" w:fill="auto"/>
            <w:vAlign w:val="bottom"/>
          </w:tcPr>
          <w:p w14:paraId="2C78D8B2"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40,9</w:t>
            </w:r>
          </w:p>
        </w:tc>
      </w:tr>
      <w:tr w:rsidR="00CD692A" w:rsidRPr="00F34DBD" w14:paraId="5AED0C7A" w14:textId="77777777" w:rsidTr="00F34DBD">
        <w:trPr>
          <w:trHeight w:val="240"/>
        </w:trPr>
        <w:tc>
          <w:tcPr>
            <w:tcW w:w="4395" w:type="dxa"/>
            <w:shd w:val="clear" w:color="auto" w:fill="auto"/>
          </w:tcPr>
          <w:p w14:paraId="1E74C6A9"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417" w:type="dxa"/>
            <w:shd w:val="clear" w:color="auto" w:fill="auto"/>
            <w:vAlign w:val="bottom"/>
          </w:tcPr>
          <w:p w14:paraId="00F60F40"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35,8</w:t>
            </w:r>
          </w:p>
        </w:tc>
        <w:tc>
          <w:tcPr>
            <w:tcW w:w="1558" w:type="dxa"/>
            <w:shd w:val="clear" w:color="auto" w:fill="auto"/>
            <w:vAlign w:val="bottom"/>
          </w:tcPr>
          <w:p w14:paraId="7AB3B32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35,8</w:t>
            </w:r>
          </w:p>
        </w:tc>
      </w:tr>
      <w:tr w:rsidR="00CD692A" w:rsidRPr="00F34DBD" w14:paraId="4264E7E5" w14:textId="77777777" w:rsidTr="00F34DBD">
        <w:trPr>
          <w:trHeight w:val="240"/>
        </w:trPr>
        <w:tc>
          <w:tcPr>
            <w:tcW w:w="4395" w:type="dxa"/>
            <w:shd w:val="clear" w:color="auto" w:fill="auto"/>
          </w:tcPr>
          <w:p w14:paraId="53048EF1"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rPr>
            </w:pPr>
            <w:r w:rsidRPr="00F34DBD">
              <w:rPr>
                <w:sz w:val="18"/>
              </w:rPr>
              <w:t xml:space="preserve">Tasa de repetición en la enseñanza primaria </w:t>
            </w:r>
          </w:p>
        </w:tc>
        <w:tc>
          <w:tcPr>
            <w:tcW w:w="1417" w:type="dxa"/>
            <w:shd w:val="clear" w:color="auto" w:fill="auto"/>
            <w:vAlign w:val="bottom"/>
          </w:tcPr>
          <w:p w14:paraId="70EC9F98"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23,9</w:t>
            </w:r>
          </w:p>
        </w:tc>
        <w:tc>
          <w:tcPr>
            <w:tcW w:w="1558" w:type="dxa"/>
            <w:shd w:val="clear" w:color="auto" w:fill="auto"/>
            <w:vAlign w:val="bottom"/>
          </w:tcPr>
          <w:p w14:paraId="40B38793"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24,5</w:t>
            </w:r>
          </w:p>
        </w:tc>
      </w:tr>
      <w:tr w:rsidR="00CD692A" w:rsidRPr="00F34DBD" w14:paraId="66155410" w14:textId="77777777" w:rsidTr="00F34DBD">
        <w:trPr>
          <w:trHeight w:val="240"/>
        </w:trPr>
        <w:tc>
          <w:tcPr>
            <w:tcW w:w="4395" w:type="dxa"/>
            <w:shd w:val="clear" w:color="auto" w:fill="auto"/>
          </w:tcPr>
          <w:p w14:paraId="34211FB2"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Niños </w:t>
            </w:r>
          </w:p>
        </w:tc>
        <w:tc>
          <w:tcPr>
            <w:tcW w:w="1417" w:type="dxa"/>
            <w:shd w:val="clear" w:color="auto" w:fill="auto"/>
            <w:vAlign w:val="bottom"/>
          </w:tcPr>
          <w:p w14:paraId="75C9D1E4"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24,5</w:t>
            </w:r>
          </w:p>
        </w:tc>
        <w:tc>
          <w:tcPr>
            <w:tcW w:w="1558" w:type="dxa"/>
            <w:shd w:val="clear" w:color="auto" w:fill="auto"/>
            <w:vAlign w:val="bottom"/>
          </w:tcPr>
          <w:p w14:paraId="5A861D0D"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25,1</w:t>
            </w:r>
          </w:p>
        </w:tc>
      </w:tr>
      <w:tr w:rsidR="00CD692A" w:rsidRPr="00F34DBD" w14:paraId="029B45E2" w14:textId="77777777" w:rsidTr="00F34DBD">
        <w:trPr>
          <w:trHeight w:val="240"/>
        </w:trPr>
        <w:tc>
          <w:tcPr>
            <w:tcW w:w="4395" w:type="dxa"/>
            <w:tcBorders>
              <w:bottom w:val="single" w:sz="12" w:space="0" w:color="auto"/>
            </w:tcBorders>
            <w:shd w:val="clear" w:color="auto" w:fill="auto"/>
          </w:tcPr>
          <w:p w14:paraId="5B46C992" w14:textId="77777777" w:rsidR="00CD692A" w:rsidRPr="00F34DBD" w:rsidRDefault="00CD692A" w:rsidP="00F34DBD">
            <w:pPr>
              <w:pStyle w:val="SingleTxtG"/>
              <w:tabs>
                <w:tab w:val="clear" w:pos="1701"/>
                <w:tab w:val="clear" w:pos="2268"/>
                <w:tab w:val="clear" w:pos="2835"/>
              </w:tabs>
              <w:spacing w:before="40" w:after="40" w:line="220" w:lineRule="exact"/>
              <w:ind w:left="0" w:right="0"/>
              <w:jc w:val="left"/>
              <w:rPr>
                <w:bCs/>
                <w:sz w:val="18"/>
                <w:lang w:val="en-GB"/>
              </w:rPr>
            </w:pPr>
            <w:r w:rsidRPr="00F34DBD">
              <w:rPr>
                <w:sz w:val="18"/>
              </w:rPr>
              <w:t xml:space="preserve">Niñas </w:t>
            </w:r>
          </w:p>
        </w:tc>
        <w:tc>
          <w:tcPr>
            <w:tcW w:w="1417" w:type="dxa"/>
            <w:tcBorders>
              <w:bottom w:val="single" w:sz="12" w:space="0" w:color="auto"/>
            </w:tcBorders>
            <w:shd w:val="clear" w:color="auto" w:fill="auto"/>
            <w:vAlign w:val="bottom"/>
          </w:tcPr>
          <w:p w14:paraId="45AFC51F"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23,3</w:t>
            </w:r>
          </w:p>
        </w:tc>
        <w:tc>
          <w:tcPr>
            <w:tcW w:w="1558" w:type="dxa"/>
            <w:tcBorders>
              <w:bottom w:val="single" w:sz="12" w:space="0" w:color="auto"/>
            </w:tcBorders>
            <w:shd w:val="clear" w:color="auto" w:fill="auto"/>
            <w:vAlign w:val="bottom"/>
          </w:tcPr>
          <w:p w14:paraId="032A235D" w14:textId="77777777" w:rsidR="00CD692A" w:rsidRPr="00F34DBD" w:rsidRDefault="00CD692A" w:rsidP="00F34DBD">
            <w:pPr>
              <w:pStyle w:val="SingleTxtG"/>
              <w:tabs>
                <w:tab w:val="clear" w:pos="1701"/>
                <w:tab w:val="clear" w:pos="2268"/>
                <w:tab w:val="clear" w:pos="2835"/>
              </w:tabs>
              <w:spacing w:before="40" w:after="40" w:line="220" w:lineRule="exact"/>
              <w:ind w:left="57" w:right="28"/>
              <w:jc w:val="right"/>
              <w:rPr>
                <w:bCs/>
                <w:sz w:val="18"/>
                <w:lang w:val="en-GB"/>
              </w:rPr>
            </w:pPr>
            <w:r w:rsidRPr="00F34DBD">
              <w:rPr>
                <w:sz w:val="18"/>
              </w:rPr>
              <w:t>23,9</w:t>
            </w:r>
          </w:p>
        </w:tc>
      </w:tr>
    </w:tbl>
    <w:p w14:paraId="19D4B131" w14:textId="77777777" w:rsidR="00CD692A" w:rsidRPr="00F34DBD" w:rsidRDefault="00CD692A" w:rsidP="00F34DBD">
      <w:pPr>
        <w:pStyle w:val="SingleTxtG"/>
        <w:spacing w:before="120" w:after="240"/>
        <w:ind w:firstLine="170"/>
        <w:jc w:val="left"/>
        <w:rPr>
          <w:sz w:val="18"/>
          <w:szCs w:val="18"/>
        </w:rPr>
      </w:pPr>
      <w:r w:rsidRPr="00F34DBD">
        <w:rPr>
          <w:i/>
          <w:iCs/>
          <w:sz w:val="18"/>
          <w:szCs w:val="18"/>
        </w:rPr>
        <w:t>Fuente</w:t>
      </w:r>
      <w:r w:rsidRPr="008D31CF">
        <w:rPr>
          <w:i/>
          <w:iCs/>
          <w:sz w:val="18"/>
          <w:szCs w:val="18"/>
        </w:rPr>
        <w:t>:</w:t>
      </w:r>
      <w:r w:rsidRPr="00F34DBD">
        <w:rPr>
          <w:sz w:val="18"/>
          <w:szCs w:val="18"/>
        </w:rPr>
        <w:t xml:space="preserve"> Ministerio de Educación, Ciencia y Tecnología.</w:t>
      </w:r>
    </w:p>
    <w:p w14:paraId="4D506A11" w14:textId="078BBA3A" w:rsidR="00CD692A" w:rsidRPr="00CD692A" w:rsidRDefault="008D31CF" w:rsidP="008D31CF">
      <w:pPr>
        <w:pStyle w:val="H23G"/>
        <w:rPr>
          <w:lang w:val="en-GB"/>
        </w:rPr>
      </w:pPr>
      <w:r w:rsidRPr="008D31CF">
        <w:rPr>
          <w:b w:val="0"/>
          <w:bCs/>
        </w:rPr>
        <w:tab/>
      </w:r>
      <w:r w:rsidRPr="008D31CF">
        <w:rPr>
          <w:b w:val="0"/>
          <w:bCs/>
        </w:rPr>
        <w:tab/>
      </w:r>
      <w:r w:rsidR="00CD692A" w:rsidRPr="008D31CF">
        <w:rPr>
          <w:b w:val="0"/>
          <w:bCs/>
        </w:rPr>
        <w:t>Cuadro 35</w:t>
      </w:r>
      <w:r w:rsidRPr="008D31CF">
        <w:rPr>
          <w:b w:val="0"/>
          <w:bCs/>
        </w:rPr>
        <w:br/>
      </w:r>
      <w:r w:rsidR="00CD692A" w:rsidRPr="00CD692A">
        <w:t>Indicadores de equidad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820"/>
        <w:gridCol w:w="1276"/>
        <w:gridCol w:w="1274"/>
      </w:tblGrid>
      <w:tr w:rsidR="00CD692A" w:rsidRPr="008D31CF" w14:paraId="3055D1E7" w14:textId="77777777" w:rsidTr="008D31CF">
        <w:trPr>
          <w:trHeight w:val="240"/>
          <w:tblHeader/>
        </w:trPr>
        <w:tc>
          <w:tcPr>
            <w:tcW w:w="4820" w:type="dxa"/>
            <w:tcBorders>
              <w:top w:val="single" w:sz="4" w:space="0" w:color="auto"/>
              <w:bottom w:val="single" w:sz="12" w:space="0" w:color="auto"/>
            </w:tcBorders>
            <w:shd w:val="clear" w:color="auto" w:fill="auto"/>
            <w:vAlign w:val="bottom"/>
          </w:tcPr>
          <w:p w14:paraId="2101E3D7" w14:textId="77777777" w:rsidR="00CD692A" w:rsidRPr="008D31CF" w:rsidRDefault="00CD692A" w:rsidP="008D31CF">
            <w:pPr>
              <w:pStyle w:val="SingleTxtG"/>
              <w:tabs>
                <w:tab w:val="clear" w:pos="1701"/>
                <w:tab w:val="clear" w:pos="2268"/>
                <w:tab w:val="clear" w:pos="2835"/>
              </w:tabs>
              <w:spacing w:before="80" w:after="80" w:line="200" w:lineRule="exact"/>
              <w:ind w:left="0" w:right="0"/>
              <w:jc w:val="left"/>
              <w:rPr>
                <w:bCs/>
                <w:i/>
                <w:sz w:val="16"/>
                <w:lang w:val="en-GB"/>
              </w:rPr>
            </w:pPr>
          </w:p>
        </w:tc>
        <w:tc>
          <w:tcPr>
            <w:tcW w:w="1276" w:type="dxa"/>
            <w:tcBorders>
              <w:top w:val="single" w:sz="4" w:space="0" w:color="auto"/>
              <w:bottom w:val="single" w:sz="12" w:space="0" w:color="auto"/>
            </w:tcBorders>
            <w:shd w:val="clear" w:color="auto" w:fill="auto"/>
            <w:vAlign w:val="bottom"/>
          </w:tcPr>
          <w:p w14:paraId="608E7251" w14:textId="77777777" w:rsidR="00CD692A" w:rsidRPr="008D31CF" w:rsidRDefault="00CD692A" w:rsidP="008D31CF">
            <w:pPr>
              <w:pStyle w:val="SingleTxtG"/>
              <w:tabs>
                <w:tab w:val="clear" w:pos="1701"/>
                <w:tab w:val="clear" w:pos="2268"/>
                <w:tab w:val="clear" w:pos="2835"/>
              </w:tabs>
              <w:spacing w:before="80" w:after="80" w:line="200" w:lineRule="exact"/>
              <w:ind w:left="57" w:right="28"/>
              <w:jc w:val="right"/>
              <w:rPr>
                <w:bCs/>
                <w:i/>
                <w:sz w:val="16"/>
                <w:lang w:val="en-GB"/>
              </w:rPr>
            </w:pPr>
            <w:r w:rsidRPr="008D31CF">
              <w:rPr>
                <w:i/>
                <w:iCs/>
                <w:sz w:val="16"/>
              </w:rPr>
              <w:t>2017</w:t>
            </w:r>
          </w:p>
        </w:tc>
        <w:tc>
          <w:tcPr>
            <w:tcW w:w="1274" w:type="dxa"/>
            <w:tcBorders>
              <w:top w:val="single" w:sz="4" w:space="0" w:color="auto"/>
              <w:bottom w:val="single" w:sz="12" w:space="0" w:color="auto"/>
            </w:tcBorders>
            <w:shd w:val="clear" w:color="auto" w:fill="auto"/>
            <w:vAlign w:val="bottom"/>
          </w:tcPr>
          <w:p w14:paraId="53C464A4" w14:textId="77777777" w:rsidR="00CD692A" w:rsidRPr="008D31CF" w:rsidRDefault="00CD692A" w:rsidP="008D31CF">
            <w:pPr>
              <w:pStyle w:val="SingleTxtG"/>
              <w:tabs>
                <w:tab w:val="clear" w:pos="1701"/>
                <w:tab w:val="clear" w:pos="2268"/>
                <w:tab w:val="clear" w:pos="2835"/>
              </w:tabs>
              <w:spacing w:before="80" w:after="80" w:line="200" w:lineRule="exact"/>
              <w:ind w:left="57" w:right="28"/>
              <w:jc w:val="right"/>
              <w:rPr>
                <w:bCs/>
                <w:i/>
                <w:sz w:val="16"/>
                <w:lang w:val="en-GB"/>
              </w:rPr>
            </w:pPr>
            <w:r w:rsidRPr="008D31CF">
              <w:rPr>
                <w:i/>
                <w:iCs/>
                <w:sz w:val="16"/>
              </w:rPr>
              <w:t>2018</w:t>
            </w:r>
          </w:p>
        </w:tc>
      </w:tr>
      <w:tr w:rsidR="00CD692A" w:rsidRPr="008D31CF" w14:paraId="3442593C" w14:textId="77777777" w:rsidTr="008D31CF">
        <w:trPr>
          <w:trHeight w:val="240"/>
        </w:trPr>
        <w:tc>
          <w:tcPr>
            <w:tcW w:w="4820" w:type="dxa"/>
            <w:tcBorders>
              <w:top w:val="single" w:sz="12" w:space="0" w:color="auto"/>
            </w:tcBorders>
            <w:shd w:val="clear" w:color="auto" w:fill="auto"/>
          </w:tcPr>
          <w:p w14:paraId="67625B17" w14:textId="77777777" w:rsidR="00CD692A" w:rsidRPr="008D31CF" w:rsidRDefault="00CD692A" w:rsidP="008D31CF">
            <w:pPr>
              <w:pStyle w:val="SingleTxtG"/>
              <w:tabs>
                <w:tab w:val="clear" w:pos="1701"/>
                <w:tab w:val="clear" w:pos="2268"/>
                <w:tab w:val="clear" w:pos="2835"/>
              </w:tabs>
              <w:spacing w:before="40" w:after="40" w:line="220" w:lineRule="exact"/>
              <w:ind w:left="0" w:right="0"/>
              <w:jc w:val="left"/>
              <w:rPr>
                <w:bCs/>
                <w:sz w:val="18"/>
              </w:rPr>
            </w:pPr>
            <w:r w:rsidRPr="008D31CF">
              <w:rPr>
                <w:sz w:val="18"/>
              </w:rPr>
              <w:t xml:space="preserve">Índice de paridad de género para la matriculación en primaria </w:t>
            </w:r>
          </w:p>
        </w:tc>
        <w:tc>
          <w:tcPr>
            <w:tcW w:w="1276" w:type="dxa"/>
            <w:tcBorders>
              <w:top w:val="single" w:sz="12" w:space="0" w:color="auto"/>
            </w:tcBorders>
            <w:shd w:val="clear" w:color="auto" w:fill="auto"/>
            <w:vAlign w:val="bottom"/>
          </w:tcPr>
          <w:p w14:paraId="434D68D5"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1,01</w:t>
            </w:r>
          </w:p>
        </w:tc>
        <w:tc>
          <w:tcPr>
            <w:tcW w:w="1274" w:type="dxa"/>
            <w:tcBorders>
              <w:top w:val="single" w:sz="12" w:space="0" w:color="auto"/>
            </w:tcBorders>
            <w:shd w:val="clear" w:color="auto" w:fill="auto"/>
            <w:vAlign w:val="bottom"/>
          </w:tcPr>
          <w:p w14:paraId="0BBB874D"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1</w:t>
            </w:r>
          </w:p>
        </w:tc>
      </w:tr>
      <w:tr w:rsidR="00CD692A" w:rsidRPr="008D31CF" w14:paraId="52370C1C" w14:textId="77777777" w:rsidTr="008D31CF">
        <w:trPr>
          <w:trHeight w:val="240"/>
        </w:trPr>
        <w:tc>
          <w:tcPr>
            <w:tcW w:w="4820" w:type="dxa"/>
            <w:shd w:val="clear" w:color="auto" w:fill="auto"/>
          </w:tcPr>
          <w:p w14:paraId="7066187A" w14:textId="77777777" w:rsidR="00CD692A" w:rsidRPr="008D31CF" w:rsidRDefault="00CD692A" w:rsidP="008D31CF">
            <w:pPr>
              <w:pStyle w:val="SingleTxtG"/>
              <w:tabs>
                <w:tab w:val="clear" w:pos="1701"/>
                <w:tab w:val="clear" w:pos="2268"/>
                <w:tab w:val="clear" w:pos="2835"/>
              </w:tabs>
              <w:spacing w:before="40" w:after="40" w:line="220" w:lineRule="exact"/>
              <w:ind w:left="0" w:right="0"/>
              <w:jc w:val="left"/>
              <w:rPr>
                <w:bCs/>
                <w:sz w:val="18"/>
              </w:rPr>
            </w:pPr>
            <w:r w:rsidRPr="008D31CF">
              <w:rPr>
                <w:sz w:val="18"/>
              </w:rPr>
              <w:t>Índice de paridad de género para la matriculación en secundaria</w:t>
            </w:r>
          </w:p>
        </w:tc>
        <w:tc>
          <w:tcPr>
            <w:tcW w:w="1276" w:type="dxa"/>
            <w:shd w:val="clear" w:color="auto" w:fill="auto"/>
            <w:vAlign w:val="bottom"/>
          </w:tcPr>
          <w:p w14:paraId="17C5FDAE"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0,90</w:t>
            </w:r>
          </w:p>
        </w:tc>
        <w:tc>
          <w:tcPr>
            <w:tcW w:w="1274" w:type="dxa"/>
            <w:shd w:val="clear" w:color="auto" w:fill="auto"/>
            <w:vAlign w:val="bottom"/>
          </w:tcPr>
          <w:p w14:paraId="21A1AB58"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0,92</w:t>
            </w:r>
          </w:p>
        </w:tc>
      </w:tr>
      <w:tr w:rsidR="00CD692A" w:rsidRPr="008D31CF" w14:paraId="6F85B25E" w14:textId="77777777" w:rsidTr="008D31CF">
        <w:trPr>
          <w:trHeight w:val="240"/>
        </w:trPr>
        <w:tc>
          <w:tcPr>
            <w:tcW w:w="4820" w:type="dxa"/>
            <w:shd w:val="clear" w:color="auto" w:fill="auto"/>
          </w:tcPr>
          <w:p w14:paraId="24D87068" w14:textId="77777777" w:rsidR="00CD692A" w:rsidRPr="008D31CF" w:rsidRDefault="00CD692A" w:rsidP="008D31CF">
            <w:pPr>
              <w:pStyle w:val="SingleTxtG"/>
              <w:tabs>
                <w:tab w:val="clear" w:pos="1701"/>
                <w:tab w:val="clear" w:pos="2268"/>
                <w:tab w:val="clear" w:pos="2835"/>
              </w:tabs>
              <w:spacing w:before="40" w:after="40" w:line="220" w:lineRule="exact"/>
              <w:ind w:left="0" w:right="0"/>
              <w:jc w:val="left"/>
              <w:rPr>
                <w:bCs/>
                <w:sz w:val="18"/>
              </w:rPr>
            </w:pPr>
            <w:r w:rsidRPr="008D31CF">
              <w:rPr>
                <w:sz w:val="18"/>
              </w:rPr>
              <w:t xml:space="preserve">Porcentaje de alumnos con necesidades educativas especiales (primaria) </w:t>
            </w:r>
          </w:p>
        </w:tc>
        <w:tc>
          <w:tcPr>
            <w:tcW w:w="1276" w:type="dxa"/>
            <w:shd w:val="clear" w:color="auto" w:fill="auto"/>
            <w:vAlign w:val="bottom"/>
          </w:tcPr>
          <w:p w14:paraId="1E5CFE48"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2,9</w:t>
            </w:r>
          </w:p>
        </w:tc>
        <w:tc>
          <w:tcPr>
            <w:tcW w:w="1274" w:type="dxa"/>
            <w:shd w:val="clear" w:color="auto" w:fill="auto"/>
            <w:vAlign w:val="bottom"/>
          </w:tcPr>
          <w:p w14:paraId="7093C1FB"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3,35</w:t>
            </w:r>
          </w:p>
        </w:tc>
      </w:tr>
      <w:tr w:rsidR="00CD692A" w:rsidRPr="008D31CF" w14:paraId="696E93CC" w14:textId="77777777" w:rsidTr="008D31CF">
        <w:trPr>
          <w:trHeight w:val="240"/>
        </w:trPr>
        <w:tc>
          <w:tcPr>
            <w:tcW w:w="4820" w:type="dxa"/>
            <w:tcBorders>
              <w:bottom w:val="single" w:sz="12" w:space="0" w:color="auto"/>
            </w:tcBorders>
            <w:shd w:val="clear" w:color="auto" w:fill="auto"/>
          </w:tcPr>
          <w:p w14:paraId="7718A779" w14:textId="77777777" w:rsidR="00CD692A" w:rsidRPr="008D31CF" w:rsidRDefault="00CD692A" w:rsidP="008D31CF">
            <w:pPr>
              <w:pStyle w:val="SingleTxtG"/>
              <w:tabs>
                <w:tab w:val="clear" w:pos="1701"/>
                <w:tab w:val="clear" w:pos="2268"/>
                <w:tab w:val="clear" w:pos="2835"/>
              </w:tabs>
              <w:spacing w:before="40" w:after="40" w:line="220" w:lineRule="exact"/>
              <w:ind w:left="0" w:right="0"/>
              <w:jc w:val="left"/>
              <w:rPr>
                <w:bCs/>
                <w:sz w:val="18"/>
              </w:rPr>
            </w:pPr>
            <w:r w:rsidRPr="008D31CF">
              <w:rPr>
                <w:sz w:val="18"/>
              </w:rPr>
              <w:t xml:space="preserve">Porcentaje de alumnos con necesidades educativas especiales (secundaria) </w:t>
            </w:r>
          </w:p>
        </w:tc>
        <w:tc>
          <w:tcPr>
            <w:tcW w:w="1276" w:type="dxa"/>
            <w:tcBorders>
              <w:bottom w:val="single" w:sz="12" w:space="0" w:color="auto"/>
            </w:tcBorders>
            <w:shd w:val="clear" w:color="auto" w:fill="auto"/>
            <w:vAlign w:val="bottom"/>
          </w:tcPr>
          <w:p w14:paraId="07DDB962"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1,6</w:t>
            </w:r>
          </w:p>
        </w:tc>
        <w:tc>
          <w:tcPr>
            <w:tcW w:w="1274" w:type="dxa"/>
            <w:tcBorders>
              <w:bottom w:val="single" w:sz="12" w:space="0" w:color="auto"/>
            </w:tcBorders>
            <w:shd w:val="clear" w:color="auto" w:fill="auto"/>
            <w:vAlign w:val="bottom"/>
          </w:tcPr>
          <w:p w14:paraId="601D91C8" w14:textId="77777777" w:rsidR="00CD692A" w:rsidRPr="008D31CF" w:rsidRDefault="00CD692A" w:rsidP="008D31CF">
            <w:pPr>
              <w:pStyle w:val="SingleTxtG"/>
              <w:tabs>
                <w:tab w:val="clear" w:pos="1701"/>
                <w:tab w:val="clear" w:pos="2268"/>
                <w:tab w:val="clear" w:pos="2835"/>
              </w:tabs>
              <w:spacing w:before="40" w:after="40" w:line="220" w:lineRule="exact"/>
              <w:ind w:left="57" w:right="28"/>
              <w:jc w:val="right"/>
              <w:rPr>
                <w:bCs/>
                <w:sz w:val="18"/>
                <w:lang w:val="en-GB"/>
              </w:rPr>
            </w:pPr>
            <w:r w:rsidRPr="008D31CF">
              <w:rPr>
                <w:sz w:val="18"/>
              </w:rPr>
              <w:t>1,6</w:t>
            </w:r>
          </w:p>
        </w:tc>
      </w:tr>
    </w:tbl>
    <w:p w14:paraId="5228F9C3" w14:textId="77777777" w:rsidR="00CD692A" w:rsidRPr="008D31CF" w:rsidRDefault="00CD692A" w:rsidP="008D31CF">
      <w:pPr>
        <w:pStyle w:val="SingleTxtG"/>
        <w:spacing w:before="120" w:after="240"/>
        <w:ind w:firstLine="170"/>
        <w:jc w:val="left"/>
        <w:rPr>
          <w:sz w:val="18"/>
          <w:szCs w:val="18"/>
        </w:rPr>
      </w:pPr>
      <w:bookmarkStart w:id="54" w:name="_Hlk63780743"/>
      <w:r w:rsidRPr="008D31CF">
        <w:rPr>
          <w:i/>
          <w:iCs/>
          <w:sz w:val="18"/>
          <w:szCs w:val="18"/>
        </w:rPr>
        <w:t>Fuente:</w:t>
      </w:r>
      <w:r w:rsidRPr="008D31CF">
        <w:rPr>
          <w:sz w:val="18"/>
          <w:szCs w:val="18"/>
        </w:rPr>
        <w:t xml:space="preserve"> Ministerio de Educación, Ciencia y Tecnología.</w:t>
      </w:r>
    </w:p>
    <w:p w14:paraId="4066D808" w14:textId="5E26FEB8" w:rsidR="00CD692A" w:rsidRPr="00CD692A" w:rsidRDefault="008D31CF" w:rsidP="008D31CF">
      <w:pPr>
        <w:pStyle w:val="H1G"/>
      </w:pPr>
      <w:r>
        <w:tab/>
      </w:r>
      <w:r>
        <w:tab/>
      </w:r>
      <w:r w:rsidR="00CD692A" w:rsidRPr="00CD692A">
        <w:t>Artículo 15</w:t>
      </w:r>
      <w:r>
        <w:br/>
      </w:r>
      <w:r w:rsidR="00CD692A" w:rsidRPr="00CD692A">
        <w:t>Derechos culturales</w:t>
      </w:r>
    </w:p>
    <w:bookmarkEnd w:id="54"/>
    <w:p w14:paraId="447A7B61" w14:textId="77777777" w:rsidR="00CD692A" w:rsidRPr="00CD692A" w:rsidRDefault="00CD692A" w:rsidP="000F4C56">
      <w:pPr>
        <w:pStyle w:val="SingleTxtG"/>
        <w:spacing w:after="130"/>
        <w:rPr>
          <w:b/>
        </w:rPr>
      </w:pPr>
      <w:r w:rsidRPr="00CD692A">
        <w:t>180.</w:t>
      </w:r>
      <w:r w:rsidRPr="00CD692A">
        <w:tab/>
        <w:t>El artículo 26 de la Constitución garantiza a toda persona el derecho a elegir libremente su idioma de comunicación y a participar en la vida cultural.</w:t>
      </w:r>
    </w:p>
    <w:p w14:paraId="29DC153A" w14:textId="77777777" w:rsidR="00CD692A" w:rsidRPr="00CD692A" w:rsidRDefault="00CD692A" w:rsidP="000F4C56">
      <w:pPr>
        <w:pStyle w:val="SingleTxtG"/>
        <w:spacing w:after="130"/>
      </w:pPr>
      <w:r w:rsidRPr="00CD692A">
        <w:t>181.</w:t>
      </w:r>
      <w:r w:rsidRPr="00CD692A">
        <w:tab/>
        <w:t>A nivel de políticas, los derechos culturales están plasmados en la Política Cultural Nacional de 2015. Esta Política tiene por objeto determinar, preservar, proteger y promover las artes y la cultura de Malawi a fin de garantizar para la posteridad la identidad nacional, la unidad en la diversidad y el desarrollo socioeconómico sostenible. A estos efectos, la Política se propone conseguir que el patrimonio cultural de Malawi en todas sus formas identificables sea protegido y preservado para la posteridad a fin de garantizar la identidad nacional.</w:t>
      </w:r>
    </w:p>
    <w:p w14:paraId="7B271581" w14:textId="77777777" w:rsidR="00CD692A" w:rsidRPr="00CD692A" w:rsidRDefault="00CD692A" w:rsidP="000F4C56">
      <w:pPr>
        <w:pStyle w:val="SingleTxtG"/>
        <w:spacing w:after="130"/>
      </w:pPr>
      <w:r w:rsidRPr="00CD692A">
        <w:t>182.</w:t>
      </w:r>
      <w:r w:rsidRPr="00CD692A">
        <w:tab/>
        <w:t>El Ministerio de Turismo y Cultura, a través del Departamento de Cultura, es responsable de la dirección política, la orientación técnica, la supervisión, la movilización del apoyo de las partes interesadas, la coordinación y el seguimiento y la evaluación de la aplicación de la política.</w:t>
      </w:r>
    </w:p>
    <w:p w14:paraId="2570E1FD" w14:textId="1B763236" w:rsidR="00CD692A" w:rsidRPr="00CD692A" w:rsidRDefault="00CD692A" w:rsidP="00CD692A">
      <w:pPr>
        <w:pStyle w:val="H23G"/>
      </w:pPr>
      <w:bookmarkStart w:id="55" w:name="_Hlk63780769"/>
      <w:r>
        <w:tab/>
      </w:r>
      <w:r>
        <w:tab/>
      </w:r>
      <w:r w:rsidRPr="00CD692A">
        <w:t>Factores y dificultades que afectan al cumplimiento de las obligaciones dimanantes</w:t>
      </w:r>
      <w:r w:rsidR="008D31CF">
        <w:t> </w:t>
      </w:r>
      <w:r w:rsidRPr="00CD692A">
        <w:t>del</w:t>
      </w:r>
      <w:r>
        <w:t> </w:t>
      </w:r>
      <w:r w:rsidRPr="00CD692A">
        <w:t>Pacto</w:t>
      </w:r>
      <w:bookmarkEnd w:id="55"/>
    </w:p>
    <w:p w14:paraId="769A5E94" w14:textId="77777777" w:rsidR="00CD692A" w:rsidRPr="00CD692A" w:rsidRDefault="00CD692A" w:rsidP="000F4C56">
      <w:pPr>
        <w:pStyle w:val="SingleTxtG"/>
        <w:spacing w:after="130"/>
      </w:pPr>
      <w:r w:rsidRPr="00CD692A">
        <w:t>183.</w:t>
      </w:r>
      <w:r w:rsidRPr="00CD692A">
        <w:tab/>
        <w:t>Malawi sigue avanzando de forma lenta pero constante en la aplicación del Pacto.</w:t>
      </w:r>
    </w:p>
    <w:p w14:paraId="1B2B5266" w14:textId="77777777" w:rsidR="00CD692A" w:rsidRPr="00CD692A" w:rsidRDefault="00CD692A" w:rsidP="000F4C56">
      <w:pPr>
        <w:pStyle w:val="SingleTxtG"/>
        <w:keepNext/>
        <w:keepLines/>
      </w:pPr>
      <w:r w:rsidRPr="00CD692A">
        <w:lastRenderedPageBreak/>
        <w:t>184.</w:t>
      </w:r>
      <w:r w:rsidRPr="00CD692A">
        <w:tab/>
        <w:t>Siguen existiendo importantes dificultades para la plena aplicación de las disposiciones del Pacto. Entre ellas cabe mencionar las siguientes:</w:t>
      </w:r>
    </w:p>
    <w:p w14:paraId="6804C5A1" w14:textId="0D8E579B" w:rsidR="00CD692A" w:rsidRPr="00CD692A" w:rsidRDefault="00CD692A" w:rsidP="00CD692A">
      <w:pPr>
        <w:pStyle w:val="SingleTxtG"/>
      </w:pPr>
      <w:r>
        <w:tab/>
      </w:r>
      <w:r w:rsidRPr="00CD692A">
        <w:t>a)</w:t>
      </w:r>
      <w:r w:rsidRPr="00CD692A">
        <w:tab/>
      </w:r>
      <w:r w:rsidRPr="00CD692A">
        <w:rPr>
          <w:i/>
          <w:iCs/>
        </w:rPr>
        <w:t>Débil implementación de las leyes y políticas</w:t>
      </w:r>
      <w:r w:rsidRPr="00CD692A">
        <w:t>. Aunque Malawi cuenta con leyes y políticas muy progresistas, subsiste una enorme deficiencia en la implementación;</w:t>
      </w:r>
    </w:p>
    <w:p w14:paraId="1A1EA2A2" w14:textId="154EDD59" w:rsidR="00CD692A" w:rsidRPr="00CD692A" w:rsidRDefault="00CD692A" w:rsidP="00CD692A">
      <w:pPr>
        <w:pStyle w:val="SingleTxtG"/>
      </w:pPr>
      <w:r>
        <w:tab/>
      </w:r>
      <w:r w:rsidRPr="00CD692A">
        <w:t>b)</w:t>
      </w:r>
      <w:r w:rsidRPr="00CD692A">
        <w:tab/>
      </w:r>
      <w:r w:rsidRPr="00CD692A">
        <w:rPr>
          <w:i/>
          <w:iCs/>
        </w:rPr>
        <w:t xml:space="preserve">Limitaciones de recursos. </w:t>
      </w:r>
      <w:r w:rsidRPr="00CD692A">
        <w:t>Dada la competencia por los recursos entre diversos intereses, los programas de derechos humanos no siempre han figurado en la lista de prioridades. Por lo tanto, esto ha afectado al progreso en la implementación de los programas relacionados con los derechos humanos;</w:t>
      </w:r>
    </w:p>
    <w:p w14:paraId="2451DEF8" w14:textId="28EC88F5" w:rsidR="00CD692A" w:rsidRPr="00CD692A" w:rsidRDefault="00CD692A" w:rsidP="00CD692A">
      <w:pPr>
        <w:pStyle w:val="SingleTxtG"/>
      </w:pPr>
      <w:r>
        <w:tab/>
      </w:r>
      <w:r w:rsidRPr="00CD692A">
        <w:t>c)</w:t>
      </w:r>
      <w:r w:rsidRPr="00CD692A">
        <w:tab/>
      </w:r>
      <w:r w:rsidRPr="00CD692A">
        <w:rPr>
          <w:i/>
          <w:iCs/>
        </w:rPr>
        <w:t>Lentitud de las reformas institucionales</w:t>
      </w:r>
      <w:r w:rsidRPr="00CD692A">
        <w:t>. El nuevo orden constitucional de Malawi impone requisitos radicales en materia de derechos humanos al Gobierno como principal defensor de los derechos humanos. Por ello, se ha hecho necesario reformar las instituciones estatales en consonancia con los ideales constitucionales. Esa necesaria reforma no ha sido lo suficientemente rápida y ha afectado al ritmo de disfrute y exigencia del respeto de los derechos humanos; y</w:t>
      </w:r>
    </w:p>
    <w:p w14:paraId="73E399D2" w14:textId="1458ACDE" w:rsidR="00CD692A" w:rsidRPr="00CD692A" w:rsidRDefault="00CD692A" w:rsidP="00CD692A">
      <w:pPr>
        <w:pStyle w:val="SingleTxtG"/>
      </w:pPr>
      <w:r>
        <w:tab/>
      </w:r>
      <w:r w:rsidRPr="00CD692A">
        <w:t>d)</w:t>
      </w:r>
      <w:r w:rsidRPr="00CD692A">
        <w:tab/>
      </w:r>
      <w:r w:rsidRPr="00CD692A">
        <w:rPr>
          <w:i/>
          <w:iCs/>
        </w:rPr>
        <w:t>Falta de conciencia pública en relación con los derechos</w:t>
      </w:r>
      <w:r w:rsidRPr="00CD692A">
        <w:t>. A pesar de los avances en el conocimiento general de los derechos en Malawi, este sigue siendo insuficiente.</w:t>
      </w:r>
    </w:p>
    <w:p w14:paraId="7D91034C" w14:textId="1D6A5C03" w:rsidR="00CD692A" w:rsidRPr="00CD692A" w:rsidRDefault="00CD692A" w:rsidP="000F4C56">
      <w:pPr>
        <w:pStyle w:val="HChG"/>
      </w:pPr>
      <w:bookmarkStart w:id="56" w:name="_Hlk63780813"/>
      <w:r>
        <w:tab/>
      </w:r>
      <w:r>
        <w:tab/>
      </w:r>
      <w:r w:rsidRPr="00CD692A">
        <w:t>Conclusión</w:t>
      </w:r>
      <w:bookmarkEnd w:id="56"/>
    </w:p>
    <w:p w14:paraId="3F387E1C" w14:textId="7A7FF964" w:rsidR="00CD692A" w:rsidRPr="00CD692A" w:rsidRDefault="00CD692A" w:rsidP="00CD692A">
      <w:pPr>
        <w:pStyle w:val="SingleTxtG"/>
      </w:pPr>
      <w:r w:rsidRPr="00CD692A">
        <w:t>185.</w:t>
      </w:r>
      <w:r w:rsidRPr="00CD692A">
        <w:tab/>
        <w:t>El Gobierno reitera su decisión firme de garantizar el ejercicio efectivo de los derechos económicos, sociales y culturales de todas las personas residentes en el país. Malawi espera con interés el examen del informe para comunicar más información sobre los progresos realizados en la aplicación de las disposiciones del Pacto.</w:t>
      </w:r>
    </w:p>
    <w:p w14:paraId="754AC99E" w14:textId="77777777" w:rsidR="00CD692A" w:rsidRPr="00CD692A" w:rsidRDefault="00CD692A" w:rsidP="00CD692A">
      <w:pPr>
        <w:pStyle w:val="SingleTxtG"/>
        <w:rPr>
          <w:b/>
        </w:rPr>
      </w:pPr>
      <w:r w:rsidRPr="00CD692A">
        <w:rPr>
          <w:b/>
        </w:rPr>
        <w:br w:type="page"/>
      </w:r>
    </w:p>
    <w:p w14:paraId="51259D3F" w14:textId="71058EF4" w:rsidR="00CD692A" w:rsidRPr="00CD692A" w:rsidRDefault="00CD692A" w:rsidP="00CD692A">
      <w:pPr>
        <w:pStyle w:val="HChG"/>
      </w:pPr>
      <w:r w:rsidRPr="00CD692A">
        <w:lastRenderedPageBreak/>
        <w:t>Anexo I</w:t>
      </w:r>
      <w:bookmarkStart w:id="57" w:name="_Hlk63788344"/>
    </w:p>
    <w:p w14:paraId="2B0E54A0" w14:textId="1789CFF6" w:rsidR="00CD692A" w:rsidRPr="00CD692A" w:rsidRDefault="00CD692A" w:rsidP="00CD692A">
      <w:pPr>
        <w:pStyle w:val="HChG"/>
      </w:pPr>
      <w:r>
        <w:tab/>
      </w:r>
      <w:r>
        <w:tab/>
      </w:r>
      <w:r w:rsidRPr="00CD692A">
        <w:t>Miembros del Equipo Nacional de Tareas sobre el Pacto Internacional de Derechos Económicos, Sociales y Culturales</w:t>
      </w:r>
    </w:p>
    <w:bookmarkEnd w:id="57"/>
    <w:p w14:paraId="5FD156B0" w14:textId="1CFBDAC6" w:rsidR="00CD692A" w:rsidRPr="00CD692A" w:rsidRDefault="00CD692A" w:rsidP="00CD692A">
      <w:pPr>
        <w:pStyle w:val="SingleTxtG"/>
      </w:pPr>
      <w:r>
        <w:tab/>
      </w:r>
      <w:r w:rsidRPr="00CD692A">
        <w:t>El Equipo Nacional de Tareas sobre el Pacto Internacional de Derechos Económicos, Sociales y Culturales está integrado por los siguientes miembros:</w:t>
      </w:r>
    </w:p>
    <w:p w14:paraId="7CF79299" w14:textId="77777777" w:rsidR="00CD692A" w:rsidRPr="00CD692A" w:rsidRDefault="00CD692A" w:rsidP="00CD692A">
      <w:pPr>
        <w:pStyle w:val="SingleTxtG"/>
        <w:ind w:left="1701"/>
      </w:pPr>
      <w:r w:rsidRPr="00CD692A">
        <w:t>1.</w:t>
      </w:r>
      <w:r w:rsidRPr="00CD692A">
        <w:tab/>
        <w:t>Ministerio de Justicia (Presidencia)</w:t>
      </w:r>
    </w:p>
    <w:p w14:paraId="40BFF0AB" w14:textId="77777777" w:rsidR="00CD692A" w:rsidRPr="00CD692A" w:rsidRDefault="00CD692A" w:rsidP="00CD692A">
      <w:pPr>
        <w:pStyle w:val="SingleTxtG"/>
        <w:ind w:left="1701"/>
      </w:pPr>
      <w:r w:rsidRPr="00CD692A">
        <w:t>2.</w:t>
      </w:r>
      <w:r w:rsidRPr="00CD692A">
        <w:tab/>
        <w:t>Ministerio de Género, Infancia, Discapacidad y Bienestar Social</w:t>
      </w:r>
    </w:p>
    <w:p w14:paraId="1E8097FB" w14:textId="77777777" w:rsidR="00CD692A" w:rsidRPr="00CD692A" w:rsidRDefault="00CD692A" w:rsidP="00CD692A">
      <w:pPr>
        <w:pStyle w:val="SingleTxtG"/>
        <w:ind w:left="1701"/>
      </w:pPr>
      <w:r w:rsidRPr="00CD692A">
        <w:t>3.</w:t>
      </w:r>
      <w:r w:rsidRPr="00CD692A">
        <w:tab/>
        <w:t>Ministerio del Interior</w:t>
      </w:r>
    </w:p>
    <w:p w14:paraId="46533314" w14:textId="77777777" w:rsidR="00CD692A" w:rsidRPr="00CD692A" w:rsidRDefault="00CD692A" w:rsidP="00CD692A">
      <w:pPr>
        <w:pStyle w:val="SingleTxtG"/>
        <w:ind w:left="1701"/>
      </w:pPr>
      <w:r w:rsidRPr="00CD692A">
        <w:t>4.</w:t>
      </w:r>
      <w:r w:rsidRPr="00CD692A">
        <w:tab/>
        <w:t>Ministerio de Relaciones Exteriores y Cooperación Internacional</w:t>
      </w:r>
    </w:p>
    <w:p w14:paraId="00DB5744" w14:textId="77777777" w:rsidR="00CD692A" w:rsidRPr="00CD692A" w:rsidRDefault="00CD692A" w:rsidP="00CD692A">
      <w:pPr>
        <w:pStyle w:val="SingleTxtG"/>
        <w:ind w:left="1701"/>
      </w:pPr>
      <w:r w:rsidRPr="00CD692A">
        <w:t>5.</w:t>
      </w:r>
      <w:r w:rsidRPr="00CD692A">
        <w:tab/>
        <w:t>Ministerio de Salud y Población</w:t>
      </w:r>
    </w:p>
    <w:p w14:paraId="79AF8CBD" w14:textId="77777777" w:rsidR="00CD692A" w:rsidRPr="00CD692A" w:rsidRDefault="00CD692A" w:rsidP="00CD692A">
      <w:pPr>
        <w:pStyle w:val="SingleTxtG"/>
        <w:ind w:left="1701"/>
      </w:pPr>
      <w:r w:rsidRPr="00CD692A">
        <w:t>6.</w:t>
      </w:r>
      <w:r w:rsidRPr="00CD692A">
        <w:tab/>
        <w:t>Ministerio de Educación, Ciencia y Tecnología</w:t>
      </w:r>
    </w:p>
    <w:p w14:paraId="5EB721F9" w14:textId="77777777" w:rsidR="00CD692A" w:rsidRPr="00CD692A" w:rsidRDefault="00CD692A" w:rsidP="00CD692A">
      <w:pPr>
        <w:pStyle w:val="SingleTxtG"/>
        <w:ind w:left="1701"/>
      </w:pPr>
      <w:r w:rsidRPr="00CD692A">
        <w:t>7.</w:t>
      </w:r>
      <w:r w:rsidRPr="00CD692A">
        <w:tab/>
        <w:t>Ministerio de Trabajo y Formación Profesional</w:t>
      </w:r>
    </w:p>
    <w:p w14:paraId="329F47D1" w14:textId="77777777" w:rsidR="00CD692A" w:rsidRPr="00CD692A" w:rsidRDefault="00CD692A" w:rsidP="00CD692A">
      <w:pPr>
        <w:pStyle w:val="SingleTxtG"/>
        <w:ind w:left="1701"/>
      </w:pPr>
      <w:r w:rsidRPr="00CD692A">
        <w:t>8.</w:t>
      </w:r>
      <w:r w:rsidRPr="00CD692A">
        <w:tab/>
        <w:t>Servicio de Policía de Malawi</w:t>
      </w:r>
    </w:p>
    <w:p w14:paraId="2392E828" w14:textId="77777777" w:rsidR="00CD692A" w:rsidRPr="00CD692A" w:rsidRDefault="00CD692A" w:rsidP="00CD692A">
      <w:pPr>
        <w:pStyle w:val="SingleTxtG"/>
        <w:ind w:left="1701"/>
      </w:pPr>
      <w:r w:rsidRPr="00CD692A">
        <w:t>9.</w:t>
      </w:r>
      <w:r w:rsidRPr="00CD692A">
        <w:tab/>
        <w:t>Comisión de Derechos Humanos de Malawi</w:t>
      </w:r>
    </w:p>
    <w:p w14:paraId="55E10818" w14:textId="77777777" w:rsidR="00CD692A" w:rsidRPr="00CD692A" w:rsidRDefault="00CD692A" w:rsidP="00CD692A">
      <w:pPr>
        <w:pStyle w:val="SingleTxtG"/>
        <w:ind w:left="1701"/>
      </w:pPr>
      <w:r w:rsidRPr="00CD692A">
        <w:t>10.</w:t>
      </w:r>
      <w:r w:rsidRPr="00CD692A">
        <w:tab/>
        <w:t>Comisión Jurídica</w:t>
      </w:r>
    </w:p>
    <w:p w14:paraId="35005816" w14:textId="77777777" w:rsidR="00CD692A" w:rsidRPr="00CD692A" w:rsidRDefault="00CD692A" w:rsidP="00CD692A">
      <w:pPr>
        <w:pStyle w:val="SingleTxtG"/>
        <w:ind w:left="1701"/>
      </w:pPr>
      <w:r w:rsidRPr="00CD692A">
        <w:t>11.</w:t>
      </w:r>
      <w:r w:rsidRPr="00CD692A">
        <w:tab/>
        <w:t>Oficina Nacional del Registro Civil</w:t>
      </w:r>
    </w:p>
    <w:p w14:paraId="694015E3" w14:textId="77777777" w:rsidR="00CD692A" w:rsidRPr="00CD692A" w:rsidRDefault="00CD692A" w:rsidP="00CD692A">
      <w:pPr>
        <w:pStyle w:val="SingleTxtG"/>
        <w:ind w:left="1701"/>
      </w:pPr>
      <w:r w:rsidRPr="00CD692A">
        <w:t>12.</w:t>
      </w:r>
      <w:r w:rsidRPr="00CD692A">
        <w:tab/>
        <w:t>Oficina Nacional de Estadística</w:t>
      </w:r>
    </w:p>
    <w:p w14:paraId="5A9493C2" w14:textId="77777777" w:rsidR="00CD692A" w:rsidRPr="00CD692A" w:rsidRDefault="00CD692A" w:rsidP="00CD692A">
      <w:pPr>
        <w:pStyle w:val="SingleTxtG"/>
        <w:ind w:left="1701"/>
      </w:pPr>
      <w:r w:rsidRPr="00CD692A">
        <w:t>13.</w:t>
      </w:r>
      <w:r w:rsidRPr="00CD692A">
        <w:tab/>
        <w:t>Defensoría del Pueblo</w:t>
      </w:r>
    </w:p>
    <w:p w14:paraId="10F561B4" w14:textId="77777777" w:rsidR="00CD692A" w:rsidRPr="00CD692A" w:rsidRDefault="00CD692A" w:rsidP="00CD692A">
      <w:pPr>
        <w:pStyle w:val="SingleTxtG"/>
        <w:ind w:left="1701"/>
      </w:pPr>
      <w:r w:rsidRPr="00CD692A">
        <w:t>14.</w:t>
      </w:r>
      <w:r w:rsidRPr="00CD692A">
        <w:tab/>
        <w:t>Departamento de Inmigración</w:t>
      </w:r>
    </w:p>
    <w:p w14:paraId="30B20345" w14:textId="77777777" w:rsidR="00CD692A" w:rsidRPr="00CD692A" w:rsidRDefault="00CD692A" w:rsidP="00CD692A">
      <w:pPr>
        <w:pStyle w:val="SingleTxtG"/>
        <w:ind w:left="1701"/>
      </w:pPr>
      <w:r w:rsidRPr="00CD692A">
        <w:t>15.</w:t>
      </w:r>
      <w:r w:rsidRPr="00CD692A">
        <w:tab/>
        <w:t xml:space="preserve">Oficina de Asistencia Jurídica </w:t>
      </w:r>
    </w:p>
    <w:p w14:paraId="38342F7B" w14:textId="77777777" w:rsidR="00CD692A" w:rsidRPr="00CD692A" w:rsidRDefault="00CD692A" w:rsidP="00CD692A">
      <w:pPr>
        <w:pStyle w:val="SingleTxtG"/>
        <w:ind w:left="1701"/>
      </w:pPr>
      <w:r w:rsidRPr="00CD692A">
        <w:t>16.</w:t>
      </w:r>
      <w:r w:rsidRPr="00CD692A">
        <w:tab/>
        <w:t>Poder Judicial de Malawi</w:t>
      </w:r>
    </w:p>
    <w:p w14:paraId="450E4B1D" w14:textId="77777777" w:rsidR="00CD692A" w:rsidRPr="00CD692A" w:rsidRDefault="00CD692A" w:rsidP="00CD692A">
      <w:pPr>
        <w:pStyle w:val="SingleTxtG"/>
        <w:ind w:left="1701"/>
      </w:pPr>
      <w:r w:rsidRPr="00CD692A">
        <w:t>17.</w:t>
      </w:r>
      <w:r w:rsidRPr="00CD692A">
        <w:tab/>
        <w:t>Universidad de Malawi, Facultad de Derecho del Chancellor College</w:t>
      </w:r>
    </w:p>
    <w:p w14:paraId="506471AC" w14:textId="77777777" w:rsidR="00CD692A" w:rsidRPr="00CD692A" w:rsidRDefault="00CD692A" w:rsidP="00CD692A">
      <w:pPr>
        <w:pStyle w:val="SingleTxtG"/>
        <w:ind w:left="1701"/>
      </w:pPr>
      <w:r w:rsidRPr="00CD692A">
        <w:t>18.</w:t>
      </w:r>
      <w:r w:rsidRPr="00CD692A">
        <w:tab/>
        <w:t>Article III</w:t>
      </w:r>
    </w:p>
    <w:p w14:paraId="3869C108" w14:textId="77777777" w:rsidR="00CD692A" w:rsidRPr="00CD692A" w:rsidRDefault="00CD692A" w:rsidP="00CD692A">
      <w:pPr>
        <w:pStyle w:val="SingleTxtG"/>
        <w:ind w:left="1701"/>
      </w:pPr>
      <w:r w:rsidRPr="00CD692A">
        <w:t>19.</w:t>
      </w:r>
      <w:r w:rsidRPr="00CD692A">
        <w:tab/>
        <w:t>Servicio de Asesoramiento Parajurídico</w:t>
      </w:r>
    </w:p>
    <w:p w14:paraId="4C1F18D0" w14:textId="77777777" w:rsidR="00CD692A" w:rsidRPr="00CD692A" w:rsidRDefault="00CD692A" w:rsidP="00CD692A">
      <w:pPr>
        <w:pStyle w:val="SingleTxtG"/>
        <w:ind w:left="1701"/>
        <w:rPr>
          <w:lang w:val="en-GB"/>
        </w:rPr>
      </w:pPr>
      <w:r w:rsidRPr="00CD692A">
        <w:rPr>
          <w:lang w:val="en-GB"/>
        </w:rPr>
        <w:t>20.</w:t>
      </w:r>
      <w:r w:rsidRPr="00CD692A">
        <w:rPr>
          <w:lang w:val="en-GB"/>
        </w:rPr>
        <w:tab/>
        <w:t>Centre for Human Rights Education Advice and Assistance</w:t>
      </w:r>
    </w:p>
    <w:p w14:paraId="6007B349" w14:textId="77777777" w:rsidR="00CD692A" w:rsidRPr="00CD692A" w:rsidRDefault="00CD692A" w:rsidP="00CD692A">
      <w:pPr>
        <w:pStyle w:val="SingleTxtG"/>
        <w:ind w:left="1701"/>
        <w:rPr>
          <w:lang w:val="en-GB"/>
        </w:rPr>
      </w:pPr>
      <w:r w:rsidRPr="00CD692A">
        <w:rPr>
          <w:lang w:val="en-GB"/>
        </w:rPr>
        <w:t>21.</w:t>
      </w:r>
      <w:r w:rsidRPr="00CD692A">
        <w:rPr>
          <w:lang w:val="en-GB"/>
        </w:rPr>
        <w:tab/>
        <w:t>Centre for the Development of People</w:t>
      </w:r>
    </w:p>
    <w:p w14:paraId="2275DB8D" w14:textId="77777777" w:rsidR="00CD692A" w:rsidRPr="00CD692A" w:rsidRDefault="00CD692A" w:rsidP="00CD692A">
      <w:pPr>
        <w:pStyle w:val="SingleTxtG"/>
        <w:ind w:left="1701"/>
        <w:rPr>
          <w:lang w:val="en-GB"/>
        </w:rPr>
      </w:pPr>
      <w:r w:rsidRPr="00CD692A">
        <w:rPr>
          <w:lang w:val="en-GB"/>
        </w:rPr>
        <w:t>22.</w:t>
      </w:r>
      <w:r w:rsidRPr="00CD692A">
        <w:rPr>
          <w:lang w:val="en-GB"/>
        </w:rPr>
        <w:tab/>
        <w:t>Youth and Society</w:t>
      </w:r>
    </w:p>
    <w:p w14:paraId="1E747682" w14:textId="77777777" w:rsidR="00CD692A" w:rsidRPr="00CD692A" w:rsidRDefault="00CD692A" w:rsidP="00CD692A">
      <w:pPr>
        <w:pStyle w:val="SingleTxtG"/>
        <w:ind w:left="1701"/>
        <w:rPr>
          <w:lang w:val="en-GB"/>
        </w:rPr>
      </w:pPr>
      <w:r w:rsidRPr="00CD692A">
        <w:rPr>
          <w:lang w:val="en-GB"/>
        </w:rPr>
        <w:t>23.</w:t>
      </w:r>
      <w:r w:rsidRPr="00CD692A">
        <w:rPr>
          <w:lang w:val="en-GB"/>
        </w:rPr>
        <w:tab/>
        <w:t>Saccode Trust</w:t>
      </w:r>
    </w:p>
    <w:p w14:paraId="6BC4DE9B" w14:textId="1B9CFF94" w:rsidR="00990735" w:rsidRPr="00CD692A" w:rsidRDefault="00CD692A" w:rsidP="00CD692A">
      <w:pPr>
        <w:pStyle w:val="SingleTxtG"/>
        <w:suppressAutoHyphens/>
        <w:spacing w:before="240" w:after="0"/>
        <w:jc w:val="center"/>
        <w:rPr>
          <w:u w:val="single"/>
        </w:rPr>
      </w:pPr>
      <w:r>
        <w:rPr>
          <w:u w:val="single"/>
        </w:rPr>
        <w:tab/>
      </w:r>
      <w:r>
        <w:rPr>
          <w:u w:val="single"/>
        </w:rPr>
        <w:tab/>
      </w:r>
      <w:r>
        <w:rPr>
          <w:u w:val="single"/>
        </w:rPr>
        <w:tab/>
      </w:r>
    </w:p>
    <w:sectPr w:rsidR="00990735" w:rsidRPr="00CD692A" w:rsidSect="00990735">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F8A52" w14:textId="77777777" w:rsidR="00A86662" w:rsidRPr="00093664" w:rsidRDefault="00A86662" w:rsidP="00093664">
      <w:pPr>
        <w:pStyle w:val="Piedepgina"/>
      </w:pPr>
    </w:p>
  </w:endnote>
  <w:endnote w:type="continuationSeparator" w:id="0">
    <w:p w14:paraId="5C3415AB" w14:textId="77777777" w:rsidR="00A86662" w:rsidRPr="00093664" w:rsidRDefault="00A8666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5D79" w14:textId="24DF0B4F" w:rsidR="00990735" w:rsidRPr="00990735" w:rsidRDefault="00990735" w:rsidP="00990735">
    <w:pPr>
      <w:pStyle w:val="Piedepgina"/>
      <w:tabs>
        <w:tab w:val="right" w:pos="9638"/>
      </w:tabs>
    </w:pPr>
    <w:r w:rsidRPr="00990735">
      <w:rPr>
        <w:b/>
        <w:sz w:val="18"/>
      </w:rPr>
      <w:fldChar w:fldCharType="begin"/>
    </w:r>
    <w:r w:rsidRPr="00990735">
      <w:rPr>
        <w:b/>
        <w:sz w:val="18"/>
      </w:rPr>
      <w:instrText xml:space="preserve"> PAGE  \* MERGEFORMAT </w:instrText>
    </w:r>
    <w:r w:rsidRPr="00990735">
      <w:rPr>
        <w:b/>
        <w:sz w:val="18"/>
      </w:rPr>
      <w:fldChar w:fldCharType="separate"/>
    </w:r>
    <w:r w:rsidRPr="00990735">
      <w:rPr>
        <w:b/>
        <w:noProof/>
        <w:sz w:val="18"/>
      </w:rPr>
      <w:t>2</w:t>
    </w:r>
    <w:r w:rsidRPr="00990735">
      <w:rPr>
        <w:b/>
        <w:sz w:val="18"/>
      </w:rPr>
      <w:fldChar w:fldCharType="end"/>
    </w:r>
    <w:r>
      <w:rPr>
        <w:b/>
        <w:sz w:val="18"/>
      </w:rPr>
      <w:tab/>
    </w:r>
    <w:r>
      <w:t>GE.22-10001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7E433" w14:textId="4B8BD190" w:rsidR="00990735" w:rsidRPr="00990735" w:rsidRDefault="00990735" w:rsidP="00990735">
    <w:pPr>
      <w:pStyle w:val="Piedepgina"/>
      <w:tabs>
        <w:tab w:val="right" w:pos="9638"/>
      </w:tabs>
      <w:rPr>
        <w:b/>
        <w:sz w:val="18"/>
      </w:rPr>
    </w:pPr>
    <w:r>
      <w:t>GE.22-10001</w:t>
    </w:r>
    <w:r>
      <w:tab/>
    </w:r>
    <w:r w:rsidRPr="00990735">
      <w:rPr>
        <w:b/>
        <w:sz w:val="18"/>
      </w:rPr>
      <w:fldChar w:fldCharType="begin"/>
    </w:r>
    <w:r w:rsidRPr="00990735">
      <w:rPr>
        <w:b/>
        <w:sz w:val="18"/>
      </w:rPr>
      <w:instrText xml:space="preserve"> PAGE  \* MERGEFORMAT </w:instrText>
    </w:r>
    <w:r w:rsidRPr="00990735">
      <w:rPr>
        <w:b/>
        <w:sz w:val="18"/>
      </w:rPr>
      <w:fldChar w:fldCharType="separate"/>
    </w:r>
    <w:r w:rsidRPr="00990735">
      <w:rPr>
        <w:b/>
        <w:noProof/>
        <w:sz w:val="18"/>
      </w:rPr>
      <w:t>3</w:t>
    </w:r>
    <w:r w:rsidRPr="00990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7E61" w14:textId="0E149820" w:rsidR="005016AF" w:rsidRPr="00990735" w:rsidRDefault="00990735" w:rsidP="0099073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194C26C" wp14:editId="17A3EE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22-10001  (S)</w:t>
    </w:r>
    <w:r>
      <w:rPr>
        <w:noProof/>
        <w:sz w:val="20"/>
      </w:rPr>
      <w:drawing>
        <wp:anchor distT="0" distB="0" distL="114300" distR="114300" simplePos="0" relativeHeight="251658752" behindDoc="0" locked="0" layoutInCell="1" allowOverlap="1" wp14:anchorId="36C76A6B" wp14:editId="0237DA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92A">
      <w:rPr>
        <w:sz w:val="20"/>
      </w:rPr>
      <w:t xml:space="preserve">    241022    </w:t>
    </w:r>
    <w:r w:rsidR="00147323">
      <w:rPr>
        <w:sz w:val="20"/>
      </w:rPr>
      <w:t>13</w:t>
    </w:r>
    <w:r w:rsidR="00CD692A">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42E2D" w14:textId="77777777" w:rsidR="00A86662" w:rsidRPr="001075E9" w:rsidRDefault="00A86662" w:rsidP="001075E9">
      <w:pPr>
        <w:tabs>
          <w:tab w:val="right" w:pos="2155"/>
        </w:tabs>
        <w:spacing w:after="80" w:line="240" w:lineRule="auto"/>
        <w:ind w:left="680"/>
        <w:rPr>
          <w:u w:val="single"/>
        </w:rPr>
      </w:pPr>
      <w:r>
        <w:rPr>
          <w:u w:val="single"/>
        </w:rPr>
        <w:tab/>
      </w:r>
    </w:p>
  </w:footnote>
  <w:footnote w:type="continuationSeparator" w:id="0">
    <w:p w14:paraId="1016FCCE" w14:textId="77777777" w:rsidR="00A86662" w:rsidRDefault="00A86662" w:rsidP="00093664">
      <w:pPr>
        <w:tabs>
          <w:tab w:val="right" w:pos="2155"/>
        </w:tabs>
        <w:spacing w:after="80" w:line="240" w:lineRule="auto"/>
        <w:ind w:left="680"/>
        <w:rPr>
          <w:u w:val="single"/>
        </w:rPr>
      </w:pPr>
      <w:r>
        <w:rPr>
          <w:u w:val="single"/>
        </w:rPr>
        <w:tab/>
      </w:r>
    </w:p>
  </w:footnote>
  <w:footnote w:id="1">
    <w:p w14:paraId="5249AC11" w14:textId="0CF0A07D" w:rsidR="00CD692A" w:rsidRPr="00CD692A" w:rsidRDefault="00CD692A" w:rsidP="00CD692A">
      <w:pPr>
        <w:pStyle w:val="Textonotapie"/>
        <w:rPr>
          <w:sz w:val="20"/>
        </w:rPr>
      </w:pPr>
      <w:r>
        <w:tab/>
      </w:r>
      <w:r w:rsidRPr="00CD692A">
        <w:rPr>
          <w:rStyle w:val="Refdenotaalpie"/>
          <w:sz w:val="20"/>
          <w:vertAlign w:val="baseline"/>
        </w:rPr>
        <w:t>*</w:t>
      </w:r>
      <w:r w:rsidRPr="00CD692A">
        <w:rPr>
          <w:rStyle w:val="Refdenotaalpie"/>
          <w:vertAlign w:val="baseline"/>
        </w:rPr>
        <w:tab/>
      </w:r>
      <w:r w:rsidRPr="00CD692A">
        <w:t>La versión original del presente documento no fue objeto de revisión editorial oficial.</w:t>
      </w:r>
    </w:p>
  </w:footnote>
  <w:footnote w:id="2">
    <w:p w14:paraId="265E5D47" w14:textId="6F77AB7D" w:rsidR="00CD692A" w:rsidRPr="00C119ED" w:rsidRDefault="00CD692A" w:rsidP="00CD692A">
      <w:pPr>
        <w:pStyle w:val="Textonotapie"/>
      </w:pPr>
      <w:r w:rsidRPr="00C119ED">
        <w:tab/>
      </w:r>
      <w:r w:rsidRPr="00C119ED">
        <w:rPr>
          <w:rStyle w:val="Refdenotaalpie"/>
        </w:rPr>
        <w:footnoteRef/>
      </w:r>
      <w:r w:rsidRPr="00C119ED">
        <w:tab/>
        <w:t>El estado de emergencia puede ser declarado por el Presidente, únicamente en circunstancias excepcionales expresamente previstas en la Constitución, por ejemplo cuando su declaración ha sido aprobada por la Comisión de Defensa y Seguridad de la Asamblea Nacional; en tiempos de guerra, amenaza de guerra, guerra civil o desastre natural generalizado; y con respecto al lugar específico donde existe esa emergencia; por otra parte, toda declaración de estado de emergencia se anunciará públicamente.</w:t>
      </w:r>
    </w:p>
  </w:footnote>
  <w:footnote w:id="3">
    <w:p w14:paraId="0D2D41D7" w14:textId="50A83C98" w:rsidR="00CD692A" w:rsidRPr="00C119ED" w:rsidRDefault="00CD692A" w:rsidP="00CD692A">
      <w:pPr>
        <w:pStyle w:val="Textonotapie"/>
      </w:pPr>
      <w:r w:rsidRPr="00C119ED">
        <w:rPr>
          <w:szCs w:val="18"/>
        </w:rPr>
        <w:tab/>
      </w:r>
      <w:r w:rsidRPr="00C119ED">
        <w:rPr>
          <w:rStyle w:val="Refdenotaalpie"/>
        </w:rPr>
        <w:footnoteRef/>
      </w:r>
      <w:r w:rsidRPr="00C119ED">
        <w:tab/>
        <w:t>Los datos se refieren únicamente a la población de jóvenes que, para esos efectos, son las personas de entre 15 y 24 años.</w:t>
      </w:r>
    </w:p>
  </w:footnote>
  <w:footnote w:id="4">
    <w:p w14:paraId="1C438ECE" w14:textId="5E5FCE97" w:rsidR="00CD692A" w:rsidRPr="00C119ED" w:rsidRDefault="00CD692A" w:rsidP="00CD692A">
      <w:pPr>
        <w:pStyle w:val="Textonotapie"/>
      </w:pPr>
      <w:r w:rsidRPr="00C119ED">
        <w:tab/>
      </w:r>
      <w:r w:rsidRPr="00C119ED">
        <w:rPr>
          <w:rStyle w:val="Refdenotaalpie"/>
        </w:rPr>
        <w:footnoteRef/>
      </w:r>
      <w:r w:rsidRPr="00C119ED">
        <w:tab/>
        <w:t>Artículo 6 de la Ley de Igualdad de Género.</w:t>
      </w:r>
    </w:p>
  </w:footnote>
  <w:footnote w:id="5">
    <w:p w14:paraId="66CA2311" w14:textId="1C855E2F" w:rsidR="00CD692A" w:rsidRPr="00C119ED" w:rsidRDefault="00CD692A" w:rsidP="00CD692A">
      <w:pPr>
        <w:pStyle w:val="Textonotapie"/>
      </w:pPr>
      <w:r w:rsidRPr="00C119ED">
        <w:tab/>
      </w:r>
      <w:r w:rsidRPr="00C119ED">
        <w:rPr>
          <w:rStyle w:val="Refdenotaalpie"/>
        </w:rPr>
        <w:footnoteRef/>
      </w:r>
      <w:r w:rsidRPr="00C119ED">
        <w:tab/>
        <w:t>Artículo 7 de la Ley de Igualdad de Género.</w:t>
      </w:r>
    </w:p>
  </w:footnote>
  <w:footnote w:id="6">
    <w:p w14:paraId="73B01FC9" w14:textId="437AF70F" w:rsidR="00CD692A" w:rsidRPr="00C119ED" w:rsidRDefault="00CD692A" w:rsidP="00CD692A">
      <w:pPr>
        <w:pStyle w:val="Textonotapie"/>
      </w:pPr>
      <w:r w:rsidRPr="00C119ED">
        <w:tab/>
      </w:r>
      <w:r w:rsidRPr="00C119ED">
        <w:rPr>
          <w:rStyle w:val="Refdenotaalpie"/>
        </w:rPr>
        <w:footnoteRef/>
      </w:r>
      <w:r w:rsidRPr="00C119ED">
        <w:tab/>
        <w:t>De conformidad con el artículo 7, párrafo 2, de la Ley de Relaciones Laborales, y con el artículo 20 de la Constitución.</w:t>
      </w:r>
    </w:p>
  </w:footnote>
  <w:footnote w:id="7">
    <w:p w14:paraId="46C04F57" w14:textId="5F64C6F3" w:rsidR="00CD692A" w:rsidRPr="00C119ED" w:rsidRDefault="00CD692A" w:rsidP="00CD692A">
      <w:pPr>
        <w:pStyle w:val="Textonotapie"/>
      </w:pPr>
      <w:r w:rsidRPr="00C119ED">
        <w:tab/>
      </w:r>
      <w:r w:rsidRPr="00C119ED">
        <w:rPr>
          <w:rStyle w:val="Refdenotaalpie"/>
        </w:rPr>
        <w:footnoteRef/>
      </w:r>
      <w:r w:rsidRPr="00C119ED">
        <w:tab/>
        <w:t>Artículo 7, párrafo 3, de la Ley de Relaciones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4990" w14:textId="506CB581" w:rsidR="00990735" w:rsidRPr="00990735" w:rsidRDefault="00D152B7">
    <w:pPr>
      <w:pStyle w:val="Encabezado"/>
    </w:pPr>
    <w:fldSimple w:instr=" TITLE  \* MERGEFORMAT ">
      <w:r w:rsidR="00EF138D">
        <w:t>E/C.12/MWI/1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FA3C" w14:textId="3084C898" w:rsidR="00990735" w:rsidRPr="00990735" w:rsidRDefault="00D152B7" w:rsidP="00990735">
    <w:pPr>
      <w:pStyle w:val="Encabezado"/>
      <w:jc w:val="right"/>
    </w:pPr>
    <w:fldSimple w:instr=" TITLE  \* MERGEFORMAT ">
      <w:r w:rsidR="00EF138D">
        <w:t>E/C.12/MWI/1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62"/>
    <w:rsid w:val="000040BC"/>
    <w:rsid w:val="00010F3B"/>
    <w:rsid w:val="00032D03"/>
    <w:rsid w:val="00060246"/>
    <w:rsid w:val="000831BA"/>
    <w:rsid w:val="000832C6"/>
    <w:rsid w:val="0008650D"/>
    <w:rsid w:val="00093664"/>
    <w:rsid w:val="000B57E7"/>
    <w:rsid w:val="000D359E"/>
    <w:rsid w:val="000F09DF"/>
    <w:rsid w:val="000F4C56"/>
    <w:rsid w:val="000F61B2"/>
    <w:rsid w:val="000F65EF"/>
    <w:rsid w:val="001075E9"/>
    <w:rsid w:val="00143FE5"/>
    <w:rsid w:val="00147323"/>
    <w:rsid w:val="00180183"/>
    <w:rsid w:val="00196389"/>
    <w:rsid w:val="001B78B3"/>
    <w:rsid w:val="001C7A89"/>
    <w:rsid w:val="001D1B5D"/>
    <w:rsid w:val="001F12BD"/>
    <w:rsid w:val="001F3EC3"/>
    <w:rsid w:val="00205748"/>
    <w:rsid w:val="00265CA8"/>
    <w:rsid w:val="002967E3"/>
    <w:rsid w:val="002A2EFC"/>
    <w:rsid w:val="002D16F0"/>
    <w:rsid w:val="002D5AAC"/>
    <w:rsid w:val="00301299"/>
    <w:rsid w:val="00313431"/>
    <w:rsid w:val="00322004"/>
    <w:rsid w:val="003402C2"/>
    <w:rsid w:val="00340AF0"/>
    <w:rsid w:val="003538EB"/>
    <w:rsid w:val="00354965"/>
    <w:rsid w:val="003770A4"/>
    <w:rsid w:val="00381C24"/>
    <w:rsid w:val="0039579A"/>
    <w:rsid w:val="003958D0"/>
    <w:rsid w:val="003D064D"/>
    <w:rsid w:val="0041031F"/>
    <w:rsid w:val="00421AC6"/>
    <w:rsid w:val="00433187"/>
    <w:rsid w:val="00440DCA"/>
    <w:rsid w:val="00454E07"/>
    <w:rsid w:val="0046610E"/>
    <w:rsid w:val="004B19F2"/>
    <w:rsid w:val="004E2DD4"/>
    <w:rsid w:val="0050108D"/>
    <w:rsid w:val="005016AF"/>
    <w:rsid w:val="0050248E"/>
    <w:rsid w:val="005076AF"/>
    <w:rsid w:val="0052159C"/>
    <w:rsid w:val="00572E19"/>
    <w:rsid w:val="00581F67"/>
    <w:rsid w:val="00597D8B"/>
    <w:rsid w:val="005F0B42"/>
    <w:rsid w:val="00632A31"/>
    <w:rsid w:val="0064421C"/>
    <w:rsid w:val="00651E30"/>
    <w:rsid w:val="00696E37"/>
    <w:rsid w:val="006973C1"/>
    <w:rsid w:val="006D6012"/>
    <w:rsid w:val="006E27AD"/>
    <w:rsid w:val="006F35EE"/>
    <w:rsid w:val="00710CF8"/>
    <w:rsid w:val="00716C6F"/>
    <w:rsid w:val="007464CC"/>
    <w:rsid w:val="00750E61"/>
    <w:rsid w:val="00791619"/>
    <w:rsid w:val="007D6339"/>
    <w:rsid w:val="007E7E06"/>
    <w:rsid w:val="00802199"/>
    <w:rsid w:val="00830923"/>
    <w:rsid w:val="00834B71"/>
    <w:rsid w:val="0085343A"/>
    <w:rsid w:val="0086445C"/>
    <w:rsid w:val="008A08D7"/>
    <w:rsid w:val="008C4B41"/>
    <w:rsid w:val="008D31CF"/>
    <w:rsid w:val="008E4DAD"/>
    <w:rsid w:val="008F56A4"/>
    <w:rsid w:val="00906890"/>
    <w:rsid w:val="00913329"/>
    <w:rsid w:val="00915B2B"/>
    <w:rsid w:val="009179A3"/>
    <w:rsid w:val="00951972"/>
    <w:rsid w:val="00952378"/>
    <w:rsid w:val="0098379B"/>
    <w:rsid w:val="00987051"/>
    <w:rsid w:val="00990735"/>
    <w:rsid w:val="009C69FF"/>
    <w:rsid w:val="009E78C4"/>
    <w:rsid w:val="00A00CB2"/>
    <w:rsid w:val="00A500CE"/>
    <w:rsid w:val="00A645FF"/>
    <w:rsid w:val="00A86061"/>
    <w:rsid w:val="00A86662"/>
    <w:rsid w:val="00A917B3"/>
    <w:rsid w:val="00AA5600"/>
    <w:rsid w:val="00AB0CFB"/>
    <w:rsid w:val="00AB4B51"/>
    <w:rsid w:val="00AB4EB2"/>
    <w:rsid w:val="00AC58DC"/>
    <w:rsid w:val="00AF0918"/>
    <w:rsid w:val="00B05775"/>
    <w:rsid w:val="00B10CC7"/>
    <w:rsid w:val="00B54946"/>
    <w:rsid w:val="00B62458"/>
    <w:rsid w:val="00B6350A"/>
    <w:rsid w:val="00B771DD"/>
    <w:rsid w:val="00B82270"/>
    <w:rsid w:val="00B92E99"/>
    <w:rsid w:val="00BB5EDD"/>
    <w:rsid w:val="00BB6658"/>
    <w:rsid w:val="00BC161C"/>
    <w:rsid w:val="00BD33EE"/>
    <w:rsid w:val="00BE2249"/>
    <w:rsid w:val="00BF2E4E"/>
    <w:rsid w:val="00C377E3"/>
    <w:rsid w:val="00C60F0C"/>
    <w:rsid w:val="00C805C9"/>
    <w:rsid w:val="00CA1679"/>
    <w:rsid w:val="00CD692A"/>
    <w:rsid w:val="00CE34F5"/>
    <w:rsid w:val="00CF551B"/>
    <w:rsid w:val="00CF75DF"/>
    <w:rsid w:val="00D152B7"/>
    <w:rsid w:val="00D24E4F"/>
    <w:rsid w:val="00D738F9"/>
    <w:rsid w:val="00D759B3"/>
    <w:rsid w:val="00D766F9"/>
    <w:rsid w:val="00D90138"/>
    <w:rsid w:val="00D97076"/>
    <w:rsid w:val="00DC6544"/>
    <w:rsid w:val="00E11036"/>
    <w:rsid w:val="00E3587C"/>
    <w:rsid w:val="00E73F76"/>
    <w:rsid w:val="00ED195D"/>
    <w:rsid w:val="00ED6B9F"/>
    <w:rsid w:val="00EF1360"/>
    <w:rsid w:val="00EF138D"/>
    <w:rsid w:val="00EF3220"/>
    <w:rsid w:val="00F23A17"/>
    <w:rsid w:val="00F33585"/>
    <w:rsid w:val="00F34DBD"/>
    <w:rsid w:val="00F503EA"/>
    <w:rsid w:val="00F75605"/>
    <w:rsid w:val="00FA172B"/>
    <w:rsid w:val="00FB2F8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49D54FB"/>
  <w15:docId w15:val="{F2C96B18-2336-4902-9D44-9A1AC98A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CD692A"/>
    <w:rPr>
      <w:rFonts w:cs="Arial"/>
      <w:bCs/>
      <w:iCs/>
      <w:szCs w:val="28"/>
      <w:lang w:val="es-ES" w:eastAsia="es-ES"/>
    </w:rPr>
  </w:style>
  <w:style w:type="character" w:customStyle="1" w:styleId="Ttulo3Car">
    <w:name w:val="Título 3 Car"/>
    <w:basedOn w:val="Fuentedeprrafopredeter"/>
    <w:link w:val="Ttulo3"/>
    <w:semiHidden/>
    <w:rsid w:val="00CD692A"/>
    <w:rPr>
      <w:rFonts w:ascii="Arial" w:hAnsi="Arial" w:cs="Arial"/>
      <w:b/>
      <w:bCs/>
      <w:sz w:val="26"/>
      <w:szCs w:val="26"/>
      <w:lang w:val="es-ES" w:eastAsia="es-ES"/>
    </w:rPr>
  </w:style>
  <w:style w:type="character" w:customStyle="1" w:styleId="Ttulo4Car">
    <w:name w:val="Título 4 Car"/>
    <w:basedOn w:val="Fuentedeprrafopredeter"/>
    <w:link w:val="Ttulo4"/>
    <w:semiHidden/>
    <w:rsid w:val="00CD692A"/>
    <w:rPr>
      <w:b/>
      <w:bCs/>
      <w:sz w:val="28"/>
      <w:szCs w:val="28"/>
      <w:lang w:val="es-ES" w:eastAsia="es-ES"/>
    </w:rPr>
  </w:style>
  <w:style w:type="character" w:customStyle="1" w:styleId="Ttulo5Car">
    <w:name w:val="Título 5 Car"/>
    <w:basedOn w:val="Fuentedeprrafopredeter"/>
    <w:link w:val="Ttulo5"/>
    <w:semiHidden/>
    <w:rsid w:val="00CD692A"/>
    <w:rPr>
      <w:b/>
      <w:bCs/>
      <w:i/>
      <w:iCs/>
      <w:sz w:val="26"/>
      <w:szCs w:val="26"/>
      <w:lang w:val="es-ES" w:eastAsia="es-ES"/>
    </w:rPr>
  </w:style>
  <w:style w:type="character" w:customStyle="1" w:styleId="Ttulo6Car">
    <w:name w:val="Título 6 Car"/>
    <w:basedOn w:val="Fuentedeprrafopredeter"/>
    <w:link w:val="Ttulo6"/>
    <w:semiHidden/>
    <w:rsid w:val="00CD692A"/>
    <w:rPr>
      <w:b/>
      <w:bCs/>
      <w:sz w:val="22"/>
      <w:szCs w:val="22"/>
      <w:lang w:val="es-ES" w:eastAsia="es-ES"/>
    </w:rPr>
  </w:style>
  <w:style w:type="character" w:customStyle="1" w:styleId="Ttulo7Car">
    <w:name w:val="Título 7 Car"/>
    <w:basedOn w:val="Fuentedeprrafopredeter"/>
    <w:link w:val="Ttulo7"/>
    <w:semiHidden/>
    <w:rsid w:val="00CD692A"/>
    <w:rPr>
      <w:sz w:val="24"/>
      <w:szCs w:val="24"/>
      <w:lang w:val="es-ES" w:eastAsia="es-ES"/>
    </w:rPr>
  </w:style>
  <w:style w:type="character" w:customStyle="1" w:styleId="Ttulo8Car">
    <w:name w:val="Título 8 Car"/>
    <w:basedOn w:val="Fuentedeprrafopredeter"/>
    <w:link w:val="Ttulo8"/>
    <w:semiHidden/>
    <w:rsid w:val="00CD692A"/>
    <w:rPr>
      <w:i/>
      <w:iCs/>
      <w:sz w:val="24"/>
      <w:szCs w:val="24"/>
      <w:lang w:val="es-ES" w:eastAsia="es-ES"/>
    </w:rPr>
  </w:style>
  <w:style w:type="character" w:customStyle="1" w:styleId="Ttulo9Car">
    <w:name w:val="Título 9 Car"/>
    <w:basedOn w:val="Fuentedeprrafopredeter"/>
    <w:link w:val="Ttulo9"/>
    <w:semiHidden/>
    <w:rsid w:val="00CD692A"/>
    <w:rPr>
      <w:rFonts w:ascii="Arial" w:hAnsi="Arial" w:cs="Arial"/>
      <w:sz w:val="22"/>
      <w:szCs w:val="22"/>
      <w:lang w:val="es-ES" w:eastAsia="es-ES"/>
    </w:rPr>
  </w:style>
  <w:style w:type="character" w:styleId="Ttulodellibro">
    <w:name w:val="Book Title"/>
    <w:basedOn w:val="Fuentedeprrafopredeter"/>
    <w:uiPriority w:val="33"/>
    <w:rsid w:val="00CD692A"/>
    <w:rPr>
      <w:b/>
      <w:bCs/>
      <w:smallCaps/>
      <w:spacing w:val="5"/>
    </w:rPr>
  </w:style>
  <w:style w:type="character" w:styleId="Refdecomentario">
    <w:name w:val="annotation reference"/>
    <w:basedOn w:val="Fuentedeprrafopredeter"/>
    <w:uiPriority w:val="99"/>
    <w:semiHidden/>
    <w:unhideWhenUsed/>
    <w:rsid w:val="00CD692A"/>
    <w:rPr>
      <w:sz w:val="16"/>
      <w:szCs w:val="16"/>
    </w:rPr>
  </w:style>
  <w:style w:type="paragraph" w:styleId="Textocomentario">
    <w:name w:val="annotation text"/>
    <w:basedOn w:val="Normal"/>
    <w:link w:val="TextocomentarioCar"/>
    <w:uiPriority w:val="99"/>
    <w:semiHidden/>
    <w:unhideWhenUsed/>
    <w:rsid w:val="00CD692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D692A"/>
    <w:rPr>
      <w:lang w:val="en-GB" w:eastAsia="en-US"/>
    </w:rPr>
  </w:style>
  <w:style w:type="paragraph" w:styleId="Asuntodelcomentario">
    <w:name w:val="annotation subject"/>
    <w:basedOn w:val="Textocomentario"/>
    <w:next w:val="Textocomentario"/>
    <w:link w:val="AsuntodelcomentarioCar"/>
    <w:uiPriority w:val="99"/>
    <w:semiHidden/>
    <w:unhideWhenUsed/>
    <w:rsid w:val="00CD692A"/>
    <w:rPr>
      <w:b/>
      <w:bCs/>
    </w:rPr>
  </w:style>
  <w:style w:type="character" w:customStyle="1" w:styleId="AsuntodelcomentarioCar">
    <w:name w:val="Asunto del comentario Car"/>
    <w:basedOn w:val="TextocomentarioCar"/>
    <w:link w:val="Asuntodelcomentario"/>
    <w:uiPriority w:val="99"/>
    <w:semiHidden/>
    <w:rsid w:val="00CD692A"/>
    <w:rPr>
      <w:b/>
      <w:bCs/>
      <w:lang w:val="en-GB" w:eastAsia="en-US"/>
    </w:rPr>
  </w:style>
  <w:style w:type="character" w:styleId="Mencinsinresolver">
    <w:name w:val="Unresolved Mention"/>
    <w:basedOn w:val="Fuentedeprrafopredeter"/>
    <w:uiPriority w:val="99"/>
    <w:semiHidden/>
    <w:unhideWhenUsed/>
    <w:rsid w:val="00CD6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Word_Document1.docx"/><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45</Pages>
  <Words>21766</Words>
  <Characters>108618</Characters>
  <Application>Microsoft Office Word</Application>
  <DocSecurity>0</DocSecurity>
  <Lines>2935</Lines>
  <Paragraphs>1889</Paragraphs>
  <ScaleCrop>false</ScaleCrop>
  <HeadingPairs>
    <vt:vector size="2" baseType="variant">
      <vt:variant>
        <vt:lpstr>Título</vt:lpstr>
      </vt:variant>
      <vt:variant>
        <vt:i4>1</vt:i4>
      </vt:variant>
    </vt:vector>
  </HeadingPairs>
  <TitlesOfParts>
    <vt:vector size="1" baseType="lpstr">
      <vt:lpstr>E/C.12/MWI/1</vt:lpstr>
    </vt:vector>
  </TitlesOfParts>
  <Company/>
  <LinksUpToDate>false</LinksUpToDate>
  <CharactersWithSpaces>128495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E/C.12/MWI/1</dc:title>
  <dc:subject/>
  <dc:creator>Angel ANGEL-MORENO-TORRES</dc:creator>
  <cp:keywords/>
  <cp:lastModifiedBy>Angel Moreno Torres</cp:lastModifiedBy>
  <cp:revision>3</cp:revision>
  <cp:lastPrinted>2022-12-13T10:44:00Z</cp:lastPrinted>
  <dcterms:created xsi:type="dcterms:W3CDTF">2022-12-13T10:44:00Z</dcterms:created>
  <dcterms:modified xsi:type="dcterms:W3CDTF">2022-12-13T10:45:00Z</dcterms:modified>
</cp:coreProperties>
</file>