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157AE" w14:textId="77777777" w:rsidR="001B0501" w:rsidRDefault="001B0501" w:rsidP="001B0501">
      <w:pPr>
        <w:spacing w:line="60" w:lineRule="exact"/>
        <w:rPr>
          <w:sz w:val="6"/>
        </w:rPr>
        <w:sectPr w:rsidR="001B0501" w:rsidSect="000A229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p>
    <w:p w14:paraId="685D7ADC" w14:textId="77777777" w:rsidR="00E57635" w:rsidRDefault="00E57635" w:rsidP="00AD25C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Pr>
          <w:rFonts w:hint="eastAsia"/>
        </w:rPr>
        <w:t>消除对妇女歧视委员会</w:t>
      </w:r>
      <w:bookmarkStart w:id="1" w:name="_GoBack"/>
      <w:bookmarkEnd w:id="1"/>
    </w:p>
    <w:p w14:paraId="653F4327" w14:textId="77777777" w:rsidR="002E3AD8" w:rsidRPr="002E3AD8" w:rsidRDefault="002E3AD8" w:rsidP="002E3AD8">
      <w:pPr>
        <w:framePr w:w="9792" w:h="432" w:hSpace="180" w:wrap="around" w:vAnchor="page" w:hAnchor="page" w:x="1210" w:y="13753"/>
        <w:spacing w:line="100" w:lineRule="exact"/>
        <w:rPr>
          <w:sz w:val="10"/>
        </w:rPr>
      </w:pPr>
    </w:p>
    <w:p w14:paraId="47002B53" w14:textId="56182C0E" w:rsidR="002E3AD8" w:rsidRPr="002E3AD8" w:rsidRDefault="002E3AD8" w:rsidP="002E3AD8">
      <w:pPr>
        <w:framePr w:w="9792" w:h="432" w:hSpace="180" w:wrap="around" w:vAnchor="page" w:hAnchor="page" w:x="1210" w:y="13753"/>
        <w:spacing w:line="60" w:lineRule="exact"/>
        <w:rPr>
          <w:sz w:val="6"/>
        </w:rPr>
      </w:pPr>
    </w:p>
    <w:p w14:paraId="6C8AE82A" w14:textId="77777777" w:rsidR="002E3AD8" w:rsidRPr="002E3AD8" w:rsidRDefault="002E3AD8" w:rsidP="002E3AD8">
      <w:pPr>
        <w:framePr w:w="9792" w:h="432" w:hSpace="180" w:wrap="around" w:vAnchor="page" w:hAnchor="page" w:x="1210" w:y="13753"/>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t>*</w:t>
      </w:r>
      <w:r>
        <w:rPr>
          <w:sz w:val="18"/>
        </w:rPr>
        <w:tab/>
      </w:r>
      <w:r>
        <w:rPr>
          <w:rFonts w:hint="eastAsia"/>
          <w:sz w:val="18"/>
        </w:rPr>
        <w:t>委员会第六十八届会议通过</w:t>
      </w:r>
      <w:r>
        <w:rPr>
          <w:sz w:val="18"/>
        </w:rPr>
        <w:t>(</w:t>
      </w:r>
      <w:r w:rsidRPr="002E3AD8">
        <w:rPr>
          <w:rFonts w:hint="eastAsia"/>
          <w:sz w:val="18"/>
        </w:rPr>
        <w:t>2017</w:t>
      </w:r>
      <w:r w:rsidRPr="002E3AD8">
        <w:rPr>
          <w:rFonts w:hint="eastAsia"/>
          <w:sz w:val="18"/>
        </w:rPr>
        <w:t>年</w:t>
      </w:r>
      <w:r w:rsidRPr="002E3AD8">
        <w:rPr>
          <w:rFonts w:hint="eastAsia"/>
          <w:sz w:val="18"/>
        </w:rPr>
        <w:t>10</w:t>
      </w:r>
      <w:r w:rsidRPr="002E3AD8">
        <w:rPr>
          <w:rFonts w:hint="eastAsia"/>
          <w:sz w:val="18"/>
        </w:rPr>
        <w:t>月</w:t>
      </w:r>
      <w:r w:rsidRPr="002E3AD8">
        <w:rPr>
          <w:rFonts w:hint="eastAsia"/>
          <w:sz w:val="18"/>
        </w:rPr>
        <w:t>23</w:t>
      </w:r>
      <w:r w:rsidRPr="002E3AD8">
        <w:rPr>
          <w:rFonts w:hint="eastAsia"/>
          <w:sz w:val="18"/>
        </w:rPr>
        <w:t>日至</w:t>
      </w:r>
      <w:r w:rsidRPr="002E3AD8">
        <w:rPr>
          <w:rFonts w:hint="eastAsia"/>
          <w:sz w:val="18"/>
        </w:rPr>
        <w:t>11</w:t>
      </w:r>
      <w:r w:rsidRPr="002E3AD8">
        <w:rPr>
          <w:rFonts w:hint="eastAsia"/>
          <w:sz w:val="18"/>
        </w:rPr>
        <w:t>月</w:t>
      </w:r>
      <w:r w:rsidRPr="002E3AD8">
        <w:rPr>
          <w:rFonts w:hint="eastAsia"/>
          <w:sz w:val="18"/>
        </w:rPr>
        <w:t>17</w:t>
      </w:r>
      <w:r>
        <w:rPr>
          <w:rFonts w:hint="eastAsia"/>
          <w:sz w:val="18"/>
        </w:rPr>
        <w:t>日</w:t>
      </w:r>
      <w:r>
        <w:rPr>
          <w:sz w:val="18"/>
        </w:rPr>
        <w:t>)</w:t>
      </w:r>
      <w:r>
        <w:rPr>
          <w:rFonts w:hint="eastAsia"/>
          <w:sz w:val="18"/>
        </w:rPr>
        <w:t>。</w:t>
      </w:r>
    </w:p>
    <w:p w14:paraId="27F98B5F" w14:textId="77777777" w:rsidR="00E57635" w:rsidRDefault="00341F72" w:rsidP="00AD25C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r>
      <w:r w:rsidR="00E57635">
        <w:rPr>
          <w:rFonts w:hint="eastAsia"/>
        </w:rPr>
        <w:t>关于阿曼第二次和第三次合并定期报告的结论性意见</w:t>
      </w:r>
      <w:r w:rsidR="00E57635" w:rsidRPr="007F1030">
        <w:rPr>
          <w:rFonts w:ascii="Times New Roman" w:hAnsi="Times New Roman"/>
        </w:rPr>
        <w:t>*</w:t>
      </w:r>
    </w:p>
    <w:p w14:paraId="2B647595" w14:textId="713396CE" w:rsidR="00E57635" w:rsidRDefault="00025A9A" w:rsidP="00E57635">
      <w:pPr>
        <w:pStyle w:val="SingleTxt"/>
      </w:pPr>
      <w:r>
        <w:rPr>
          <w:rFonts w:hint="eastAsia"/>
        </w:rPr>
        <w:t>1.</w:t>
      </w:r>
      <w:r>
        <w:rPr>
          <w:rFonts w:hint="eastAsia"/>
        </w:rPr>
        <w:tab/>
      </w:r>
      <w:r w:rsidR="00E57635">
        <w:rPr>
          <w:rFonts w:hint="eastAsia"/>
        </w:rPr>
        <w:t>委员会在</w:t>
      </w:r>
      <w:r w:rsidR="00E57635">
        <w:rPr>
          <w:rFonts w:hint="eastAsia"/>
        </w:rPr>
        <w:t>2017</w:t>
      </w:r>
      <w:r w:rsidR="00E57635">
        <w:rPr>
          <w:rFonts w:hint="eastAsia"/>
        </w:rPr>
        <w:t>年</w:t>
      </w:r>
      <w:r w:rsidR="00E57635">
        <w:rPr>
          <w:rFonts w:hint="eastAsia"/>
        </w:rPr>
        <w:t>11</w:t>
      </w:r>
      <w:r w:rsidR="00E57635">
        <w:rPr>
          <w:rFonts w:hint="eastAsia"/>
        </w:rPr>
        <w:t>月</w:t>
      </w:r>
      <w:r w:rsidR="00E57635">
        <w:rPr>
          <w:rFonts w:hint="eastAsia"/>
        </w:rPr>
        <w:t>3</w:t>
      </w:r>
      <w:r w:rsidR="00E57635">
        <w:rPr>
          <w:rFonts w:hint="eastAsia"/>
        </w:rPr>
        <w:t>日召开的第</w:t>
      </w:r>
      <w:r w:rsidR="00E57635">
        <w:rPr>
          <w:rFonts w:hint="eastAsia"/>
        </w:rPr>
        <w:t>1548</w:t>
      </w:r>
      <w:r w:rsidR="00E57635">
        <w:rPr>
          <w:rFonts w:hint="eastAsia"/>
        </w:rPr>
        <w:t>和第</w:t>
      </w:r>
      <w:r w:rsidR="00E57635">
        <w:rPr>
          <w:rFonts w:hint="eastAsia"/>
        </w:rPr>
        <w:t>1549</w:t>
      </w:r>
      <w:r w:rsidR="00E57635">
        <w:rPr>
          <w:rFonts w:hint="eastAsia"/>
        </w:rPr>
        <w:t>次会议上，审议了阿曼的第二次和第三次合并定期报告</w:t>
      </w:r>
      <w:r w:rsidR="00E57635">
        <w:rPr>
          <w:rFonts w:hint="eastAsia"/>
        </w:rPr>
        <w:t>(</w:t>
      </w:r>
      <w:hyperlink r:id="rId16" w:history="1">
        <w:r w:rsidR="00E57635" w:rsidRPr="008838F2">
          <w:rPr>
            <w:rStyle w:val="ad"/>
            <w:rFonts w:hint="eastAsia"/>
          </w:rPr>
          <w:t>CEDAW/C/OMN/2-3</w:t>
        </w:r>
      </w:hyperlink>
      <w:r w:rsidR="00E57635">
        <w:rPr>
          <w:rFonts w:hint="eastAsia"/>
        </w:rPr>
        <w:t>)(</w:t>
      </w:r>
      <w:r w:rsidR="00E57635">
        <w:rPr>
          <w:rFonts w:hint="eastAsia"/>
        </w:rPr>
        <w:t>见</w:t>
      </w:r>
      <w:hyperlink r:id="rId17" w:history="1">
        <w:r w:rsidR="00E57635" w:rsidRPr="008838F2">
          <w:rPr>
            <w:rStyle w:val="ad"/>
            <w:rFonts w:hint="eastAsia"/>
          </w:rPr>
          <w:t>CEDAW/C/SR.1548</w:t>
        </w:r>
      </w:hyperlink>
      <w:r w:rsidR="00E57635">
        <w:rPr>
          <w:rFonts w:hint="eastAsia"/>
        </w:rPr>
        <w:t>和</w:t>
      </w:r>
      <w:r w:rsidR="00E57635" w:rsidRPr="008838F2">
        <w:rPr>
          <w:rFonts w:hint="eastAsia"/>
        </w:rPr>
        <w:t>1549)</w:t>
      </w:r>
      <w:r w:rsidR="00E57635" w:rsidRPr="008838F2">
        <w:rPr>
          <w:rFonts w:hint="eastAsia"/>
        </w:rPr>
        <w:t>。委员会的议题和问题清单载于</w:t>
      </w:r>
      <w:hyperlink r:id="rId18" w:history="1">
        <w:r w:rsidR="00E57635" w:rsidRPr="008838F2">
          <w:rPr>
            <w:rStyle w:val="ad"/>
            <w:rFonts w:hint="eastAsia"/>
          </w:rPr>
          <w:t>CEDAW/C/OMN/Q/2-3</w:t>
        </w:r>
      </w:hyperlink>
      <w:r w:rsidR="00E57635" w:rsidRPr="008838F2">
        <w:rPr>
          <w:rFonts w:hint="eastAsia"/>
        </w:rPr>
        <w:t>号文件</w:t>
      </w:r>
      <w:r w:rsidR="00E57635">
        <w:rPr>
          <w:rFonts w:hint="eastAsia"/>
        </w:rPr>
        <w:t>，阿曼的答复载于</w:t>
      </w:r>
      <w:hyperlink r:id="rId19" w:history="1">
        <w:r w:rsidR="00E57635" w:rsidRPr="008838F2">
          <w:rPr>
            <w:rStyle w:val="ad"/>
            <w:rFonts w:hint="eastAsia"/>
          </w:rPr>
          <w:t>CEDAW/C/OMN/Q/2-3/Add.1</w:t>
        </w:r>
      </w:hyperlink>
      <w:r w:rsidR="00E57635">
        <w:rPr>
          <w:rFonts w:hint="eastAsia"/>
        </w:rPr>
        <w:t>号文件。</w:t>
      </w:r>
    </w:p>
    <w:p w14:paraId="47FFA633" w14:textId="77777777" w:rsidR="00E57635" w:rsidRDefault="00025A9A" w:rsidP="007F10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00E57635">
        <w:rPr>
          <w:rFonts w:hint="eastAsia"/>
        </w:rPr>
        <w:t>A.</w:t>
      </w:r>
      <w:r>
        <w:tab/>
      </w:r>
      <w:r w:rsidR="00E57635">
        <w:rPr>
          <w:rFonts w:hint="eastAsia"/>
        </w:rPr>
        <w:t>导言</w:t>
      </w:r>
    </w:p>
    <w:p w14:paraId="3597E0E6" w14:textId="632D6068" w:rsidR="00E57635" w:rsidRDefault="00E57635" w:rsidP="00E57635">
      <w:pPr>
        <w:pStyle w:val="SingleTxt"/>
      </w:pPr>
      <w:r>
        <w:rPr>
          <w:rFonts w:hint="eastAsia"/>
        </w:rPr>
        <w:t>2.</w:t>
      </w:r>
      <w:r w:rsidR="00025A9A">
        <w:tab/>
      </w:r>
      <w:r>
        <w:rPr>
          <w:rFonts w:hint="eastAsia"/>
        </w:rPr>
        <w:t>委员会赞赏缔约国提交第二次和第三次合并定期报告。委员会还赞赏缔约国的后续报告</w:t>
      </w:r>
      <w:r>
        <w:rPr>
          <w:rFonts w:hint="eastAsia"/>
        </w:rPr>
        <w:t>(</w:t>
      </w:r>
      <w:hyperlink r:id="rId20" w:history="1">
        <w:r w:rsidRPr="008838F2">
          <w:rPr>
            <w:rStyle w:val="ad"/>
            <w:rFonts w:hint="eastAsia"/>
          </w:rPr>
          <w:t>CEDAW/C/OMN/CO/1/Add.1</w:t>
        </w:r>
      </w:hyperlink>
      <w:r>
        <w:rPr>
          <w:rFonts w:hint="eastAsia"/>
        </w:rPr>
        <w:t>)</w:t>
      </w:r>
      <w:r>
        <w:rPr>
          <w:rFonts w:hint="eastAsia"/>
        </w:rPr>
        <w:t>及其代表团对会前工作组提出的议题和问题清单给予书面答复，以及口头介绍，以及委员会在对话期间口头提出的问题作出进一步澄清。</w:t>
      </w:r>
    </w:p>
    <w:p w14:paraId="1E9BA063" w14:textId="77777777" w:rsidR="00E57635" w:rsidRDefault="00E57635" w:rsidP="00E57635">
      <w:pPr>
        <w:pStyle w:val="SingleTxt"/>
      </w:pPr>
      <w:r>
        <w:rPr>
          <w:rFonts w:hint="eastAsia"/>
        </w:rPr>
        <w:t>3.</w:t>
      </w:r>
      <w:r>
        <w:rPr>
          <w:rFonts w:hint="eastAsia"/>
        </w:rPr>
        <w:tab/>
      </w:r>
      <w:r>
        <w:rPr>
          <w:rFonts w:hint="eastAsia"/>
        </w:rPr>
        <w:t>委员会赞扬由社会发展大臣谢赫·穆罕默德·赛义德·赛义夫·卡尔巴尼阁下率领的缔约国高级别代表团。代表团还包括阿曼常驻联合国日内瓦办事处及其他国际组织代表阿卜杜拉·纳赛尔·拉比，以及社会发展部、法律事务部、教育部、卫生部、农业和渔业部、最高法院行政司法委员会、总检察长、阿曼工会总联合会和阿曼常驻联合国日内瓦办事处和其他国际组织代表团的代表。</w:t>
      </w:r>
    </w:p>
    <w:p w14:paraId="5364BEB8" w14:textId="77777777" w:rsidR="00E57635" w:rsidRDefault="00025A9A" w:rsidP="007F10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00E57635">
        <w:rPr>
          <w:rFonts w:hint="eastAsia"/>
        </w:rPr>
        <w:t>B.</w:t>
      </w:r>
      <w:r>
        <w:tab/>
      </w:r>
      <w:r w:rsidR="00E57635">
        <w:rPr>
          <w:rFonts w:hint="eastAsia"/>
        </w:rPr>
        <w:t>积极方面</w:t>
      </w:r>
    </w:p>
    <w:p w14:paraId="5AF580FE" w14:textId="5ED8747C" w:rsidR="00E57635" w:rsidRDefault="00E57635" w:rsidP="00E57635">
      <w:pPr>
        <w:pStyle w:val="SingleTxt"/>
      </w:pPr>
      <w:r>
        <w:rPr>
          <w:rFonts w:hint="eastAsia"/>
        </w:rPr>
        <w:t>4.</w:t>
      </w:r>
      <w:r w:rsidR="00025A9A">
        <w:tab/>
      </w:r>
      <w:r>
        <w:rPr>
          <w:rFonts w:hint="eastAsia"/>
        </w:rPr>
        <w:t>委员会欢迎</w:t>
      </w:r>
      <w:r>
        <w:rPr>
          <w:rFonts w:hint="eastAsia"/>
        </w:rPr>
        <w:t>2011</w:t>
      </w:r>
      <w:r>
        <w:rPr>
          <w:rFonts w:hint="eastAsia"/>
        </w:rPr>
        <w:t>年审议缔约国初次报告</w:t>
      </w:r>
      <w:r>
        <w:rPr>
          <w:rFonts w:hint="eastAsia"/>
        </w:rPr>
        <w:t>(</w:t>
      </w:r>
      <w:hyperlink r:id="rId21" w:history="1">
        <w:r w:rsidRPr="008838F2">
          <w:rPr>
            <w:rStyle w:val="ad"/>
            <w:rFonts w:hint="eastAsia"/>
          </w:rPr>
          <w:t>CEDAW/C/OMN/1</w:t>
        </w:r>
      </w:hyperlink>
      <w:r>
        <w:rPr>
          <w:rFonts w:hint="eastAsia"/>
        </w:rPr>
        <w:t>)</w:t>
      </w:r>
      <w:r>
        <w:rPr>
          <w:rFonts w:hint="eastAsia"/>
        </w:rPr>
        <w:t>以来司法改革取得的进展，特别是通过了：</w:t>
      </w:r>
    </w:p>
    <w:p w14:paraId="17627C8C" w14:textId="77777777" w:rsidR="00E57635" w:rsidRDefault="00EF2CAB" w:rsidP="00E57635">
      <w:pPr>
        <w:pStyle w:val="SingleTxt"/>
      </w:pPr>
      <w:r>
        <w:rPr>
          <w:rFonts w:hint="eastAsia"/>
        </w:rPr>
        <w:tab/>
        <w:t>(</w:t>
      </w:r>
      <w:r w:rsidR="00E57635">
        <w:rPr>
          <w:rFonts w:hint="eastAsia"/>
        </w:rPr>
        <w:t>a</w:t>
      </w:r>
      <w:r>
        <w:rPr>
          <w:rFonts w:hint="eastAsia"/>
        </w:rPr>
        <w:t>)</w:t>
      </w:r>
      <w:r>
        <w:rPr>
          <w:rFonts w:hint="eastAsia"/>
        </w:rPr>
        <w:tab/>
      </w:r>
      <w:r w:rsidR="00E57635">
        <w:rPr>
          <w:rFonts w:hint="eastAsia"/>
        </w:rPr>
        <w:t>2014</w:t>
      </w:r>
      <w:r w:rsidR="00E57635">
        <w:rPr>
          <w:rFonts w:hint="eastAsia"/>
        </w:rPr>
        <w:t>年，《儿童法》，禁止对儿童进行基于性别的歧视，将有害传统习俗定为犯罪；</w:t>
      </w:r>
    </w:p>
    <w:p w14:paraId="3850CC65" w14:textId="77777777" w:rsidR="00E57635" w:rsidRDefault="00EF2CAB" w:rsidP="00E57635">
      <w:pPr>
        <w:pStyle w:val="SingleTxt"/>
      </w:pPr>
      <w:r>
        <w:rPr>
          <w:rFonts w:hint="eastAsia"/>
        </w:rPr>
        <w:tab/>
        <w:t>(</w:t>
      </w:r>
      <w:r w:rsidR="00E57635">
        <w:rPr>
          <w:rFonts w:hint="eastAsia"/>
        </w:rPr>
        <w:t>b</w:t>
      </w:r>
      <w:r>
        <w:rPr>
          <w:rFonts w:hint="eastAsia"/>
        </w:rPr>
        <w:t>)</w:t>
      </w:r>
      <w:r>
        <w:rPr>
          <w:rFonts w:hint="eastAsia"/>
        </w:rPr>
        <w:tab/>
      </w:r>
      <w:r w:rsidR="00E57635">
        <w:rPr>
          <w:rFonts w:hint="eastAsia"/>
        </w:rPr>
        <w:t>2013</w:t>
      </w:r>
      <w:r w:rsidR="00E57635">
        <w:rPr>
          <w:rFonts w:hint="eastAsia"/>
        </w:rPr>
        <w:t>年，第</w:t>
      </w:r>
      <w:r w:rsidR="00E57635">
        <w:rPr>
          <w:rFonts w:hint="eastAsia"/>
        </w:rPr>
        <w:t>78/2013</w:t>
      </w:r>
      <w:r w:rsidR="00E57635">
        <w:rPr>
          <w:rFonts w:hint="eastAsia"/>
        </w:rPr>
        <w:t>号谕令，规定了公务员同工同酬原则；</w:t>
      </w:r>
    </w:p>
    <w:p w14:paraId="0EBE07C0" w14:textId="785F07DF" w:rsidR="00E57635" w:rsidRDefault="008C5178" w:rsidP="00E57635">
      <w:pPr>
        <w:pStyle w:val="SingleTxt"/>
      </w:pPr>
      <w:r w:rsidRPr="002E3AD8">
        <w:rPr>
          <w:noProof/>
          <w:sz w:val="6"/>
        </w:rPr>
        <mc:AlternateContent>
          <mc:Choice Requires="wps">
            <w:drawing>
              <wp:anchor distT="0" distB="0" distL="114300" distR="114300" simplePos="0" relativeHeight="251659264" behindDoc="0" locked="0" layoutInCell="1" allowOverlap="1" wp14:anchorId="1059BA80" wp14:editId="5FB5F01A">
                <wp:simplePos x="0" y="0"/>
                <wp:positionH relativeFrom="page">
                  <wp:posOffset>1328908</wp:posOffset>
                </wp:positionH>
                <wp:positionV relativeFrom="paragraph">
                  <wp:posOffset>471805</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5730E1"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4.65pt,37.15pt" to="176.6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" strokecolor="#010000" strokeweight=".25pt">
                <w10:wrap anchorx="page"/>
              </v:line>
            </w:pict>
          </mc:Fallback>
        </mc:AlternateContent>
      </w:r>
      <w:r w:rsidR="00EF2CAB">
        <w:rPr>
          <w:rFonts w:hint="eastAsia"/>
        </w:rPr>
        <w:tab/>
        <w:t>(</w:t>
      </w:r>
      <w:r w:rsidR="00E57635">
        <w:rPr>
          <w:rFonts w:hint="eastAsia"/>
        </w:rPr>
        <w:t>c</w:t>
      </w:r>
      <w:r w:rsidR="00EF2CAB">
        <w:rPr>
          <w:rFonts w:hint="eastAsia"/>
        </w:rPr>
        <w:t>)</w:t>
      </w:r>
      <w:r w:rsidR="00EF2CAB">
        <w:rPr>
          <w:rFonts w:hint="eastAsia"/>
        </w:rPr>
        <w:tab/>
      </w:r>
      <w:r w:rsidR="00E57635">
        <w:rPr>
          <w:rFonts w:hint="eastAsia"/>
        </w:rPr>
        <w:t>2013</w:t>
      </w:r>
      <w:r w:rsidR="00E57635">
        <w:rPr>
          <w:rFonts w:hint="eastAsia"/>
        </w:rPr>
        <w:t>年，《民事交易法》，赋予妇女在所有民事交易</w:t>
      </w:r>
      <w:r w:rsidR="00E57635">
        <w:rPr>
          <w:rFonts w:hint="eastAsia"/>
        </w:rPr>
        <w:t>(</w:t>
      </w:r>
      <w:r w:rsidR="00E57635">
        <w:rPr>
          <w:rFonts w:hint="eastAsia"/>
        </w:rPr>
        <w:t>包括银行贷款和房地产抵押</w:t>
      </w:r>
      <w:r w:rsidR="00E57635">
        <w:rPr>
          <w:rFonts w:hint="eastAsia"/>
        </w:rPr>
        <w:t>)</w:t>
      </w:r>
      <w:r w:rsidR="00E57635">
        <w:rPr>
          <w:rFonts w:hint="eastAsia"/>
        </w:rPr>
        <w:t>方面与男子同样的法律能力。</w:t>
      </w:r>
    </w:p>
    <w:p w14:paraId="2B3C080C" w14:textId="77777777" w:rsidR="00E57635" w:rsidRDefault="00E57635" w:rsidP="00E57635">
      <w:pPr>
        <w:pStyle w:val="SingleTxt"/>
      </w:pPr>
      <w:r>
        <w:rPr>
          <w:rFonts w:hint="eastAsia"/>
        </w:rPr>
        <w:lastRenderedPageBreak/>
        <w:t>5.</w:t>
      </w:r>
      <w:r w:rsidR="00025A9A">
        <w:tab/>
      </w:r>
      <w:r>
        <w:rPr>
          <w:rFonts w:hint="eastAsia"/>
        </w:rPr>
        <w:t>委员会欢迎缔约国努力改进体制和政策框架，加快消除对妇女的歧视，促进性别平等，如通过或设立：</w:t>
      </w:r>
    </w:p>
    <w:p w14:paraId="390D9026" w14:textId="77777777" w:rsidR="00E57635" w:rsidRDefault="00025A9A" w:rsidP="00E57635">
      <w:pPr>
        <w:pStyle w:val="SingleTxt"/>
      </w:pPr>
      <w:r>
        <w:tab/>
      </w:r>
      <w:r w:rsidR="00E57635">
        <w:rPr>
          <w:rFonts w:hint="eastAsia"/>
        </w:rPr>
        <w:t>(a)</w:t>
      </w:r>
      <w:r>
        <w:tab/>
      </w:r>
      <w:r w:rsidR="00E57635">
        <w:rPr>
          <w:rFonts w:hint="eastAsia"/>
        </w:rPr>
        <w:t>2016</w:t>
      </w:r>
      <w:r w:rsidR="00E57635">
        <w:rPr>
          <w:rFonts w:hint="eastAsia"/>
        </w:rPr>
        <w:t>年，社会发展部《社会行动战略》及其执行计划</w:t>
      </w:r>
      <w:r w:rsidR="00E57635">
        <w:rPr>
          <w:rFonts w:hint="eastAsia"/>
        </w:rPr>
        <w:t>(2016-2025</w:t>
      </w:r>
      <w:r w:rsidR="00E57635">
        <w:rPr>
          <w:rFonts w:hint="eastAsia"/>
        </w:rPr>
        <w:t>年</w:t>
      </w:r>
      <w:r w:rsidR="00E57635">
        <w:rPr>
          <w:rFonts w:hint="eastAsia"/>
        </w:rPr>
        <w:t>)</w:t>
      </w:r>
      <w:r w:rsidR="00E57635">
        <w:rPr>
          <w:rFonts w:hint="eastAsia"/>
        </w:rPr>
        <w:t>，重点是改变性别陈规定型观念，提供有利的环境，确认妇女在家庭和社会中的关键经济作用，以及妇女担任决策职位；</w:t>
      </w:r>
    </w:p>
    <w:p w14:paraId="585FC8D6" w14:textId="77777777" w:rsidR="00E57635" w:rsidRDefault="00025A9A" w:rsidP="00E57635">
      <w:pPr>
        <w:pStyle w:val="SingleTxt"/>
      </w:pPr>
      <w:r>
        <w:tab/>
      </w:r>
      <w:r w:rsidR="00E57635">
        <w:rPr>
          <w:rFonts w:hint="eastAsia"/>
        </w:rPr>
        <w:t>(b)</w:t>
      </w:r>
      <w:r>
        <w:tab/>
      </w:r>
      <w:r w:rsidR="00E57635">
        <w:rPr>
          <w:rFonts w:hint="eastAsia"/>
        </w:rPr>
        <w:t>2015</w:t>
      </w:r>
      <w:r w:rsidR="00E57635">
        <w:rPr>
          <w:rFonts w:hint="eastAsia"/>
        </w:rPr>
        <w:t>年，《国家农业发展战略》</w:t>
      </w:r>
      <w:r w:rsidR="00E57635">
        <w:rPr>
          <w:rFonts w:hint="eastAsia"/>
        </w:rPr>
        <w:t>(2015-2040</w:t>
      </w:r>
      <w:r w:rsidR="00E57635">
        <w:rPr>
          <w:rFonts w:hint="eastAsia"/>
        </w:rPr>
        <w:t>年</w:t>
      </w:r>
      <w:r w:rsidR="00E57635">
        <w:rPr>
          <w:rFonts w:hint="eastAsia"/>
        </w:rPr>
        <w:t>)</w:t>
      </w:r>
      <w:r w:rsidR="00E57635">
        <w:rPr>
          <w:rFonts w:hint="eastAsia"/>
        </w:rPr>
        <w:t>及其第一个行动计划</w:t>
      </w:r>
      <w:r w:rsidR="00E57635">
        <w:rPr>
          <w:rFonts w:hint="eastAsia"/>
        </w:rPr>
        <w:t>(2015-2019</w:t>
      </w:r>
      <w:r w:rsidR="00E57635">
        <w:rPr>
          <w:rFonts w:hint="eastAsia"/>
        </w:rPr>
        <w:t>年</w:t>
      </w:r>
      <w:r w:rsidR="00E57635">
        <w:rPr>
          <w:rFonts w:hint="eastAsia"/>
        </w:rPr>
        <w:t>)</w:t>
      </w:r>
      <w:r w:rsidR="00E57635">
        <w:rPr>
          <w:rFonts w:hint="eastAsia"/>
        </w:rPr>
        <w:t>，其中优先考虑为农村妇女建立非政府农业组织，促进其经济赋权；</w:t>
      </w:r>
    </w:p>
    <w:p w14:paraId="6DA89B12" w14:textId="77777777" w:rsidR="00E57635" w:rsidRDefault="00025A9A" w:rsidP="00E57635">
      <w:pPr>
        <w:pStyle w:val="SingleTxt"/>
      </w:pPr>
      <w:r>
        <w:tab/>
      </w:r>
      <w:r w:rsidR="00E57635">
        <w:rPr>
          <w:rFonts w:hint="eastAsia"/>
        </w:rPr>
        <w:t>(c)</w:t>
      </w:r>
      <w:r>
        <w:tab/>
      </w:r>
      <w:r w:rsidR="00E57635">
        <w:rPr>
          <w:rFonts w:hint="eastAsia"/>
        </w:rPr>
        <w:t>2012</w:t>
      </w:r>
      <w:r w:rsidR="00E57635">
        <w:rPr>
          <w:rFonts w:hint="eastAsia"/>
        </w:rPr>
        <w:t>年，家庭保护司，制定保护计划，受理有关针对妇女的性别暴力的投诉。</w:t>
      </w:r>
    </w:p>
    <w:p w14:paraId="7851FFDD" w14:textId="77777777" w:rsidR="00E57635" w:rsidRDefault="00E57635" w:rsidP="00E57635">
      <w:pPr>
        <w:pStyle w:val="SingleTxt"/>
      </w:pPr>
      <w:r>
        <w:rPr>
          <w:rFonts w:hint="eastAsia"/>
        </w:rPr>
        <w:t>6.</w:t>
      </w:r>
      <w:r w:rsidR="00025A9A">
        <w:tab/>
      </w:r>
      <w:r>
        <w:rPr>
          <w:rFonts w:hint="eastAsia"/>
        </w:rPr>
        <w:t>委员会欢迎自审议上次报告以来，缔约国批准或加入了下列国际和地区条约：</w:t>
      </w:r>
    </w:p>
    <w:p w14:paraId="7CD1CB13" w14:textId="77777777" w:rsidR="00E57635" w:rsidRDefault="00025A9A" w:rsidP="00E57635">
      <w:pPr>
        <w:pStyle w:val="SingleTxt"/>
      </w:pPr>
      <w:r>
        <w:tab/>
      </w:r>
      <w:r w:rsidR="00E57635">
        <w:rPr>
          <w:rFonts w:hint="eastAsia"/>
        </w:rPr>
        <w:t>(a)</w:t>
      </w:r>
      <w:r>
        <w:tab/>
      </w:r>
      <w:r w:rsidR="00E57635">
        <w:rPr>
          <w:rFonts w:hint="eastAsia"/>
        </w:rPr>
        <w:t>2015</w:t>
      </w:r>
      <w:r w:rsidR="00E57635">
        <w:rPr>
          <w:rFonts w:hint="eastAsia"/>
        </w:rPr>
        <w:t>年，《阿拉伯打击跨国有组织犯罪公约》</w:t>
      </w:r>
    </w:p>
    <w:p w14:paraId="1768999B" w14:textId="77777777" w:rsidR="00E57635" w:rsidRDefault="00025A9A" w:rsidP="00E57635">
      <w:pPr>
        <w:pStyle w:val="SingleTxt"/>
      </w:pPr>
      <w:r>
        <w:tab/>
      </w:r>
      <w:r w:rsidR="00E57635">
        <w:rPr>
          <w:rFonts w:hint="eastAsia"/>
        </w:rPr>
        <w:t>(b)</w:t>
      </w:r>
      <w:r>
        <w:tab/>
      </w:r>
      <w:r w:rsidR="00E57635">
        <w:rPr>
          <w:rFonts w:hint="eastAsia"/>
        </w:rPr>
        <w:t>2014</w:t>
      </w:r>
      <w:r w:rsidR="00E57635">
        <w:rPr>
          <w:rFonts w:hint="eastAsia"/>
        </w:rPr>
        <w:t>年，《联合国反腐败公约》。</w:t>
      </w:r>
    </w:p>
    <w:p w14:paraId="22D992F9" w14:textId="77777777" w:rsidR="00E57635" w:rsidRDefault="00E57635" w:rsidP="00E57635">
      <w:pPr>
        <w:pStyle w:val="SingleTxt"/>
      </w:pPr>
      <w:r>
        <w:rPr>
          <w:rFonts w:hint="eastAsia"/>
        </w:rPr>
        <w:t>7.</w:t>
      </w:r>
      <w:r w:rsidR="00025A9A">
        <w:tab/>
      </w:r>
      <w:r>
        <w:rPr>
          <w:rFonts w:hint="eastAsia"/>
        </w:rPr>
        <w:t>委员会满意地注意到，缔约国承诺执行可持续发展目标，建立一个新机制来实现这些新的目标。委员会回顾目标</w:t>
      </w:r>
      <w:r>
        <w:rPr>
          <w:rFonts w:hint="eastAsia"/>
        </w:rPr>
        <w:t>5.1.1</w:t>
      </w:r>
      <w:r>
        <w:rPr>
          <w:rFonts w:hint="eastAsia"/>
        </w:rPr>
        <w:t>的重要性，赞扬缔约国积极努力，实施可持续发展政策，包括应对气候变化的措施。</w:t>
      </w:r>
    </w:p>
    <w:p w14:paraId="0FE80EC3" w14:textId="77777777" w:rsidR="00E57635" w:rsidRDefault="00025A9A" w:rsidP="007F10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00E57635">
        <w:rPr>
          <w:rFonts w:hint="eastAsia"/>
        </w:rPr>
        <w:t>C.</w:t>
      </w:r>
      <w:r>
        <w:tab/>
      </w:r>
      <w:r w:rsidR="00E57635">
        <w:rPr>
          <w:rFonts w:hint="eastAsia"/>
        </w:rPr>
        <w:t>议会</w:t>
      </w:r>
    </w:p>
    <w:p w14:paraId="548AFA13" w14:textId="77777777" w:rsidR="00E57635" w:rsidRDefault="00E57635" w:rsidP="00E57635">
      <w:pPr>
        <w:pStyle w:val="SingleTxt"/>
      </w:pPr>
      <w:r>
        <w:rPr>
          <w:rFonts w:hint="eastAsia"/>
        </w:rPr>
        <w:t>8.</w:t>
      </w:r>
      <w:r>
        <w:rPr>
          <w:rFonts w:hint="eastAsia"/>
        </w:rPr>
        <w:tab/>
      </w:r>
      <w:r w:rsidRPr="007F1030">
        <w:rPr>
          <w:rFonts w:ascii="黑体" w:eastAsia="黑体" w:hAnsi="黑体" w:hint="eastAsia"/>
        </w:rPr>
        <w:t>委员会强调立法权在确保充分执行《公约》方面发挥的关键作用(见委员会在2010年第四十五届会议上通过的与议员关系的说明)。委员会请协商会议和国家委员会根据其任务规定，采取必要措施，从现在至《公约》下一个报告期间，执行本结论性意见。</w:t>
      </w:r>
    </w:p>
    <w:p w14:paraId="72A87D52" w14:textId="77777777" w:rsidR="00E57635" w:rsidRDefault="00025A9A" w:rsidP="00341F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tab/>
      </w:r>
      <w:r w:rsidR="00E57635">
        <w:rPr>
          <w:rFonts w:hint="eastAsia"/>
        </w:rPr>
        <w:t>D</w:t>
      </w:r>
      <w:r>
        <w:t>.</w:t>
      </w:r>
      <w:r>
        <w:tab/>
      </w:r>
      <w:r>
        <w:tab/>
      </w:r>
      <w:r w:rsidR="00E57635">
        <w:rPr>
          <w:rFonts w:hint="eastAsia"/>
        </w:rPr>
        <w:t>主要关注领域和建议</w:t>
      </w:r>
    </w:p>
    <w:p w14:paraId="44DCAB80" w14:textId="77777777" w:rsidR="00E57635" w:rsidRPr="007F1030" w:rsidRDefault="00E57635" w:rsidP="007F1030">
      <w:pPr>
        <w:pStyle w:val="SingleTxt"/>
        <w:spacing w:before="120"/>
        <w:rPr>
          <w:rFonts w:ascii="黑体" w:eastAsia="黑体" w:hAnsi="黑体"/>
        </w:rPr>
      </w:pPr>
      <w:r w:rsidRPr="007F1030">
        <w:rPr>
          <w:rFonts w:ascii="黑体" w:eastAsia="黑体" w:hAnsi="黑体" w:hint="eastAsia"/>
        </w:rPr>
        <w:t>撤回保留</w:t>
      </w:r>
    </w:p>
    <w:p w14:paraId="60AC18F3" w14:textId="77777777" w:rsidR="00E57635" w:rsidRDefault="00E57635" w:rsidP="00E57635">
      <w:pPr>
        <w:pStyle w:val="SingleTxt"/>
      </w:pPr>
      <w:r>
        <w:rPr>
          <w:rFonts w:hint="eastAsia"/>
        </w:rPr>
        <w:t>9.</w:t>
      </w:r>
      <w:r w:rsidR="00025A9A">
        <w:tab/>
      </w:r>
      <w:r>
        <w:rPr>
          <w:rFonts w:hint="eastAsia"/>
        </w:rPr>
        <w:t>委员会赞赏地注意到，苏丹陛下批准了部长会议的建议，撤回缔约国对《公约》第十五</w:t>
      </w:r>
      <w:r>
        <w:rPr>
          <w:rFonts w:hint="eastAsia"/>
        </w:rPr>
        <w:t>(4)</w:t>
      </w:r>
      <w:r>
        <w:rPr>
          <w:rFonts w:hint="eastAsia"/>
        </w:rPr>
        <w:t>条的保留。不过，仍然令人关注的是，缔约国不愿撤回其对“《公约》中不符合伊斯兰教法和阿曼苏丹国有效立法的所有规定”的一般性保留，及其对《公约》第九</w:t>
      </w:r>
      <w:r>
        <w:rPr>
          <w:rFonts w:hint="eastAsia"/>
        </w:rPr>
        <w:t>(2)</w:t>
      </w:r>
      <w:r>
        <w:rPr>
          <w:rFonts w:hint="eastAsia"/>
        </w:rPr>
        <w:t>条和第十六</w:t>
      </w:r>
      <w:r>
        <w:rPr>
          <w:rFonts w:hint="eastAsia"/>
        </w:rPr>
        <w:t>(1)(a)</w:t>
      </w:r>
      <w:r>
        <w:rPr>
          <w:rFonts w:hint="eastAsia"/>
        </w:rPr>
        <w:t>、</w:t>
      </w:r>
      <w:r>
        <w:rPr>
          <w:rFonts w:hint="eastAsia"/>
        </w:rPr>
        <w:t>(c)</w:t>
      </w:r>
      <w:r>
        <w:rPr>
          <w:rFonts w:hint="eastAsia"/>
        </w:rPr>
        <w:t>和</w:t>
      </w:r>
      <w:r>
        <w:rPr>
          <w:rFonts w:hint="eastAsia"/>
        </w:rPr>
        <w:t>(f)</w:t>
      </w:r>
      <w:r>
        <w:rPr>
          <w:rFonts w:hint="eastAsia"/>
        </w:rPr>
        <w:t>条的保留；这构成对整个《公约》执行的障碍。委员会指出，缔约国的立法来自伊斯兰法，完全不考虑各个派别；委员会赞赏缔约国认识到，穆斯林法律传统中存在各种意见和法律概念，可以开展立法改革，解决歧视性规定。</w:t>
      </w:r>
    </w:p>
    <w:p w14:paraId="45461F1C" w14:textId="30F998CE" w:rsidR="00E57635" w:rsidRDefault="00E57635" w:rsidP="00E57635">
      <w:pPr>
        <w:pStyle w:val="SingleTxt"/>
      </w:pPr>
      <w:r>
        <w:rPr>
          <w:rFonts w:hint="eastAsia"/>
        </w:rPr>
        <w:t>10.</w:t>
      </w:r>
      <w:r w:rsidR="00025A9A">
        <w:tab/>
      </w:r>
      <w:r w:rsidRPr="007F1030">
        <w:rPr>
          <w:rFonts w:ascii="黑体" w:eastAsia="黑体" w:hAnsi="黑体" w:hint="eastAsia"/>
        </w:rPr>
        <w:t>委员会提醒缔约国，一般性保留以及对第十六条的保留，不符合《公约》的目的和宗旨，因此根据《公约》第二十八条是不允许的(见委员会关于保留的声明，1998年第十九届会议通过，</w:t>
      </w:r>
      <w:hyperlink r:id="rId22" w:history="1">
        <w:r w:rsidRPr="008838F2">
          <w:rPr>
            <w:rStyle w:val="ad"/>
            <w:rFonts w:ascii="黑体" w:eastAsia="黑体" w:hAnsi="黑体" w:hint="eastAsia"/>
          </w:rPr>
          <w:t>A/53/38/Rev.1</w:t>
        </w:r>
      </w:hyperlink>
      <w:r w:rsidRPr="007F1030">
        <w:rPr>
          <w:rFonts w:ascii="黑体" w:eastAsia="黑体" w:hAnsi="黑体" w:hint="eastAsia"/>
        </w:rPr>
        <w:t>)。委员会建议缔约国</w:t>
      </w:r>
      <w:r>
        <w:rPr>
          <w:rFonts w:hint="eastAsia"/>
        </w:rPr>
        <w:t>：</w:t>
      </w:r>
    </w:p>
    <w:p w14:paraId="2E24402D" w14:textId="77777777" w:rsidR="00E57635" w:rsidRDefault="00025A9A" w:rsidP="00E57635">
      <w:pPr>
        <w:pStyle w:val="SingleTxt"/>
      </w:pPr>
      <w:r>
        <w:tab/>
      </w:r>
      <w:r w:rsidR="00E57635">
        <w:rPr>
          <w:rFonts w:hint="eastAsia"/>
        </w:rPr>
        <w:t>(a)</w:t>
      </w:r>
      <w:r>
        <w:tab/>
      </w:r>
      <w:r w:rsidR="00E57635" w:rsidRPr="007F1030">
        <w:rPr>
          <w:rFonts w:ascii="黑体" w:eastAsia="黑体" w:hAnsi="黑体" w:hint="eastAsia"/>
        </w:rPr>
        <w:t>完成撤回对《公约》第十五(4)条的保留的步骤；</w:t>
      </w:r>
    </w:p>
    <w:p w14:paraId="3FBED15E" w14:textId="77777777" w:rsidR="00E57635" w:rsidRPr="007F1030" w:rsidRDefault="00025A9A" w:rsidP="007F1030">
      <w:pPr>
        <w:pStyle w:val="SingleTxt"/>
        <w:spacing w:line="330" w:lineRule="exact"/>
        <w:rPr>
          <w:rFonts w:ascii="黑体" w:eastAsia="黑体" w:hAnsi="黑体"/>
        </w:rPr>
      </w:pPr>
      <w:r>
        <w:lastRenderedPageBreak/>
        <w:tab/>
      </w:r>
      <w:r w:rsidR="00E57635">
        <w:rPr>
          <w:rFonts w:hint="eastAsia"/>
        </w:rPr>
        <w:t>(b)</w:t>
      </w:r>
      <w:r>
        <w:tab/>
      </w:r>
      <w:r w:rsidR="00E57635" w:rsidRPr="007F1030">
        <w:rPr>
          <w:rFonts w:ascii="黑体" w:eastAsia="黑体" w:hAnsi="黑体" w:hint="eastAsia"/>
        </w:rPr>
        <w:t>审查其一般性保留以及对《公约》第九条(2)和第十六条(1)(a)、(c)和(f)的保留，以期在既定时限内撤回，让民间社会妇女团体充分参与；</w:t>
      </w:r>
    </w:p>
    <w:p w14:paraId="1672E6E1" w14:textId="77777777" w:rsidR="00E57635" w:rsidRPr="007F1030" w:rsidRDefault="00025A9A" w:rsidP="007F1030">
      <w:pPr>
        <w:pStyle w:val="SingleTxt"/>
        <w:spacing w:line="330" w:lineRule="exact"/>
        <w:rPr>
          <w:rFonts w:ascii="黑体" w:eastAsia="黑体" w:hAnsi="黑体"/>
        </w:rPr>
      </w:pPr>
      <w:r>
        <w:tab/>
      </w:r>
      <w:r w:rsidR="00E57635">
        <w:rPr>
          <w:rFonts w:hint="eastAsia"/>
        </w:rPr>
        <w:t>(c)</w:t>
      </w:r>
      <w:r>
        <w:tab/>
      </w:r>
      <w:r w:rsidR="00E57635" w:rsidRPr="007F1030">
        <w:rPr>
          <w:rFonts w:ascii="黑体" w:eastAsia="黑体" w:hAnsi="黑体" w:hint="eastAsia"/>
        </w:rPr>
        <w:t>加强努力，同宗教团体领导人和宗教学者讨论，参考具有相似文化背景和法律制度的国家，以及伊斯兰合作组织成员国的最佳实践，克服对撤回保留的抵制；参考其他穆斯林社区调和伊斯兰教与妇女权利、承认婚姻和家庭生活平等的最佳实践。</w:t>
      </w:r>
    </w:p>
    <w:p w14:paraId="51101683" w14:textId="77777777" w:rsidR="00E57635" w:rsidRPr="007F1030" w:rsidRDefault="00E57635" w:rsidP="00E57635">
      <w:pPr>
        <w:pStyle w:val="SingleTxt"/>
        <w:rPr>
          <w:rFonts w:ascii="黑体" w:eastAsia="黑体" w:hAnsi="黑体"/>
        </w:rPr>
      </w:pPr>
      <w:r w:rsidRPr="007F1030">
        <w:rPr>
          <w:rFonts w:ascii="黑体" w:eastAsia="黑体" w:hAnsi="黑体" w:hint="eastAsia"/>
        </w:rPr>
        <w:t>宪法和立法框架</w:t>
      </w:r>
    </w:p>
    <w:p w14:paraId="713C7215" w14:textId="77777777" w:rsidR="00E57635" w:rsidRDefault="00E57635" w:rsidP="007F1030">
      <w:pPr>
        <w:pStyle w:val="SingleTxt"/>
        <w:spacing w:line="330" w:lineRule="exact"/>
      </w:pPr>
      <w:r>
        <w:rPr>
          <w:rFonts w:hint="eastAsia"/>
        </w:rPr>
        <w:t>11.</w:t>
      </w:r>
      <w:r w:rsidR="00025A9A">
        <w:tab/>
      </w:r>
      <w:r>
        <w:rPr>
          <w:rFonts w:hint="eastAsia"/>
        </w:rPr>
        <w:t>委员会注意到，缔约国《基本法》第</w:t>
      </w:r>
      <w:r>
        <w:rPr>
          <w:rFonts w:hint="eastAsia"/>
        </w:rPr>
        <w:t>17</w:t>
      </w:r>
      <w:r>
        <w:rPr>
          <w:rFonts w:hint="eastAsia"/>
        </w:rPr>
        <w:t>条禁止基于性别对公民歧视。但仍然关切的是，宪法中歧视的定义仅适用于公民，仍不符合《公约》第一条，该条禁止公共和私人领域直接和间接的歧视。委员会还感到关切的是，缔约国立法中仍然存在歧视性条款，特别是《刑法》、《个人身份法》、《仲裁与和解法》、《国籍法》和《社会保障法》。</w:t>
      </w:r>
    </w:p>
    <w:p w14:paraId="36F18F4F" w14:textId="77777777" w:rsidR="00E57635" w:rsidRPr="007F1030" w:rsidRDefault="00E57635" w:rsidP="007F1030">
      <w:pPr>
        <w:pStyle w:val="SingleTxt"/>
        <w:spacing w:line="330" w:lineRule="exact"/>
        <w:rPr>
          <w:rFonts w:ascii="黑体" w:eastAsia="黑体" w:hAnsi="黑体"/>
        </w:rPr>
      </w:pPr>
      <w:r>
        <w:rPr>
          <w:rFonts w:hint="eastAsia"/>
        </w:rPr>
        <w:t>12.</w:t>
      </w:r>
      <w:r w:rsidR="00025A9A">
        <w:tab/>
      </w:r>
      <w:r w:rsidRPr="007F1030">
        <w:rPr>
          <w:rFonts w:ascii="黑体" w:eastAsia="黑体" w:hAnsi="黑体" w:hint="eastAsia"/>
        </w:rPr>
        <w:t>委员会建议缔约国修改《基本法》和(或)通过并有效执行全面的反歧视立法，包括对妇女歧视的定义，并依照《公约》第一条，包含《公约》所涉一切领域中公共和私人领域的直接和间接的歧视。委员会还建议缔约国加快全面审查立法，确保符合《公约》各项规定。</w:t>
      </w:r>
    </w:p>
    <w:p w14:paraId="6C1390F4" w14:textId="77777777" w:rsidR="00E57635" w:rsidRPr="007F1030" w:rsidRDefault="00E57635" w:rsidP="00E57635">
      <w:pPr>
        <w:pStyle w:val="SingleTxt"/>
        <w:rPr>
          <w:rFonts w:ascii="黑体" w:eastAsia="黑体" w:hAnsi="黑体"/>
        </w:rPr>
      </w:pPr>
      <w:r w:rsidRPr="007F1030">
        <w:rPr>
          <w:rFonts w:ascii="黑体" w:eastAsia="黑体" w:hAnsi="黑体" w:hint="eastAsia"/>
        </w:rPr>
        <w:t>诉诸司法</w:t>
      </w:r>
    </w:p>
    <w:p w14:paraId="45ACD6E1" w14:textId="77777777" w:rsidR="00E57635" w:rsidRDefault="00E57635" w:rsidP="007F1030">
      <w:pPr>
        <w:pStyle w:val="SingleTxt"/>
        <w:spacing w:line="330" w:lineRule="exact"/>
      </w:pPr>
      <w:r>
        <w:rPr>
          <w:rFonts w:hint="eastAsia"/>
        </w:rPr>
        <w:t>13.</w:t>
      </w:r>
      <w:r w:rsidR="00025A9A">
        <w:tab/>
      </w:r>
      <w:r>
        <w:rPr>
          <w:rFonts w:hint="eastAsia"/>
        </w:rPr>
        <w:t>委员会注意到受歧视或暴力行为之害的妇女有各种投诉机制，包括阿曼人权委员会和社会发展部内的家庭保护司。委员会还注意到通过了第</w:t>
      </w:r>
      <w:r>
        <w:rPr>
          <w:rFonts w:hint="eastAsia"/>
        </w:rPr>
        <w:t>91/2009</w:t>
      </w:r>
      <w:r>
        <w:rPr>
          <w:rFonts w:hint="eastAsia"/>
        </w:rPr>
        <w:t>号部级决定，规范向贫困人口提供法律援助，以及缔约国的法律扫盲方案。然而，委员会关切的是，妇女诉诸司法一直存在障碍，特别是：</w:t>
      </w:r>
    </w:p>
    <w:p w14:paraId="12BC417E" w14:textId="77777777" w:rsidR="00E57635" w:rsidRDefault="00025A9A" w:rsidP="007F1030">
      <w:pPr>
        <w:pStyle w:val="SingleTxt"/>
        <w:spacing w:line="330" w:lineRule="exact"/>
      </w:pPr>
      <w:r>
        <w:tab/>
      </w:r>
      <w:r w:rsidR="00E57635">
        <w:rPr>
          <w:rFonts w:hint="eastAsia"/>
        </w:rPr>
        <w:t>(a)</w:t>
      </w:r>
      <w:r>
        <w:tab/>
      </w:r>
      <w:r w:rsidR="00E57635">
        <w:rPr>
          <w:rFonts w:hint="eastAsia"/>
        </w:rPr>
        <w:t>妇女对权利和现有投诉机制的了解有限；</w:t>
      </w:r>
    </w:p>
    <w:p w14:paraId="5B294AC0" w14:textId="77777777" w:rsidR="00E57635" w:rsidRDefault="00025A9A" w:rsidP="007F1030">
      <w:pPr>
        <w:pStyle w:val="SingleTxt"/>
        <w:spacing w:line="330" w:lineRule="exact"/>
      </w:pPr>
      <w:r>
        <w:tab/>
      </w:r>
      <w:r w:rsidR="00E57635">
        <w:rPr>
          <w:rFonts w:hint="eastAsia"/>
        </w:rPr>
        <w:t>(b)</w:t>
      </w:r>
      <w:r>
        <w:tab/>
      </w:r>
      <w:r w:rsidR="00E57635">
        <w:rPr>
          <w:rFonts w:hint="eastAsia"/>
        </w:rPr>
        <w:t>希望享有权利的妇女，特别是移民妇女面临语言障碍；</w:t>
      </w:r>
    </w:p>
    <w:p w14:paraId="5A2588A2" w14:textId="77777777" w:rsidR="00E57635" w:rsidRDefault="00025A9A" w:rsidP="007F1030">
      <w:pPr>
        <w:pStyle w:val="SingleTxt"/>
        <w:spacing w:line="330" w:lineRule="exact"/>
      </w:pPr>
      <w:r>
        <w:tab/>
      </w:r>
      <w:r w:rsidR="00E57635">
        <w:rPr>
          <w:rFonts w:hint="eastAsia"/>
        </w:rPr>
        <w:t>(c)</w:t>
      </w:r>
      <w:r>
        <w:tab/>
      </w:r>
      <w:r w:rsidR="00E57635">
        <w:rPr>
          <w:rFonts w:hint="eastAsia"/>
        </w:rPr>
        <w:t>缺乏足够的法律援助服务；</w:t>
      </w:r>
    </w:p>
    <w:p w14:paraId="6CF7835E" w14:textId="77777777" w:rsidR="00E57635" w:rsidRDefault="00025A9A" w:rsidP="007F1030">
      <w:pPr>
        <w:pStyle w:val="SingleTxt"/>
        <w:spacing w:line="330" w:lineRule="exact"/>
      </w:pPr>
      <w:r>
        <w:tab/>
      </w:r>
      <w:r w:rsidR="00E57635">
        <w:rPr>
          <w:rFonts w:hint="eastAsia"/>
        </w:rPr>
        <w:t>(d)</w:t>
      </w:r>
      <w:r>
        <w:tab/>
      </w:r>
      <w:r w:rsidR="00E57635">
        <w:rPr>
          <w:rFonts w:hint="eastAsia"/>
        </w:rPr>
        <w:t>执法官员和法律工作者对妇女权利不了解，不敏感。</w:t>
      </w:r>
    </w:p>
    <w:p w14:paraId="6E77A927" w14:textId="77777777" w:rsidR="00E57635" w:rsidRPr="007F1030" w:rsidRDefault="00E57635" w:rsidP="007F1030">
      <w:pPr>
        <w:pStyle w:val="SingleTxt"/>
        <w:spacing w:line="330" w:lineRule="exact"/>
        <w:rPr>
          <w:rFonts w:ascii="黑体" w:eastAsia="黑体" w:hAnsi="黑体"/>
        </w:rPr>
      </w:pPr>
      <w:r>
        <w:rPr>
          <w:rFonts w:hint="eastAsia"/>
        </w:rPr>
        <w:t>14.</w:t>
      </w:r>
      <w:r>
        <w:rPr>
          <w:rFonts w:hint="eastAsia"/>
        </w:rPr>
        <w:tab/>
      </w:r>
      <w:r w:rsidRPr="007F1030">
        <w:rPr>
          <w:rFonts w:ascii="黑体" w:eastAsia="黑体" w:hAnsi="黑体" w:hint="eastAsia"/>
        </w:rPr>
        <w:t>委员会根据第33号一般性建议，建议缔约国：</w:t>
      </w:r>
    </w:p>
    <w:p w14:paraId="7FA12EAE" w14:textId="77777777" w:rsidR="00E57635" w:rsidRPr="007F1030" w:rsidRDefault="00025A9A" w:rsidP="007F1030">
      <w:pPr>
        <w:pStyle w:val="SingleTxt"/>
        <w:spacing w:line="330" w:lineRule="exact"/>
        <w:rPr>
          <w:rFonts w:ascii="黑体" w:eastAsia="黑体" w:hAnsi="黑体"/>
        </w:rPr>
      </w:pPr>
      <w:r>
        <w:tab/>
      </w:r>
      <w:r w:rsidR="00E57635">
        <w:rPr>
          <w:rFonts w:hint="eastAsia"/>
        </w:rPr>
        <w:t>(a)</w:t>
      </w:r>
      <w:r>
        <w:tab/>
      </w:r>
      <w:r w:rsidR="00E57635" w:rsidRPr="007F1030">
        <w:rPr>
          <w:rFonts w:ascii="黑体" w:eastAsia="黑体" w:hAnsi="黑体" w:hint="eastAsia"/>
        </w:rPr>
        <w:t>提高妇女的权利意识和执行力度，特别重视将妇女权利和性别平等教育纳入各级课程，包括法律扫盲方案；</w:t>
      </w:r>
    </w:p>
    <w:p w14:paraId="6588D09B" w14:textId="77777777" w:rsidR="00E57635" w:rsidRPr="007F1030" w:rsidRDefault="00025A9A" w:rsidP="007F1030">
      <w:pPr>
        <w:pStyle w:val="SingleTxt"/>
        <w:spacing w:line="330" w:lineRule="exact"/>
        <w:rPr>
          <w:rFonts w:ascii="黑体" w:eastAsia="黑体" w:hAnsi="黑体"/>
        </w:rPr>
      </w:pPr>
      <w:r>
        <w:tab/>
      </w:r>
      <w:r w:rsidR="00E57635">
        <w:rPr>
          <w:rFonts w:hint="eastAsia"/>
        </w:rPr>
        <w:t>(b)</w:t>
      </w:r>
      <w:r>
        <w:tab/>
      </w:r>
      <w:r w:rsidR="00E57635" w:rsidRPr="007F1030">
        <w:rPr>
          <w:rFonts w:ascii="黑体" w:eastAsia="黑体" w:hAnsi="黑体" w:hint="eastAsia"/>
        </w:rPr>
        <w:t>规范易于获得、可持续和满足妇女需要的法律援助制度，确保在各级司法或准司法程序中及时、连续和有效地提供这种服务，包括其他争端解决机制；</w:t>
      </w:r>
    </w:p>
    <w:p w14:paraId="4CB7ACD7" w14:textId="77777777" w:rsidR="00E57635" w:rsidRPr="007F1030" w:rsidRDefault="00025A9A" w:rsidP="007F1030">
      <w:pPr>
        <w:pStyle w:val="SingleTxt"/>
        <w:spacing w:line="330" w:lineRule="exact"/>
        <w:rPr>
          <w:rFonts w:ascii="黑体" w:eastAsia="黑体" w:hAnsi="黑体"/>
        </w:rPr>
      </w:pPr>
      <w:r>
        <w:tab/>
      </w:r>
      <w:r w:rsidR="00E57635">
        <w:rPr>
          <w:rFonts w:hint="eastAsia"/>
        </w:rPr>
        <w:t>(c)</w:t>
      </w:r>
      <w:r>
        <w:tab/>
      </w:r>
      <w:r w:rsidR="00E57635" w:rsidRPr="007F1030">
        <w:rPr>
          <w:rFonts w:ascii="黑体" w:eastAsia="黑体" w:hAnsi="黑体" w:hint="eastAsia"/>
        </w:rPr>
        <w:t>立即采取步骤，包括为司法系统人员提供关于《公约》和妇女权利的能力建设和培训方案，消除性别陈规定型观念，确保伊斯兰教法庭将其规范、程序和做法与《公约》和其他国际人权义务协调一致。</w:t>
      </w:r>
    </w:p>
    <w:p w14:paraId="3D6E887A" w14:textId="77777777" w:rsidR="00E57635" w:rsidRPr="007F1030" w:rsidRDefault="00E57635" w:rsidP="00E57635">
      <w:pPr>
        <w:pStyle w:val="SingleTxt"/>
        <w:rPr>
          <w:rFonts w:ascii="黑体" w:eastAsia="黑体" w:hAnsi="黑体"/>
        </w:rPr>
      </w:pPr>
      <w:r w:rsidRPr="007F1030">
        <w:rPr>
          <w:rFonts w:ascii="黑体" w:eastAsia="黑体" w:hAnsi="黑体" w:hint="eastAsia"/>
        </w:rPr>
        <w:lastRenderedPageBreak/>
        <w:t>提高妇女地位的国家机器</w:t>
      </w:r>
    </w:p>
    <w:p w14:paraId="54767807" w14:textId="77777777" w:rsidR="00E57635" w:rsidRDefault="00E57635" w:rsidP="00E57635">
      <w:pPr>
        <w:pStyle w:val="SingleTxt"/>
      </w:pPr>
      <w:r>
        <w:rPr>
          <w:rFonts w:hint="eastAsia"/>
        </w:rPr>
        <w:t>15.</w:t>
      </w:r>
      <w:r w:rsidR="00025A9A">
        <w:tab/>
      </w:r>
      <w:r>
        <w:rPr>
          <w:rFonts w:hint="eastAsia"/>
        </w:rPr>
        <w:t>委员会注意到通过了第</w:t>
      </w:r>
      <w:r>
        <w:rPr>
          <w:rFonts w:hint="eastAsia"/>
        </w:rPr>
        <w:t>146/2012</w:t>
      </w:r>
      <w:r>
        <w:rPr>
          <w:rFonts w:hint="eastAsia"/>
        </w:rPr>
        <w:t>号部级法令和第</w:t>
      </w:r>
      <w:r>
        <w:rPr>
          <w:rFonts w:hint="eastAsia"/>
        </w:rPr>
        <w:t>300/2012</w:t>
      </w:r>
      <w:r>
        <w:rPr>
          <w:rFonts w:hint="eastAsia"/>
        </w:rPr>
        <w:t>号部级法令，重新界定了全国家庭事务委员会的作用和职能，将其作为一个监督和协调机构，负责关于家庭、妇女和儿童的决策。进一步注意到，完成了题为《提高生活质量》的国家妇女战略，成立了监督其执行的指导委员会。然而，委员会感到关切的是，缺乏信息，不了解界定全国家庭事务委员会任务和权力、规范其与有关部委和各种妇女机构关系的法律框架，分配国家预算中给家庭事务委员会的人力、技术和财政资源，及其在省和地方一级的存在。委员会还感到关切的是，尽管</w:t>
      </w:r>
      <w:r>
        <w:rPr>
          <w:rFonts w:hint="eastAsia"/>
        </w:rPr>
        <w:t>2014</w:t>
      </w:r>
      <w:r>
        <w:rPr>
          <w:rFonts w:hint="eastAsia"/>
        </w:rPr>
        <w:t>年完成了国家妇女战略，但其尚未通过。</w:t>
      </w:r>
    </w:p>
    <w:p w14:paraId="5FE777DD" w14:textId="77777777" w:rsidR="00E57635" w:rsidRDefault="00E57635" w:rsidP="00E57635">
      <w:pPr>
        <w:pStyle w:val="SingleTxt"/>
      </w:pPr>
      <w:r>
        <w:rPr>
          <w:rFonts w:hint="eastAsia"/>
        </w:rPr>
        <w:t>16.</w:t>
      </w:r>
      <w:r w:rsidR="00025A9A">
        <w:tab/>
      </w:r>
      <w:r w:rsidRPr="007F1030">
        <w:rPr>
          <w:rFonts w:ascii="黑体" w:eastAsia="黑体" w:hAnsi="黑体" w:hint="eastAsia"/>
        </w:rPr>
        <w:t>委员会建议缔约国：</w:t>
      </w:r>
    </w:p>
    <w:p w14:paraId="4DEE3286" w14:textId="77777777" w:rsidR="00E57635" w:rsidRPr="007F1030" w:rsidRDefault="00025A9A"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提供详细资料，说明全国家庭事务委员会的任务规定、地位和权力，与有关部委和妇女非政府组织的关系，以促进将性别观点纳入所有政府机构工作主流，为提高妇女地位开展参与性规划；国家预算分配给委员会的人力、技术和财政资源；其省和地方各级的存在，以使委员会能够评估全国家庭事务委员会作为提高妇女地位国家机构的效力；</w:t>
      </w:r>
    </w:p>
    <w:p w14:paraId="46152555" w14:textId="77777777" w:rsidR="00E57635" w:rsidRPr="007F1030" w:rsidRDefault="00025A9A" w:rsidP="00E57635">
      <w:pPr>
        <w:pStyle w:val="SingleTxt"/>
        <w:rPr>
          <w:rFonts w:ascii="黑体" w:eastAsia="黑体" w:hAnsi="黑体"/>
        </w:rPr>
      </w:pPr>
      <w:r>
        <w:tab/>
      </w:r>
      <w:r w:rsidR="00E57635">
        <w:rPr>
          <w:rFonts w:hint="eastAsia"/>
        </w:rPr>
        <w:t>(b)</w:t>
      </w:r>
      <w:r>
        <w:tab/>
      </w:r>
      <w:r w:rsidR="00E57635" w:rsidRPr="007F1030">
        <w:rPr>
          <w:rFonts w:ascii="黑体" w:eastAsia="黑体" w:hAnsi="黑体" w:hint="eastAsia"/>
        </w:rPr>
        <w:t>加快通过题为《提高生活质量》的国家妇女战略，以及行动计划，明确界定指导委员会及国家和地方当局开展行动的职能，并配以全面数据收集和监测系统。</w:t>
      </w:r>
    </w:p>
    <w:p w14:paraId="344601E0" w14:textId="77777777" w:rsidR="00E57635" w:rsidRPr="007F1030" w:rsidRDefault="00E57635" w:rsidP="00E57635">
      <w:pPr>
        <w:pStyle w:val="SingleTxt"/>
        <w:rPr>
          <w:rFonts w:ascii="黑体" w:eastAsia="黑体" w:hAnsi="黑体"/>
        </w:rPr>
      </w:pPr>
      <w:r w:rsidRPr="007F1030">
        <w:rPr>
          <w:rFonts w:ascii="黑体" w:eastAsia="黑体" w:hAnsi="黑体" w:hint="eastAsia"/>
        </w:rPr>
        <w:t>国家人权机构</w:t>
      </w:r>
    </w:p>
    <w:p w14:paraId="7CC2B99A" w14:textId="77777777" w:rsidR="00E57635" w:rsidRDefault="00E57635" w:rsidP="00E57635">
      <w:pPr>
        <w:pStyle w:val="SingleTxt"/>
      </w:pPr>
      <w:r>
        <w:rPr>
          <w:rFonts w:hint="eastAsia"/>
        </w:rPr>
        <w:t>17.</w:t>
      </w:r>
      <w:r>
        <w:rPr>
          <w:rFonts w:hint="eastAsia"/>
        </w:rPr>
        <w:tab/>
      </w:r>
      <w:r>
        <w:rPr>
          <w:rFonts w:hint="eastAsia"/>
        </w:rPr>
        <w:t>委员会注意到，</w:t>
      </w:r>
      <w:r>
        <w:rPr>
          <w:rFonts w:hint="eastAsia"/>
        </w:rPr>
        <w:t>2008</w:t>
      </w:r>
      <w:r>
        <w:rPr>
          <w:rFonts w:hint="eastAsia"/>
        </w:rPr>
        <w:t>年成立的国家人权委员会，负责监测受理妇女关于侵犯人权的投诉，包括职业女性。然而，令人关切的是，委员会在</w:t>
      </w:r>
      <w:r>
        <w:rPr>
          <w:rFonts w:hint="eastAsia"/>
        </w:rPr>
        <w:t>2014</w:t>
      </w:r>
      <w:r>
        <w:rPr>
          <w:rFonts w:hint="eastAsia"/>
        </w:rPr>
        <w:t>年被全球人权机构联盟授予“</w:t>
      </w:r>
      <w:r>
        <w:rPr>
          <w:rFonts w:hint="eastAsia"/>
        </w:rPr>
        <w:t>B</w:t>
      </w:r>
      <w:r>
        <w:rPr>
          <w:rFonts w:hint="eastAsia"/>
        </w:rPr>
        <w:t>”级地位，主要原因是其独立性有限，缺乏有力的授权。</w:t>
      </w:r>
    </w:p>
    <w:p w14:paraId="555730DF" w14:textId="77777777" w:rsidR="00E57635" w:rsidRPr="007F1030" w:rsidRDefault="00E57635" w:rsidP="00E57635">
      <w:pPr>
        <w:pStyle w:val="SingleTxt"/>
        <w:rPr>
          <w:rFonts w:ascii="黑体" w:eastAsia="黑体" w:hAnsi="黑体"/>
        </w:rPr>
      </w:pPr>
      <w:r>
        <w:rPr>
          <w:rFonts w:hint="eastAsia"/>
        </w:rPr>
        <w:t>18</w:t>
      </w:r>
      <w:r w:rsidR="00025A9A">
        <w:t>.</w:t>
      </w:r>
      <w:r w:rsidR="00025A9A">
        <w:tab/>
      </w:r>
      <w:r w:rsidRPr="007F1030">
        <w:rPr>
          <w:rFonts w:ascii="黑体" w:eastAsia="黑体" w:hAnsi="黑体" w:hint="eastAsia"/>
        </w:rPr>
        <w:t>委员会建议缔约国采取必要措施，使国家人权委员会充分遵守有关增进和保护人权的国家机构的地位的原则(“巴黎原则”、1993年12月20日大会第48/134号决议)，同时考虑到全球人权机构联盟的建议，确保委员会负有妇女权利和两性平等的具体任务。</w:t>
      </w:r>
    </w:p>
    <w:p w14:paraId="0CFAB275" w14:textId="77777777" w:rsidR="00E57635" w:rsidRPr="007F1030" w:rsidRDefault="00E57635" w:rsidP="00E57635">
      <w:pPr>
        <w:pStyle w:val="SingleTxt"/>
        <w:rPr>
          <w:rFonts w:ascii="黑体" w:eastAsia="黑体" w:hAnsi="黑体"/>
        </w:rPr>
      </w:pPr>
      <w:r w:rsidRPr="007F1030">
        <w:rPr>
          <w:rFonts w:ascii="黑体" w:eastAsia="黑体" w:hAnsi="黑体" w:hint="eastAsia"/>
        </w:rPr>
        <w:t>非政府组织和妇女维权人士</w:t>
      </w:r>
    </w:p>
    <w:p w14:paraId="089CE502" w14:textId="77777777" w:rsidR="00E57635" w:rsidRDefault="00E57635" w:rsidP="00E57635">
      <w:pPr>
        <w:pStyle w:val="SingleTxt"/>
      </w:pPr>
      <w:r>
        <w:rPr>
          <w:rFonts w:hint="eastAsia"/>
        </w:rPr>
        <w:t>19.</w:t>
      </w:r>
      <w:r w:rsidR="00025A9A">
        <w:tab/>
      </w:r>
      <w:r>
        <w:rPr>
          <w:rFonts w:hint="eastAsia"/>
        </w:rPr>
        <w:t>委员会注意到，阿曼妇女协会出现在更多省份。然而，仍然关切的是：</w:t>
      </w:r>
    </w:p>
    <w:p w14:paraId="060A418A" w14:textId="77777777" w:rsidR="00E57635" w:rsidRDefault="00025A9A" w:rsidP="00E57635">
      <w:pPr>
        <w:pStyle w:val="SingleTxt"/>
      </w:pPr>
      <w:r>
        <w:tab/>
      </w:r>
      <w:r w:rsidR="00E57635">
        <w:rPr>
          <w:rFonts w:hint="eastAsia"/>
        </w:rPr>
        <w:t>(a)</w:t>
      </w:r>
      <w:r>
        <w:tab/>
      </w:r>
      <w:r w:rsidR="00E57635">
        <w:rPr>
          <w:rFonts w:hint="eastAsia"/>
        </w:rPr>
        <w:t>委员会没有收到缔约国非政府组织关于《公约》执行情况的替代性报告，这表明缔约国无强有力的民间社会；</w:t>
      </w:r>
    </w:p>
    <w:p w14:paraId="52810D5E" w14:textId="77777777" w:rsidR="00E57635" w:rsidRDefault="00025A9A" w:rsidP="00E57635">
      <w:pPr>
        <w:pStyle w:val="SingleTxt"/>
      </w:pPr>
      <w:r>
        <w:tab/>
      </w:r>
      <w:r w:rsidR="00E57635">
        <w:rPr>
          <w:rFonts w:hint="eastAsia"/>
        </w:rPr>
        <w:t>(b)</w:t>
      </w:r>
      <w:r>
        <w:tab/>
      </w:r>
      <w:r w:rsidR="00E57635">
        <w:rPr>
          <w:rFonts w:hint="eastAsia"/>
        </w:rPr>
        <w:t>缺乏关于缔约国非政府组织登记和运作的法律要求的资料；</w:t>
      </w:r>
    </w:p>
    <w:p w14:paraId="3BEABEDE" w14:textId="77777777" w:rsidR="00E57635" w:rsidRDefault="00025A9A" w:rsidP="00E57635">
      <w:pPr>
        <w:pStyle w:val="SingleTxt"/>
      </w:pPr>
      <w:r>
        <w:tab/>
      </w:r>
      <w:r w:rsidR="00E57635">
        <w:rPr>
          <w:rFonts w:hint="eastAsia"/>
        </w:rPr>
        <w:t>(c)</w:t>
      </w:r>
      <w:r>
        <w:tab/>
      </w:r>
      <w:r w:rsidR="00E57635">
        <w:rPr>
          <w:rFonts w:hint="eastAsia"/>
        </w:rPr>
        <w:t>据称，妇女维权人士及其家人受到各种形式的骚扰、暴力和恐吓。</w:t>
      </w:r>
    </w:p>
    <w:p w14:paraId="37A91DD2" w14:textId="77777777" w:rsidR="00E57635" w:rsidRPr="007F1030" w:rsidRDefault="00E57635" w:rsidP="00E57635">
      <w:pPr>
        <w:pStyle w:val="SingleTxt"/>
        <w:rPr>
          <w:rFonts w:ascii="黑体" w:eastAsia="黑体" w:hAnsi="黑体"/>
        </w:rPr>
      </w:pPr>
      <w:r>
        <w:rPr>
          <w:rFonts w:hint="eastAsia"/>
        </w:rPr>
        <w:t>20.</w:t>
      </w:r>
      <w:r>
        <w:rPr>
          <w:rFonts w:hint="eastAsia"/>
        </w:rPr>
        <w:tab/>
      </w:r>
      <w:r w:rsidRPr="007F1030">
        <w:rPr>
          <w:rFonts w:ascii="黑体" w:eastAsia="黑体" w:hAnsi="黑体" w:hint="eastAsia"/>
        </w:rPr>
        <w:t>委员会建议缔约国：</w:t>
      </w:r>
    </w:p>
    <w:p w14:paraId="6DE9CC97" w14:textId="3A635000" w:rsidR="00E57635" w:rsidRPr="007F1030" w:rsidRDefault="00025A9A" w:rsidP="00E57635">
      <w:pPr>
        <w:pStyle w:val="SingleTxt"/>
        <w:rPr>
          <w:rFonts w:ascii="黑体" w:eastAsia="黑体" w:hAnsi="黑体"/>
        </w:rPr>
      </w:pPr>
      <w:r>
        <w:tab/>
      </w:r>
      <w:r w:rsidR="00E57635">
        <w:rPr>
          <w:rFonts w:hint="eastAsia"/>
        </w:rPr>
        <w:t>(a)</w:t>
      </w:r>
      <w:r>
        <w:tab/>
      </w:r>
      <w:r w:rsidR="00E5359A">
        <w:rPr>
          <w:rFonts w:ascii="黑体" w:eastAsia="黑体" w:hAnsi="黑体" w:hint="eastAsia"/>
        </w:rPr>
        <w:t>继续咨询和扩大与民间社会组织和</w:t>
      </w:r>
      <w:r w:rsidR="00E57635" w:rsidRPr="007F1030">
        <w:rPr>
          <w:rFonts w:ascii="黑体" w:eastAsia="黑体" w:hAnsi="黑体" w:hint="eastAsia"/>
        </w:rPr>
        <w:t>女</w:t>
      </w:r>
      <w:r w:rsidR="00E5359A">
        <w:rPr>
          <w:rFonts w:ascii="黑体" w:eastAsia="黑体" w:hAnsi="黑体" w:hint="eastAsia"/>
        </w:rPr>
        <w:t>性维护人权</w:t>
      </w:r>
      <w:r w:rsidR="00E57635" w:rsidRPr="007F1030">
        <w:rPr>
          <w:rFonts w:ascii="黑体" w:eastAsia="黑体" w:hAnsi="黑体" w:hint="eastAsia"/>
        </w:rPr>
        <w:t>人士的对话；</w:t>
      </w:r>
    </w:p>
    <w:p w14:paraId="3D5AABC0" w14:textId="77777777" w:rsidR="00E57635" w:rsidRPr="007F1030" w:rsidRDefault="00025A9A" w:rsidP="00E57635">
      <w:pPr>
        <w:pStyle w:val="SingleTxt"/>
        <w:rPr>
          <w:rFonts w:ascii="黑体" w:eastAsia="黑体" w:hAnsi="黑体"/>
        </w:rPr>
      </w:pPr>
      <w:r>
        <w:lastRenderedPageBreak/>
        <w:tab/>
      </w:r>
      <w:r w:rsidR="00E57635">
        <w:rPr>
          <w:rFonts w:hint="eastAsia"/>
        </w:rPr>
        <w:t>(b)</w:t>
      </w:r>
      <w:r>
        <w:tab/>
      </w:r>
      <w:r w:rsidR="00E57635" w:rsidRPr="007F1030">
        <w:rPr>
          <w:rFonts w:ascii="黑体" w:eastAsia="黑体" w:hAnsi="黑体" w:hint="eastAsia"/>
        </w:rPr>
        <w:t>采取具体措施，包括修改2000年《公民结社法》，创造和确保有利于民间社会组织和妇女权利团体成立、可以自由开展活动的环境；</w:t>
      </w:r>
    </w:p>
    <w:p w14:paraId="5A7BB7FE" w14:textId="6FDD7042" w:rsidR="00E57635" w:rsidRPr="007F1030" w:rsidRDefault="00025A9A" w:rsidP="00E57635">
      <w:pPr>
        <w:pStyle w:val="SingleTxt"/>
        <w:rPr>
          <w:rFonts w:ascii="黑体" w:eastAsia="黑体" w:hAnsi="黑体"/>
        </w:rPr>
      </w:pPr>
      <w:r>
        <w:tab/>
      </w:r>
      <w:r w:rsidR="00E57635">
        <w:rPr>
          <w:rFonts w:hint="eastAsia"/>
        </w:rPr>
        <w:t>(c)</w:t>
      </w:r>
      <w:r>
        <w:tab/>
      </w:r>
      <w:r w:rsidR="00E57635" w:rsidRPr="007F1030">
        <w:rPr>
          <w:rFonts w:ascii="黑体" w:eastAsia="黑体" w:hAnsi="黑体" w:hint="eastAsia"/>
        </w:rPr>
        <w:t>不对女性</w:t>
      </w:r>
      <w:r w:rsidR="003068DB" w:rsidRPr="003068DB">
        <w:rPr>
          <w:rFonts w:ascii="黑体" w:eastAsia="黑体" w:hAnsi="黑体" w:hint="eastAsia"/>
        </w:rPr>
        <w:t>维护人权</w:t>
      </w:r>
      <w:r w:rsidR="00E57635" w:rsidRPr="007F1030">
        <w:rPr>
          <w:rFonts w:ascii="黑体" w:eastAsia="黑体" w:hAnsi="黑体" w:hint="eastAsia"/>
        </w:rPr>
        <w:t>人士及其家人进行报复。</w:t>
      </w:r>
    </w:p>
    <w:p w14:paraId="574E83E8" w14:textId="77777777" w:rsidR="00E57635" w:rsidRPr="007F1030" w:rsidRDefault="00E57635" w:rsidP="00E57635">
      <w:pPr>
        <w:pStyle w:val="SingleTxt"/>
        <w:rPr>
          <w:rFonts w:ascii="黑体" w:eastAsia="黑体" w:hAnsi="黑体"/>
        </w:rPr>
      </w:pPr>
      <w:r w:rsidRPr="007F1030">
        <w:rPr>
          <w:rFonts w:ascii="黑体" w:eastAsia="黑体" w:hAnsi="黑体" w:hint="eastAsia"/>
        </w:rPr>
        <w:t>定型观念和有害做法</w:t>
      </w:r>
    </w:p>
    <w:p w14:paraId="7A27460D" w14:textId="77777777" w:rsidR="00E57635" w:rsidRDefault="00E57635" w:rsidP="00E57635">
      <w:pPr>
        <w:pStyle w:val="SingleTxt"/>
      </w:pPr>
      <w:r>
        <w:rPr>
          <w:rFonts w:hint="eastAsia"/>
        </w:rPr>
        <w:t>21.</w:t>
      </w:r>
      <w:r w:rsidR="002C5261">
        <w:tab/>
      </w:r>
      <w:r>
        <w:rPr>
          <w:rFonts w:hint="eastAsia"/>
        </w:rPr>
        <w:t>委员会注意到缔约国努力解决社会上和家庭中对男女角色和责任的性别歧视成见，包括修订学校课程、教科书和日常生活场景，以及提高认识的宣传活动。然而，它仍然关切的是，缔约国保留了歧视性的陈规定型观念，主要保留了妇女作为母亲和家庭主妇的角色。委员会还感到关切的是，缔约国立法中的歧视性规定强调了妇女对丈夫和其他男性亲属的从属地位，破坏了妇女和女童发展个人能力和自由选择生活和生活计划的权利和能力。</w:t>
      </w:r>
    </w:p>
    <w:p w14:paraId="4FB75AB5" w14:textId="77777777" w:rsidR="00E57635" w:rsidRPr="007F1030" w:rsidRDefault="00FA7042" w:rsidP="00E57635">
      <w:pPr>
        <w:pStyle w:val="SingleTxt"/>
        <w:rPr>
          <w:rFonts w:ascii="黑体" w:eastAsia="黑体" w:hAnsi="黑体"/>
        </w:rPr>
      </w:pPr>
      <w:r>
        <w:rPr>
          <w:rFonts w:hint="eastAsia"/>
        </w:rPr>
        <w:t>22.</w:t>
      </w:r>
      <w:r>
        <w:rPr>
          <w:rFonts w:hint="eastAsia"/>
        </w:rPr>
        <w:tab/>
      </w:r>
      <w:r w:rsidR="00E57635" w:rsidRPr="007F1030">
        <w:rPr>
          <w:rFonts w:ascii="黑体" w:eastAsia="黑体" w:hAnsi="黑体" w:hint="eastAsia"/>
        </w:rPr>
        <w:t>委员会建议缔约国：</w:t>
      </w:r>
    </w:p>
    <w:p w14:paraId="481FA081" w14:textId="77777777" w:rsidR="00E57635" w:rsidRPr="007F1030" w:rsidRDefault="00FA7042"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立即制定一项全面战略，修改或消除歧视妇女的父权态度和陈规定型观念。这些措施应包括与民间社会、社区和宗教领袖合作，对男女在家庭和社会中的平等作用和责任进行教育和宣传；</w:t>
      </w:r>
    </w:p>
    <w:p w14:paraId="005D4B09" w14:textId="77777777" w:rsidR="00E57635" w:rsidRDefault="00FA7042" w:rsidP="00E57635">
      <w:pPr>
        <w:pStyle w:val="SingleTxt"/>
      </w:pPr>
      <w:r>
        <w:tab/>
      </w:r>
      <w:r w:rsidR="00E57635">
        <w:rPr>
          <w:rFonts w:hint="eastAsia"/>
        </w:rPr>
        <w:t>(b)</w:t>
      </w:r>
      <w:r>
        <w:tab/>
      </w:r>
      <w:r w:rsidR="00E57635" w:rsidRPr="007F1030">
        <w:rPr>
          <w:rFonts w:ascii="黑体" w:eastAsia="黑体" w:hAnsi="黑体" w:hint="eastAsia"/>
        </w:rPr>
        <w:t>加快努力，与媒体开展宣传活动，加强对实质性两性平等的认识，继续通过教育系统消除歧视性陈规定型观念，增强对妇女的正面和非定型的描绘。</w:t>
      </w:r>
    </w:p>
    <w:p w14:paraId="16144767" w14:textId="77777777" w:rsidR="00E57635" w:rsidRDefault="00E57635" w:rsidP="00E57635">
      <w:pPr>
        <w:pStyle w:val="SingleTxt"/>
      </w:pPr>
      <w:r>
        <w:rPr>
          <w:rFonts w:hint="eastAsia"/>
        </w:rPr>
        <w:t>23.</w:t>
      </w:r>
      <w:r w:rsidR="00FA7042">
        <w:tab/>
      </w:r>
      <w:r>
        <w:rPr>
          <w:rFonts w:hint="eastAsia"/>
        </w:rPr>
        <w:t>委员会欢迎根据《儿童法》</w:t>
      </w:r>
      <w:r>
        <w:rPr>
          <w:rFonts w:hint="eastAsia"/>
        </w:rPr>
        <w:t>(2014)</w:t>
      </w:r>
      <w:r>
        <w:rPr>
          <w:rFonts w:hint="eastAsia"/>
        </w:rPr>
        <w:t>第</w:t>
      </w:r>
      <w:r>
        <w:rPr>
          <w:rFonts w:hint="eastAsia"/>
        </w:rPr>
        <w:t>20</w:t>
      </w:r>
      <w:r>
        <w:rPr>
          <w:rFonts w:hint="eastAsia"/>
        </w:rPr>
        <w:t>条，禁止有害的传统习俗，惩罚倡导者和协助者。还注意到，缔约国打算根据《儿童法》，制定关于切割女性生殖器官的实施条例。委员会还欢迎《个人身份法》第</w:t>
      </w:r>
      <w:r>
        <w:rPr>
          <w:rFonts w:hint="eastAsia"/>
        </w:rPr>
        <w:t>7</w:t>
      </w:r>
      <w:r>
        <w:rPr>
          <w:rFonts w:hint="eastAsia"/>
        </w:rPr>
        <w:t>条规定男女双方最低结婚年龄为</w:t>
      </w:r>
      <w:r>
        <w:rPr>
          <w:rFonts w:hint="eastAsia"/>
        </w:rPr>
        <w:t>18</w:t>
      </w:r>
      <w:r>
        <w:rPr>
          <w:rFonts w:hint="eastAsia"/>
        </w:rPr>
        <w:t>岁，早婚率在下降，平均结婚年龄在上升。然而，委员会关注的是，切割女性生殖器官行为没有被定为具体犯罪，并在缔约国继续广泛实行；而且因法官放宽</w:t>
      </w:r>
      <w:r>
        <w:rPr>
          <w:rFonts w:hint="eastAsia"/>
        </w:rPr>
        <w:t>18</w:t>
      </w:r>
      <w:r>
        <w:rPr>
          <w:rFonts w:hint="eastAsia"/>
        </w:rPr>
        <w:t>岁的法定结婚最低年龄，特别是农村地区，童婚现象持续存在。</w:t>
      </w:r>
    </w:p>
    <w:p w14:paraId="2303F790" w14:textId="77777777" w:rsidR="00E57635" w:rsidRPr="007F1030" w:rsidRDefault="00E57635" w:rsidP="00E57635">
      <w:pPr>
        <w:pStyle w:val="SingleTxt"/>
        <w:rPr>
          <w:rFonts w:ascii="黑体" w:eastAsia="黑体" w:hAnsi="黑体"/>
        </w:rPr>
      </w:pPr>
      <w:r>
        <w:rPr>
          <w:rFonts w:hint="eastAsia"/>
        </w:rPr>
        <w:t>24.</w:t>
      </w:r>
      <w:r w:rsidR="00FA7042">
        <w:tab/>
      </w:r>
      <w:r w:rsidRPr="007F1030">
        <w:rPr>
          <w:rFonts w:ascii="黑体" w:eastAsia="黑体" w:hAnsi="黑体" w:hint="eastAsia"/>
        </w:rPr>
        <w:t>参照委员会第31号以及儿童权利委员会关于有害做法的第18号联合一般性建议/意见(2014年)，委员会建议缔约国：</w:t>
      </w:r>
    </w:p>
    <w:p w14:paraId="6A3D198C" w14:textId="77777777" w:rsidR="00E57635" w:rsidRPr="007F1030" w:rsidRDefault="00FA7042"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在全国研究有害做法的遍布情况，继续采取措施，消除缔约国内所有有害做法，包括切割女性生殖器和童婚和(或)强迫婚姻，特别是在农村地区；</w:t>
      </w:r>
    </w:p>
    <w:p w14:paraId="4509F1CA" w14:textId="77777777" w:rsidR="00E57635" w:rsidRPr="007F1030" w:rsidRDefault="00FA7042" w:rsidP="00E57635">
      <w:pPr>
        <w:pStyle w:val="SingleTxt"/>
        <w:rPr>
          <w:rFonts w:ascii="黑体" w:eastAsia="黑体" w:hAnsi="黑体"/>
        </w:rPr>
      </w:pPr>
      <w:r>
        <w:tab/>
      </w:r>
      <w:r w:rsidR="00E57635">
        <w:rPr>
          <w:rFonts w:hint="eastAsia"/>
        </w:rPr>
        <w:t>(b)</w:t>
      </w:r>
      <w:r>
        <w:tab/>
      </w:r>
      <w:r w:rsidR="00E57635" w:rsidRPr="007F1030">
        <w:rPr>
          <w:rFonts w:ascii="黑体" w:eastAsia="黑体" w:hAnsi="黑体" w:hint="eastAsia"/>
        </w:rPr>
        <w:t>根据《儿童法》通过执行关于切割女性生殖器的条例草案，制定宣传方案，特别针对家长、教师、宗教和社区领袖以及卫生和教育专业人员，以消除这种有害做法；</w:t>
      </w:r>
    </w:p>
    <w:p w14:paraId="298DBBBC" w14:textId="77777777" w:rsidR="00E57635" w:rsidRPr="007F1030" w:rsidRDefault="00FA7042" w:rsidP="00E57635">
      <w:pPr>
        <w:pStyle w:val="SingleTxt"/>
        <w:rPr>
          <w:rFonts w:ascii="黑体" w:eastAsia="黑体" w:hAnsi="黑体"/>
        </w:rPr>
      </w:pPr>
      <w:r>
        <w:tab/>
      </w:r>
      <w:r w:rsidR="00E57635">
        <w:rPr>
          <w:rFonts w:hint="eastAsia"/>
        </w:rPr>
        <w:t>(</w:t>
      </w:r>
      <w:r w:rsidR="00EF2CAB">
        <w:t>c</w:t>
      </w:r>
      <w:r w:rsidR="00E57635">
        <w:rPr>
          <w:rFonts w:hint="eastAsia"/>
        </w:rPr>
        <w:t>)</w:t>
      </w:r>
      <w:r w:rsidR="00EF2CAB">
        <w:tab/>
      </w:r>
      <w:r w:rsidR="00E57635" w:rsidRPr="007F1030">
        <w:rPr>
          <w:rFonts w:ascii="黑体" w:eastAsia="黑体" w:hAnsi="黑体" w:hint="eastAsia"/>
        </w:rPr>
        <w:t>大力落实法定的18岁最低结婚年龄，特别针对父母、教师和社区领袖，开展全面提高认识方案，包括媒体宣传活动，宣讲童婚和(或)强迫婚姻的不良后果；</w:t>
      </w:r>
    </w:p>
    <w:p w14:paraId="3D67DD9C" w14:textId="77777777" w:rsidR="00E57635" w:rsidRPr="007F1030" w:rsidRDefault="00FA7042" w:rsidP="00E57635">
      <w:pPr>
        <w:pStyle w:val="SingleTxt"/>
        <w:rPr>
          <w:rFonts w:ascii="黑体" w:eastAsia="黑体" w:hAnsi="黑体"/>
        </w:rPr>
      </w:pPr>
      <w:r>
        <w:tab/>
      </w:r>
      <w:r w:rsidR="00E57635">
        <w:rPr>
          <w:rFonts w:hint="eastAsia"/>
        </w:rPr>
        <w:t>(d)</w:t>
      </w:r>
      <w:r>
        <w:tab/>
      </w:r>
      <w:r w:rsidR="00E57635" w:rsidRPr="007F1030">
        <w:rPr>
          <w:rFonts w:ascii="黑体" w:eastAsia="黑体" w:hAnsi="黑体" w:hint="eastAsia"/>
        </w:rPr>
        <w:t>为所有受害妇女和女童建立适当补救机制，确保肇事者受到起诉和充分的惩罚；</w:t>
      </w:r>
    </w:p>
    <w:p w14:paraId="54AD79FE" w14:textId="77777777" w:rsidR="00E57635" w:rsidRPr="007F1030" w:rsidRDefault="00FA7042" w:rsidP="00E57635">
      <w:pPr>
        <w:pStyle w:val="SingleTxt"/>
        <w:rPr>
          <w:rFonts w:ascii="黑体" w:eastAsia="黑体" w:hAnsi="黑体"/>
        </w:rPr>
      </w:pPr>
      <w:r>
        <w:lastRenderedPageBreak/>
        <w:tab/>
      </w:r>
      <w:r w:rsidR="00E57635">
        <w:rPr>
          <w:rFonts w:hint="eastAsia"/>
        </w:rPr>
        <w:t>(e)</w:t>
      </w:r>
      <w:r>
        <w:tab/>
      </w:r>
      <w:r w:rsidR="00E57635" w:rsidRPr="007F1030">
        <w:rPr>
          <w:rFonts w:ascii="黑体" w:eastAsia="黑体" w:hAnsi="黑体" w:hint="eastAsia"/>
        </w:rPr>
        <w:t>加强支助措施，如庇护所、咨询和康复服务，帮助有害行为受害者；为司法执法人员、保健专业人员开办性别敏感的培训。</w:t>
      </w:r>
    </w:p>
    <w:p w14:paraId="1E2DFAB0" w14:textId="77777777" w:rsidR="00E57635" w:rsidRPr="007F1030" w:rsidRDefault="00E57635" w:rsidP="00E57635">
      <w:pPr>
        <w:pStyle w:val="SingleTxt"/>
        <w:rPr>
          <w:rFonts w:ascii="黑体" w:eastAsia="黑体" w:hAnsi="黑体"/>
        </w:rPr>
      </w:pPr>
      <w:r w:rsidRPr="007F1030">
        <w:rPr>
          <w:rFonts w:ascii="黑体" w:eastAsia="黑体" w:hAnsi="黑体" w:hint="eastAsia"/>
        </w:rPr>
        <w:t>基于性别的暴力侵害妇女行为</w:t>
      </w:r>
    </w:p>
    <w:p w14:paraId="64F6FD9D" w14:textId="77777777" w:rsidR="00E57635" w:rsidRDefault="00E57635" w:rsidP="00E57635">
      <w:pPr>
        <w:pStyle w:val="SingleTxt"/>
      </w:pPr>
      <w:r>
        <w:rPr>
          <w:rFonts w:hint="eastAsia"/>
        </w:rPr>
        <w:t>25.</w:t>
      </w:r>
      <w:r>
        <w:rPr>
          <w:rFonts w:hint="eastAsia"/>
        </w:rPr>
        <w:tab/>
      </w:r>
      <w:r>
        <w:rPr>
          <w:rFonts w:hint="eastAsia"/>
        </w:rPr>
        <w:t>委员会注意到《刑法》规定，强奸，以及形体形式的暴力行为，包括殴打、致害和伤害，为犯罪；还注意到《个人身份法》第</w:t>
      </w:r>
      <w:r>
        <w:rPr>
          <w:rFonts w:hint="eastAsia"/>
        </w:rPr>
        <w:t>37</w:t>
      </w:r>
      <w:r>
        <w:rPr>
          <w:rFonts w:hint="eastAsia"/>
        </w:rPr>
        <w:t>条规定，必须保护妇女不受配偶的身体或精神虐待。然而，它仍然关注的是：</w:t>
      </w:r>
    </w:p>
    <w:p w14:paraId="726C5B68" w14:textId="77777777" w:rsidR="00E57635" w:rsidRDefault="00FA7042" w:rsidP="00E57635">
      <w:pPr>
        <w:pStyle w:val="SingleTxt"/>
      </w:pPr>
      <w:r>
        <w:tab/>
      </w:r>
      <w:r w:rsidR="00E57635">
        <w:rPr>
          <w:rFonts w:hint="eastAsia"/>
        </w:rPr>
        <w:t>(a)</w:t>
      </w:r>
      <w:r>
        <w:tab/>
      </w:r>
      <w:r w:rsidR="00E57635">
        <w:rPr>
          <w:rFonts w:hint="eastAsia"/>
        </w:rPr>
        <w:t>缔约国境内针对妇女的基于性别的暴力普遍存在，特别是家庭暴力和性暴力，以及这种暴力基本上没有得到充分报告，没有充分记录；</w:t>
      </w:r>
    </w:p>
    <w:p w14:paraId="41FB89C9" w14:textId="77777777" w:rsidR="00E57635" w:rsidRDefault="00FA7042" w:rsidP="00E57635">
      <w:pPr>
        <w:pStyle w:val="SingleTxt"/>
      </w:pPr>
      <w:r>
        <w:tab/>
      </w:r>
      <w:r w:rsidR="00E57635">
        <w:rPr>
          <w:rFonts w:hint="eastAsia"/>
        </w:rPr>
        <w:t>(b)</w:t>
      </w:r>
      <w:r>
        <w:tab/>
      </w:r>
      <w:r w:rsidR="00E57635">
        <w:rPr>
          <w:rFonts w:hint="eastAsia"/>
        </w:rPr>
        <w:t>缺乏消除一切形式针对妇女的性别暴力的具体立法，包括对这种暴力的定义；</w:t>
      </w:r>
    </w:p>
    <w:p w14:paraId="69E1B829" w14:textId="77777777" w:rsidR="00E57635" w:rsidRDefault="00FA7042" w:rsidP="00E57635">
      <w:pPr>
        <w:pStyle w:val="SingleTxt"/>
      </w:pPr>
      <w:r>
        <w:tab/>
      </w:r>
      <w:r w:rsidR="00E57635">
        <w:rPr>
          <w:rFonts w:hint="eastAsia"/>
        </w:rPr>
        <w:t>(c)</w:t>
      </w:r>
      <w:r>
        <w:tab/>
      </w:r>
      <w:r w:rsidR="00E57635">
        <w:rPr>
          <w:rFonts w:hint="eastAsia"/>
        </w:rPr>
        <w:t>《刑法》第</w:t>
      </w:r>
      <w:r w:rsidR="00E57635">
        <w:rPr>
          <w:rFonts w:hint="eastAsia"/>
        </w:rPr>
        <w:t>252</w:t>
      </w:r>
      <w:r w:rsidR="00E57635">
        <w:rPr>
          <w:rFonts w:hint="eastAsia"/>
        </w:rPr>
        <w:t>条曾规定，男子当场发现妻子、母亲、姐妹或女儿有不当行为时，将其杀死或伤害，可以减轻处罚或免于处罚；尽管该条已经废除，但所谓“荣誉”犯罪仍然存在；</w:t>
      </w:r>
    </w:p>
    <w:p w14:paraId="1362FC6D" w14:textId="77777777" w:rsidR="00E57635" w:rsidRDefault="00FA7042" w:rsidP="00E57635">
      <w:pPr>
        <w:pStyle w:val="SingleTxt"/>
      </w:pPr>
      <w:r>
        <w:tab/>
      </w:r>
      <w:r w:rsidR="00E57635">
        <w:rPr>
          <w:rFonts w:hint="eastAsia"/>
        </w:rPr>
        <w:t>(d)</w:t>
      </w:r>
      <w:r>
        <w:tab/>
      </w:r>
      <w:r w:rsidR="00E57635">
        <w:rPr>
          <w:rFonts w:hint="eastAsia"/>
        </w:rPr>
        <w:t>起诉和定罪率低，对基于性别的暴力侵害妇女者处罚宽宏；</w:t>
      </w:r>
    </w:p>
    <w:p w14:paraId="577A9AEB" w14:textId="77777777" w:rsidR="00E57635" w:rsidRDefault="00FA7042" w:rsidP="00E57635">
      <w:pPr>
        <w:pStyle w:val="SingleTxt"/>
      </w:pPr>
      <w:r>
        <w:tab/>
      </w:r>
      <w:r w:rsidR="00E57635">
        <w:rPr>
          <w:rFonts w:hint="eastAsia"/>
        </w:rPr>
        <w:t>(e)</w:t>
      </w:r>
      <w:r>
        <w:tab/>
      </w:r>
      <w:r w:rsidR="00E57635">
        <w:rPr>
          <w:rFonts w:hint="eastAsia"/>
        </w:rPr>
        <w:t>家庭暴力案往往诉诸调解；</w:t>
      </w:r>
    </w:p>
    <w:p w14:paraId="1596017D" w14:textId="77777777" w:rsidR="00E57635" w:rsidRDefault="00FA7042" w:rsidP="00E57635">
      <w:pPr>
        <w:pStyle w:val="SingleTxt"/>
      </w:pPr>
      <w:r>
        <w:tab/>
      </w:r>
      <w:r w:rsidR="00E57635">
        <w:rPr>
          <w:rFonts w:hint="eastAsia"/>
        </w:rPr>
        <w:t>(f)</w:t>
      </w:r>
      <w:r>
        <w:tab/>
      </w:r>
      <w:r w:rsidR="00E57635">
        <w:rPr>
          <w:rFonts w:hint="eastAsia"/>
        </w:rPr>
        <w:t>受基于性别暴力之害的妇女，缺少庇护所和支助服务，特别是在农村地区；据报，这使得许多妇女不能离开其伙伴；</w:t>
      </w:r>
    </w:p>
    <w:p w14:paraId="36C3E344" w14:textId="77777777" w:rsidR="00E57635" w:rsidRDefault="00FA7042" w:rsidP="00E57635">
      <w:pPr>
        <w:pStyle w:val="SingleTxt"/>
      </w:pPr>
      <w:r>
        <w:tab/>
      </w:r>
      <w:r w:rsidR="00E57635">
        <w:rPr>
          <w:rFonts w:hint="eastAsia"/>
        </w:rPr>
        <w:t>(g)</w:t>
      </w:r>
      <w:r>
        <w:tab/>
      </w:r>
      <w:r w:rsidR="00E57635">
        <w:rPr>
          <w:rFonts w:hint="eastAsia"/>
        </w:rPr>
        <w:t>缺乏按年龄、性别、国籍、受害者和施暴者之间关系分类的妇女受基于性别的暴力之害的统计数据，包括家庭暴力；缺乏关于侦查、起诉、定罪数量，以及对肇事者判刑和向受害者提供赔偿的统计数据。</w:t>
      </w:r>
    </w:p>
    <w:p w14:paraId="13F26CCA" w14:textId="77777777" w:rsidR="00E57635" w:rsidRDefault="00E57635" w:rsidP="00E57635">
      <w:pPr>
        <w:pStyle w:val="SingleTxt"/>
      </w:pPr>
      <w:r>
        <w:rPr>
          <w:rFonts w:hint="eastAsia"/>
        </w:rPr>
        <w:t>26.</w:t>
      </w:r>
      <w:r w:rsidR="00FA7042">
        <w:tab/>
      </w:r>
      <w:r w:rsidRPr="007F1030">
        <w:rPr>
          <w:rFonts w:ascii="黑体" w:eastAsia="黑体" w:hAnsi="黑体" w:hint="eastAsia"/>
        </w:rPr>
        <w:t>委员会回顾其关于基于性别的暴力侵害妇女行为的第19(1992)号和第35(2017)号一般性建议，建议缔约国：</w:t>
      </w:r>
    </w:p>
    <w:p w14:paraId="564446FD" w14:textId="77777777" w:rsidR="00E57635" w:rsidRPr="007F1030" w:rsidRDefault="00FA7042"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加大力度，打击一切形式的针对妇女的基于性别的暴力，包括家庭暴力和性暴力；</w:t>
      </w:r>
    </w:p>
    <w:p w14:paraId="14644E4D" w14:textId="77777777" w:rsidR="00E57635" w:rsidRPr="007F1030" w:rsidRDefault="00FA7042" w:rsidP="00E57635">
      <w:pPr>
        <w:pStyle w:val="SingleTxt"/>
        <w:rPr>
          <w:rFonts w:ascii="黑体" w:eastAsia="黑体" w:hAnsi="黑体"/>
        </w:rPr>
      </w:pPr>
      <w:r>
        <w:tab/>
      </w:r>
      <w:r w:rsidR="00E57635">
        <w:rPr>
          <w:rFonts w:hint="eastAsia"/>
        </w:rPr>
        <w:t>(b)</w:t>
      </w:r>
      <w:r>
        <w:tab/>
      </w:r>
      <w:r w:rsidR="00E57635" w:rsidRPr="007F1030">
        <w:rPr>
          <w:rFonts w:ascii="黑体" w:eastAsia="黑体" w:hAnsi="黑体" w:hint="eastAsia"/>
        </w:rPr>
        <w:t>颁布立法和(或)进一步修改《刑法》，对一切形式的针对妇女的基于性别的暴力给予具体定义和定罪；</w:t>
      </w:r>
    </w:p>
    <w:p w14:paraId="671C9326" w14:textId="77777777" w:rsidR="00E57635" w:rsidRPr="007F1030" w:rsidRDefault="00FA7042" w:rsidP="00E57635">
      <w:pPr>
        <w:pStyle w:val="SingleTxt"/>
        <w:rPr>
          <w:rFonts w:ascii="黑体" w:eastAsia="黑体" w:hAnsi="黑体"/>
        </w:rPr>
      </w:pPr>
      <w:r>
        <w:tab/>
      </w:r>
      <w:r w:rsidR="00E57635">
        <w:rPr>
          <w:rFonts w:hint="eastAsia"/>
        </w:rPr>
        <w:t>(c)</w:t>
      </w:r>
      <w:r>
        <w:tab/>
      </w:r>
      <w:r w:rsidR="00E57635" w:rsidRPr="007F1030">
        <w:rPr>
          <w:rFonts w:ascii="黑体" w:eastAsia="黑体" w:hAnsi="黑体" w:hint="eastAsia"/>
        </w:rPr>
        <w:t>确保以所谓“荣誉”名义实施的犯罪行为人受到充分的起诉和惩罚，不得有任何减轻或开脱；</w:t>
      </w:r>
    </w:p>
    <w:p w14:paraId="4E45F4F7" w14:textId="77777777" w:rsidR="00E57635" w:rsidRPr="007F1030" w:rsidRDefault="00FA7042" w:rsidP="00E57635">
      <w:pPr>
        <w:pStyle w:val="SingleTxt"/>
        <w:rPr>
          <w:rFonts w:ascii="黑体" w:eastAsia="黑体" w:hAnsi="黑体"/>
        </w:rPr>
      </w:pPr>
      <w:r>
        <w:tab/>
      </w:r>
      <w:r w:rsidR="00E57635">
        <w:rPr>
          <w:rFonts w:hint="eastAsia"/>
        </w:rPr>
        <w:t>(d)</w:t>
      </w:r>
      <w:r>
        <w:tab/>
      </w:r>
      <w:r w:rsidR="00E57635" w:rsidRPr="007F1030">
        <w:rPr>
          <w:rFonts w:ascii="黑体" w:eastAsia="黑体" w:hAnsi="黑体" w:hint="eastAsia"/>
        </w:rPr>
        <w:t>鼓励受性别暴力侵害的女性受害者举报案件，包括诽谤受害者；向法官、检察官、警务人员和其他执法人员和受理的案件中把家庭暴力视为轻微犯罪的调解员提供能力建设方案，要求严格执行有关刑法规定，说明如何以性别敏感的方式调查此类案件；</w:t>
      </w:r>
    </w:p>
    <w:p w14:paraId="6CD3919A" w14:textId="77777777" w:rsidR="00E57635" w:rsidRDefault="00FA7042" w:rsidP="00E57635">
      <w:pPr>
        <w:pStyle w:val="SingleTxt"/>
      </w:pPr>
      <w:r>
        <w:tab/>
      </w:r>
      <w:r w:rsidR="00E57635">
        <w:rPr>
          <w:rFonts w:hint="eastAsia"/>
        </w:rPr>
        <w:t>(e)</w:t>
      </w:r>
      <w:r>
        <w:tab/>
      </w:r>
      <w:r w:rsidR="00E57635" w:rsidRPr="007F1030">
        <w:rPr>
          <w:rFonts w:ascii="黑体" w:eastAsia="黑体" w:hAnsi="黑体" w:hint="eastAsia"/>
        </w:rPr>
        <w:t>确保充分调查关于针对妇女的基于性别的暴力行为，包括家庭暴力，起诉和严惩肇事者，让受害者得到适当补救，包括赔偿；</w:t>
      </w:r>
    </w:p>
    <w:p w14:paraId="0B85B40A" w14:textId="77777777" w:rsidR="00E57635" w:rsidRPr="007F1030" w:rsidRDefault="00FA7042" w:rsidP="00E57635">
      <w:pPr>
        <w:pStyle w:val="SingleTxt"/>
        <w:rPr>
          <w:rFonts w:ascii="黑体" w:eastAsia="黑体" w:hAnsi="黑体"/>
        </w:rPr>
      </w:pPr>
      <w:r>
        <w:lastRenderedPageBreak/>
        <w:tab/>
      </w:r>
      <w:r w:rsidR="00E57635">
        <w:rPr>
          <w:rFonts w:hint="eastAsia"/>
        </w:rPr>
        <w:t>(f)</w:t>
      </w:r>
      <w:r>
        <w:tab/>
      </w:r>
      <w:r w:rsidR="00E57635" w:rsidRPr="007F1030">
        <w:rPr>
          <w:rFonts w:ascii="黑体" w:eastAsia="黑体" w:hAnsi="黑体" w:hint="eastAsia"/>
        </w:rPr>
        <w:t>加强对性别暴力受害妇女的支助服务，包括在缔约国全国建立收容所，确保提供心理康复和重返社会方案；</w:t>
      </w:r>
    </w:p>
    <w:p w14:paraId="2358971C" w14:textId="77777777" w:rsidR="00E57635" w:rsidRPr="007F1030" w:rsidRDefault="00FA7042" w:rsidP="00E57635">
      <w:pPr>
        <w:pStyle w:val="SingleTxt"/>
        <w:rPr>
          <w:rFonts w:ascii="黑体" w:eastAsia="黑体" w:hAnsi="黑体"/>
        </w:rPr>
      </w:pPr>
      <w:r>
        <w:tab/>
      </w:r>
      <w:r w:rsidR="00E57635">
        <w:rPr>
          <w:rFonts w:hint="eastAsia"/>
        </w:rPr>
        <w:t>(g)</w:t>
      </w:r>
      <w:r>
        <w:tab/>
      </w:r>
      <w:r w:rsidR="00E57635" w:rsidRPr="007F1030">
        <w:rPr>
          <w:rFonts w:ascii="黑体" w:eastAsia="黑体" w:hAnsi="黑体" w:hint="eastAsia"/>
        </w:rPr>
        <w:t>系统收集按性别、年龄、国籍和受害者与犯罪者之间关系分类的所有形式的基于性别的暴力的数据；关于调查、起诉、定罪和肇事者判刑数目，以及关于向受害者提供赔偿的数据。</w:t>
      </w:r>
    </w:p>
    <w:p w14:paraId="18A9DED9" w14:textId="77777777" w:rsidR="00E57635" w:rsidRDefault="00E57635" w:rsidP="00E57635">
      <w:pPr>
        <w:pStyle w:val="SingleTxt"/>
      </w:pPr>
      <w:r>
        <w:rPr>
          <w:rFonts w:hint="eastAsia"/>
        </w:rPr>
        <w:t>27.</w:t>
      </w:r>
      <w:r>
        <w:rPr>
          <w:rFonts w:hint="eastAsia"/>
        </w:rPr>
        <w:tab/>
      </w:r>
      <w:r>
        <w:rPr>
          <w:rFonts w:hint="eastAsia"/>
        </w:rPr>
        <w:t>委员会关注的是，作为性虐待受害者的妇女和女童如举报受到强奸，而且没有证据，可能面临刑事诉讼，因此可视为承认在婚姻之外保持性关系</w:t>
      </w:r>
      <w:r>
        <w:rPr>
          <w:rFonts w:hint="eastAsia"/>
        </w:rPr>
        <w:t>(</w:t>
      </w:r>
      <w:r>
        <w:rPr>
          <w:rFonts w:hint="eastAsia"/>
        </w:rPr>
        <w:t>通奸</w:t>
      </w:r>
      <w:r>
        <w:rPr>
          <w:rFonts w:hint="eastAsia"/>
        </w:rPr>
        <w:t>)</w:t>
      </w:r>
      <w:r>
        <w:rPr>
          <w:rFonts w:hint="eastAsia"/>
        </w:rPr>
        <w:t>，而根据《刑法》第</w:t>
      </w:r>
      <w:r>
        <w:rPr>
          <w:rFonts w:hint="eastAsia"/>
        </w:rPr>
        <w:t>225-226</w:t>
      </w:r>
      <w:r>
        <w:rPr>
          <w:rFonts w:hint="eastAsia"/>
        </w:rPr>
        <w:t>条，这是一项犯罪。</w:t>
      </w:r>
    </w:p>
    <w:p w14:paraId="47D6DDDC" w14:textId="77777777" w:rsidR="00E57635" w:rsidRPr="007F1030" w:rsidRDefault="00E57635" w:rsidP="00E57635">
      <w:pPr>
        <w:pStyle w:val="SingleTxt"/>
        <w:rPr>
          <w:rFonts w:ascii="黑体" w:eastAsia="黑体" w:hAnsi="黑体"/>
        </w:rPr>
      </w:pPr>
      <w:r>
        <w:rPr>
          <w:rFonts w:hint="eastAsia"/>
        </w:rPr>
        <w:t>28.</w:t>
      </w:r>
      <w:r w:rsidR="00FA7042">
        <w:tab/>
      </w:r>
      <w:r w:rsidRPr="007F1030">
        <w:rPr>
          <w:rFonts w:ascii="黑体" w:eastAsia="黑体" w:hAnsi="黑体" w:hint="eastAsia"/>
        </w:rPr>
        <w:t>委员会建议缔约国废除《刑法》第225-226条，确保性虐待受害者如提出控诉，但又不能证明，则不受处罚；立即释放被定犯有通奸罪的妇女和女童，特别是遭受性暴力和虐待的移民妇女。</w:t>
      </w:r>
    </w:p>
    <w:p w14:paraId="190A0F26" w14:textId="77777777" w:rsidR="00E57635" w:rsidRPr="007F1030" w:rsidRDefault="00E57635" w:rsidP="00E57635">
      <w:pPr>
        <w:pStyle w:val="SingleTxt"/>
        <w:rPr>
          <w:rFonts w:ascii="黑体" w:eastAsia="黑体" w:hAnsi="黑体"/>
        </w:rPr>
      </w:pPr>
      <w:r w:rsidRPr="007F1030">
        <w:rPr>
          <w:rFonts w:ascii="黑体" w:eastAsia="黑体" w:hAnsi="黑体" w:hint="eastAsia"/>
        </w:rPr>
        <w:t>贩卖和剥削卖淫</w:t>
      </w:r>
    </w:p>
    <w:p w14:paraId="31F3F08F" w14:textId="77777777" w:rsidR="00E57635" w:rsidRDefault="00E57635" w:rsidP="00E57635">
      <w:pPr>
        <w:pStyle w:val="SingleTxt"/>
      </w:pPr>
      <w:r>
        <w:rPr>
          <w:rFonts w:hint="eastAsia"/>
        </w:rPr>
        <w:t>29.</w:t>
      </w:r>
      <w:r w:rsidR="00FA7042">
        <w:tab/>
      </w:r>
      <w:r>
        <w:rPr>
          <w:rFonts w:hint="eastAsia"/>
        </w:rPr>
        <w:t>委员会注意到缔约国努力打击贩运人口现象，包括颁发法令，保护家庭佣工免受剥削和贩卖，提供临时庇护所、社会和心理方案和向受害者提供法律援助。不过，仍然关注的是，缔约国仍然是主要来自南亚和东亚以及东非和北非的被贩卖妇女的目的国和过境国，从事强迫劳动和家庭奴役，以及在较小程度上受到性剥削。委员会还感到关切的是：</w:t>
      </w:r>
    </w:p>
    <w:p w14:paraId="766069EC" w14:textId="77777777" w:rsidR="00E57635" w:rsidRDefault="00FA7042" w:rsidP="00E57635">
      <w:pPr>
        <w:pStyle w:val="SingleTxt"/>
      </w:pPr>
      <w:r>
        <w:tab/>
      </w:r>
      <w:r>
        <w:rPr>
          <w:rFonts w:hint="eastAsia"/>
        </w:rPr>
        <w:t>(a)</w:t>
      </w:r>
      <w:r>
        <w:tab/>
      </w:r>
      <w:r w:rsidR="00E57635">
        <w:rPr>
          <w:rFonts w:hint="eastAsia"/>
        </w:rPr>
        <w:t>《打击贩运人口法》</w:t>
      </w:r>
      <w:r w:rsidR="00E57635">
        <w:rPr>
          <w:rFonts w:hint="eastAsia"/>
        </w:rPr>
        <w:t>(2008</w:t>
      </w:r>
      <w:r w:rsidR="00E57635">
        <w:rPr>
          <w:rFonts w:hint="eastAsia"/>
        </w:rPr>
        <w:t>年</w:t>
      </w:r>
      <w:r w:rsidR="00E57635">
        <w:rPr>
          <w:rFonts w:hint="eastAsia"/>
        </w:rPr>
        <w:t>)</w:t>
      </w:r>
      <w:r w:rsidR="00E57635">
        <w:rPr>
          <w:rFonts w:hint="eastAsia"/>
        </w:rPr>
        <w:t>执法有限，如贩卖妇女和女童的案件起诉和定罪率很低；</w:t>
      </w:r>
    </w:p>
    <w:p w14:paraId="6BCC89FA" w14:textId="77777777" w:rsidR="00E57635" w:rsidRDefault="00FA7042" w:rsidP="00E57635">
      <w:pPr>
        <w:pStyle w:val="SingleTxt"/>
      </w:pPr>
      <w:r>
        <w:tab/>
      </w:r>
      <w:r w:rsidR="00E57635">
        <w:rPr>
          <w:rFonts w:hint="eastAsia"/>
        </w:rPr>
        <w:t>(b)</w:t>
      </w:r>
      <w:r>
        <w:tab/>
      </w:r>
      <w:r w:rsidR="00E57635">
        <w:rPr>
          <w:rFonts w:hint="eastAsia"/>
        </w:rPr>
        <w:t>《国家打击贩运人口行动计划》</w:t>
      </w:r>
      <w:r w:rsidR="00E57635">
        <w:rPr>
          <w:rFonts w:hint="eastAsia"/>
        </w:rPr>
        <w:t>(2008</w:t>
      </w:r>
      <w:r w:rsidR="00E57635">
        <w:rPr>
          <w:rFonts w:hint="eastAsia"/>
        </w:rPr>
        <w:t>年至</w:t>
      </w:r>
      <w:r w:rsidR="00E57635">
        <w:rPr>
          <w:rFonts w:hint="eastAsia"/>
        </w:rPr>
        <w:t>2016</w:t>
      </w:r>
      <w:r w:rsidR="00E57635">
        <w:rPr>
          <w:rFonts w:hint="eastAsia"/>
        </w:rPr>
        <w:t>年</w:t>
      </w:r>
      <w:r w:rsidR="00E57635">
        <w:rPr>
          <w:rFonts w:hint="eastAsia"/>
        </w:rPr>
        <w:t>)</w:t>
      </w:r>
      <w:r w:rsidR="00E57635">
        <w:rPr>
          <w:rFonts w:hint="eastAsia"/>
        </w:rPr>
        <w:t>尚未更新；</w:t>
      </w:r>
    </w:p>
    <w:p w14:paraId="20D636C8" w14:textId="77777777" w:rsidR="00E57635" w:rsidRDefault="00FA7042" w:rsidP="00E57635">
      <w:pPr>
        <w:pStyle w:val="SingleTxt"/>
      </w:pPr>
      <w:r>
        <w:tab/>
      </w:r>
      <w:r>
        <w:rPr>
          <w:rFonts w:hint="eastAsia"/>
        </w:rPr>
        <w:t>(c)</w:t>
      </w:r>
      <w:r>
        <w:tab/>
      </w:r>
      <w:r w:rsidR="00E57635">
        <w:rPr>
          <w:rFonts w:hint="eastAsia"/>
        </w:rPr>
        <w:t>没有信息介绍分配给全国打击人口贩运委员会多少资源，其协调和监督政府打击人口贩运的能力如何；</w:t>
      </w:r>
    </w:p>
    <w:p w14:paraId="55004CFA" w14:textId="77777777" w:rsidR="00E57635" w:rsidRDefault="00FA7042" w:rsidP="00E57635">
      <w:pPr>
        <w:pStyle w:val="SingleTxt"/>
      </w:pPr>
      <w:r>
        <w:tab/>
      </w:r>
      <w:r w:rsidR="00E57635">
        <w:rPr>
          <w:rFonts w:hint="eastAsia"/>
        </w:rPr>
        <w:t>(d)</w:t>
      </w:r>
      <w:r>
        <w:tab/>
      </w:r>
      <w:r w:rsidR="00E57635">
        <w:rPr>
          <w:rFonts w:hint="eastAsia"/>
        </w:rPr>
        <w:t>缺乏足够机制来查明据报因被贩运而遭到逮捕、拘留和驱逐的人口贩运受害者和剥削卖淫受害者，并提供服务；</w:t>
      </w:r>
    </w:p>
    <w:p w14:paraId="0796071D" w14:textId="77777777" w:rsidR="00E57635" w:rsidRDefault="00FA7042" w:rsidP="00E57635">
      <w:pPr>
        <w:pStyle w:val="SingleTxt"/>
      </w:pPr>
      <w:r>
        <w:tab/>
      </w:r>
      <w:r w:rsidR="00E57635">
        <w:rPr>
          <w:rFonts w:hint="eastAsia"/>
        </w:rPr>
        <w:t>(e)</w:t>
      </w:r>
      <w:r>
        <w:tab/>
      </w:r>
      <w:r w:rsidR="00E57635">
        <w:rPr>
          <w:rFonts w:hint="eastAsia"/>
        </w:rPr>
        <w:t>缺乏系统安排的恢复和重返社会措施，包括为贩运受害者，特别是移民妇女和家务女工提供咨询、医疗、心理支持和补救，包括赔偿。</w:t>
      </w:r>
    </w:p>
    <w:p w14:paraId="219B936B" w14:textId="77777777" w:rsidR="00E57635" w:rsidRDefault="00E57635" w:rsidP="00E57635">
      <w:pPr>
        <w:pStyle w:val="SingleTxt"/>
      </w:pPr>
      <w:r>
        <w:rPr>
          <w:rFonts w:hint="eastAsia"/>
        </w:rPr>
        <w:t>30.</w:t>
      </w:r>
      <w:r w:rsidR="00FA7042">
        <w:tab/>
      </w:r>
      <w:r w:rsidRPr="007F1030">
        <w:rPr>
          <w:rFonts w:ascii="黑体" w:eastAsia="黑体" w:hAnsi="黑体" w:hint="eastAsia"/>
        </w:rPr>
        <w:t>委员会建议缔约国：</w:t>
      </w:r>
    </w:p>
    <w:p w14:paraId="687325F8" w14:textId="77777777" w:rsidR="00E57635" w:rsidRPr="007F1030" w:rsidRDefault="00FA7042"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确保有效执行《打击贩运人口法》(2008年)，包括向法官、检察官、边防警察、移民当局和其他执法官员提供对性别问题有敏感认识的义务培训；</w:t>
      </w:r>
    </w:p>
    <w:p w14:paraId="24847A7B" w14:textId="77777777" w:rsidR="00E57635" w:rsidRPr="007F1030" w:rsidRDefault="00FA7042" w:rsidP="00E57635">
      <w:pPr>
        <w:pStyle w:val="SingleTxt"/>
        <w:rPr>
          <w:rFonts w:ascii="黑体" w:eastAsia="黑体" w:hAnsi="黑体"/>
        </w:rPr>
      </w:pPr>
      <w:r>
        <w:tab/>
      </w:r>
      <w:r w:rsidR="00E57635">
        <w:rPr>
          <w:rFonts w:hint="eastAsia"/>
        </w:rPr>
        <w:t>(b)</w:t>
      </w:r>
      <w:r>
        <w:tab/>
      </w:r>
      <w:r w:rsidR="00E57635" w:rsidRPr="007F1030">
        <w:rPr>
          <w:rFonts w:ascii="黑体" w:eastAsia="黑体" w:hAnsi="黑体" w:hint="eastAsia"/>
        </w:rPr>
        <w:t>评估《国家打击贩运行动计划》(2008-2016年)的影响，通过新的战略和行动计划；</w:t>
      </w:r>
    </w:p>
    <w:p w14:paraId="095B7CEE" w14:textId="77777777" w:rsidR="00E57635" w:rsidRPr="007F1030" w:rsidRDefault="00FA7042" w:rsidP="00E57635">
      <w:pPr>
        <w:pStyle w:val="SingleTxt"/>
        <w:rPr>
          <w:rFonts w:ascii="黑体" w:eastAsia="黑体" w:hAnsi="黑体"/>
        </w:rPr>
      </w:pPr>
      <w:r>
        <w:tab/>
      </w:r>
      <w:r w:rsidR="00E57635">
        <w:rPr>
          <w:rFonts w:hint="eastAsia"/>
        </w:rPr>
        <w:t>(c)</w:t>
      </w:r>
      <w:r>
        <w:tab/>
      </w:r>
      <w:r w:rsidR="00E57635" w:rsidRPr="007F1030">
        <w:rPr>
          <w:rFonts w:ascii="黑体" w:eastAsia="黑体" w:hAnsi="黑体" w:hint="eastAsia"/>
        </w:rPr>
        <w:t>调查、起诉和充分惩处所有贩运人口特别是妇女和女童的案件；与其他国家和国际组织就国际和区域贩运网络开展联合调查和合作；</w:t>
      </w:r>
    </w:p>
    <w:p w14:paraId="15D46B70" w14:textId="77777777" w:rsidR="00E57635" w:rsidRPr="007F1030" w:rsidRDefault="00FA7042" w:rsidP="00E57635">
      <w:pPr>
        <w:pStyle w:val="SingleTxt"/>
        <w:rPr>
          <w:rFonts w:ascii="黑体" w:eastAsia="黑体" w:hAnsi="黑体"/>
        </w:rPr>
      </w:pPr>
      <w:r>
        <w:lastRenderedPageBreak/>
        <w:tab/>
      </w:r>
      <w:r w:rsidR="00E57635">
        <w:rPr>
          <w:rFonts w:hint="eastAsia"/>
        </w:rPr>
        <w:t>(d)</w:t>
      </w:r>
      <w:r>
        <w:tab/>
      </w:r>
      <w:r w:rsidR="00E57635" w:rsidRPr="007F1030">
        <w:rPr>
          <w:rFonts w:ascii="黑体" w:eastAsia="黑体" w:hAnsi="黑体" w:hint="eastAsia"/>
        </w:rPr>
        <w:t>加强打击贩运人口委员会的能力，包括提供充足人力、技术和财政资源，确保政府实体之间的机构间协调，打击贩卖人口现象，并加强与民间社会的合作；</w:t>
      </w:r>
    </w:p>
    <w:p w14:paraId="112A6B47" w14:textId="77777777" w:rsidR="00E57635" w:rsidRPr="007F1030" w:rsidRDefault="00FA7042" w:rsidP="00E57635">
      <w:pPr>
        <w:pStyle w:val="SingleTxt"/>
        <w:rPr>
          <w:rFonts w:ascii="黑体" w:eastAsia="黑体" w:hAnsi="黑体"/>
        </w:rPr>
      </w:pPr>
      <w:r>
        <w:tab/>
      </w:r>
      <w:r w:rsidR="00E57635">
        <w:rPr>
          <w:rFonts w:hint="eastAsia"/>
        </w:rPr>
        <w:t>(e)</w:t>
      </w:r>
      <w:r>
        <w:tab/>
      </w:r>
      <w:r w:rsidR="00E57635" w:rsidRPr="007F1030">
        <w:rPr>
          <w:rFonts w:ascii="黑体" w:eastAsia="黑体" w:hAnsi="黑体" w:hint="eastAsia"/>
        </w:rPr>
        <w:t>加强措施，确认和支助面临贩运危险的妇女；</w:t>
      </w:r>
    </w:p>
    <w:p w14:paraId="23623020" w14:textId="77777777" w:rsidR="00E57635" w:rsidRPr="007F1030" w:rsidRDefault="00FA7042" w:rsidP="00E57635">
      <w:pPr>
        <w:pStyle w:val="SingleTxt"/>
        <w:rPr>
          <w:rFonts w:ascii="黑体" w:eastAsia="黑体" w:hAnsi="黑体"/>
        </w:rPr>
      </w:pPr>
      <w:r>
        <w:tab/>
      </w:r>
      <w:r w:rsidR="00E57635">
        <w:rPr>
          <w:rFonts w:hint="eastAsia"/>
        </w:rPr>
        <w:t>(f)</w:t>
      </w:r>
      <w:r>
        <w:tab/>
      </w:r>
      <w:r w:rsidR="00E57635" w:rsidRPr="007F1030">
        <w:rPr>
          <w:rFonts w:ascii="黑体" w:eastAsia="黑体" w:hAnsi="黑体" w:hint="eastAsia"/>
        </w:rPr>
        <w:t>确保遭受贩运和剥削卖淫的妇女免于承担任何责任，并提供适当的保护和临时居住许可证，不论她们是否有能力或是否愿意与检察机关合作；</w:t>
      </w:r>
    </w:p>
    <w:p w14:paraId="08DD1159" w14:textId="77777777" w:rsidR="00E57635" w:rsidRPr="007F1030" w:rsidRDefault="00FA7042" w:rsidP="00E57635">
      <w:pPr>
        <w:pStyle w:val="SingleTxt"/>
        <w:rPr>
          <w:rFonts w:ascii="黑体" w:eastAsia="黑体" w:hAnsi="黑体"/>
        </w:rPr>
      </w:pPr>
      <w:r>
        <w:tab/>
      </w:r>
      <w:r w:rsidR="00E57635">
        <w:rPr>
          <w:rFonts w:hint="eastAsia"/>
        </w:rPr>
        <w:t>(g)</w:t>
      </w:r>
      <w:r>
        <w:tab/>
      </w:r>
      <w:r w:rsidR="00E57635" w:rsidRPr="007F1030">
        <w:rPr>
          <w:rFonts w:ascii="黑体" w:eastAsia="黑体" w:hAnsi="黑体" w:hint="eastAsia"/>
        </w:rPr>
        <w:t>确保所有贩运受害者，不论国家或社会背景如何，都得到有效保护和补救，包括复原和赔偿；</w:t>
      </w:r>
    </w:p>
    <w:p w14:paraId="23EF2F04" w14:textId="77777777" w:rsidR="00E57635" w:rsidRPr="007F1030" w:rsidRDefault="00FA7042" w:rsidP="00E57635">
      <w:pPr>
        <w:pStyle w:val="SingleTxt"/>
        <w:rPr>
          <w:rFonts w:ascii="黑体" w:eastAsia="黑体" w:hAnsi="黑体"/>
        </w:rPr>
      </w:pPr>
      <w:r>
        <w:tab/>
      </w:r>
      <w:r w:rsidR="00E57635">
        <w:rPr>
          <w:rFonts w:hint="eastAsia"/>
        </w:rPr>
        <w:t>(h)</w:t>
      </w:r>
      <w:r>
        <w:tab/>
      </w:r>
      <w:r w:rsidR="00E57635" w:rsidRPr="007F1030">
        <w:rPr>
          <w:rFonts w:ascii="黑体" w:eastAsia="黑体" w:hAnsi="黑体" w:hint="eastAsia"/>
        </w:rPr>
        <w:t>加强劳工招聘机构和外籍工人就业的监管，审查往往盘剥弱势移民工，包括妇女的担保(卡法拉)制度；</w:t>
      </w:r>
    </w:p>
    <w:p w14:paraId="29EB8253" w14:textId="77777777" w:rsidR="00E57635" w:rsidRPr="007F1030" w:rsidRDefault="00EF2CAB" w:rsidP="00E57635">
      <w:pPr>
        <w:pStyle w:val="SingleTxt"/>
        <w:rPr>
          <w:rFonts w:ascii="黑体" w:eastAsia="黑体" w:hAnsi="黑体"/>
        </w:rPr>
      </w:pPr>
      <w:r>
        <w:tab/>
        <w:t>(i)</w:t>
      </w:r>
      <w:r>
        <w:tab/>
      </w:r>
      <w:r w:rsidR="00E57635" w:rsidRPr="007F1030">
        <w:rPr>
          <w:rFonts w:ascii="黑体" w:eastAsia="黑体" w:hAnsi="黑体" w:hint="eastAsia"/>
        </w:rPr>
        <w:t>消除贩运和剥削妇女和女童、致其卖淫的根源，采用资源充分的方案和其他适当措施，为可能被贩运或被迫卖淫的妇女，特别是移民工人提供教育和就业机会。</w:t>
      </w:r>
    </w:p>
    <w:p w14:paraId="4AF363C6" w14:textId="77777777" w:rsidR="00E57635" w:rsidRPr="007F1030" w:rsidRDefault="00E57635" w:rsidP="00E57635">
      <w:pPr>
        <w:pStyle w:val="SingleTxt"/>
        <w:rPr>
          <w:rFonts w:ascii="黑体" w:eastAsia="黑体" w:hAnsi="黑体"/>
        </w:rPr>
      </w:pPr>
      <w:r w:rsidRPr="007F1030">
        <w:rPr>
          <w:rFonts w:ascii="黑体" w:eastAsia="黑体" w:hAnsi="黑体" w:hint="eastAsia"/>
        </w:rPr>
        <w:t>参与政治和公共生活</w:t>
      </w:r>
    </w:p>
    <w:p w14:paraId="7647708D" w14:textId="77777777" w:rsidR="00E57635" w:rsidRDefault="00E57635" w:rsidP="00E57635">
      <w:pPr>
        <w:pStyle w:val="SingleTxt"/>
      </w:pPr>
      <w:r>
        <w:rPr>
          <w:rFonts w:hint="eastAsia"/>
        </w:rPr>
        <w:t>31.</w:t>
      </w:r>
      <w:r>
        <w:rPr>
          <w:rFonts w:hint="eastAsia"/>
        </w:rPr>
        <w:tab/>
      </w:r>
      <w:r w:rsidRPr="00341F72">
        <w:rPr>
          <w:rFonts w:hint="eastAsia"/>
          <w:spacing w:val="2"/>
        </w:rPr>
        <w:t>委员会注意到各种宣传和培训活动，促进妇女参与政治和公共生活。然而，它关切的是，妇女参与各级决策的程度很低，其中包括政府</w:t>
      </w:r>
      <w:r w:rsidRPr="00341F72">
        <w:rPr>
          <w:rFonts w:hint="eastAsia"/>
          <w:spacing w:val="2"/>
        </w:rPr>
        <w:t>(6.3</w:t>
      </w:r>
      <w:r w:rsidRPr="00341F72">
        <w:rPr>
          <w:rFonts w:hint="eastAsia"/>
          <w:spacing w:val="2"/>
        </w:rPr>
        <w:t>％</w:t>
      </w:r>
      <w:r w:rsidRPr="00341F72">
        <w:rPr>
          <w:rFonts w:hint="eastAsia"/>
          <w:spacing w:val="2"/>
        </w:rPr>
        <w:t>)</w:t>
      </w:r>
      <w:r w:rsidRPr="00341F72">
        <w:rPr>
          <w:rFonts w:hint="eastAsia"/>
          <w:spacing w:val="2"/>
        </w:rPr>
        <w:t>，协商会议</w:t>
      </w:r>
      <w:r w:rsidRPr="00341F72">
        <w:rPr>
          <w:rFonts w:hint="eastAsia"/>
          <w:spacing w:val="2"/>
        </w:rPr>
        <w:t>(1.2</w:t>
      </w:r>
      <w:r w:rsidRPr="00341F72">
        <w:rPr>
          <w:rFonts w:hint="eastAsia"/>
          <w:spacing w:val="2"/>
        </w:rPr>
        <w:t>％</w:t>
      </w:r>
      <w:r w:rsidRPr="00341F72">
        <w:rPr>
          <w:rFonts w:hint="eastAsia"/>
          <w:spacing w:val="2"/>
        </w:rPr>
        <w:t>)</w:t>
      </w:r>
      <w:r>
        <w:rPr>
          <w:rFonts w:hint="eastAsia"/>
        </w:rPr>
        <w:t>，国家委员会</w:t>
      </w:r>
      <w:r>
        <w:rPr>
          <w:rFonts w:hint="eastAsia"/>
        </w:rPr>
        <w:t>(15.3</w:t>
      </w:r>
      <w:r>
        <w:rPr>
          <w:rFonts w:hint="eastAsia"/>
        </w:rPr>
        <w:t>％由苏丹任命</w:t>
      </w:r>
      <w:r>
        <w:rPr>
          <w:rFonts w:hint="eastAsia"/>
        </w:rPr>
        <w:t>)</w:t>
      </w:r>
      <w:r>
        <w:rPr>
          <w:rFonts w:hint="eastAsia"/>
        </w:rPr>
        <w:t>，市议会</w:t>
      </w:r>
      <w:r>
        <w:rPr>
          <w:rFonts w:hint="eastAsia"/>
        </w:rPr>
        <w:t>(3.5</w:t>
      </w:r>
      <w:r>
        <w:rPr>
          <w:rFonts w:hint="eastAsia"/>
        </w:rPr>
        <w:t>％</w:t>
      </w:r>
      <w:r>
        <w:rPr>
          <w:rFonts w:hint="eastAsia"/>
        </w:rPr>
        <w:t>)</w:t>
      </w:r>
      <w:r>
        <w:rPr>
          <w:rFonts w:hint="eastAsia"/>
        </w:rPr>
        <w:t>，司法人员</w:t>
      </w:r>
      <w:r>
        <w:rPr>
          <w:rFonts w:hint="eastAsia"/>
        </w:rPr>
        <w:t>(25</w:t>
      </w:r>
      <w:r>
        <w:rPr>
          <w:rFonts w:hint="eastAsia"/>
        </w:rPr>
        <w:t>％</w:t>
      </w:r>
      <w:r>
        <w:rPr>
          <w:rFonts w:hint="eastAsia"/>
        </w:rPr>
        <w:t>)</w:t>
      </w:r>
      <w:r>
        <w:rPr>
          <w:rFonts w:hint="eastAsia"/>
        </w:rPr>
        <w:t>，外交部门</w:t>
      </w:r>
      <w:r>
        <w:rPr>
          <w:rFonts w:hint="eastAsia"/>
        </w:rPr>
        <w:t>(7.2</w:t>
      </w:r>
      <w:r>
        <w:rPr>
          <w:rFonts w:hint="eastAsia"/>
        </w:rPr>
        <w:t>％的大使是妇女</w:t>
      </w:r>
      <w:r>
        <w:rPr>
          <w:rFonts w:hint="eastAsia"/>
        </w:rPr>
        <w:t>)</w:t>
      </w:r>
      <w:r>
        <w:rPr>
          <w:rFonts w:hint="eastAsia"/>
        </w:rPr>
        <w:t>，而且缺乏消除决策中无妇女的根源，包括普遍社会和文化态度的措施。</w:t>
      </w:r>
    </w:p>
    <w:p w14:paraId="2DB5D852" w14:textId="77777777" w:rsidR="00E57635" w:rsidRPr="007F1030" w:rsidRDefault="00E57635" w:rsidP="00E57635">
      <w:pPr>
        <w:pStyle w:val="SingleTxt"/>
        <w:rPr>
          <w:rFonts w:ascii="黑体" w:eastAsia="黑体" w:hAnsi="黑体"/>
        </w:rPr>
      </w:pPr>
      <w:r>
        <w:rPr>
          <w:rFonts w:hint="eastAsia"/>
        </w:rPr>
        <w:t>32.</w:t>
      </w:r>
      <w:r w:rsidR="00FA7042">
        <w:tab/>
      </w:r>
      <w:r w:rsidRPr="007F1030">
        <w:rPr>
          <w:rFonts w:ascii="黑体" w:eastAsia="黑体" w:hAnsi="黑体" w:hint="eastAsia"/>
        </w:rPr>
        <w:t>根据关于妇女参与政治和公共生活的第23(1997)号一般性建议，委员会建议缔约国根据《公约》第四(1)条和委员会关于暂行特别措施，如订有具体时限的配额和基准的第25号一般性建议(2004年)，采取措施，包括暂行特别措施，让妇女平等和充分参与地方和国家一级的政治和公共生活及决策，包括议会、司法部门和外交部门。委员会还建议缔约国为整个社会开展宣传活动，宣讲妇女参与决策的重要性，包括属于处境不利或受排挤群体的妇女的参与，为当前和未来的女性领导者提供财政支助和关于领导能力和谈判能力的进一步培训和辅导方案。</w:t>
      </w:r>
    </w:p>
    <w:p w14:paraId="34388873" w14:textId="77777777" w:rsidR="00E57635" w:rsidRPr="007F1030" w:rsidRDefault="00E57635" w:rsidP="00E57635">
      <w:pPr>
        <w:pStyle w:val="SingleTxt"/>
        <w:rPr>
          <w:rFonts w:ascii="黑体" w:eastAsia="黑体" w:hAnsi="黑体"/>
        </w:rPr>
      </w:pPr>
      <w:r w:rsidRPr="007F1030">
        <w:rPr>
          <w:rFonts w:ascii="黑体" w:eastAsia="黑体" w:hAnsi="黑体" w:hint="eastAsia"/>
        </w:rPr>
        <w:t>国籍</w:t>
      </w:r>
    </w:p>
    <w:p w14:paraId="77D76244" w14:textId="77777777" w:rsidR="00E57635" w:rsidRDefault="00E57635" w:rsidP="00E57635">
      <w:pPr>
        <w:pStyle w:val="SingleTxt"/>
      </w:pPr>
      <w:r>
        <w:rPr>
          <w:rFonts w:hint="eastAsia"/>
        </w:rPr>
        <w:t>33.</w:t>
      </w:r>
      <w:r w:rsidR="00FA7042">
        <w:tab/>
      </w:r>
      <w:r>
        <w:rPr>
          <w:rFonts w:hint="eastAsia"/>
        </w:rPr>
        <w:t>委员会注意到，新的《国籍法》</w:t>
      </w:r>
      <w:r>
        <w:rPr>
          <w:rFonts w:hint="eastAsia"/>
        </w:rPr>
        <w:t>(2014</w:t>
      </w:r>
      <w:r>
        <w:rPr>
          <w:rFonts w:hint="eastAsia"/>
        </w:rPr>
        <w:t>年</w:t>
      </w:r>
      <w:r>
        <w:rPr>
          <w:rFonts w:hint="eastAsia"/>
        </w:rPr>
        <w:t>)</w:t>
      </w:r>
      <w:r>
        <w:rPr>
          <w:rFonts w:hint="eastAsia"/>
        </w:rPr>
        <w:t>规定，无身份父母非婚生子女、以及阿曼籍母亲和身份不明或无国籍外籍父亲所生子女，均有阿曼国籍。委员会还注意到，缔约国作出决定，允许在教育和保健等领域给予阿曼籍母亲和外籍父亲所生子女一些“特权”。然而，委员会仍然关切：</w:t>
      </w:r>
    </w:p>
    <w:p w14:paraId="1CE1B747" w14:textId="77777777" w:rsidR="00E57635" w:rsidRDefault="00FA7042" w:rsidP="00E57635">
      <w:pPr>
        <w:pStyle w:val="SingleTxt"/>
      </w:pPr>
      <w:r>
        <w:tab/>
      </w:r>
      <w:r w:rsidR="00E57635">
        <w:rPr>
          <w:rFonts w:hint="eastAsia"/>
        </w:rPr>
        <w:t>(a)</w:t>
      </w:r>
      <w:r>
        <w:tab/>
      </w:r>
      <w:r w:rsidR="00E57635">
        <w:rPr>
          <w:rFonts w:hint="eastAsia"/>
        </w:rPr>
        <w:t>新法第</w:t>
      </w:r>
      <w:r w:rsidR="00E57635">
        <w:rPr>
          <w:rFonts w:hint="eastAsia"/>
        </w:rPr>
        <w:t>18</w:t>
      </w:r>
      <w:r w:rsidR="00E57635">
        <w:rPr>
          <w:rFonts w:hint="eastAsia"/>
        </w:rPr>
        <w:t>条严格限定阿曼籍母亲与外籍人士结婚后希望将自己国籍传给子女的情况，以及歧视性限定阿曼籍妇女的外籍配偶的入籍归化，目前规定要结婚至少</w:t>
      </w:r>
      <w:r w:rsidR="00E57635">
        <w:rPr>
          <w:rFonts w:hint="eastAsia"/>
        </w:rPr>
        <w:t>15</w:t>
      </w:r>
      <w:r w:rsidR="00E57635">
        <w:rPr>
          <w:rFonts w:hint="eastAsia"/>
        </w:rPr>
        <w:t>年，才能获得阿曼公民身份，而外籍妻子只需要结婚</w:t>
      </w:r>
      <w:r w:rsidR="00E57635">
        <w:rPr>
          <w:rFonts w:hint="eastAsia"/>
        </w:rPr>
        <w:t>10</w:t>
      </w:r>
      <w:r w:rsidR="00E57635">
        <w:rPr>
          <w:rFonts w:hint="eastAsia"/>
        </w:rPr>
        <w:t>年；</w:t>
      </w:r>
    </w:p>
    <w:p w14:paraId="1A40D9EA" w14:textId="77777777" w:rsidR="00E57635" w:rsidRDefault="00FA7042" w:rsidP="00E57635">
      <w:pPr>
        <w:pStyle w:val="SingleTxt"/>
      </w:pPr>
      <w:r>
        <w:tab/>
      </w:r>
      <w:r w:rsidR="00E57635">
        <w:rPr>
          <w:rFonts w:hint="eastAsia"/>
        </w:rPr>
        <w:t>(b)</w:t>
      </w:r>
      <w:r>
        <w:tab/>
      </w:r>
      <w:r w:rsidR="00E57635">
        <w:rPr>
          <w:rFonts w:hint="eastAsia"/>
        </w:rPr>
        <w:t>缔约国可撤销阿曼公民身份，如果其参加采取可损害缔约国利益的原则或理论的团体、政党或组织。</w:t>
      </w:r>
    </w:p>
    <w:p w14:paraId="44F4A58C" w14:textId="77777777" w:rsidR="00E57635" w:rsidRPr="007F1030" w:rsidRDefault="00E57635" w:rsidP="00E57635">
      <w:pPr>
        <w:pStyle w:val="SingleTxt"/>
        <w:rPr>
          <w:rFonts w:ascii="黑体" w:eastAsia="黑体" w:hAnsi="黑体"/>
        </w:rPr>
      </w:pPr>
      <w:r>
        <w:rPr>
          <w:rFonts w:hint="eastAsia"/>
        </w:rPr>
        <w:lastRenderedPageBreak/>
        <w:t>34.</w:t>
      </w:r>
      <w:r w:rsidR="00FA7042">
        <w:tab/>
      </w:r>
      <w:r w:rsidRPr="007F1030">
        <w:rPr>
          <w:rFonts w:ascii="黑体" w:eastAsia="黑体" w:hAnsi="黑体" w:hint="eastAsia"/>
        </w:rPr>
        <w:t>委员会建议缔约国：</w:t>
      </w:r>
    </w:p>
    <w:p w14:paraId="787FC6E5" w14:textId="77777777" w:rsidR="00E57635" w:rsidRPr="007F1030" w:rsidRDefault="00FA7042"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修改《国籍法》，同时参考其他具有相似文化背景和法律制度、成功修改《国籍法》的缔约国的做法，确保男女在获得、改变和保留国籍方面的平等，使阿曼妇女能够在与男子平等的基础上把自己国籍传给外籍配偶和其子女；</w:t>
      </w:r>
    </w:p>
    <w:p w14:paraId="58FE33A1" w14:textId="77777777" w:rsidR="00E57635" w:rsidRPr="007F1030" w:rsidRDefault="00FA7042" w:rsidP="00E57635">
      <w:pPr>
        <w:pStyle w:val="SingleTxt"/>
        <w:rPr>
          <w:rFonts w:ascii="黑体" w:eastAsia="黑体" w:hAnsi="黑体"/>
        </w:rPr>
      </w:pPr>
      <w:r>
        <w:tab/>
      </w:r>
      <w:r w:rsidR="00E57635">
        <w:rPr>
          <w:rFonts w:hint="eastAsia"/>
        </w:rPr>
        <w:t>(b)</w:t>
      </w:r>
      <w:r>
        <w:tab/>
      </w:r>
      <w:r w:rsidR="00E57635" w:rsidRPr="007F1030">
        <w:rPr>
          <w:rFonts w:ascii="黑体" w:eastAsia="黑体" w:hAnsi="黑体" w:hint="eastAsia"/>
        </w:rPr>
        <w:t>确保政府不能撤销行使基本权利的男女的公民权利，包括言论、集会和结社自由权，防止无国籍状态；</w:t>
      </w:r>
    </w:p>
    <w:p w14:paraId="2B0F8BD2" w14:textId="77777777" w:rsidR="00E57635" w:rsidRPr="007F1030" w:rsidRDefault="00FA7042" w:rsidP="00E57635">
      <w:pPr>
        <w:pStyle w:val="SingleTxt"/>
        <w:rPr>
          <w:rFonts w:ascii="黑体" w:eastAsia="黑体" w:hAnsi="黑体"/>
        </w:rPr>
      </w:pPr>
      <w:r>
        <w:tab/>
      </w:r>
      <w:r w:rsidR="00E57635">
        <w:rPr>
          <w:rFonts w:hint="eastAsia"/>
        </w:rPr>
        <w:t>(c)</w:t>
      </w:r>
      <w:r>
        <w:tab/>
      </w:r>
      <w:r w:rsidR="00E57635" w:rsidRPr="007F1030">
        <w:rPr>
          <w:rFonts w:ascii="黑体" w:eastAsia="黑体" w:hAnsi="黑体" w:hint="eastAsia"/>
        </w:rPr>
        <w:t>加入1954年《关于无国籍人地位的公约》和1961年《减少无国籍状态公约》。</w:t>
      </w:r>
    </w:p>
    <w:p w14:paraId="0E73B316" w14:textId="77777777" w:rsidR="00E57635" w:rsidRPr="007F1030" w:rsidRDefault="00E57635" w:rsidP="00E57635">
      <w:pPr>
        <w:pStyle w:val="SingleTxt"/>
        <w:rPr>
          <w:rFonts w:ascii="黑体" w:eastAsia="黑体" w:hAnsi="黑体"/>
        </w:rPr>
      </w:pPr>
      <w:r w:rsidRPr="007F1030">
        <w:rPr>
          <w:rFonts w:ascii="黑体" w:eastAsia="黑体" w:hAnsi="黑体" w:hint="eastAsia"/>
        </w:rPr>
        <w:t>教育</w:t>
      </w:r>
    </w:p>
    <w:p w14:paraId="07AA0486" w14:textId="77777777" w:rsidR="00E57635" w:rsidRDefault="00E57635" w:rsidP="00E57635">
      <w:pPr>
        <w:pStyle w:val="SingleTxt"/>
      </w:pPr>
      <w:r>
        <w:rPr>
          <w:rFonts w:hint="eastAsia"/>
        </w:rPr>
        <w:t>35.</w:t>
      </w:r>
      <w:r w:rsidR="00FA7042">
        <w:tab/>
      </w:r>
      <w:r>
        <w:rPr>
          <w:rFonts w:hint="eastAsia"/>
        </w:rPr>
        <w:t>委员会赞赏地注意到，《儿童法》</w:t>
      </w:r>
      <w:r>
        <w:rPr>
          <w:rFonts w:hint="eastAsia"/>
        </w:rPr>
        <w:t>(2014</w:t>
      </w:r>
      <w:r>
        <w:rPr>
          <w:rFonts w:hint="eastAsia"/>
        </w:rPr>
        <w:t>年</w:t>
      </w:r>
      <w:r>
        <w:rPr>
          <w:rFonts w:hint="eastAsia"/>
        </w:rPr>
        <w:t>)</w:t>
      </w:r>
      <w:r>
        <w:rPr>
          <w:rFonts w:hint="eastAsia"/>
        </w:rPr>
        <w:t>第</w:t>
      </w:r>
      <w:r>
        <w:rPr>
          <w:rFonts w:hint="eastAsia"/>
        </w:rPr>
        <w:t>36</w:t>
      </w:r>
      <w:r>
        <w:rPr>
          <w:rFonts w:hint="eastAsia"/>
        </w:rPr>
        <w:t>条规定，公立学校实行免费义务教育，直至完成基础教育。还赞赏地注意到，各级教育女生入学率很高，以及采取措施，降低女生男生辍学和文盲率，开办职业咨询和培训方案。但委员会感到关切的是：</w:t>
      </w:r>
    </w:p>
    <w:p w14:paraId="207C3EA1" w14:textId="77777777" w:rsidR="00E57635" w:rsidRDefault="00727363" w:rsidP="00E57635">
      <w:pPr>
        <w:pStyle w:val="SingleTxt"/>
      </w:pPr>
      <w:r>
        <w:tab/>
      </w:r>
      <w:r w:rsidR="00E57635">
        <w:rPr>
          <w:rFonts w:hint="eastAsia"/>
        </w:rPr>
        <w:t>(a)</w:t>
      </w:r>
      <w:r>
        <w:tab/>
      </w:r>
      <w:r w:rsidR="00E57635">
        <w:rPr>
          <w:rFonts w:hint="eastAsia"/>
        </w:rPr>
        <w:t>处境不利群体的女童，特别是游牧女童、移民女童、残疾女童及农村地区女童和贫困女童获得教育的机会仍然有限，这些女童的文盲率和辍学率仍然很高；</w:t>
      </w:r>
    </w:p>
    <w:p w14:paraId="597B77EF" w14:textId="77777777" w:rsidR="00E57635" w:rsidRDefault="00727363" w:rsidP="00E57635">
      <w:pPr>
        <w:pStyle w:val="SingleTxt"/>
      </w:pPr>
      <w:r>
        <w:tab/>
      </w:r>
      <w:r w:rsidR="00E57635">
        <w:rPr>
          <w:rFonts w:hint="eastAsia"/>
        </w:rPr>
        <w:t>(b)</w:t>
      </w:r>
      <w:r>
        <w:tab/>
      </w:r>
      <w:r w:rsidR="00E57635">
        <w:rPr>
          <w:rFonts w:hint="eastAsia"/>
        </w:rPr>
        <w:t>性与生殖健康和权利方面的适龄教育未列入学校课程；</w:t>
      </w:r>
    </w:p>
    <w:p w14:paraId="70B4F6AB" w14:textId="77777777" w:rsidR="00E57635" w:rsidRDefault="00727363" w:rsidP="00E57635">
      <w:pPr>
        <w:pStyle w:val="SingleTxt"/>
      </w:pPr>
      <w:r>
        <w:tab/>
      </w:r>
      <w:r w:rsidR="00E57635">
        <w:rPr>
          <w:rFonts w:hint="eastAsia"/>
        </w:rPr>
        <w:t>(c)</w:t>
      </w:r>
      <w:r>
        <w:tab/>
      </w:r>
      <w:r w:rsidR="00E57635">
        <w:rPr>
          <w:rFonts w:hint="eastAsia"/>
        </w:rPr>
        <w:t>教科书中关于妇女作用和责任的传统形象深化了女童和妇女的不利地位；</w:t>
      </w:r>
    </w:p>
    <w:p w14:paraId="6967FF12" w14:textId="77777777" w:rsidR="00E57635" w:rsidRDefault="00727363" w:rsidP="00E57635">
      <w:pPr>
        <w:pStyle w:val="SingleTxt"/>
      </w:pPr>
      <w:r>
        <w:tab/>
      </w:r>
      <w:r w:rsidR="00E57635">
        <w:rPr>
          <w:rFonts w:hint="eastAsia"/>
        </w:rPr>
        <w:t>(d)</w:t>
      </w:r>
      <w:r>
        <w:tab/>
      </w:r>
      <w:r w:rsidR="00E57635">
        <w:rPr>
          <w:rFonts w:hint="eastAsia"/>
        </w:rPr>
        <w:t>教师缺乏关于妇女权利和性别平等的培训，鼓励妇女和女童选择非传统职业的职业咨询很有限，特别是在科学技术领域；</w:t>
      </w:r>
    </w:p>
    <w:p w14:paraId="55B1469B" w14:textId="77777777" w:rsidR="00E57635" w:rsidRDefault="00727363" w:rsidP="00E57635">
      <w:pPr>
        <w:pStyle w:val="SingleTxt"/>
      </w:pPr>
      <w:r>
        <w:tab/>
      </w:r>
      <w:r w:rsidR="00E57635">
        <w:rPr>
          <w:rFonts w:hint="eastAsia"/>
        </w:rPr>
        <w:t>(e)</w:t>
      </w:r>
      <w:r>
        <w:tab/>
      </w:r>
      <w:r w:rsidR="00E57635">
        <w:rPr>
          <w:rFonts w:hint="eastAsia"/>
        </w:rPr>
        <w:t>职业培训中的妇女和女童人数仍然有限。</w:t>
      </w:r>
    </w:p>
    <w:p w14:paraId="0CEE85D3" w14:textId="77777777" w:rsidR="00E57635" w:rsidRPr="007F1030" w:rsidRDefault="00E57635" w:rsidP="00E57635">
      <w:pPr>
        <w:pStyle w:val="SingleTxt"/>
        <w:rPr>
          <w:rFonts w:ascii="黑体" w:eastAsia="黑体" w:hAnsi="黑体"/>
        </w:rPr>
      </w:pPr>
      <w:r>
        <w:rPr>
          <w:rFonts w:hint="eastAsia"/>
        </w:rPr>
        <w:t>36.</w:t>
      </w:r>
      <w:r w:rsidR="00727363">
        <w:tab/>
      </w:r>
      <w:r w:rsidRPr="007F1030">
        <w:rPr>
          <w:rFonts w:ascii="黑体" w:eastAsia="黑体" w:hAnsi="黑体" w:hint="eastAsia"/>
        </w:rPr>
        <w:t>根据《公约》第十条，委员会提请注意可持续发展目标中的目标4.1，建议缔约国确保所有女生男生完成免费、公平和优质的中小学教育，取得良好成果。委员会建议缔约国：</w:t>
      </w:r>
    </w:p>
    <w:p w14:paraId="35909724" w14:textId="77777777" w:rsidR="00E57635" w:rsidRPr="007F1030" w:rsidRDefault="00727363" w:rsidP="00E57635">
      <w:pPr>
        <w:pStyle w:val="SingleTxt"/>
        <w:rPr>
          <w:rFonts w:ascii="黑体" w:eastAsia="黑体" w:hAnsi="黑体"/>
        </w:rPr>
      </w:pPr>
      <w:r>
        <w:tab/>
      </w:r>
      <w:r w:rsidR="00E57635">
        <w:rPr>
          <w:rFonts w:hint="eastAsia"/>
        </w:rPr>
        <w:t>(a)</w:t>
      </w:r>
      <w:r>
        <w:tab/>
      </w:r>
      <w:r w:rsidR="00E57635" w:rsidRPr="007F1030">
        <w:rPr>
          <w:rFonts w:ascii="黑体" w:eastAsia="黑体" w:hAnsi="黑体" w:hint="eastAsia"/>
        </w:rPr>
        <w:t>继续改善所有儿童，特别是处境不利的女童群体接受教育的机遇和质量，解决不成比例的高文盲和辍学率问题，包括确保怀孕女生及少妇和母亲重回学校，并得到支助继续在校接受教育；</w:t>
      </w:r>
    </w:p>
    <w:p w14:paraId="07030F5B" w14:textId="77777777" w:rsidR="00E57635" w:rsidRPr="007F1030" w:rsidRDefault="00727363" w:rsidP="00E57635">
      <w:pPr>
        <w:pStyle w:val="SingleTxt"/>
        <w:rPr>
          <w:rFonts w:ascii="黑体" w:eastAsia="黑体" w:hAnsi="黑体"/>
        </w:rPr>
      </w:pPr>
      <w:r>
        <w:tab/>
      </w:r>
      <w:r w:rsidR="00E57635">
        <w:rPr>
          <w:rFonts w:hint="eastAsia"/>
        </w:rPr>
        <w:t>(b)</w:t>
      </w:r>
      <w:r>
        <w:tab/>
      </w:r>
      <w:r w:rsidR="00E57635" w:rsidRPr="007F1030">
        <w:rPr>
          <w:rFonts w:ascii="黑体" w:eastAsia="黑体" w:hAnsi="黑体" w:hint="eastAsia"/>
        </w:rPr>
        <w:t>确保学校课程中纳入与年龄相适应的义务性健康和生殖健康教育，特别注意预防早孕和性病，包括艾滋病毒/艾滋病，以及性暴力；</w:t>
      </w:r>
    </w:p>
    <w:p w14:paraId="1B70D048" w14:textId="77777777" w:rsidR="00E57635" w:rsidRPr="007F1030" w:rsidRDefault="00727363" w:rsidP="00E57635">
      <w:pPr>
        <w:pStyle w:val="SingleTxt"/>
        <w:rPr>
          <w:rFonts w:ascii="黑体" w:eastAsia="黑体" w:hAnsi="黑体"/>
        </w:rPr>
      </w:pPr>
      <w:r>
        <w:tab/>
      </w:r>
      <w:r w:rsidR="00E57635">
        <w:rPr>
          <w:rFonts w:hint="eastAsia"/>
        </w:rPr>
        <w:t>(c)</w:t>
      </w:r>
      <w:r>
        <w:tab/>
      </w:r>
      <w:r w:rsidR="00E57635" w:rsidRPr="007F1030">
        <w:rPr>
          <w:rFonts w:ascii="黑体" w:eastAsia="黑体" w:hAnsi="黑体" w:hint="eastAsia"/>
        </w:rPr>
        <w:t>审查各级教育课程和教科书，消除关于妇女作用的歧视性陈规定型观念，加强教师的妇女权利和性别平等培训，以期改变对男女家庭和社会作用的现有旧俗；</w:t>
      </w:r>
    </w:p>
    <w:p w14:paraId="51F312CD" w14:textId="77777777" w:rsidR="00E57635" w:rsidRPr="007F1030" w:rsidRDefault="00727363" w:rsidP="00E57635">
      <w:pPr>
        <w:pStyle w:val="SingleTxt"/>
        <w:rPr>
          <w:rFonts w:ascii="黑体" w:eastAsia="黑体" w:hAnsi="黑体"/>
        </w:rPr>
      </w:pPr>
      <w:r>
        <w:lastRenderedPageBreak/>
        <w:tab/>
      </w:r>
      <w:r w:rsidR="00E57635">
        <w:rPr>
          <w:rFonts w:hint="eastAsia"/>
        </w:rPr>
        <w:t>(d)</w:t>
      </w:r>
      <w:r>
        <w:tab/>
      </w:r>
      <w:r w:rsidR="00E57635" w:rsidRPr="007F1030">
        <w:rPr>
          <w:rFonts w:ascii="黑体" w:eastAsia="黑体" w:hAnsi="黑体" w:hint="eastAsia"/>
        </w:rPr>
        <w:t>优先消除妨碍女生进入传统上以男性为主的科学技术研究领域的传统陈规定型观念和结构性障碍，加紧努力，为女生提供非传统职业道路、及符合市场需求的非定型研究领域的职业咨询；</w:t>
      </w:r>
    </w:p>
    <w:p w14:paraId="75252899" w14:textId="77777777" w:rsidR="00E57635" w:rsidRPr="007F1030" w:rsidRDefault="00727363" w:rsidP="00E57635">
      <w:pPr>
        <w:pStyle w:val="SingleTxt"/>
        <w:rPr>
          <w:rFonts w:ascii="黑体" w:eastAsia="黑体" w:hAnsi="黑体"/>
        </w:rPr>
      </w:pPr>
      <w:r>
        <w:tab/>
      </w:r>
      <w:r w:rsidR="00E57635">
        <w:rPr>
          <w:rFonts w:hint="eastAsia"/>
        </w:rPr>
        <w:t>(e)</w:t>
      </w:r>
      <w:r>
        <w:tab/>
      </w:r>
      <w:r w:rsidR="00E57635" w:rsidRPr="007F1030">
        <w:rPr>
          <w:rFonts w:ascii="黑体" w:eastAsia="黑体" w:hAnsi="黑体" w:hint="eastAsia"/>
        </w:rPr>
        <w:t>继续推动对妇女和女童的职业培训，鼓励她们参加这种培训。</w:t>
      </w:r>
    </w:p>
    <w:p w14:paraId="2D936587" w14:textId="77777777" w:rsidR="00E57635" w:rsidRPr="007F1030" w:rsidRDefault="00E57635" w:rsidP="00E57635">
      <w:pPr>
        <w:pStyle w:val="SingleTxt"/>
        <w:rPr>
          <w:rFonts w:ascii="黑体" w:eastAsia="黑体" w:hAnsi="黑体"/>
        </w:rPr>
      </w:pPr>
      <w:r w:rsidRPr="007F1030">
        <w:rPr>
          <w:rFonts w:ascii="黑体" w:eastAsia="黑体" w:hAnsi="黑体" w:hint="eastAsia"/>
        </w:rPr>
        <w:t>就业</w:t>
      </w:r>
    </w:p>
    <w:p w14:paraId="0AAAADE9" w14:textId="77777777" w:rsidR="00E57635" w:rsidRDefault="00E57635" w:rsidP="00E57635">
      <w:pPr>
        <w:pStyle w:val="SingleTxt"/>
      </w:pPr>
      <w:r>
        <w:rPr>
          <w:rFonts w:hint="eastAsia"/>
        </w:rPr>
        <w:t>37.</w:t>
      </w:r>
      <w:r w:rsidR="00727363">
        <w:tab/>
      </w:r>
      <w:r>
        <w:rPr>
          <w:rFonts w:hint="eastAsia"/>
        </w:rPr>
        <w:t>委员会赞赏地注意到，《劳动法》确认禁止性别歧视，禁止雇主以产假为由解雇女工。还赞赏地注意到，女性劳动参与率从</w:t>
      </w:r>
      <w:r>
        <w:rPr>
          <w:rFonts w:hint="eastAsia"/>
        </w:rPr>
        <w:t>1990</w:t>
      </w:r>
      <w:r>
        <w:rPr>
          <w:rFonts w:hint="eastAsia"/>
        </w:rPr>
        <w:t>年的</w:t>
      </w:r>
      <w:r>
        <w:rPr>
          <w:rFonts w:hint="eastAsia"/>
        </w:rPr>
        <w:t>17</w:t>
      </w:r>
      <w:r>
        <w:rPr>
          <w:rFonts w:hint="eastAsia"/>
        </w:rPr>
        <w:t>％上升到</w:t>
      </w:r>
      <w:r>
        <w:rPr>
          <w:rFonts w:hint="eastAsia"/>
        </w:rPr>
        <w:t>2016</w:t>
      </w:r>
      <w:r>
        <w:rPr>
          <w:rFonts w:hint="eastAsia"/>
        </w:rPr>
        <w:t>年的</w:t>
      </w:r>
      <w:r>
        <w:rPr>
          <w:rFonts w:hint="eastAsia"/>
        </w:rPr>
        <w:t>30</w:t>
      </w:r>
      <w:r>
        <w:rPr>
          <w:rFonts w:hint="eastAsia"/>
        </w:rPr>
        <w:t>％，公务员队伍中上升到</w:t>
      </w:r>
      <w:r>
        <w:rPr>
          <w:rFonts w:hint="eastAsia"/>
        </w:rPr>
        <w:t>47</w:t>
      </w:r>
      <w:r>
        <w:rPr>
          <w:rFonts w:hint="eastAsia"/>
        </w:rPr>
        <w:t>％。但委员会关切的是：</w:t>
      </w:r>
    </w:p>
    <w:p w14:paraId="50DE6A28" w14:textId="77777777" w:rsidR="00E57635" w:rsidRDefault="00727363" w:rsidP="00E57635">
      <w:pPr>
        <w:pStyle w:val="SingleTxt"/>
      </w:pPr>
      <w:r>
        <w:tab/>
      </w:r>
      <w:r w:rsidR="00E57635">
        <w:rPr>
          <w:rFonts w:hint="eastAsia"/>
        </w:rPr>
        <w:t>(a)</w:t>
      </w:r>
      <w:r>
        <w:tab/>
      </w:r>
      <w:r w:rsidR="00E57635">
        <w:rPr>
          <w:rFonts w:hint="eastAsia"/>
        </w:rPr>
        <w:t>采取的措施不足以促进男女共同承担家庭责任的概念，解决妇女兼顾工作与家庭责任的难题；</w:t>
      </w:r>
    </w:p>
    <w:p w14:paraId="7F9B684E" w14:textId="77777777" w:rsidR="00E57635" w:rsidRDefault="00727363" w:rsidP="00E57635">
      <w:pPr>
        <w:pStyle w:val="SingleTxt"/>
      </w:pPr>
      <w:r>
        <w:tab/>
      </w:r>
      <w:r w:rsidR="00E57635">
        <w:rPr>
          <w:rFonts w:hint="eastAsia"/>
        </w:rPr>
        <w:t>(b)</w:t>
      </w:r>
      <w:r>
        <w:tab/>
      </w:r>
      <w:r w:rsidR="00E57635">
        <w:rPr>
          <w:rFonts w:hint="eastAsia"/>
        </w:rPr>
        <w:t>与男子相比，妇女在私营部门就业比例较低；</w:t>
      </w:r>
    </w:p>
    <w:p w14:paraId="07FD6822" w14:textId="77777777" w:rsidR="00E57635" w:rsidRDefault="00727363" w:rsidP="00E57635">
      <w:pPr>
        <w:pStyle w:val="SingleTxt"/>
      </w:pPr>
      <w:r>
        <w:tab/>
      </w:r>
      <w:r w:rsidR="00E57635">
        <w:rPr>
          <w:rFonts w:hint="eastAsia"/>
        </w:rPr>
        <w:t>(c)</w:t>
      </w:r>
      <w:r>
        <w:tab/>
      </w:r>
      <w:r w:rsidR="00E57635">
        <w:rPr>
          <w:rFonts w:hint="eastAsia"/>
        </w:rPr>
        <w:t>《劳动法》</w:t>
      </w:r>
      <w:r w:rsidR="00E57635">
        <w:rPr>
          <w:rFonts w:hint="eastAsia"/>
        </w:rPr>
        <w:t>(2003</w:t>
      </w:r>
      <w:r w:rsidR="00E57635">
        <w:rPr>
          <w:rFonts w:hint="eastAsia"/>
        </w:rPr>
        <w:t>年</w:t>
      </w:r>
      <w:r w:rsidR="00E57635">
        <w:rPr>
          <w:rFonts w:hint="eastAsia"/>
        </w:rPr>
        <w:t>)</w:t>
      </w:r>
      <w:r w:rsidR="00E57635">
        <w:rPr>
          <w:rFonts w:hint="eastAsia"/>
        </w:rPr>
        <w:t>限制妇女就业，禁止在晚</w:t>
      </w:r>
      <w:r w:rsidR="00E57635">
        <w:rPr>
          <w:rFonts w:hint="eastAsia"/>
        </w:rPr>
        <w:t>9</w:t>
      </w:r>
      <w:r w:rsidR="00E57635">
        <w:rPr>
          <w:rFonts w:hint="eastAsia"/>
        </w:rPr>
        <w:t>时至早</w:t>
      </w:r>
      <w:r w:rsidR="00E57635">
        <w:rPr>
          <w:rFonts w:hint="eastAsia"/>
        </w:rPr>
        <w:t>6</w:t>
      </w:r>
      <w:r w:rsidR="00E57635">
        <w:rPr>
          <w:rFonts w:hint="eastAsia"/>
        </w:rPr>
        <w:t>时期间雇用妇女</w:t>
      </w:r>
      <w:r w:rsidR="00E57635">
        <w:rPr>
          <w:rFonts w:hint="eastAsia"/>
        </w:rPr>
        <w:t>(</w:t>
      </w:r>
      <w:r w:rsidR="00E57635">
        <w:rPr>
          <w:rFonts w:hint="eastAsia"/>
        </w:rPr>
        <w:t>特殊情况除外</w:t>
      </w:r>
      <w:r w:rsidR="00E57635">
        <w:rPr>
          <w:rFonts w:hint="eastAsia"/>
        </w:rPr>
        <w:t>)</w:t>
      </w:r>
      <w:r w:rsidR="00E57635">
        <w:rPr>
          <w:rFonts w:hint="eastAsia"/>
        </w:rPr>
        <w:t>，禁止有害和特别困难的工作；</w:t>
      </w:r>
    </w:p>
    <w:p w14:paraId="1F909421" w14:textId="77777777" w:rsidR="00E57635" w:rsidRDefault="00EF2CAB" w:rsidP="00E57635">
      <w:pPr>
        <w:pStyle w:val="SingleTxt"/>
      </w:pPr>
      <w:r>
        <w:rPr>
          <w:rFonts w:hint="eastAsia"/>
        </w:rPr>
        <w:tab/>
        <w:t>(</w:t>
      </w:r>
      <w:r w:rsidR="00E57635">
        <w:rPr>
          <w:rFonts w:hint="eastAsia"/>
        </w:rPr>
        <w:t>d</w:t>
      </w:r>
      <w:r>
        <w:rPr>
          <w:rFonts w:hint="eastAsia"/>
        </w:rPr>
        <w:t>)</w:t>
      </w:r>
      <w:r>
        <w:rPr>
          <w:rFonts w:hint="eastAsia"/>
        </w:rPr>
        <w:tab/>
      </w:r>
      <w:r w:rsidR="00E57635">
        <w:rPr>
          <w:rFonts w:hint="eastAsia"/>
        </w:rPr>
        <w:t>歧视性的工作空缺通知；</w:t>
      </w:r>
    </w:p>
    <w:p w14:paraId="088F7D2D" w14:textId="77777777" w:rsidR="00E57635" w:rsidRDefault="00EF2CAB" w:rsidP="00E57635">
      <w:pPr>
        <w:pStyle w:val="SingleTxt"/>
      </w:pPr>
      <w:r>
        <w:rPr>
          <w:rFonts w:hint="eastAsia"/>
        </w:rPr>
        <w:tab/>
        <w:t>(</w:t>
      </w:r>
      <w:r w:rsidR="00E57635">
        <w:rPr>
          <w:rFonts w:hint="eastAsia"/>
        </w:rPr>
        <w:t>e</w:t>
      </w:r>
      <w:r>
        <w:rPr>
          <w:rFonts w:hint="eastAsia"/>
        </w:rPr>
        <w:t>)</w:t>
      </w:r>
      <w:r>
        <w:rPr>
          <w:rFonts w:hint="eastAsia"/>
        </w:rPr>
        <w:tab/>
      </w:r>
      <w:r w:rsidR="00E57635">
        <w:rPr>
          <w:rFonts w:hint="eastAsia"/>
        </w:rPr>
        <w:t>继续横向和纵向的职业隔离，妇女集中在低薪工作；</w:t>
      </w:r>
    </w:p>
    <w:p w14:paraId="03C1C9E5" w14:textId="77777777" w:rsidR="00E57635" w:rsidRDefault="00EF2CAB" w:rsidP="00E57635">
      <w:pPr>
        <w:pStyle w:val="SingleTxt"/>
      </w:pPr>
      <w:r>
        <w:rPr>
          <w:rFonts w:hint="eastAsia"/>
        </w:rPr>
        <w:tab/>
        <w:t>(</w:t>
      </w:r>
      <w:r w:rsidR="00E57635">
        <w:rPr>
          <w:rFonts w:hint="eastAsia"/>
        </w:rPr>
        <w:t>f</w:t>
      </w:r>
      <w:r>
        <w:rPr>
          <w:rFonts w:hint="eastAsia"/>
        </w:rPr>
        <w:t>)</w:t>
      </w:r>
      <w:r>
        <w:rPr>
          <w:rFonts w:hint="eastAsia"/>
        </w:rPr>
        <w:tab/>
      </w:r>
      <w:r w:rsidR="00E57635">
        <w:rPr>
          <w:rFonts w:hint="eastAsia"/>
        </w:rPr>
        <w:t>公共和私营部门男女工资差距持续存在。</w:t>
      </w:r>
    </w:p>
    <w:p w14:paraId="3C6AFF8D" w14:textId="77777777" w:rsidR="00E57635" w:rsidRPr="00D910C2" w:rsidRDefault="00E57635" w:rsidP="00E57635">
      <w:pPr>
        <w:pStyle w:val="SingleTxt"/>
        <w:rPr>
          <w:rFonts w:ascii="黑体" w:eastAsia="黑体" w:hAnsi="黑体"/>
        </w:rPr>
      </w:pPr>
      <w:r>
        <w:rPr>
          <w:rFonts w:hint="eastAsia"/>
        </w:rPr>
        <w:t>38.</w:t>
      </w:r>
      <w:r w:rsidR="007F1030">
        <w:rPr>
          <w:rFonts w:hint="eastAsia"/>
        </w:rPr>
        <w:tab/>
      </w:r>
      <w:r w:rsidRPr="00D910C2">
        <w:rPr>
          <w:rFonts w:ascii="黑体" w:eastAsia="黑体" w:hAnsi="黑体" w:hint="eastAsia"/>
        </w:rPr>
        <w:t>委员会建议缔约国：</w:t>
      </w:r>
    </w:p>
    <w:p w14:paraId="6FDAA840" w14:textId="77777777" w:rsidR="00E57635" w:rsidRPr="007F1030" w:rsidRDefault="00EF2CAB" w:rsidP="00E57635">
      <w:pPr>
        <w:pStyle w:val="SingleTx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7F1030">
        <w:rPr>
          <w:rFonts w:ascii="黑体" w:eastAsia="黑体" w:hAnsi="黑体" w:hint="eastAsia"/>
        </w:rPr>
        <w:t>促进男女平等分担家庭和家庭责任，包括在分娩之后实行义务陪产假或共同育儿假，并提供更多更好的托儿设施；</w:t>
      </w:r>
    </w:p>
    <w:p w14:paraId="32758BE6" w14:textId="77777777" w:rsidR="00E57635" w:rsidRDefault="00EF2CAB" w:rsidP="00E57635">
      <w:pPr>
        <w:pStyle w:val="SingleTxt"/>
      </w:pPr>
      <w:r>
        <w:rPr>
          <w:rFonts w:hint="eastAsia"/>
        </w:rPr>
        <w:tab/>
        <w:t>(</w:t>
      </w:r>
      <w:r w:rsidR="00E57635">
        <w:rPr>
          <w:rFonts w:hint="eastAsia"/>
        </w:rPr>
        <w:t>b</w:t>
      </w:r>
      <w:r>
        <w:rPr>
          <w:rFonts w:hint="eastAsia"/>
        </w:rPr>
        <w:t>)</w:t>
      </w:r>
      <w:r>
        <w:rPr>
          <w:rFonts w:hint="eastAsia"/>
        </w:rPr>
        <w:tab/>
      </w:r>
      <w:r w:rsidR="00E57635" w:rsidRPr="007F1030">
        <w:rPr>
          <w:rFonts w:ascii="黑体" w:eastAsia="黑体" w:hAnsi="黑体" w:hint="eastAsia"/>
        </w:rPr>
        <w:t>根据《公约》第四(1)条和委员会关于暂行特别措施的第25号一般性建议(2004年)，采取包括暂行特别措施在内的措施，例如奖励雇主招聘妇女，引入灵活工作安排，加强对妇女的专业培训，让更多妇女进入正规劳动市场；</w:t>
      </w:r>
    </w:p>
    <w:p w14:paraId="6284B8B7" w14:textId="77777777" w:rsidR="00E57635" w:rsidRPr="007F1030" w:rsidRDefault="00EF2CAB" w:rsidP="00E57635">
      <w:pPr>
        <w:pStyle w:val="SingleTxt"/>
        <w:rPr>
          <w:rFonts w:ascii="黑体" w:eastAsia="黑体" w:hAnsi="黑体"/>
        </w:rPr>
      </w:pPr>
      <w:r>
        <w:rPr>
          <w:rFonts w:hint="eastAsia"/>
        </w:rPr>
        <w:tab/>
        <w:t>(</w:t>
      </w:r>
      <w:r w:rsidR="00E57635">
        <w:rPr>
          <w:rFonts w:hint="eastAsia"/>
        </w:rPr>
        <w:t>c</w:t>
      </w:r>
      <w:r>
        <w:rPr>
          <w:rFonts w:hint="eastAsia"/>
        </w:rPr>
        <w:t>)</w:t>
      </w:r>
      <w:r>
        <w:rPr>
          <w:rFonts w:hint="eastAsia"/>
        </w:rPr>
        <w:tab/>
      </w:r>
      <w:r w:rsidR="00E57635" w:rsidRPr="007F1030">
        <w:rPr>
          <w:rFonts w:ascii="黑体" w:eastAsia="黑体" w:hAnsi="黑体" w:hint="eastAsia"/>
        </w:rPr>
        <w:t>修订《劳动法》，解除对妇女就业的限制；</w:t>
      </w:r>
    </w:p>
    <w:p w14:paraId="18AF2D3C" w14:textId="77777777" w:rsidR="00E57635" w:rsidRDefault="00EF2CAB" w:rsidP="00E57635">
      <w:pPr>
        <w:pStyle w:val="SingleTxt"/>
      </w:pPr>
      <w:r>
        <w:rPr>
          <w:rFonts w:hint="eastAsia"/>
        </w:rPr>
        <w:tab/>
        <w:t>(</w:t>
      </w:r>
      <w:r w:rsidR="00E57635">
        <w:rPr>
          <w:rFonts w:hint="eastAsia"/>
        </w:rPr>
        <w:t>d</w:t>
      </w:r>
      <w:r>
        <w:rPr>
          <w:rFonts w:hint="eastAsia"/>
        </w:rPr>
        <w:t>)</w:t>
      </w:r>
      <w:r>
        <w:rPr>
          <w:rFonts w:hint="eastAsia"/>
        </w:rPr>
        <w:tab/>
      </w:r>
      <w:r w:rsidR="00E57635" w:rsidRPr="007F1030">
        <w:rPr>
          <w:rFonts w:ascii="黑体" w:eastAsia="黑体" w:hAnsi="黑体" w:hint="eastAsia"/>
        </w:rPr>
        <w:t>审查公共和私营部门的工作空缺通知，消除歧视性语言；</w:t>
      </w:r>
    </w:p>
    <w:p w14:paraId="136707BA" w14:textId="77777777" w:rsidR="00E57635" w:rsidRPr="007F1030" w:rsidRDefault="00EF2CAB" w:rsidP="00E57635">
      <w:pPr>
        <w:pStyle w:val="SingleTxt"/>
        <w:rPr>
          <w:rFonts w:ascii="黑体" w:eastAsia="黑体" w:hAnsi="黑体"/>
        </w:rPr>
      </w:pPr>
      <w:r>
        <w:rPr>
          <w:rFonts w:hint="eastAsia"/>
        </w:rPr>
        <w:tab/>
        <w:t>(</w:t>
      </w:r>
      <w:r w:rsidR="00E57635">
        <w:rPr>
          <w:rFonts w:hint="eastAsia"/>
        </w:rPr>
        <w:t>e</w:t>
      </w:r>
      <w:r>
        <w:rPr>
          <w:rFonts w:hint="eastAsia"/>
        </w:rPr>
        <w:t>)</w:t>
      </w:r>
      <w:r>
        <w:rPr>
          <w:rFonts w:hint="eastAsia"/>
        </w:rPr>
        <w:tab/>
      </w:r>
      <w:r w:rsidR="00E57635" w:rsidRPr="007F1030">
        <w:rPr>
          <w:rFonts w:ascii="黑体" w:eastAsia="黑体" w:hAnsi="黑体" w:hint="eastAsia"/>
        </w:rPr>
        <w:t>采取有效措施，包括技能培训和奖励措施，鼓励妇女到非传统领域工作，消除公共和私营部门在横向和纵向上的职业隔离；</w:t>
      </w:r>
    </w:p>
    <w:p w14:paraId="72A0357F" w14:textId="77777777" w:rsidR="00E57635" w:rsidRPr="007F1030" w:rsidRDefault="00EF2CAB" w:rsidP="00E57635">
      <w:pPr>
        <w:pStyle w:val="SingleTxt"/>
        <w:rPr>
          <w:rFonts w:ascii="黑体" w:eastAsia="黑体" w:hAnsi="黑体"/>
        </w:rPr>
      </w:pPr>
      <w:r>
        <w:rPr>
          <w:rFonts w:hint="eastAsia"/>
        </w:rPr>
        <w:tab/>
        <w:t>(</w:t>
      </w:r>
      <w:r w:rsidR="00E57635">
        <w:rPr>
          <w:rFonts w:hint="eastAsia"/>
        </w:rPr>
        <w:t>f</w:t>
      </w:r>
      <w:r>
        <w:rPr>
          <w:rFonts w:hint="eastAsia"/>
        </w:rPr>
        <w:t>)</w:t>
      </w:r>
      <w:r>
        <w:rPr>
          <w:rFonts w:hint="eastAsia"/>
        </w:rPr>
        <w:tab/>
      </w:r>
      <w:r w:rsidR="00E57635" w:rsidRPr="007F1030">
        <w:rPr>
          <w:rFonts w:ascii="黑体" w:eastAsia="黑体" w:hAnsi="黑体" w:hint="eastAsia"/>
        </w:rPr>
        <w:t>有效执行第78/2013号谕令，缩小和最终消除男女工资差距，包括采用对性别敏感的分析工作分类、评估方法以及定期的薪酬调查。</w:t>
      </w:r>
    </w:p>
    <w:p w14:paraId="07313B8E" w14:textId="77777777" w:rsidR="00E57635" w:rsidRPr="007F1030" w:rsidRDefault="00E57635" w:rsidP="00E57635">
      <w:pPr>
        <w:pStyle w:val="SingleTxt"/>
        <w:rPr>
          <w:rFonts w:ascii="黑体" w:eastAsia="黑体" w:hAnsi="黑体"/>
        </w:rPr>
      </w:pPr>
      <w:r w:rsidRPr="007F1030">
        <w:rPr>
          <w:rFonts w:ascii="黑体" w:eastAsia="黑体" w:hAnsi="黑体" w:hint="eastAsia"/>
        </w:rPr>
        <w:t>移民女佣</w:t>
      </w:r>
    </w:p>
    <w:p w14:paraId="06C67827" w14:textId="77777777" w:rsidR="00E57635" w:rsidRDefault="00E57635" w:rsidP="00E57635">
      <w:pPr>
        <w:pStyle w:val="SingleTxt"/>
      </w:pPr>
      <w:r>
        <w:rPr>
          <w:rFonts w:hint="eastAsia"/>
        </w:rPr>
        <w:t>39.</w:t>
      </w:r>
      <w:r w:rsidR="007F1030">
        <w:rPr>
          <w:rFonts w:hint="eastAsia"/>
        </w:rPr>
        <w:tab/>
      </w:r>
      <w:r>
        <w:rPr>
          <w:rFonts w:hint="eastAsia"/>
        </w:rPr>
        <w:t>委员会赞赏地注意到，缔约国为保护移民女佣的权利采取措施，例如签发统一的标准合同，开展宣讲移民女佣权利的宣传运动，通过法律将贩运人口定为刑事犯罪，颁发通知，禁止没收护照，并为虐待和剥削受害者设立热线。委员会还</w:t>
      </w:r>
      <w:r>
        <w:rPr>
          <w:rFonts w:hint="eastAsia"/>
        </w:rPr>
        <w:lastRenderedPageBreak/>
        <w:t>注意到，缔约国代表团提供的资料显示，外籍女佣可改变雇主。但委员会关切的是：</w:t>
      </w:r>
    </w:p>
    <w:p w14:paraId="06FC212D" w14:textId="77777777" w:rsidR="00E57635" w:rsidRDefault="00EF2CAB" w:rsidP="00C94A2D">
      <w:pPr>
        <w:pStyle w:val="SingleTxt"/>
        <w:spacing w:after="180" w:line="340" w:lineRule="exact"/>
      </w:pPr>
      <w:r>
        <w:rPr>
          <w:rFonts w:hint="eastAsia"/>
        </w:rPr>
        <w:tab/>
        <w:t>(</w:t>
      </w:r>
      <w:r w:rsidR="00E57635">
        <w:rPr>
          <w:rFonts w:hint="eastAsia"/>
        </w:rPr>
        <w:t>a</w:t>
      </w:r>
      <w:r>
        <w:rPr>
          <w:rFonts w:hint="eastAsia"/>
        </w:rPr>
        <w:t>)</w:t>
      </w:r>
      <w:r>
        <w:rPr>
          <w:rFonts w:hint="eastAsia"/>
        </w:rPr>
        <w:tab/>
      </w:r>
      <w:r w:rsidR="00E57635">
        <w:rPr>
          <w:rFonts w:hint="eastAsia"/>
        </w:rPr>
        <w:t>这些措施证明不足以确保尊重移民女佣的人权，比如她们遭受经济和身体虐待和剥削，以及雇主没收护照等做法持续存在，卡法拉制度实际上明显依然存在；这进一步增加了她们受剥削的风险，使其在受虐待时也难以改换雇主；</w:t>
      </w:r>
    </w:p>
    <w:p w14:paraId="119166E2" w14:textId="77777777" w:rsidR="00E57635" w:rsidRDefault="00EF2CAB" w:rsidP="00C94A2D">
      <w:pPr>
        <w:pStyle w:val="SingleTxt"/>
        <w:spacing w:after="180" w:line="340" w:lineRule="exact"/>
      </w:pPr>
      <w:r>
        <w:rPr>
          <w:rFonts w:hint="eastAsia"/>
        </w:rPr>
        <w:tab/>
        <w:t>(</w:t>
      </w:r>
      <w:r w:rsidR="00E57635">
        <w:rPr>
          <w:rFonts w:hint="eastAsia"/>
        </w:rPr>
        <w:t>b</w:t>
      </w:r>
      <w:r>
        <w:rPr>
          <w:rFonts w:hint="eastAsia"/>
        </w:rPr>
        <w:t>)</w:t>
      </w:r>
      <w:r>
        <w:rPr>
          <w:rFonts w:hint="eastAsia"/>
        </w:rPr>
        <w:tab/>
      </w:r>
      <w:r w:rsidR="00E57635">
        <w:rPr>
          <w:rFonts w:hint="eastAsia"/>
        </w:rPr>
        <w:t>2011</w:t>
      </w:r>
      <w:r w:rsidR="00E57635">
        <w:rPr>
          <w:rFonts w:hint="eastAsia"/>
        </w:rPr>
        <w:t>年第</w:t>
      </w:r>
      <w:r w:rsidR="00E57635">
        <w:rPr>
          <w:rFonts w:hint="eastAsia"/>
        </w:rPr>
        <w:t>1/2011</w:t>
      </w:r>
      <w:r w:rsidR="00E57635">
        <w:rPr>
          <w:rFonts w:hint="eastAsia"/>
        </w:rPr>
        <w:t>号部级法令颁布了关于招募非阿曼工人、家庭佣工不在《劳动法》保护之列、因此无法诉诸劳动法院的条例，其保护力度有限；而且，家庭佣工可能仍然不能改换雇主，否则就冒承担“潜逃”罪名的风险；</w:t>
      </w:r>
    </w:p>
    <w:p w14:paraId="1224B409" w14:textId="77777777" w:rsidR="00E57635" w:rsidRDefault="00EF2CAB" w:rsidP="00C94A2D">
      <w:pPr>
        <w:pStyle w:val="SingleTxt"/>
        <w:spacing w:after="180" w:line="340" w:lineRule="exact"/>
      </w:pPr>
      <w:r>
        <w:rPr>
          <w:rFonts w:hint="eastAsia"/>
        </w:rPr>
        <w:tab/>
        <w:t>(</w:t>
      </w:r>
      <w:r w:rsidR="00E57635">
        <w:rPr>
          <w:rFonts w:hint="eastAsia"/>
        </w:rPr>
        <w:t>c</w:t>
      </w:r>
      <w:r>
        <w:rPr>
          <w:rFonts w:hint="eastAsia"/>
        </w:rPr>
        <w:t>)</w:t>
      </w:r>
      <w:r>
        <w:rPr>
          <w:rFonts w:hint="eastAsia"/>
        </w:rPr>
        <w:tab/>
      </w:r>
      <w:r w:rsidR="00E57635">
        <w:rPr>
          <w:rFonts w:hint="eastAsia"/>
        </w:rPr>
        <w:t>根据《刑法》，强迫劳动不属刑事犯罪，其只在《劳动法》中禁止，而《劳动法》又不适用于家庭佣工；</w:t>
      </w:r>
    </w:p>
    <w:p w14:paraId="251B7F22" w14:textId="77777777" w:rsidR="00E57635" w:rsidRDefault="00EF2CAB" w:rsidP="00C94A2D">
      <w:pPr>
        <w:pStyle w:val="SingleTxt"/>
        <w:spacing w:after="180" w:line="340" w:lineRule="exact"/>
      </w:pPr>
      <w:r>
        <w:rPr>
          <w:rFonts w:hint="eastAsia"/>
        </w:rPr>
        <w:tab/>
        <w:t>(</w:t>
      </w:r>
      <w:r w:rsidR="00E57635">
        <w:rPr>
          <w:rFonts w:hint="eastAsia"/>
        </w:rPr>
        <w:t>d</w:t>
      </w:r>
      <w:r>
        <w:rPr>
          <w:rFonts w:hint="eastAsia"/>
        </w:rPr>
        <w:t>)</w:t>
      </w:r>
      <w:r>
        <w:rPr>
          <w:rFonts w:hint="eastAsia"/>
        </w:rPr>
        <w:tab/>
      </w:r>
      <w:r w:rsidR="00E57635">
        <w:rPr>
          <w:rFonts w:hint="eastAsia"/>
        </w:rPr>
        <w:t>有些障碍影响到移民女佣的司法诉求，包括在法律诉讼尚未完结时担心被驱逐和居住不安全；</w:t>
      </w:r>
    </w:p>
    <w:p w14:paraId="2AE9083B" w14:textId="77777777" w:rsidR="00E57635" w:rsidRDefault="00EF2CAB" w:rsidP="00C94A2D">
      <w:pPr>
        <w:pStyle w:val="SingleTxt"/>
        <w:spacing w:after="180" w:line="340" w:lineRule="exact"/>
      </w:pPr>
      <w:r>
        <w:rPr>
          <w:rFonts w:hint="eastAsia"/>
        </w:rPr>
        <w:tab/>
        <w:t>(</w:t>
      </w:r>
      <w:r w:rsidR="00E57635">
        <w:rPr>
          <w:rFonts w:hint="eastAsia"/>
        </w:rPr>
        <w:t>e</w:t>
      </w:r>
      <w:r>
        <w:rPr>
          <w:rFonts w:hint="eastAsia"/>
        </w:rPr>
        <w:t>)</w:t>
      </w:r>
      <w:r>
        <w:rPr>
          <w:rFonts w:hint="eastAsia"/>
        </w:rPr>
        <w:tab/>
      </w:r>
      <w:r w:rsidR="00E57635">
        <w:rPr>
          <w:rFonts w:hint="eastAsia"/>
        </w:rPr>
        <w:t>缺乏定期劳动监察，监测工作场所中移民女工的工作条件；</w:t>
      </w:r>
    </w:p>
    <w:p w14:paraId="48ED80D9" w14:textId="77777777" w:rsidR="00E57635" w:rsidRDefault="00EF2CAB" w:rsidP="00C94A2D">
      <w:pPr>
        <w:pStyle w:val="SingleTxt"/>
        <w:spacing w:after="180" w:line="340" w:lineRule="exact"/>
      </w:pPr>
      <w:r>
        <w:rPr>
          <w:rFonts w:hint="eastAsia"/>
        </w:rPr>
        <w:tab/>
        <w:t>(</w:t>
      </w:r>
      <w:r w:rsidR="00E57635">
        <w:rPr>
          <w:rFonts w:hint="eastAsia"/>
        </w:rPr>
        <w:t>f</w:t>
      </w:r>
      <w:r>
        <w:rPr>
          <w:rFonts w:hint="eastAsia"/>
        </w:rPr>
        <w:t>)</w:t>
      </w:r>
      <w:r>
        <w:rPr>
          <w:rFonts w:hint="eastAsia"/>
        </w:rPr>
        <w:tab/>
      </w:r>
      <w:r w:rsidR="00E57635">
        <w:rPr>
          <w:rFonts w:hint="eastAsia"/>
        </w:rPr>
        <w:t>移民女佣工作合同无执法机制；</w:t>
      </w:r>
    </w:p>
    <w:p w14:paraId="5A74CE43" w14:textId="77777777" w:rsidR="00E57635" w:rsidRDefault="00EF2CAB" w:rsidP="00C94A2D">
      <w:pPr>
        <w:pStyle w:val="SingleTxt"/>
        <w:spacing w:after="180" w:line="340" w:lineRule="exact"/>
      </w:pPr>
      <w:r>
        <w:rPr>
          <w:rFonts w:hint="eastAsia"/>
        </w:rPr>
        <w:tab/>
        <w:t>(</w:t>
      </w:r>
      <w:r w:rsidR="00E57635">
        <w:rPr>
          <w:rFonts w:hint="eastAsia"/>
        </w:rPr>
        <w:t>g</w:t>
      </w:r>
      <w:r>
        <w:rPr>
          <w:rFonts w:hint="eastAsia"/>
        </w:rPr>
        <w:t>)</w:t>
      </w:r>
      <w:r>
        <w:rPr>
          <w:rFonts w:hint="eastAsia"/>
        </w:rPr>
        <w:tab/>
      </w:r>
      <w:r w:rsidR="00E57635">
        <w:rPr>
          <w:rFonts w:hint="eastAsia"/>
        </w:rPr>
        <w:t>受虐待和剥削的妇女无庇护所。</w:t>
      </w:r>
    </w:p>
    <w:p w14:paraId="4E19BA7A" w14:textId="77777777" w:rsidR="00E57635" w:rsidRPr="00C94A2D" w:rsidRDefault="00E57635" w:rsidP="00C94A2D">
      <w:pPr>
        <w:pStyle w:val="SingleTxt"/>
        <w:spacing w:after="180" w:line="340" w:lineRule="exact"/>
        <w:rPr>
          <w:rFonts w:ascii="黑体" w:eastAsia="黑体" w:hAnsi="黑体"/>
        </w:rPr>
      </w:pPr>
      <w:r>
        <w:rPr>
          <w:rFonts w:hint="eastAsia"/>
        </w:rPr>
        <w:t>40.</w:t>
      </w:r>
      <w:r w:rsidR="007F1030">
        <w:rPr>
          <w:rFonts w:hint="eastAsia"/>
        </w:rPr>
        <w:tab/>
      </w:r>
      <w:r w:rsidRPr="00C94A2D">
        <w:rPr>
          <w:rFonts w:ascii="黑体" w:eastAsia="黑体" w:hAnsi="黑体" w:hint="eastAsia"/>
        </w:rPr>
        <w:t>委员会根据关于移民女工的第26(2008)号一般性建议，建议缔约国：</w:t>
      </w:r>
    </w:p>
    <w:p w14:paraId="4C13C7DD" w14:textId="77777777" w:rsidR="00E57635" w:rsidRPr="00C94A2D" w:rsidRDefault="007F1030" w:rsidP="00C94A2D">
      <w:pPr>
        <w:pStyle w:val="SingleTxt"/>
        <w:spacing w:after="180" w:line="340" w:lineRule="exact"/>
        <w:rPr>
          <w:rFonts w:ascii="黑体" w:eastAsia="黑体" w:hAnsi="黑体"/>
        </w:rPr>
      </w:pPr>
      <w:r>
        <w:rPr>
          <w:rFonts w:hint="eastAsia"/>
        </w:rPr>
        <w:tab/>
      </w:r>
      <w:r w:rsidR="00C94A2D">
        <w:t>(</w:t>
      </w:r>
      <w:r w:rsidR="00E57635">
        <w:rPr>
          <w:rFonts w:hint="eastAsia"/>
        </w:rPr>
        <w:t>a</w:t>
      </w:r>
      <w:r w:rsidR="00C94A2D">
        <w:t>)</w:t>
      </w:r>
      <w:r w:rsidR="00E57635">
        <w:rPr>
          <w:rFonts w:hint="eastAsia"/>
        </w:rPr>
        <w:tab/>
      </w:r>
      <w:r w:rsidR="00E57635" w:rsidRPr="00C94A2D">
        <w:rPr>
          <w:rFonts w:ascii="黑体" w:eastAsia="黑体" w:hAnsi="黑体" w:hint="eastAsia"/>
        </w:rPr>
        <w:t>继续提高移民女佣对《公约》规定的权利的认识，监督职业介绍所的活动，包括建立执法机制，确保在缔约国和工人原籍国使用同样的合同；</w:t>
      </w:r>
    </w:p>
    <w:p w14:paraId="2DE7588E"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将《劳动法》的适用范围扩大到家庭佣工，并通过一项关于家庭就业的具体法律，充分惩罚有虐待行为的雇主；</w:t>
      </w:r>
    </w:p>
    <w:p w14:paraId="1F3D0F50"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c</w:t>
      </w:r>
      <w:r>
        <w:rPr>
          <w:rFonts w:hint="eastAsia"/>
        </w:rPr>
        <w:t>)</w:t>
      </w:r>
      <w:r>
        <w:rPr>
          <w:rFonts w:hint="eastAsia"/>
        </w:rPr>
        <w:tab/>
      </w:r>
      <w:r w:rsidR="00E57635" w:rsidRPr="00C94A2D">
        <w:rPr>
          <w:rFonts w:ascii="黑体" w:eastAsia="黑体" w:hAnsi="黑体" w:hint="eastAsia"/>
        </w:rPr>
        <w:t>加强家庭佣工合法改变雇主的权利，在这方面防止当前雇主的虐待；确保移民女佣能够有效诉诸法律，包括在法律诉讼尚未完成的情况下，保证其安全和居住；</w:t>
      </w:r>
    </w:p>
    <w:p w14:paraId="04812DBC"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d</w:t>
      </w:r>
      <w:r>
        <w:rPr>
          <w:rFonts w:hint="eastAsia"/>
        </w:rPr>
        <w:t>)</w:t>
      </w:r>
      <w:r>
        <w:rPr>
          <w:rFonts w:hint="eastAsia"/>
        </w:rPr>
        <w:tab/>
      </w:r>
      <w:r w:rsidR="00E57635" w:rsidRPr="00C94A2D">
        <w:rPr>
          <w:rFonts w:ascii="黑体" w:eastAsia="黑体" w:hAnsi="黑体" w:hint="eastAsia"/>
        </w:rPr>
        <w:t>修订《刑法》，将强迫劳动定为犯罪；</w:t>
      </w:r>
    </w:p>
    <w:p w14:paraId="6AC42537"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e</w:t>
      </w:r>
      <w:r>
        <w:rPr>
          <w:rFonts w:hint="eastAsia"/>
        </w:rPr>
        <w:t>)</w:t>
      </w:r>
      <w:r>
        <w:rPr>
          <w:rFonts w:hint="eastAsia"/>
        </w:rPr>
        <w:tab/>
      </w:r>
      <w:r w:rsidR="00E57635" w:rsidRPr="00C94A2D">
        <w:rPr>
          <w:rFonts w:ascii="黑体" w:eastAsia="黑体" w:hAnsi="黑体" w:hint="eastAsia"/>
        </w:rPr>
        <w:t>严格禁止没收护照，确保对移民女工的工作场所和宿舍进行定期劳工检查；</w:t>
      </w:r>
    </w:p>
    <w:p w14:paraId="01D4975C"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f</w:t>
      </w:r>
      <w:r>
        <w:rPr>
          <w:rFonts w:hint="eastAsia"/>
        </w:rPr>
        <w:t>)</w:t>
      </w:r>
      <w:r>
        <w:rPr>
          <w:rFonts w:hint="eastAsia"/>
        </w:rPr>
        <w:tab/>
      </w:r>
      <w:r w:rsidR="00E57635" w:rsidRPr="00C94A2D">
        <w:rPr>
          <w:rFonts w:ascii="黑体" w:eastAsia="黑体" w:hAnsi="黑体" w:hint="eastAsia"/>
        </w:rPr>
        <w:t>为受虐待和剥削的受害者提供适足庇护所，确保在缔约国全国都设有庇护所；</w:t>
      </w:r>
    </w:p>
    <w:p w14:paraId="53BF58F2"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g</w:t>
      </w:r>
      <w:r>
        <w:rPr>
          <w:rFonts w:hint="eastAsia"/>
        </w:rPr>
        <w:t>)</w:t>
      </w:r>
      <w:r>
        <w:rPr>
          <w:rFonts w:hint="eastAsia"/>
        </w:rPr>
        <w:tab/>
      </w:r>
      <w:r w:rsidR="00E57635" w:rsidRPr="00C94A2D">
        <w:rPr>
          <w:rFonts w:ascii="黑体" w:eastAsia="黑体" w:hAnsi="黑体" w:hint="eastAsia"/>
        </w:rPr>
        <w:t>保护移民女佣的权利，包括鼓励建立家庭佣工工会；</w:t>
      </w:r>
    </w:p>
    <w:p w14:paraId="6EC4226A" w14:textId="77777777" w:rsidR="00E57635" w:rsidRPr="00C94A2D" w:rsidRDefault="00EF2CAB" w:rsidP="00C94A2D">
      <w:pPr>
        <w:pStyle w:val="SingleTxt"/>
        <w:spacing w:after="180" w:line="340" w:lineRule="exact"/>
        <w:rPr>
          <w:rFonts w:ascii="黑体" w:eastAsia="黑体" w:hAnsi="黑体"/>
        </w:rPr>
      </w:pPr>
      <w:r>
        <w:rPr>
          <w:rFonts w:hint="eastAsia"/>
        </w:rPr>
        <w:tab/>
        <w:t>(</w:t>
      </w:r>
      <w:r w:rsidR="00E57635">
        <w:rPr>
          <w:rFonts w:hint="eastAsia"/>
        </w:rPr>
        <w:t>h</w:t>
      </w:r>
      <w:r>
        <w:rPr>
          <w:rFonts w:hint="eastAsia"/>
        </w:rPr>
        <w:t>)</w:t>
      </w:r>
      <w:r>
        <w:rPr>
          <w:rFonts w:hint="eastAsia"/>
        </w:rPr>
        <w:tab/>
      </w:r>
      <w:r w:rsidR="00E57635" w:rsidRPr="00C94A2D">
        <w:rPr>
          <w:rFonts w:ascii="黑体" w:eastAsia="黑体" w:hAnsi="黑体" w:hint="eastAsia"/>
        </w:rPr>
        <w:t>批准国际劳工组织2011年《家庭工人体面劳动公约》(第189号)。</w:t>
      </w:r>
    </w:p>
    <w:p w14:paraId="75693FEE" w14:textId="77777777" w:rsidR="00E57635" w:rsidRPr="00C94A2D" w:rsidRDefault="00E57635" w:rsidP="00E57635">
      <w:pPr>
        <w:pStyle w:val="SingleTxt"/>
        <w:rPr>
          <w:rFonts w:ascii="黑体" w:eastAsia="黑体" w:hAnsi="黑体"/>
        </w:rPr>
      </w:pPr>
      <w:r w:rsidRPr="00C94A2D">
        <w:rPr>
          <w:rFonts w:ascii="黑体" w:eastAsia="黑体" w:hAnsi="黑体" w:hint="eastAsia"/>
        </w:rPr>
        <w:lastRenderedPageBreak/>
        <w:t>保健</w:t>
      </w:r>
    </w:p>
    <w:p w14:paraId="61C67E60" w14:textId="77777777" w:rsidR="00E57635" w:rsidRDefault="00E57635" w:rsidP="00E57635">
      <w:pPr>
        <w:pStyle w:val="SingleTxt"/>
      </w:pPr>
      <w:r>
        <w:rPr>
          <w:rFonts w:hint="eastAsia"/>
        </w:rPr>
        <w:t>41.</w:t>
      </w:r>
      <w:r w:rsidR="00C94A2D">
        <w:tab/>
      </w:r>
      <w:r>
        <w:rPr>
          <w:rFonts w:hint="eastAsia"/>
        </w:rPr>
        <w:t>委员会满意地注意到，妇女保健指标显著改善，特别是在预期寿命、产妇死亡率、孕妇保健覆盖率、医疗监督下的分娩、以及怀孕期间的艾滋病毒</w:t>
      </w:r>
      <w:r>
        <w:rPr>
          <w:rFonts w:hint="eastAsia"/>
        </w:rPr>
        <w:t>/</w:t>
      </w:r>
      <w:r>
        <w:rPr>
          <w:rFonts w:hint="eastAsia"/>
        </w:rPr>
        <w:t>艾滋病检查方面。但委员会关切的是：</w:t>
      </w:r>
    </w:p>
    <w:p w14:paraId="16EB1EE4" w14:textId="77777777" w:rsidR="00E57635" w:rsidRDefault="00EF2CAB" w:rsidP="00E57635">
      <w:pPr>
        <w:pStyle w:val="SingleTxt"/>
      </w:pPr>
      <w:r>
        <w:rPr>
          <w:rFonts w:hint="eastAsia"/>
        </w:rPr>
        <w:tab/>
        <w:t>(</w:t>
      </w:r>
      <w:r w:rsidR="00E57635">
        <w:rPr>
          <w:rFonts w:hint="eastAsia"/>
        </w:rPr>
        <w:t>a</w:t>
      </w:r>
      <w:r>
        <w:rPr>
          <w:rFonts w:hint="eastAsia"/>
        </w:rPr>
        <w:t>)</w:t>
      </w:r>
      <w:r>
        <w:rPr>
          <w:rFonts w:hint="eastAsia"/>
        </w:rPr>
        <w:tab/>
      </w:r>
      <w:r w:rsidR="00E57635">
        <w:rPr>
          <w:rFonts w:hint="eastAsia"/>
        </w:rPr>
        <w:t>妇女和少女在缔约国农村和偏远地区获得性健康和生殖健康服务的机会有限；</w:t>
      </w:r>
    </w:p>
    <w:p w14:paraId="550CC786" w14:textId="77777777" w:rsidR="00E57635" w:rsidRDefault="00EF2CAB" w:rsidP="00E57635">
      <w:pPr>
        <w:pStyle w:val="SingleTxt"/>
      </w:pPr>
      <w:r>
        <w:rPr>
          <w:rFonts w:hint="eastAsia"/>
        </w:rPr>
        <w:tab/>
        <w:t>(</w:t>
      </w:r>
      <w:r w:rsidR="00E57635">
        <w:rPr>
          <w:rFonts w:hint="eastAsia"/>
        </w:rPr>
        <w:t>b</w:t>
      </w:r>
      <w:r>
        <w:rPr>
          <w:rFonts w:hint="eastAsia"/>
        </w:rPr>
        <w:t>)</w:t>
      </w:r>
      <w:r>
        <w:rPr>
          <w:rFonts w:hint="eastAsia"/>
        </w:rPr>
        <w:tab/>
      </w:r>
      <w:r w:rsidR="00E57635">
        <w:rPr>
          <w:rFonts w:hint="eastAsia"/>
        </w:rPr>
        <w:t>将堕胎定为刑事犯罪，除非孕妇或女童的生命有危险；这就迫使妇女，特别是生活在农村地区的妇女采取不安全的堕胎手段；</w:t>
      </w:r>
    </w:p>
    <w:p w14:paraId="664F5072" w14:textId="77777777" w:rsidR="00E57635" w:rsidRDefault="00EF2CAB" w:rsidP="00E57635">
      <w:pPr>
        <w:pStyle w:val="SingleTxt"/>
      </w:pPr>
      <w:r>
        <w:rPr>
          <w:rFonts w:hint="eastAsia"/>
        </w:rPr>
        <w:tab/>
        <w:t>(</w:t>
      </w:r>
      <w:r w:rsidR="00E57635">
        <w:rPr>
          <w:rFonts w:hint="eastAsia"/>
        </w:rPr>
        <w:t>c</w:t>
      </w:r>
      <w:r>
        <w:rPr>
          <w:rFonts w:hint="eastAsia"/>
        </w:rPr>
        <w:t>)</w:t>
      </w:r>
      <w:r>
        <w:rPr>
          <w:rFonts w:hint="eastAsia"/>
        </w:rPr>
        <w:tab/>
      </w:r>
      <w:r w:rsidR="00E57635">
        <w:rPr>
          <w:rFonts w:hint="eastAsia"/>
        </w:rPr>
        <w:t>现代避孕药具有限，特别是在农村地区。</w:t>
      </w:r>
    </w:p>
    <w:p w14:paraId="0BCE0D6B" w14:textId="77777777" w:rsidR="00E57635" w:rsidRPr="00C94A2D" w:rsidRDefault="00E57635" w:rsidP="00E57635">
      <w:pPr>
        <w:pStyle w:val="SingleTxt"/>
        <w:rPr>
          <w:rFonts w:ascii="黑体" w:eastAsia="黑体" w:hAnsi="黑体"/>
        </w:rPr>
      </w:pPr>
      <w:r>
        <w:rPr>
          <w:rFonts w:hint="eastAsia"/>
        </w:rPr>
        <w:t>42.</w:t>
      </w:r>
      <w:r w:rsidR="00C94A2D">
        <w:tab/>
      </w:r>
      <w:r w:rsidRPr="00C94A2D">
        <w:rPr>
          <w:rFonts w:ascii="黑体" w:eastAsia="黑体" w:hAnsi="黑体" w:hint="eastAsia"/>
        </w:rPr>
        <w:t>委员会建议缔约国根据关于妇女与保健的第24(1999)号一般性建议：</w:t>
      </w:r>
    </w:p>
    <w:p w14:paraId="7AE579D7" w14:textId="77777777" w:rsidR="00E57635" w:rsidRPr="00C94A2D" w:rsidRDefault="00EF2CAB" w:rsidP="00E57635">
      <w:pPr>
        <w:pStyle w:val="SingleTx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C94A2D">
        <w:rPr>
          <w:rFonts w:ascii="黑体" w:eastAsia="黑体" w:hAnsi="黑体" w:hint="eastAsia"/>
        </w:rPr>
        <w:t>在各省提供综合保健服务，特别是性和生殖保健服务，包括产前、分娩和产后服务；</w:t>
      </w:r>
    </w:p>
    <w:p w14:paraId="5080213E" w14:textId="77777777" w:rsidR="00E57635" w:rsidRPr="00C94A2D" w:rsidRDefault="00EF2CAB" w:rsidP="00E57635">
      <w:pPr>
        <w:pStyle w:val="SingleTxt"/>
        <w:rPr>
          <w:rFonts w:ascii="黑体" w:eastAsia="黑体" w:hAnsi="黑体"/>
        </w:rPr>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修订《刑法》，在孕妇或女童的生命和(或)健康受到威胁以及强奸、乱伦和胎儿严重受损的情况下，使堕胎合法化，所有其他情况均不再定为犯罪，增加妇女获得安全堕胎和堕胎后护理服务的机会；</w:t>
      </w:r>
    </w:p>
    <w:p w14:paraId="5E883657" w14:textId="77777777" w:rsidR="00E57635" w:rsidRDefault="00EF2CAB" w:rsidP="00E57635">
      <w:pPr>
        <w:pStyle w:val="SingleTxt"/>
      </w:pPr>
      <w:r>
        <w:rPr>
          <w:rFonts w:hint="eastAsia"/>
        </w:rPr>
        <w:tab/>
        <w:t>(</w:t>
      </w:r>
      <w:r w:rsidR="00E57635">
        <w:rPr>
          <w:rFonts w:hint="eastAsia"/>
        </w:rPr>
        <w:t>c</w:t>
      </w:r>
      <w:r>
        <w:rPr>
          <w:rFonts w:hint="eastAsia"/>
        </w:rPr>
        <w:t>)</w:t>
      </w:r>
      <w:r>
        <w:rPr>
          <w:rFonts w:hint="eastAsia"/>
        </w:rPr>
        <w:tab/>
      </w:r>
      <w:r w:rsidR="00E57635" w:rsidRPr="00C94A2D">
        <w:rPr>
          <w:rFonts w:ascii="黑体" w:eastAsia="黑体" w:hAnsi="黑体" w:hint="eastAsia"/>
        </w:rPr>
        <w:t>确保向缔约国所有妇女和少女提供现代化的避孕和生殖保健服务；</w:t>
      </w:r>
    </w:p>
    <w:p w14:paraId="2A999A3F" w14:textId="77777777" w:rsidR="00E57635" w:rsidRPr="00C94A2D" w:rsidRDefault="00EF2CAB" w:rsidP="00E57635">
      <w:pPr>
        <w:pStyle w:val="SingleTxt"/>
        <w:rPr>
          <w:rFonts w:ascii="黑体" w:eastAsia="黑体" w:hAnsi="黑体"/>
        </w:rPr>
      </w:pPr>
      <w:r>
        <w:rPr>
          <w:rFonts w:hint="eastAsia"/>
        </w:rPr>
        <w:tab/>
        <w:t>(</w:t>
      </w:r>
      <w:r w:rsidR="00E57635">
        <w:rPr>
          <w:rFonts w:hint="eastAsia"/>
        </w:rPr>
        <w:t>d</w:t>
      </w:r>
      <w:r>
        <w:rPr>
          <w:rFonts w:hint="eastAsia"/>
        </w:rPr>
        <w:t>)</w:t>
      </w:r>
      <w:r>
        <w:rPr>
          <w:rFonts w:hint="eastAsia"/>
        </w:rPr>
        <w:tab/>
      </w:r>
      <w:r w:rsidR="00E57635" w:rsidRPr="00C94A2D">
        <w:rPr>
          <w:rFonts w:ascii="黑体" w:eastAsia="黑体" w:hAnsi="黑体" w:hint="eastAsia"/>
        </w:rPr>
        <w:t>评估为包括切割女性生殖器官在内的有害习俗受害者提供医疗给保健系统带来的财务负担。</w:t>
      </w:r>
    </w:p>
    <w:p w14:paraId="61BF3947" w14:textId="77777777" w:rsidR="00E57635" w:rsidRPr="00C94A2D" w:rsidRDefault="00E57635" w:rsidP="00E57635">
      <w:pPr>
        <w:pStyle w:val="SingleTxt"/>
        <w:rPr>
          <w:rFonts w:ascii="黑体" w:eastAsia="黑体" w:hAnsi="黑体"/>
        </w:rPr>
      </w:pPr>
      <w:r w:rsidRPr="00C94A2D">
        <w:rPr>
          <w:rFonts w:ascii="黑体" w:eastAsia="黑体" w:hAnsi="黑体" w:hint="eastAsia"/>
        </w:rPr>
        <w:t>经济和社会效益</w:t>
      </w:r>
    </w:p>
    <w:p w14:paraId="00054332" w14:textId="77777777" w:rsidR="00E57635" w:rsidRDefault="00E57635" w:rsidP="00E57635">
      <w:pPr>
        <w:pStyle w:val="SingleTxt"/>
      </w:pPr>
      <w:r>
        <w:rPr>
          <w:rFonts w:hint="eastAsia"/>
        </w:rPr>
        <w:t>43.</w:t>
      </w:r>
      <w:r w:rsidR="00C94A2D">
        <w:tab/>
      </w:r>
      <w:r>
        <w:rPr>
          <w:rFonts w:hint="eastAsia"/>
        </w:rPr>
        <w:t>委员会欢迎通过第</w:t>
      </w:r>
      <w:r>
        <w:rPr>
          <w:rFonts w:hint="eastAsia"/>
        </w:rPr>
        <w:t>29/2013</w:t>
      </w:r>
      <w:r>
        <w:rPr>
          <w:rFonts w:hint="eastAsia"/>
        </w:rPr>
        <w:t>号谕令，其规定在所有民事交易中，妇女与男子拥有相同的法律能力；还欢迎促进妇女创业的措施。委员会它还注意到，体育部设立了妇女运动司。不过，委员会关注的是：</w:t>
      </w:r>
    </w:p>
    <w:p w14:paraId="64EF85F1" w14:textId="77777777" w:rsidR="00E57635" w:rsidRDefault="00EF2CAB" w:rsidP="00E57635">
      <w:pPr>
        <w:pStyle w:val="SingleTxt"/>
      </w:pPr>
      <w:r>
        <w:rPr>
          <w:rFonts w:hint="eastAsia"/>
        </w:rPr>
        <w:tab/>
        <w:t>(</w:t>
      </w:r>
      <w:r w:rsidR="00E57635">
        <w:rPr>
          <w:rFonts w:hint="eastAsia"/>
        </w:rPr>
        <w:t>a</w:t>
      </w:r>
      <w:r>
        <w:rPr>
          <w:rFonts w:hint="eastAsia"/>
        </w:rPr>
        <w:t>)</w:t>
      </w:r>
      <w:r>
        <w:rPr>
          <w:rFonts w:hint="eastAsia"/>
        </w:rPr>
        <w:tab/>
      </w:r>
      <w:r w:rsidR="00E57635">
        <w:rPr>
          <w:rFonts w:hint="eastAsia"/>
        </w:rPr>
        <w:t>妇女仅获得约</w:t>
      </w:r>
      <w:r w:rsidR="00E57635">
        <w:rPr>
          <w:rFonts w:hint="eastAsia"/>
        </w:rPr>
        <w:t>29</w:t>
      </w:r>
      <w:r w:rsidR="00E57635">
        <w:rPr>
          <w:rFonts w:hint="eastAsia"/>
        </w:rPr>
        <w:t>％的补贴贷款；</w:t>
      </w:r>
    </w:p>
    <w:p w14:paraId="53F251E8" w14:textId="77777777" w:rsidR="00E57635" w:rsidRDefault="00EF2CAB" w:rsidP="00E57635">
      <w:pPr>
        <w:pStyle w:val="SingleTxt"/>
      </w:pPr>
      <w:r>
        <w:rPr>
          <w:rFonts w:hint="eastAsia"/>
        </w:rPr>
        <w:tab/>
        <w:t>(</w:t>
      </w:r>
      <w:r w:rsidR="00E57635">
        <w:rPr>
          <w:rFonts w:hint="eastAsia"/>
        </w:rPr>
        <w:t>b</w:t>
      </w:r>
      <w:r>
        <w:rPr>
          <w:rFonts w:hint="eastAsia"/>
        </w:rPr>
        <w:t>)</w:t>
      </w:r>
      <w:r>
        <w:rPr>
          <w:rFonts w:hint="eastAsia"/>
        </w:rPr>
        <w:tab/>
      </w:r>
      <w:r w:rsidR="00E57635">
        <w:rPr>
          <w:rFonts w:hint="eastAsia"/>
        </w:rPr>
        <w:t>缺乏关于扶助贫穷妇女、移民妇女、游牧妇女、农村妇女和残疾妇女的社会方案覆盖面的信息，包括社会保障计划和养恤金福利；</w:t>
      </w:r>
    </w:p>
    <w:p w14:paraId="123D1371" w14:textId="77777777" w:rsidR="00E57635" w:rsidRDefault="00EF2CAB" w:rsidP="00E57635">
      <w:pPr>
        <w:pStyle w:val="SingleTxt"/>
      </w:pPr>
      <w:r>
        <w:rPr>
          <w:rFonts w:hint="eastAsia"/>
        </w:rPr>
        <w:tab/>
        <w:t>(</w:t>
      </w:r>
      <w:r w:rsidR="00E57635">
        <w:rPr>
          <w:rFonts w:hint="eastAsia"/>
        </w:rPr>
        <w:t>c</w:t>
      </w:r>
      <w:r>
        <w:rPr>
          <w:rFonts w:hint="eastAsia"/>
        </w:rPr>
        <w:t>)</w:t>
      </w:r>
      <w:r>
        <w:rPr>
          <w:rFonts w:hint="eastAsia"/>
        </w:rPr>
        <w:tab/>
      </w:r>
      <w:r w:rsidR="00E57635">
        <w:rPr>
          <w:rFonts w:hint="eastAsia"/>
        </w:rPr>
        <w:t>缺乏关于妇女组织是否参与制定和执行实现可持续发展目标国家战略的信息。</w:t>
      </w:r>
    </w:p>
    <w:p w14:paraId="4C1F8794" w14:textId="77777777" w:rsidR="00E57635" w:rsidRPr="00C94A2D" w:rsidRDefault="00E57635" w:rsidP="00E57635">
      <w:pPr>
        <w:pStyle w:val="SingleTxt"/>
        <w:rPr>
          <w:rFonts w:ascii="黑体" w:eastAsia="黑体" w:hAnsi="黑体"/>
        </w:rPr>
      </w:pPr>
      <w:r>
        <w:rPr>
          <w:rFonts w:hint="eastAsia"/>
        </w:rPr>
        <w:t>44.</w:t>
      </w:r>
      <w:r w:rsidR="00C94A2D">
        <w:tab/>
      </w:r>
      <w:r w:rsidRPr="00C94A2D">
        <w:rPr>
          <w:rFonts w:ascii="黑体" w:eastAsia="黑体" w:hAnsi="黑体" w:hint="eastAsia"/>
        </w:rPr>
        <w:t>委员会建议缔约国：</w:t>
      </w:r>
    </w:p>
    <w:p w14:paraId="70A11513" w14:textId="77777777" w:rsidR="00E57635" w:rsidRPr="00C94A2D" w:rsidRDefault="00EF2CAB" w:rsidP="00E57635">
      <w:pPr>
        <w:pStyle w:val="SingleTx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C94A2D">
        <w:rPr>
          <w:rFonts w:ascii="黑体" w:eastAsia="黑体" w:hAnsi="黑体" w:hint="eastAsia"/>
        </w:rPr>
        <w:t>确保有效执行第29/2013号谕令，拨出更多的专用财政资源，增加妇女获得小额信贷、贷款和其他形式的财政信贷的机会，以促进妇女创业，在经济上给妇女赋权，特别是贫困妇女、移民妇女、游牧妇女、农村妇女和残疾妇女，提高她们的管理技能；</w:t>
      </w:r>
    </w:p>
    <w:p w14:paraId="6EB271B6" w14:textId="77777777" w:rsidR="00E57635" w:rsidRDefault="00EF2CAB" w:rsidP="00E57635">
      <w:pPr>
        <w:pStyle w:val="SingleTxt"/>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确保妇女组织参与规划和执行实现可持续发展目标的国家战略。</w:t>
      </w:r>
    </w:p>
    <w:p w14:paraId="4EC13E0A" w14:textId="77777777" w:rsidR="00E57635" w:rsidRPr="00C94A2D" w:rsidRDefault="00E57635" w:rsidP="00E57635">
      <w:pPr>
        <w:pStyle w:val="SingleTxt"/>
        <w:rPr>
          <w:rFonts w:ascii="黑体" w:eastAsia="黑体" w:hAnsi="黑体"/>
        </w:rPr>
      </w:pPr>
      <w:r w:rsidRPr="00C94A2D">
        <w:rPr>
          <w:rFonts w:ascii="黑体" w:eastAsia="黑体" w:hAnsi="黑体" w:hint="eastAsia"/>
        </w:rPr>
        <w:lastRenderedPageBreak/>
        <w:t>农村妇女</w:t>
      </w:r>
    </w:p>
    <w:p w14:paraId="6675E743" w14:textId="77777777" w:rsidR="00E57635" w:rsidRDefault="00E57635" w:rsidP="00E57635">
      <w:pPr>
        <w:pStyle w:val="SingleTxt"/>
      </w:pPr>
      <w:r>
        <w:rPr>
          <w:rFonts w:hint="eastAsia"/>
        </w:rPr>
        <w:t>45.</w:t>
      </w:r>
      <w:r w:rsidR="00C94A2D">
        <w:tab/>
      </w:r>
      <w:r>
        <w:rPr>
          <w:rFonts w:hint="eastAsia"/>
        </w:rPr>
        <w:t>委员会赞赏地注意到支持农村妇女的各种举措，包括培训课程和发展项目。然而，委员会仍然关切的是：</w:t>
      </w:r>
    </w:p>
    <w:p w14:paraId="5435E92E" w14:textId="77777777" w:rsidR="00E57635" w:rsidRDefault="00EF2CAB" w:rsidP="00E57635">
      <w:pPr>
        <w:pStyle w:val="SingleTxt"/>
      </w:pPr>
      <w:r>
        <w:rPr>
          <w:rFonts w:hint="eastAsia"/>
        </w:rPr>
        <w:tab/>
        <w:t>(</w:t>
      </w:r>
      <w:r w:rsidR="00E57635">
        <w:rPr>
          <w:rFonts w:hint="eastAsia"/>
        </w:rPr>
        <w:t>a</w:t>
      </w:r>
      <w:r>
        <w:rPr>
          <w:rFonts w:hint="eastAsia"/>
        </w:rPr>
        <w:t>)</w:t>
      </w:r>
      <w:r>
        <w:rPr>
          <w:rFonts w:hint="eastAsia"/>
        </w:rPr>
        <w:tab/>
      </w:r>
      <w:r w:rsidR="00E57635">
        <w:rPr>
          <w:rFonts w:hint="eastAsia"/>
        </w:rPr>
        <w:t>农村和偏远地区的妇女处境不利，身陷贫困，难以获得保健、教育，难以开展创收活动，未参与社区一级的决策进程；</w:t>
      </w:r>
    </w:p>
    <w:p w14:paraId="333F5C82" w14:textId="77777777" w:rsidR="00E57635" w:rsidRDefault="00EF2CAB" w:rsidP="00E57635">
      <w:pPr>
        <w:pStyle w:val="SingleTxt"/>
      </w:pPr>
      <w:r>
        <w:rPr>
          <w:rFonts w:hint="eastAsia"/>
        </w:rPr>
        <w:tab/>
        <w:t>(</w:t>
      </w:r>
      <w:r w:rsidR="00E57635">
        <w:rPr>
          <w:rFonts w:hint="eastAsia"/>
        </w:rPr>
        <w:t>b</w:t>
      </w:r>
      <w:r>
        <w:rPr>
          <w:rFonts w:hint="eastAsia"/>
        </w:rPr>
        <w:t>)</w:t>
      </w:r>
      <w:r>
        <w:rPr>
          <w:rFonts w:hint="eastAsia"/>
        </w:rPr>
        <w:tab/>
      </w:r>
      <w:r w:rsidR="00E57635">
        <w:rPr>
          <w:rFonts w:hint="eastAsia"/>
        </w:rPr>
        <w:t>普遍存在的歧视性做法，妨碍农村妇女继承或获得农地和其他财产的所有权。</w:t>
      </w:r>
    </w:p>
    <w:p w14:paraId="20CCB60E" w14:textId="77777777" w:rsidR="00E57635" w:rsidRDefault="00E57635" w:rsidP="00E57635">
      <w:pPr>
        <w:pStyle w:val="SingleTxt"/>
      </w:pPr>
      <w:r>
        <w:rPr>
          <w:rFonts w:hint="eastAsia"/>
        </w:rPr>
        <w:t>46.</w:t>
      </w:r>
      <w:r w:rsidR="00341F72">
        <w:rPr>
          <w:rFonts w:hint="eastAsia"/>
        </w:rPr>
        <w:tab/>
      </w:r>
      <w:r w:rsidRPr="00C94A2D">
        <w:rPr>
          <w:rFonts w:ascii="黑体" w:eastAsia="黑体" w:hAnsi="黑体" w:hint="eastAsia"/>
        </w:rPr>
        <w:t>委员会根据关于农村妇女权利的第34(2016)号一般性建议，建议缔约国：</w:t>
      </w:r>
    </w:p>
    <w:p w14:paraId="6870EDDB"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C94A2D">
        <w:rPr>
          <w:rFonts w:ascii="黑体" w:eastAsia="黑体" w:hAnsi="黑体" w:hint="eastAsia"/>
        </w:rPr>
        <w:t>制定和执行包括暂行特别措施在内的措施，在农村妇女代表性不足或处境不利的所有领域，包括政治和公共生活、教育、保健和就业领域，加快实现农村妇女的实质性平等；落实方案，减少农村女童参加无偿看护的现象，因为这妨碍她们入学；继续制订实施有针对性的措施，为农村妇女在地方创造创收机会；</w:t>
      </w:r>
    </w:p>
    <w:p w14:paraId="4F61E24B"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消除妨碍农村妇女充分享有农地和其他财产所有权的不良传统做法，开展活动，宣讲她们拥有和继承的合法权利。</w:t>
      </w:r>
    </w:p>
    <w:p w14:paraId="79333B1F" w14:textId="77777777" w:rsidR="00E57635" w:rsidRPr="00C94A2D" w:rsidRDefault="00E57635" w:rsidP="00E57635">
      <w:pPr>
        <w:pStyle w:val="SingleTxt"/>
        <w:rPr>
          <w:rFonts w:ascii="黑体" w:eastAsia="黑体" w:hAnsi="黑体"/>
        </w:rPr>
      </w:pPr>
      <w:r w:rsidRPr="00C94A2D">
        <w:rPr>
          <w:rFonts w:ascii="黑体" w:eastAsia="黑体" w:hAnsi="黑体" w:hint="eastAsia"/>
        </w:rPr>
        <w:t>性别与气候变化</w:t>
      </w:r>
    </w:p>
    <w:p w14:paraId="3D701956" w14:textId="77777777" w:rsidR="00E57635" w:rsidRDefault="00E57635" w:rsidP="00C94A2D">
      <w:pPr>
        <w:pStyle w:val="SingleTxt"/>
        <w:spacing w:line="340" w:lineRule="exact"/>
      </w:pPr>
      <w:r>
        <w:rPr>
          <w:rFonts w:hint="eastAsia"/>
        </w:rPr>
        <w:t>47.</w:t>
      </w:r>
      <w:r w:rsidR="00C94A2D">
        <w:tab/>
      </w:r>
      <w:r>
        <w:rPr>
          <w:rFonts w:hint="eastAsia"/>
        </w:rPr>
        <w:t>委员会赞扬缔约国通过了“气候行动计划”，但要求提供更多的信息，说明妇女如何参与计划的制定，以及如何在确定适应和缓解措施时采用性别观点。</w:t>
      </w:r>
    </w:p>
    <w:p w14:paraId="1088C280" w14:textId="77777777" w:rsidR="00E57635" w:rsidRDefault="00E57635" w:rsidP="00C94A2D">
      <w:pPr>
        <w:pStyle w:val="SingleTxt"/>
        <w:spacing w:line="340" w:lineRule="exact"/>
      </w:pPr>
      <w:r>
        <w:rPr>
          <w:rFonts w:hint="eastAsia"/>
        </w:rPr>
        <w:t>48.</w:t>
      </w:r>
      <w:r w:rsidR="00C94A2D">
        <w:tab/>
      </w:r>
      <w:r w:rsidRPr="00C94A2D">
        <w:rPr>
          <w:rFonts w:ascii="黑体" w:eastAsia="黑体" w:hAnsi="黑体" w:hint="eastAsia"/>
        </w:rPr>
        <w:t>委员会建议缔约国在下次定期报告中提供有关下列方面的资料：</w:t>
      </w:r>
    </w:p>
    <w:p w14:paraId="699A5C33"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C94A2D">
        <w:rPr>
          <w:rFonts w:ascii="黑体" w:eastAsia="黑体" w:hAnsi="黑体" w:hint="eastAsia"/>
        </w:rPr>
        <w:t>妇女参与计划制定和实施的情况；</w:t>
      </w:r>
    </w:p>
    <w:p w14:paraId="61CFF71A"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从性别角度推出适应和缓解措施的最佳做法。</w:t>
      </w:r>
    </w:p>
    <w:p w14:paraId="024793D7" w14:textId="77777777" w:rsidR="00E57635" w:rsidRPr="00C94A2D" w:rsidRDefault="00E57635" w:rsidP="00E57635">
      <w:pPr>
        <w:pStyle w:val="SingleTxt"/>
        <w:rPr>
          <w:rFonts w:ascii="黑体" w:eastAsia="黑体" w:hAnsi="黑体"/>
        </w:rPr>
      </w:pPr>
      <w:r w:rsidRPr="00C94A2D">
        <w:rPr>
          <w:rFonts w:ascii="黑体" w:eastAsia="黑体" w:hAnsi="黑体" w:hint="eastAsia"/>
        </w:rPr>
        <w:t>残疾妇女</w:t>
      </w:r>
    </w:p>
    <w:p w14:paraId="0EFF4818" w14:textId="77777777" w:rsidR="00E57635" w:rsidRDefault="00E57635" w:rsidP="00C94A2D">
      <w:pPr>
        <w:pStyle w:val="SingleTxt"/>
        <w:spacing w:line="340" w:lineRule="exact"/>
      </w:pPr>
      <w:r>
        <w:rPr>
          <w:rFonts w:hint="eastAsia"/>
        </w:rPr>
        <w:t>49.</w:t>
      </w:r>
      <w:r w:rsidR="00C94A2D">
        <w:tab/>
      </w:r>
      <w:r>
        <w:rPr>
          <w:rFonts w:hint="eastAsia"/>
        </w:rPr>
        <w:t>委员会注意到，制定了“扶助有特殊需要的人”的部门战略和促进包括妇女在内的残疾人权利的各种措施。但是，委员会关切的是：</w:t>
      </w:r>
    </w:p>
    <w:p w14:paraId="727D81E8" w14:textId="77777777" w:rsidR="00E57635" w:rsidRDefault="00EF2CAB" w:rsidP="00C94A2D">
      <w:pPr>
        <w:pStyle w:val="SingleTxt"/>
        <w:spacing w:line="340" w:lineRule="exact"/>
      </w:pPr>
      <w:r>
        <w:rPr>
          <w:rFonts w:hint="eastAsia"/>
        </w:rPr>
        <w:tab/>
        <w:t>(</w:t>
      </w:r>
      <w:r w:rsidR="00E57635">
        <w:rPr>
          <w:rFonts w:hint="eastAsia"/>
        </w:rPr>
        <w:t>a</w:t>
      </w:r>
      <w:r>
        <w:rPr>
          <w:rFonts w:hint="eastAsia"/>
        </w:rPr>
        <w:t>)</w:t>
      </w:r>
      <w:r>
        <w:rPr>
          <w:rFonts w:hint="eastAsia"/>
        </w:rPr>
        <w:tab/>
      </w:r>
      <w:r w:rsidR="00E57635">
        <w:rPr>
          <w:rFonts w:hint="eastAsia"/>
        </w:rPr>
        <w:t>残疾妇女和女童在获得教育、就业和保健方面面临歧视，她们被排斥在公共和社会生活以及决策过程之外；</w:t>
      </w:r>
    </w:p>
    <w:p w14:paraId="53ED932C" w14:textId="77777777" w:rsidR="00E57635" w:rsidRDefault="00EF2CAB" w:rsidP="00C94A2D">
      <w:pPr>
        <w:pStyle w:val="SingleTxt"/>
        <w:spacing w:line="340" w:lineRule="exact"/>
      </w:pPr>
      <w:r>
        <w:rPr>
          <w:rFonts w:hint="eastAsia"/>
        </w:rPr>
        <w:tab/>
        <w:t>(</w:t>
      </w:r>
      <w:r w:rsidR="00E57635">
        <w:rPr>
          <w:rFonts w:hint="eastAsia"/>
        </w:rPr>
        <w:t>b</w:t>
      </w:r>
      <w:r>
        <w:rPr>
          <w:rFonts w:hint="eastAsia"/>
        </w:rPr>
        <w:t>)</w:t>
      </w:r>
      <w:r>
        <w:rPr>
          <w:rFonts w:hint="eastAsia"/>
        </w:rPr>
        <w:tab/>
      </w:r>
      <w:r w:rsidR="00E57635">
        <w:rPr>
          <w:rFonts w:hint="eastAsia"/>
        </w:rPr>
        <w:t>促进将残疾人纳入公开劳动力市场的配额非常低。</w:t>
      </w:r>
    </w:p>
    <w:p w14:paraId="5C33DC6B" w14:textId="77777777" w:rsidR="00E57635" w:rsidRDefault="00E57635" w:rsidP="00C94A2D">
      <w:pPr>
        <w:pStyle w:val="SingleTxt"/>
        <w:spacing w:line="340" w:lineRule="exact"/>
      </w:pPr>
      <w:r>
        <w:rPr>
          <w:rFonts w:hint="eastAsia"/>
        </w:rPr>
        <w:t>50.</w:t>
      </w:r>
      <w:r w:rsidR="00C94A2D">
        <w:tab/>
      </w:r>
      <w:r w:rsidRPr="00C94A2D">
        <w:rPr>
          <w:rFonts w:ascii="黑体" w:eastAsia="黑体" w:hAnsi="黑体" w:hint="eastAsia"/>
        </w:rPr>
        <w:t>委员会建议缔约国：</w:t>
      </w:r>
    </w:p>
    <w:p w14:paraId="4C9BE21E"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C94A2D">
        <w:rPr>
          <w:rFonts w:ascii="黑体" w:eastAsia="黑体" w:hAnsi="黑体" w:hint="eastAsia"/>
        </w:rPr>
        <w:t>采取有针对性的措施，促进残疾妇女获得包容性教育、开放劳动力市场、保健(包括性健康和生殖健康与权利)、公共生活和决策过程；</w:t>
      </w:r>
    </w:p>
    <w:p w14:paraId="133E6C4C"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增加和有效落实公私营公司的配额，促进残疾人，特别是残疾妇女进入公开劳动市场；</w:t>
      </w:r>
    </w:p>
    <w:p w14:paraId="5CCD5974" w14:textId="77777777" w:rsidR="00E57635" w:rsidRPr="00C94A2D" w:rsidRDefault="00EF2CAB" w:rsidP="00E57635">
      <w:pPr>
        <w:pStyle w:val="SingleTxt"/>
        <w:rPr>
          <w:rFonts w:ascii="黑体" w:eastAsia="黑体" w:hAnsi="黑体"/>
        </w:rPr>
      </w:pPr>
      <w:r>
        <w:rPr>
          <w:rFonts w:hint="eastAsia"/>
        </w:rPr>
        <w:lastRenderedPageBreak/>
        <w:tab/>
        <w:t>(</w:t>
      </w:r>
      <w:r w:rsidR="00E57635">
        <w:rPr>
          <w:rFonts w:hint="eastAsia"/>
        </w:rPr>
        <w:t>c</w:t>
      </w:r>
      <w:r>
        <w:rPr>
          <w:rFonts w:hint="eastAsia"/>
        </w:rPr>
        <w:t>)</w:t>
      </w:r>
      <w:r>
        <w:rPr>
          <w:rFonts w:hint="eastAsia"/>
        </w:rPr>
        <w:tab/>
      </w:r>
      <w:r w:rsidR="00E57635" w:rsidRPr="00C94A2D">
        <w:rPr>
          <w:rFonts w:ascii="黑体" w:eastAsia="黑体" w:hAnsi="黑体" w:hint="eastAsia"/>
        </w:rPr>
        <w:t>开展提高认识运动，向国家官员提供关于残疾妇女和女童的权利和特殊需求的能力建设。</w:t>
      </w:r>
    </w:p>
    <w:p w14:paraId="4CED99AC" w14:textId="77777777" w:rsidR="00E57635" w:rsidRPr="00C94A2D" w:rsidRDefault="00E57635" w:rsidP="00E57635">
      <w:pPr>
        <w:pStyle w:val="SingleTxt"/>
        <w:rPr>
          <w:rFonts w:ascii="黑体" w:eastAsia="黑体" w:hAnsi="黑体"/>
        </w:rPr>
      </w:pPr>
      <w:r w:rsidRPr="00C94A2D">
        <w:rPr>
          <w:rFonts w:ascii="黑体" w:eastAsia="黑体" w:hAnsi="黑体" w:hint="eastAsia"/>
        </w:rPr>
        <w:t>法律面前人人平等</w:t>
      </w:r>
    </w:p>
    <w:p w14:paraId="522D2FDA" w14:textId="77777777" w:rsidR="00E57635" w:rsidRDefault="00E57635" w:rsidP="00E57635">
      <w:pPr>
        <w:pStyle w:val="SingleTxt"/>
      </w:pPr>
      <w:r>
        <w:rPr>
          <w:rFonts w:hint="eastAsia"/>
        </w:rPr>
        <w:t>51.</w:t>
      </w:r>
      <w:r w:rsidR="00C94A2D">
        <w:tab/>
      </w:r>
      <w:r>
        <w:rPr>
          <w:rFonts w:hint="eastAsia"/>
        </w:rPr>
        <w:t>委员会欢迎缔约国决定撤销对《公约》第十五</w:t>
      </w:r>
      <w:r>
        <w:rPr>
          <w:rFonts w:hint="eastAsia"/>
        </w:rPr>
        <w:t>(4)</w:t>
      </w:r>
      <w:r>
        <w:rPr>
          <w:rFonts w:hint="eastAsia"/>
        </w:rPr>
        <w:t>条的保留。然而，委员会关注的是，尽管通过了第</w:t>
      </w:r>
      <w:r>
        <w:rPr>
          <w:rFonts w:hint="eastAsia"/>
        </w:rPr>
        <w:t>11/2010</w:t>
      </w:r>
      <w:r>
        <w:rPr>
          <w:rFonts w:hint="eastAsia"/>
        </w:rPr>
        <w:t>号谕令，修正了《护照法》，允许妇女未经监护人同意，便可领取护照，但妇女领取护照和出国旅行，仍需获得父亲、丈夫或男性监护人的许可。还关注的是，妇女的血汗钱仍然是付给男子的一半。</w:t>
      </w:r>
    </w:p>
    <w:p w14:paraId="2A91AC44" w14:textId="77777777" w:rsidR="00E57635" w:rsidRDefault="00E57635" w:rsidP="00E57635">
      <w:pPr>
        <w:pStyle w:val="SingleTxt"/>
      </w:pPr>
      <w:r>
        <w:rPr>
          <w:rFonts w:hint="eastAsia"/>
        </w:rPr>
        <w:t>52.</w:t>
      </w:r>
      <w:r w:rsidR="00C94A2D">
        <w:tab/>
      </w:r>
      <w:r w:rsidRPr="00C94A2D">
        <w:rPr>
          <w:rFonts w:ascii="黑体" w:eastAsia="黑体" w:hAnsi="黑体" w:hint="eastAsia"/>
        </w:rPr>
        <w:t>委员会建议缔约国采取一切必要措施，确保有效执行第11/2010号谕令，保证妇女有权获得护照，而不必征求监护人的同意。委员会还建议缔约国颁布法令，修改《刑法》和《迪亚和阿鲁什法》，确保不歧视妇女。</w:t>
      </w:r>
    </w:p>
    <w:p w14:paraId="318A8006" w14:textId="77777777" w:rsidR="00E57635" w:rsidRPr="00C94A2D" w:rsidRDefault="00E57635" w:rsidP="00E57635">
      <w:pPr>
        <w:pStyle w:val="SingleTxt"/>
        <w:rPr>
          <w:rFonts w:ascii="黑体" w:eastAsia="黑体" w:hAnsi="黑体"/>
        </w:rPr>
      </w:pPr>
      <w:r w:rsidRPr="00C94A2D">
        <w:rPr>
          <w:rFonts w:ascii="黑体" w:eastAsia="黑体" w:hAnsi="黑体" w:hint="eastAsia"/>
        </w:rPr>
        <w:t>婚姻和家庭关系</w:t>
      </w:r>
    </w:p>
    <w:p w14:paraId="295E3F6C" w14:textId="77777777" w:rsidR="00E57635" w:rsidRDefault="00E57635" w:rsidP="00E57635">
      <w:pPr>
        <w:pStyle w:val="SingleTxt"/>
      </w:pPr>
      <w:r>
        <w:rPr>
          <w:rFonts w:hint="eastAsia"/>
        </w:rPr>
        <w:t>53.</w:t>
      </w:r>
      <w:r w:rsidR="00341F72">
        <w:rPr>
          <w:rFonts w:hint="eastAsia"/>
        </w:rPr>
        <w:tab/>
      </w:r>
      <w:r>
        <w:rPr>
          <w:rFonts w:hint="eastAsia"/>
        </w:rPr>
        <w:t>委员会仍然关切：</w:t>
      </w:r>
    </w:p>
    <w:p w14:paraId="1FB3D286" w14:textId="77777777" w:rsidR="00E57635" w:rsidRDefault="00EF2CAB" w:rsidP="00C94A2D">
      <w:pPr>
        <w:pStyle w:val="SingleTxt"/>
        <w:spacing w:line="340" w:lineRule="exact"/>
      </w:pPr>
      <w:r>
        <w:rPr>
          <w:rFonts w:hint="eastAsia"/>
        </w:rPr>
        <w:tab/>
        <w:t>(</w:t>
      </w:r>
      <w:r w:rsidR="00E57635">
        <w:rPr>
          <w:rFonts w:hint="eastAsia"/>
        </w:rPr>
        <w:t>a</w:t>
      </w:r>
      <w:r>
        <w:rPr>
          <w:rFonts w:hint="eastAsia"/>
        </w:rPr>
        <w:t>)</w:t>
      </w:r>
      <w:r>
        <w:rPr>
          <w:rFonts w:hint="eastAsia"/>
        </w:rPr>
        <w:tab/>
      </w:r>
      <w:r w:rsidR="00E57635">
        <w:rPr>
          <w:rFonts w:hint="eastAsia"/>
        </w:rPr>
        <w:t>利用伊斯兰教法充作家庭法改革缺乏进展的理由；继续在《个人身份法》中适用歧视性条款，特别规定妇女取得监护人同意才能结婚，尽管如其监护人拒绝同意，可以向最高法院伊斯兰教法庭上诉，或直接向苏丹提出上诉；继续嫁妆习俗，强迫妇女服从丈夫，包括在性行为方面；维持一夫多妻制，男子可因任何原因单方面要求离婚，而妇女要求离婚的理由很有限；</w:t>
      </w:r>
    </w:p>
    <w:p w14:paraId="50A032AC" w14:textId="77777777" w:rsidR="00E57635" w:rsidRDefault="00EF2CAB" w:rsidP="00C94A2D">
      <w:pPr>
        <w:pStyle w:val="SingleTxt"/>
        <w:spacing w:line="340" w:lineRule="exact"/>
      </w:pPr>
      <w:r>
        <w:rPr>
          <w:rFonts w:hint="eastAsia"/>
        </w:rPr>
        <w:tab/>
        <w:t>(</w:t>
      </w:r>
      <w:r w:rsidR="00E57635">
        <w:rPr>
          <w:rFonts w:hint="eastAsia"/>
        </w:rPr>
        <w:t>b</w:t>
      </w:r>
      <w:r>
        <w:rPr>
          <w:rFonts w:hint="eastAsia"/>
        </w:rPr>
        <w:t>)</w:t>
      </w:r>
      <w:r>
        <w:rPr>
          <w:rFonts w:hint="eastAsia"/>
        </w:rPr>
        <w:tab/>
      </w:r>
      <w:r w:rsidR="00E57635">
        <w:rPr>
          <w:rFonts w:hint="eastAsia"/>
        </w:rPr>
        <w:t>继承法中继续歧视妇女和女童，作为女儿和寡妇均受歧视；</w:t>
      </w:r>
    </w:p>
    <w:p w14:paraId="2CC4E214" w14:textId="77777777" w:rsidR="00E57635" w:rsidRDefault="00EF2CAB" w:rsidP="00C94A2D">
      <w:pPr>
        <w:pStyle w:val="SingleTxt"/>
        <w:spacing w:line="340" w:lineRule="exact"/>
      </w:pPr>
      <w:r>
        <w:rPr>
          <w:rFonts w:hint="eastAsia"/>
        </w:rPr>
        <w:tab/>
        <w:t>(</w:t>
      </w:r>
      <w:r w:rsidR="00E57635">
        <w:rPr>
          <w:rFonts w:hint="eastAsia"/>
        </w:rPr>
        <w:t>c</w:t>
      </w:r>
      <w:r>
        <w:rPr>
          <w:rFonts w:hint="eastAsia"/>
        </w:rPr>
        <w:t>)</w:t>
      </w:r>
      <w:r>
        <w:rPr>
          <w:rFonts w:hint="eastAsia"/>
        </w:rPr>
        <w:tab/>
      </w:r>
      <w:r w:rsidR="00E57635">
        <w:rPr>
          <w:rFonts w:hint="eastAsia"/>
        </w:rPr>
        <w:t>伊斯兰教法庭在离婚、赡养费和子女抚养诉讼中，往往做出有利于丈夫的判决；</w:t>
      </w:r>
    </w:p>
    <w:p w14:paraId="1821DAD5" w14:textId="77777777" w:rsidR="00E57635" w:rsidRDefault="00EF2CAB" w:rsidP="00C94A2D">
      <w:pPr>
        <w:pStyle w:val="SingleTxt"/>
        <w:spacing w:line="340" w:lineRule="exact"/>
      </w:pPr>
      <w:r>
        <w:rPr>
          <w:rFonts w:hint="eastAsia"/>
        </w:rPr>
        <w:tab/>
        <w:t>(</w:t>
      </w:r>
      <w:r w:rsidR="00E57635">
        <w:rPr>
          <w:rFonts w:hint="eastAsia"/>
        </w:rPr>
        <w:t>d</w:t>
      </w:r>
      <w:r>
        <w:rPr>
          <w:rFonts w:hint="eastAsia"/>
        </w:rPr>
        <w:t>)</w:t>
      </w:r>
      <w:r>
        <w:rPr>
          <w:rFonts w:hint="eastAsia"/>
        </w:rPr>
        <w:tab/>
      </w:r>
      <w:r w:rsidR="00E57635">
        <w:rPr>
          <w:rFonts w:hint="eastAsia"/>
        </w:rPr>
        <w:t>没有有关《个人身份法》之外诉诸民事方法的立法。</w:t>
      </w:r>
    </w:p>
    <w:p w14:paraId="65D4CE61" w14:textId="77777777" w:rsidR="00E57635" w:rsidRPr="00C94A2D" w:rsidRDefault="00E57635" w:rsidP="00C94A2D">
      <w:pPr>
        <w:pStyle w:val="SingleTxt"/>
        <w:spacing w:line="340" w:lineRule="exact"/>
        <w:rPr>
          <w:rFonts w:ascii="黑体" w:eastAsia="黑体" w:hAnsi="黑体"/>
        </w:rPr>
      </w:pPr>
      <w:r>
        <w:rPr>
          <w:rFonts w:hint="eastAsia"/>
        </w:rPr>
        <w:t>54.</w:t>
      </w:r>
      <w:r w:rsidR="00341F72">
        <w:rPr>
          <w:rFonts w:hint="eastAsia"/>
        </w:rPr>
        <w:tab/>
      </w:r>
      <w:r w:rsidRPr="00C94A2D">
        <w:rPr>
          <w:rFonts w:ascii="黑体" w:eastAsia="黑体" w:hAnsi="黑体" w:hint="eastAsia"/>
        </w:rPr>
        <w:t>委员会建议缔约国在具体时间范围内审查《个人身份法》中的所有歧视性规定，特别是逐步消除关于法律行为能力、一夫多妻制、离婚、监护制度和继承权的歧视性规定，同时考虑到具有相似文化背景和法律制度的其他国家的经验。委员会特别建议缔约国：</w:t>
      </w:r>
    </w:p>
    <w:p w14:paraId="2FFE5780"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a</w:t>
      </w:r>
      <w:r>
        <w:rPr>
          <w:rFonts w:hint="eastAsia"/>
        </w:rPr>
        <w:t>)</w:t>
      </w:r>
      <w:r>
        <w:rPr>
          <w:rFonts w:hint="eastAsia"/>
        </w:rPr>
        <w:tab/>
      </w:r>
      <w:r w:rsidR="00E57635" w:rsidRPr="00C94A2D">
        <w:rPr>
          <w:rFonts w:ascii="黑体" w:eastAsia="黑体" w:hAnsi="黑体" w:hint="eastAsia"/>
        </w:rPr>
        <w:t>按照委员会关于婚姻和家庭关系平等的第21(1994年)号一般性建议、委员会第31号以及儿童权利委员会有关有害做法的第18号联合一般性建议/意见(2014年)，禁止一夫多妻婚姻，并在实践中真正禁止；</w:t>
      </w:r>
    </w:p>
    <w:p w14:paraId="4B6F916E"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b</w:t>
      </w:r>
      <w:r>
        <w:rPr>
          <w:rFonts w:hint="eastAsia"/>
        </w:rPr>
        <w:t>)</w:t>
      </w:r>
      <w:r>
        <w:rPr>
          <w:rFonts w:hint="eastAsia"/>
        </w:rPr>
        <w:tab/>
      </w:r>
      <w:r w:rsidR="00E57635" w:rsidRPr="00C94A2D">
        <w:rPr>
          <w:rFonts w:ascii="黑体" w:eastAsia="黑体" w:hAnsi="黑体" w:hint="eastAsia"/>
        </w:rPr>
        <w:t>确保男女在婚姻和离婚方面享有平等权利，终止嫁妆习俗；</w:t>
      </w:r>
    </w:p>
    <w:p w14:paraId="122B1130"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c</w:t>
      </w:r>
      <w:r>
        <w:rPr>
          <w:rFonts w:hint="eastAsia"/>
        </w:rPr>
        <w:t>)</w:t>
      </w:r>
      <w:r>
        <w:rPr>
          <w:rFonts w:hint="eastAsia"/>
        </w:rPr>
        <w:tab/>
      </w:r>
      <w:r w:rsidR="00E57635" w:rsidRPr="00C94A2D">
        <w:rPr>
          <w:rFonts w:ascii="黑体" w:eastAsia="黑体" w:hAnsi="黑体" w:hint="eastAsia"/>
        </w:rPr>
        <w:t>加紧努力，使妇女和女童能够在与男性同等的基础上行使继承权，并制定法律，确保在婚姻解体后妇女对婚姻期间获得的财产拥有平等的权利；</w:t>
      </w:r>
    </w:p>
    <w:p w14:paraId="193F2B51" w14:textId="77777777" w:rsidR="00E57635" w:rsidRPr="00C94A2D" w:rsidRDefault="00EF2CAB" w:rsidP="00C94A2D">
      <w:pPr>
        <w:pStyle w:val="SingleTxt"/>
        <w:spacing w:line="340" w:lineRule="exact"/>
        <w:rPr>
          <w:rFonts w:ascii="黑体" w:eastAsia="黑体" w:hAnsi="黑体"/>
        </w:rPr>
      </w:pPr>
      <w:r>
        <w:rPr>
          <w:rFonts w:hint="eastAsia"/>
        </w:rPr>
        <w:tab/>
        <w:t>(</w:t>
      </w:r>
      <w:r w:rsidR="00E57635">
        <w:rPr>
          <w:rFonts w:hint="eastAsia"/>
        </w:rPr>
        <w:t>d</w:t>
      </w:r>
      <w:r>
        <w:rPr>
          <w:rFonts w:hint="eastAsia"/>
        </w:rPr>
        <w:t>)</w:t>
      </w:r>
      <w:r>
        <w:rPr>
          <w:rFonts w:hint="eastAsia"/>
        </w:rPr>
        <w:tab/>
      </w:r>
      <w:r w:rsidR="00E57635" w:rsidRPr="00C94A2D">
        <w:rPr>
          <w:rFonts w:ascii="黑体" w:eastAsia="黑体" w:hAnsi="黑体" w:hint="eastAsia"/>
        </w:rPr>
        <w:t>建立上诉机制，监督伊斯兰法庭的诉讼程序，确保在判决中不歧视妇女，特别是在离婚、赡养费和子女抚养诉讼中；</w:t>
      </w:r>
    </w:p>
    <w:p w14:paraId="276D83D7" w14:textId="77777777" w:rsidR="00E57635" w:rsidRPr="00C94A2D" w:rsidRDefault="00EF2CAB" w:rsidP="00E57635">
      <w:pPr>
        <w:pStyle w:val="SingleTxt"/>
        <w:rPr>
          <w:rFonts w:ascii="黑体" w:eastAsia="黑体" w:hAnsi="黑体"/>
        </w:rPr>
      </w:pPr>
      <w:r>
        <w:rPr>
          <w:rFonts w:hint="eastAsia"/>
        </w:rPr>
        <w:lastRenderedPageBreak/>
        <w:tab/>
        <w:t>(</w:t>
      </w:r>
      <w:r w:rsidR="00E57635">
        <w:rPr>
          <w:rFonts w:hint="eastAsia"/>
        </w:rPr>
        <w:t>e</w:t>
      </w:r>
      <w:r>
        <w:rPr>
          <w:rFonts w:hint="eastAsia"/>
        </w:rPr>
        <w:t>)</w:t>
      </w:r>
      <w:r>
        <w:rPr>
          <w:rFonts w:hint="eastAsia"/>
        </w:rPr>
        <w:tab/>
      </w:r>
      <w:r w:rsidR="00E57635" w:rsidRPr="00C94A2D">
        <w:rPr>
          <w:rFonts w:ascii="黑体" w:eastAsia="黑体" w:hAnsi="黑体" w:hint="eastAsia"/>
        </w:rPr>
        <w:t>根据平等和不歧视原则，提出立法，在《个人身份法》外另设民事方法，保护妇女，减轻她们在法律、经济和社会上受到的排挤。</w:t>
      </w:r>
    </w:p>
    <w:p w14:paraId="2F679889" w14:textId="77777777" w:rsidR="00E57635" w:rsidRPr="00C94A2D" w:rsidRDefault="00E57635" w:rsidP="00E57635">
      <w:pPr>
        <w:pStyle w:val="SingleTxt"/>
        <w:rPr>
          <w:rFonts w:ascii="黑体" w:eastAsia="黑体" w:hAnsi="黑体"/>
        </w:rPr>
      </w:pPr>
      <w:r w:rsidRPr="00C94A2D">
        <w:rPr>
          <w:rFonts w:ascii="黑体" w:eastAsia="黑体" w:hAnsi="黑体" w:hint="eastAsia"/>
        </w:rPr>
        <w:t>数据收集和分析</w:t>
      </w:r>
    </w:p>
    <w:p w14:paraId="345399E9" w14:textId="77777777" w:rsidR="00E57635" w:rsidRDefault="00E57635" w:rsidP="00E57635">
      <w:pPr>
        <w:pStyle w:val="SingleTxt"/>
      </w:pPr>
      <w:r>
        <w:rPr>
          <w:rFonts w:hint="eastAsia"/>
        </w:rPr>
        <w:t>55.</w:t>
      </w:r>
      <w:r w:rsidR="00341F72">
        <w:rPr>
          <w:rFonts w:hint="eastAsia"/>
        </w:rPr>
        <w:tab/>
      </w:r>
      <w:r>
        <w:rPr>
          <w:rFonts w:hint="eastAsia"/>
        </w:rPr>
        <w:t>委员会注意到缔约国提供的关于目前努力建立一个妇女数据库的资料，但遗憾的是，按性别分列的数据仍然不足以妥当监测《公约》所涵盖的所有领域。</w:t>
      </w:r>
    </w:p>
    <w:p w14:paraId="064446D5" w14:textId="77777777" w:rsidR="00E57635" w:rsidRPr="00C94A2D" w:rsidRDefault="00E57635" w:rsidP="00E57635">
      <w:pPr>
        <w:pStyle w:val="SingleTxt"/>
        <w:rPr>
          <w:rFonts w:ascii="黑体" w:eastAsia="黑体" w:hAnsi="黑体"/>
        </w:rPr>
      </w:pPr>
      <w:r>
        <w:rPr>
          <w:rFonts w:hint="eastAsia"/>
        </w:rPr>
        <w:t>56.</w:t>
      </w:r>
      <w:r w:rsidR="00341F72">
        <w:rPr>
          <w:rFonts w:hint="eastAsia"/>
        </w:rPr>
        <w:tab/>
      </w:r>
      <w:r w:rsidRPr="00C94A2D">
        <w:rPr>
          <w:rFonts w:ascii="黑体" w:eastAsia="黑体" w:hAnsi="黑体" w:hint="eastAsia"/>
        </w:rPr>
        <w:t>委员会建议缔约国加强收集、分析和传播按性别、年龄、残疾、族裔、地点和社会经济地位分类的综合数据，使用可衡量的指标来评估妇女境况和妇女在《公约》所涵盖的所有领域实现实质性平等方面取得的进展。</w:t>
      </w:r>
    </w:p>
    <w:p w14:paraId="045DFBED" w14:textId="77777777" w:rsidR="00E57635" w:rsidRPr="00C94A2D" w:rsidRDefault="00E57635" w:rsidP="00E57635">
      <w:pPr>
        <w:pStyle w:val="SingleTxt"/>
        <w:rPr>
          <w:rFonts w:ascii="黑体" w:eastAsia="黑体" w:hAnsi="黑体"/>
        </w:rPr>
      </w:pPr>
      <w:r w:rsidRPr="00C94A2D">
        <w:rPr>
          <w:rFonts w:ascii="黑体" w:eastAsia="黑体" w:hAnsi="黑体" w:hint="eastAsia"/>
        </w:rPr>
        <w:t>《公约任择议定书》和《公约》第二十条第1款修正案</w:t>
      </w:r>
    </w:p>
    <w:p w14:paraId="24965C76" w14:textId="77777777" w:rsidR="00E57635" w:rsidRPr="00C94A2D" w:rsidRDefault="00E57635" w:rsidP="00E57635">
      <w:pPr>
        <w:pStyle w:val="SingleTxt"/>
        <w:rPr>
          <w:rFonts w:ascii="黑体" w:eastAsia="黑体" w:hAnsi="黑体"/>
        </w:rPr>
      </w:pPr>
      <w:r>
        <w:rPr>
          <w:rFonts w:hint="eastAsia"/>
        </w:rPr>
        <w:t>57.</w:t>
      </w:r>
      <w:r w:rsidR="00341F72">
        <w:rPr>
          <w:rFonts w:hint="eastAsia"/>
        </w:rPr>
        <w:tab/>
      </w:r>
      <w:r w:rsidRPr="00C94A2D">
        <w:rPr>
          <w:rFonts w:ascii="黑体" w:eastAsia="黑体" w:hAnsi="黑体" w:hint="eastAsia"/>
        </w:rPr>
        <w:t>委员会鼓励缔约国批准《公约任择议定书》，并尽快接受《公约》关于委员会会议时间的第二十条第1款修正案。</w:t>
      </w:r>
    </w:p>
    <w:p w14:paraId="3765D889" w14:textId="77777777" w:rsidR="00E57635" w:rsidRPr="00C94A2D" w:rsidRDefault="00E57635" w:rsidP="00E57635">
      <w:pPr>
        <w:pStyle w:val="SingleTxt"/>
        <w:rPr>
          <w:rFonts w:ascii="黑体" w:eastAsia="黑体" w:hAnsi="黑体"/>
        </w:rPr>
      </w:pPr>
      <w:r w:rsidRPr="00C94A2D">
        <w:rPr>
          <w:rFonts w:ascii="黑体" w:eastAsia="黑体" w:hAnsi="黑体" w:hint="eastAsia"/>
        </w:rPr>
        <w:t>《北京宣言》和《行动纲要》</w:t>
      </w:r>
    </w:p>
    <w:p w14:paraId="5930C60D" w14:textId="77777777" w:rsidR="00E57635" w:rsidRPr="00C94A2D" w:rsidRDefault="00E57635" w:rsidP="00E57635">
      <w:pPr>
        <w:pStyle w:val="SingleTxt"/>
        <w:rPr>
          <w:rFonts w:ascii="黑体" w:eastAsia="黑体" w:hAnsi="黑体"/>
        </w:rPr>
      </w:pPr>
      <w:r>
        <w:rPr>
          <w:rFonts w:hint="eastAsia"/>
        </w:rPr>
        <w:t>58.</w:t>
      </w:r>
      <w:r w:rsidR="00341F72">
        <w:rPr>
          <w:rFonts w:hint="eastAsia"/>
        </w:rPr>
        <w:tab/>
      </w:r>
      <w:r w:rsidRPr="00C94A2D">
        <w:rPr>
          <w:rFonts w:ascii="黑体" w:eastAsia="黑体" w:hAnsi="黑体" w:hint="eastAsia"/>
        </w:rPr>
        <w:t>委员会呼吁缔约国利用《北京宣言》和《行动纲要》，努力执行《公约》的各项规定。</w:t>
      </w:r>
    </w:p>
    <w:p w14:paraId="3F2AC919" w14:textId="77777777" w:rsidR="00E57635" w:rsidRPr="00C94A2D" w:rsidRDefault="00E57635" w:rsidP="00E57635">
      <w:pPr>
        <w:pStyle w:val="SingleTxt"/>
        <w:rPr>
          <w:rFonts w:ascii="黑体" w:eastAsia="黑体" w:hAnsi="黑体"/>
        </w:rPr>
      </w:pPr>
      <w:r w:rsidRPr="00C94A2D">
        <w:rPr>
          <w:rFonts w:ascii="黑体" w:eastAsia="黑体" w:hAnsi="黑体" w:hint="eastAsia"/>
        </w:rPr>
        <w:t>《2030年可持续发展议程》</w:t>
      </w:r>
    </w:p>
    <w:p w14:paraId="67719EE5" w14:textId="77777777" w:rsidR="00E57635" w:rsidRPr="00C94A2D" w:rsidRDefault="00E57635" w:rsidP="00E57635">
      <w:pPr>
        <w:pStyle w:val="SingleTxt"/>
        <w:rPr>
          <w:rFonts w:ascii="黑体" w:eastAsia="黑体" w:hAnsi="黑体"/>
        </w:rPr>
      </w:pPr>
      <w:r>
        <w:rPr>
          <w:rFonts w:hint="eastAsia"/>
        </w:rPr>
        <w:t>59.</w:t>
      </w:r>
      <w:r w:rsidR="00341F72">
        <w:rPr>
          <w:rFonts w:hint="eastAsia"/>
        </w:rPr>
        <w:tab/>
      </w:r>
      <w:r w:rsidRPr="00C94A2D">
        <w:rPr>
          <w:rFonts w:ascii="黑体" w:eastAsia="黑体" w:hAnsi="黑体" w:hint="eastAsia"/>
        </w:rPr>
        <w:t>委员会呼吁在执行《2030年可持续发展议程》的整个过程中，根据《公约》的规定实现实质性的两性平等。</w:t>
      </w:r>
    </w:p>
    <w:p w14:paraId="0CE996BA" w14:textId="77777777" w:rsidR="00E57635" w:rsidRPr="00C94A2D" w:rsidRDefault="00E57635" w:rsidP="00E57635">
      <w:pPr>
        <w:pStyle w:val="SingleTxt"/>
        <w:rPr>
          <w:rFonts w:ascii="黑体" w:eastAsia="黑体" w:hAnsi="黑体"/>
        </w:rPr>
      </w:pPr>
      <w:r w:rsidRPr="00C94A2D">
        <w:rPr>
          <w:rFonts w:ascii="黑体" w:eastAsia="黑体" w:hAnsi="黑体" w:hint="eastAsia"/>
        </w:rPr>
        <w:t>传播</w:t>
      </w:r>
    </w:p>
    <w:p w14:paraId="784827BF" w14:textId="77777777" w:rsidR="00E57635" w:rsidRPr="00C94A2D" w:rsidRDefault="00E57635" w:rsidP="00E57635">
      <w:pPr>
        <w:pStyle w:val="SingleTxt"/>
        <w:rPr>
          <w:rFonts w:ascii="黑体" w:eastAsia="黑体" w:hAnsi="黑体"/>
        </w:rPr>
      </w:pPr>
      <w:r>
        <w:rPr>
          <w:rFonts w:hint="eastAsia"/>
        </w:rPr>
        <w:t>60.</w:t>
      </w:r>
      <w:r w:rsidR="00341F72">
        <w:rPr>
          <w:rFonts w:hint="eastAsia"/>
        </w:rPr>
        <w:tab/>
      </w:r>
      <w:r w:rsidRPr="00C94A2D">
        <w:rPr>
          <w:rFonts w:ascii="黑体" w:eastAsia="黑体" w:hAnsi="黑体" w:hint="eastAsia"/>
        </w:rPr>
        <w:t>委员会请缔约国确保以缔约国正式语文，及时向国家各级(国家、区域和地方)有关机构，特别是向政府、各部、议会和司法机构传播本结论性意见，使其得到充分执行。</w:t>
      </w:r>
    </w:p>
    <w:p w14:paraId="0329C3D9" w14:textId="77777777" w:rsidR="00E57635" w:rsidRPr="00C94A2D" w:rsidRDefault="00E57635" w:rsidP="00E57635">
      <w:pPr>
        <w:pStyle w:val="SingleTxt"/>
        <w:rPr>
          <w:rFonts w:ascii="黑体" w:eastAsia="黑体" w:hAnsi="黑体"/>
        </w:rPr>
      </w:pPr>
      <w:r w:rsidRPr="00C94A2D">
        <w:rPr>
          <w:rFonts w:ascii="黑体" w:eastAsia="黑体" w:hAnsi="黑体" w:hint="eastAsia"/>
        </w:rPr>
        <w:t>批准其他条约</w:t>
      </w:r>
    </w:p>
    <w:p w14:paraId="744B203D" w14:textId="125172B9" w:rsidR="00E57635" w:rsidRDefault="00E57635" w:rsidP="00E57635">
      <w:pPr>
        <w:pStyle w:val="SingleTxt"/>
        <w:rPr>
          <w:rFonts w:ascii="黑体" w:eastAsia="黑体" w:hAnsi="黑体"/>
        </w:rPr>
      </w:pPr>
      <w:r>
        <w:rPr>
          <w:rFonts w:hint="eastAsia"/>
        </w:rPr>
        <w:t>61.</w:t>
      </w:r>
      <w:r w:rsidR="00341F72">
        <w:rPr>
          <w:rFonts w:hint="eastAsia"/>
        </w:rPr>
        <w:tab/>
      </w:r>
      <w:r w:rsidRPr="00C94A2D">
        <w:rPr>
          <w:rFonts w:ascii="黑体" w:eastAsia="黑体" w:hAnsi="黑体" w:hint="eastAsia"/>
        </w:rPr>
        <w:t>委员会注意到，缔约国遵守九项主要的国际人权文书，</w:t>
      </w:r>
      <w:r w:rsidR="00341F72" w:rsidRPr="00C94A2D">
        <w:rPr>
          <w:rStyle w:val="a3"/>
          <w:rFonts w:ascii="黑体" w:eastAsia="黑体" w:hAnsi="黑体"/>
        </w:rPr>
        <w:footnoteReference w:id="1"/>
      </w:r>
      <w:r w:rsidR="00341F72" w:rsidRPr="00C94A2D">
        <w:rPr>
          <w:rFonts w:ascii="黑体" w:eastAsia="黑体" w:hAnsi="黑体" w:hint="eastAsia"/>
        </w:rPr>
        <w:t xml:space="preserve"> </w:t>
      </w:r>
      <w:r w:rsidRPr="00C94A2D">
        <w:rPr>
          <w:rFonts w:ascii="黑体" w:eastAsia="黑体" w:hAnsi="黑体" w:hint="eastAsia"/>
        </w:rPr>
        <w:t>这将加强妇女在生活各个方面享有人权和基本自由。因此，委员会鼓励缔约国批准其尚未加入的《公民权利和政治权利国际公约》、《经济、社会及文化权利国际公约》、《禁止酷刑和其他残忍、不人道或有辱人格的待遇或处罚公约》、《保护所有移徙工人及其家庭成员权利国际公约》和《保护所有人免遭强迫失踪国际公约》。</w:t>
      </w:r>
    </w:p>
    <w:p w14:paraId="4A6FFA72" w14:textId="77777777" w:rsidR="009F3CC3" w:rsidRDefault="009F3CC3" w:rsidP="00E57635">
      <w:pPr>
        <w:pStyle w:val="SingleTxt"/>
        <w:rPr>
          <w:rFonts w:ascii="黑体" w:eastAsia="黑体" w:hAnsi="黑体"/>
        </w:rPr>
      </w:pPr>
    </w:p>
    <w:p w14:paraId="7559FECC" w14:textId="77777777" w:rsidR="009F3CC3" w:rsidRDefault="009F3CC3" w:rsidP="00E57635">
      <w:pPr>
        <w:pStyle w:val="SingleTxt"/>
        <w:rPr>
          <w:rFonts w:ascii="黑体" w:eastAsia="黑体" w:hAnsi="黑体"/>
        </w:rPr>
      </w:pPr>
    </w:p>
    <w:p w14:paraId="0120BE26" w14:textId="7F54DAC7" w:rsidR="00E57635" w:rsidRPr="00C94A2D" w:rsidRDefault="00E57635" w:rsidP="00E57635">
      <w:pPr>
        <w:pStyle w:val="SingleTxt"/>
        <w:rPr>
          <w:rFonts w:ascii="黑体" w:eastAsia="黑体" w:hAnsi="黑体"/>
        </w:rPr>
      </w:pPr>
      <w:r w:rsidRPr="00C94A2D">
        <w:rPr>
          <w:rFonts w:ascii="黑体" w:eastAsia="黑体" w:hAnsi="黑体" w:hint="eastAsia"/>
        </w:rPr>
        <w:lastRenderedPageBreak/>
        <w:t>结论性意见的后续行动</w:t>
      </w:r>
    </w:p>
    <w:p w14:paraId="602B7744" w14:textId="77777777" w:rsidR="00E57635" w:rsidRPr="00C94A2D" w:rsidRDefault="00E57635" w:rsidP="00E57635">
      <w:pPr>
        <w:pStyle w:val="SingleTxt"/>
        <w:rPr>
          <w:rFonts w:ascii="黑体" w:eastAsia="黑体" w:hAnsi="黑体"/>
        </w:rPr>
      </w:pPr>
      <w:r>
        <w:rPr>
          <w:rFonts w:hint="eastAsia"/>
        </w:rPr>
        <w:t>62.</w:t>
      </w:r>
      <w:r w:rsidR="00341F72">
        <w:rPr>
          <w:rFonts w:hint="eastAsia"/>
        </w:rPr>
        <w:tab/>
      </w:r>
      <w:r w:rsidRPr="00C94A2D">
        <w:rPr>
          <w:rFonts w:ascii="黑体" w:eastAsia="黑体" w:hAnsi="黑体" w:hint="eastAsia"/>
        </w:rPr>
        <w:t>委员会请缔约国在两年内提供书面资料，说明为执行上文第10(a)、16(a)、24(a)和40(b)段所载建议而采取的步骤。</w:t>
      </w:r>
    </w:p>
    <w:p w14:paraId="7E8B6622" w14:textId="77777777" w:rsidR="00E57635" w:rsidRPr="00C94A2D" w:rsidRDefault="00E57635" w:rsidP="00E57635">
      <w:pPr>
        <w:pStyle w:val="SingleTxt"/>
        <w:rPr>
          <w:rFonts w:ascii="黑体" w:eastAsia="黑体" w:hAnsi="黑体"/>
        </w:rPr>
      </w:pPr>
      <w:r w:rsidRPr="00C94A2D">
        <w:rPr>
          <w:rFonts w:ascii="黑体" w:eastAsia="黑体" w:hAnsi="黑体" w:hint="eastAsia"/>
        </w:rPr>
        <w:t>准备下一份报告</w:t>
      </w:r>
    </w:p>
    <w:p w14:paraId="44DA2A60" w14:textId="77777777" w:rsidR="00E57635" w:rsidRPr="00C94A2D" w:rsidRDefault="00E57635" w:rsidP="00E57635">
      <w:pPr>
        <w:pStyle w:val="SingleTxt"/>
        <w:rPr>
          <w:rFonts w:ascii="黑体" w:eastAsia="黑体" w:hAnsi="黑体"/>
        </w:rPr>
      </w:pPr>
      <w:r>
        <w:rPr>
          <w:rFonts w:hint="eastAsia"/>
        </w:rPr>
        <w:t>63.</w:t>
      </w:r>
      <w:r w:rsidR="00341F72">
        <w:rPr>
          <w:rFonts w:hint="eastAsia"/>
        </w:rPr>
        <w:tab/>
      </w:r>
      <w:r w:rsidRPr="00C94A2D">
        <w:rPr>
          <w:rFonts w:ascii="黑体" w:eastAsia="黑体" w:hAnsi="黑体" w:hint="eastAsia"/>
        </w:rPr>
        <w:t>委员会请缔约国于2021年11月提交第四次定期报告。报告应准时提交，并应涵盖截至提交之时的整个期间。</w:t>
      </w:r>
    </w:p>
    <w:p w14:paraId="009880D1" w14:textId="761FFEC9" w:rsidR="00E57635" w:rsidRDefault="00E57635" w:rsidP="00E57635">
      <w:pPr>
        <w:pStyle w:val="SingleTxt"/>
        <w:rPr>
          <w:rFonts w:ascii="黑体" w:eastAsia="黑体" w:hAnsi="黑体"/>
        </w:rPr>
      </w:pPr>
      <w:r>
        <w:rPr>
          <w:rFonts w:hint="eastAsia"/>
        </w:rPr>
        <w:t>64.</w:t>
      </w:r>
      <w:r w:rsidR="00341F72">
        <w:rPr>
          <w:rFonts w:hint="eastAsia"/>
        </w:rPr>
        <w:tab/>
      </w:r>
      <w:r w:rsidRPr="00C94A2D">
        <w:rPr>
          <w:rFonts w:ascii="黑体" w:eastAsia="黑体" w:hAnsi="黑体" w:hint="eastAsia"/>
        </w:rPr>
        <w:t>委员会请缔约国遵守包括共同核心文件和条约专要文件准则在内的根据国际人权条约统一提交报告准则(见</w:t>
      </w:r>
      <w:hyperlink r:id="rId23" w:history="1">
        <w:r w:rsidRPr="008838F2">
          <w:rPr>
            <w:rStyle w:val="ad"/>
            <w:rFonts w:eastAsia="黑体"/>
          </w:rPr>
          <w:t>HRI/GEN/2/Rev.6</w:t>
        </w:r>
      </w:hyperlink>
      <w:r w:rsidRPr="00C94A2D">
        <w:rPr>
          <w:rFonts w:ascii="黑体" w:eastAsia="黑体" w:hAnsi="黑体" w:hint="eastAsia"/>
        </w:rPr>
        <w:t>，第一章)。</w:t>
      </w:r>
    </w:p>
    <w:p w14:paraId="75928087" w14:textId="77777777" w:rsidR="00C94A2D" w:rsidRPr="00C94A2D" w:rsidRDefault="00C94A2D" w:rsidP="00C94A2D">
      <w:pPr>
        <w:pStyle w:val="SingleTxt"/>
        <w:spacing w:after="0" w:line="240" w:lineRule="auto"/>
        <w:rPr>
          <w:rFonts w:ascii="黑体" w:eastAsia="黑体" w:hAnsi="黑体"/>
          <w:sz w:val="20"/>
        </w:rPr>
      </w:pPr>
      <w:r>
        <w:rPr>
          <w:rFonts w:ascii="黑体" w:eastAsia="黑体" w:hAnsi="黑体"/>
          <w:noProof/>
          <w:sz w:val="20"/>
        </w:rPr>
        <mc:AlternateContent>
          <mc:Choice Requires="wps">
            <w:drawing>
              <wp:anchor distT="0" distB="0" distL="114300" distR="114300" simplePos="0" relativeHeight="251660288" behindDoc="0" locked="0" layoutInCell="1" allowOverlap="1" wp14:anchorId="0D847D64" wp14:editId="2ECB16DB">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1F00C4"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C94A2D" w:rsidRPr="00C94A2D" w:rsidSect="000A2298">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7-12-22T14:05:00Z" w:initials="Start">
    <w:p w14:paraId="59265B75" w14:textId="77777777" w:rsidR="001B0501" w:rsidRDefault="001B0501">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NO&gt;&gt;N1739401C&lt;&lt;ODS JOB NO&gt;&gt;</w:t>
      </w:r>
    </w:p>
    <w:p w14:paraId="2F8F825A" w14:textId="77777777" w:rsidR="001B0501" w:rsidRDefault="001B0501">
      <w:pPr>
        <w:pStyle w:val="a7"/>
      </w:pPr>
      <w:r>
        <w:t>&lt;&lt;ODS DOC SYMBOL1&gt;&gt;CEDAW/C/OMN/CO/2-3&lt;&lt;ODS DOC SYMBOL1&gt;&gt;</w:t>
      </w:r>
    </w:p>
    <w:p w14:paraId="2F889149" w14:textId="77777777" w:rsidR="001B0501" w:rsidRDefault="001B0501">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8891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4F72B" w14:textId="77777777" w:rsidR="005203F1" w:rsidRDefault="005203F1">
      <w:r>
        <w:separator/>
      </w:r>
    </w:p>
  </w:endnote>
  <w:endnote w:type="continuationSeparator" w:id="0">
    <w:p w14:paraId="57235391" w14:textId="77777777" w:rsidR="005203F1" w:rsidRDefault="00520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altName w:val="微软雅黑"/>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B0501" w14:paraId="66AF0B40" w14:textId="77777777" w:rsidTr="001B0501">
      <w:tc>
        <w:tcPr>
          <w:tcW w:w="5028" w:type="dxa"/>
          <w:shd w:val="clear" w:color="auto" w:fill="auto"/>
        </w:tcPr>
        <w:p w14:paraId="3DE8B71B" w14:textId="5C078CA2" w:rsidR="001B0501" w:rsidRPr="001B0501" w:rsidRDefault="001B0501" w:rsidP="001B0501">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7D4F">
            <w:rPr>
              <w:b w:val="0"/>
              <w:w w:val="103"/>
              <w:sz w:val="14"/>
            </w:rPr>
            <w:t>17-20379 (C)</w:t>
          </w:r>
          <w:r>
            <w:rPr>
              <w:b w:val="0"/>
              <w:w w:val="103"/>
              <w:sz w:val="14"/>
            </w:rPr>
            <w:fldChar w:fldCharType="end"/>
          </w:r>
        </w:p>
      </w:tc>
      <w:tc>
        <w:tcPr>
          <w:tcW w:w="5028" w:type="dxa"/>
          <w:shd w:val="clear" w:color="auto" w:fill="auto"/>
        </w:tcPr>
        <w:p w14:paraId="23C5648C" w14:textId="471D52DD" w:rsidR="001B0501" w:rsidRPr="001B0501" w:rsidRDefault="001B0501" w:rsidP="001B0501">
          <w:pPr>
            <w:pStyle w:val="ac"/>
            <w:jc w:val="left"/>
            <w:rPr>
              <w:w w:val="103"/>
            </w:rPr>
          </w:pPr>
          <w:r>
            <w:rPr>
              <w:w w:val="103"/>
            </w:rPr>
            <w:fldChar w:fldCharType="begin"/>
          </w:r>
          <w:r>
            <w:rPr>
              <w:w w:val="103"/>
            </w:rPr>
            <w:instrText xml:space="preserve"> PAGE  \* Arabic  \* MERGEFORMAT </w:instrText>
          </w:r>
          <w:r>
            <w:rPr>
              <w:w w:val="103"/>
            </w:rPr>
            <w:fldChar w:fldCharType="separate"/>
          </w:r>
          <w:r w:rsidR="00DF7D4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7D4F">
            <w:rPr>
              <w:w w:val="103"/>
            </w:rPr>
            <w:t>16</w:t>
          </w:r>
          <w:r>
            <w:rPr>
              <w:w w:val="103"/>
            </w:rPr>
            <w:fldChar w:fldCharType="end"/>
          </w:r>
        </w:p>
      </w:tc>
    </w:tr>
  </w:tbl>
  <w:p w14:paraId="644F7F86" w14:textId="77777777" w:rsidR="001B0501" w:rsidRPr="001B0501" w:rsidRDefault="001B0501" w:rsidP="001B050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B0501" w14:paraId="0715607E" w14:textId="77777777" w:rsidTr="001B0501">
      <w:tc>
        <w:tcPr>
          <w:tcW w:w="5028" w:type="dxa"/>
          <w:shd w:val="clear" w:color="auto" w:fill="auto"/>
        </w:tcPr>
        <w:p w14:paraId="0EC6BF6A" w14:textId="3BEDFF9C" w:rsidR="001B0501" w:rsidRPr="001B0501" w:rsidRDefault="001B0501" w:rsidP="001B0501">
          <w:pPr>
            <w:pStyle w:val="ac"/>
            <w:jc w:val="right"/>
          </w:pPr>
          <w:r>
            <w:fldChar w:fldCharType="begin"/>
          </w:r>
          <w:r>
            <w:instrText xml:space="preserve"> PAGE  \* Arabic  \* MERGEFORMAT </w:instrText>
          </w:r>
          <w:r>
            <w:fldChar w:fldCharType="separate"/>
          </w:r>
          <w:r w:rsidR="00DF7D4F">
            <w:t>15</w:t>
          </w:r>
          <w:r>
            <w:fldChar w:fldCharType="end"/>
          </w:r>
          <w:r>
            <w:t>/</w:t>
          </w:r>
          <w:r w:rsidR="00DF7D4F">
            <w:fldChar w:fldCharType="begin"/>
          </w:r>
          <w:r w:rsidR="00DF7D4F">
            <w:instrText xml:space="preserve"> NUMPAGES  \* Arabic  \* MERGEFORMAT </w:instrText>
          </w:r>
          <w:r w:rsidR="00DF7D4F">
            <w:fldChar w:fldCharType="separate"/>
          </w:r>
          <w:r w:rsidR="00DF7D4F">
            <w:t>16</w:t>
          </w:r>
          <w:r w:rsidR="00DF7D4F">
            <w:fldChar w:fldCharType="end"/>
          </w:r>
        </w:p>
      </w:tc>
      <w:tc>
        <w:tcPr>
          <w:tcW w:w="5028" w:type="dxa"/>
          <w:shd w:val="clear" w:color="auto" w:fill="auto"/>
        </w:tcPr>
        <w:p w14:paraId="79A9EDD1" w14:textId="2B4A5CD1" w:rsidR="001B0501" w:rsidRPr="001B0501" w:rsidRDefault="001B0501" w:rsidP="001B0501">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7D4F">
            <w:rPr>
              <w:b w:val="0"/>
              <w:w w:val="103"/>
              <w:sz w:val="14"/>
            </w:rPr>
            <w:t>17-20379 (C)</w:t>
          </w:r>
          <w:r>
            <w:rPr>
              <w:b w:val="0"/>
              <w:w w:val="103"/>
              <w:sz w:val="14"/>
            </w:rPr>
            <w:fldChar w:fldCharType="end"/>
          </w:r>
        </w:p>
      </w:tc>
    </w:tr>
  </w:tbl>
  <w:p w14:paraId="5A237519" w14:textId="77777777" w:rsidR="001B0501" w:rsidRPr="001B0501" w:rsidRDefault="001B0501" w:rsidP="001B050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5028"/>
    </w:tblGrid>
    <w:tr w:rsidR="001B0501" w14:paraId="6CD7B208" w14:textId="77777777" w:rsidTr="001B0501">
      <w:tc>
        <w:tcPr>
          <w:tcW w:w="3744" w:type="dxa"/>
        </w:tcPr>
        <w:p w14:paraId="52C7939B" w14:textId="105626D6" w:rsidR="001B0501" w:rsidRDefault="001B0501" w:rsidP="001B0501">
          <w:pPr>
            <w:pStyle w:val="Release"/>
          </w:pPr>
          <w:r>
            <w:rPr>
              <w:noProof/>
            </w:rPr>
            <w:drawing>
              <wp:anchor distT="0" distB="0" distL="114300" distR="114300" simplePos="0" relativeHeight="251658240" behindDoc="0" locked="0" layoutInCell="1" allowOverlap="1" wp14:anchorId="5770C10E" wp14:editId="1BAB08A9">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OMN/CO/2-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MN/CO/2-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F7D4F">
            <w:fldChar w:fldCharType="begin"/>
          </w:r>
          <w:r w:rsidR="00DF7D4F">
            <w:instrText xml:space="preserve"> DOCVARIABLE "jobn" \* MERGEFORMAT </w:instrText>
          </w:r>
          <w:r w:rsidR="00DF7D4F">
            <w:fldChar w:fldCharType="separate"/>
          </w:r>
          <w:r w:rsidR="00DF7D4F">
            <w:t>17-20379 (C)</w:t>
          </w:r>
          <w:r w:rsidR="00DF7D4F">
            <w:fldChar w:fldCharType="end"/>
          </w:r>
          <w:r w:rsidR="000A2298">
            <w:t xml:space="preserve">    21</w:t>
          </w:r>
          <w:r>
            <w:t xml:space="preserve">1217    </w:t>
          </w:r>
          <w:r w:rsidR="000A2298">
            <w:t>170118</w:t>
          </w:r>
        </w:p>
        <w:p w14:paraId="4D76923A" w14:textId="77777777" w:rsidR="001B0501" w:rsidRPr="001B0501" w:rsidRDefault="001B0501" w:rsidP="001B0501">
          <w:pPr>
            <w:spacing w:before="80" w:line="210" w:lineRule="exact"/>
            <w:rPr>
              <w:rFonts w:ascii="Barcode 3 of 9 by request" w:hAnsi="Barcode 3 of 9 by request"/>
              <w:sz w:val="24"/>
            </w:rPr>
          </w:pPr>
          <w:r>
            <w:rPr>
              <w:rFonts w:ascii="Barcode 3 of 9 by request" w:hAnsi="Barcode 3 of 9 by request" w:hint="eastAsia"/>
              <w:sz w:val="24"/>
            </w:rPr>
            <w:t>*1720379*</w:t>
          </w:r>
        </w:p>
      </w:tc>
      <w:tc>
        <w:tcPr>
          <w:tcW w:w="5028" w:type="dxa"/>
        </w:tcPr>
        <w:p w14:paraId="58D48AA5" w14:textId="77777777" w:rsidR="001B0501" w:rsidRDefault="001B0501" w:rsidP="001B0501">
          <w:pPr>
            <w:pStyle w:val="ac"/>
            <w:jc w:val="right"/>
            <w:rPr>
              <w:b w:val="0"/>
              <w:sz w:val="21"/>
            </w:rPr>
          </w:pPr>
          <w:r>
            <w:rPr>
              <w:b w:val="0"/>
              <w:sz w:val="21"/>
            </w:rPr>
            <w:drawing>
              <wp:inline distT="0" distB="0" distL="0" distR="0" wp14:anchorId="0B77F551" wp14:editId="140AE79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14:paraId="29D5D1CC" w14:textId="77777777" w:rsidR="001B0501" w:rsidRPr="001B0501" w:rsidRDefault="001B0501" w:rsidP="001B0501">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A5059" w14:textId="77777777" w:rsidR="005203F1" w:rsidRPr="00341F72" w:rsidRDefault="00341F72" w:rsidP="00341F72">
      <w:pPr>
        <w:pStyle w:val="ac"/>
        <w:spacing w:after="80"/>
        <w:ind w:left="792"/>
        <w:rPr>
          <w:sz w:val="16"/>
        </w:rPr>
      </w:pPr>
      <w:r w:rsidRPr="00341F72">
        <w:rPr>
          <w:sz w:val="16"/>
        </w:rPr>
        <w:t>__________________</w:t>
      </w:r>
    </w:p>
  </w:footnote>
  <w:footnote w:type="continuationSeparator" w:id="0">
    <w:p w14:paraId="50E1D73C" w14:textId="77777777" w:rsidR="005203F1" w:rsidRPr="00341F72" w:rsidRDefault="00341F72" w:rsidP="00341F72">
      <w:pPr>
        <w:pStyle w:val="ac"/>
        <w:spacing w:after="80"/>
        <w:ind w:left="792"/>
        <w:rPr>
          <w:sz w:val="16"/>
        </w:rPr>
      </w:pPr>
      <w:r w:rsidRPr="00341F72">
        <w:rPr>
          <w:sz w:val="16"/>
        </w:rPr>
        <w:t>__________________</w:t>
      </w:r>
    </w:p>
  </w:footnote>
  <w:footnote w:id="1">
    <w:p w14:paraId="01624F91" w14:textId="77777777" w:rsidR="00341F72" w:rsidRDefault="00341F72" w:rsidP="00341F7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341F72">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B0501" w14:paraId="057C3E06" w14:textId="77777777" w:rsidTr="001B0501">
      <w:trPr>
        <w:trHeight w:hRule="exact" w:val="864"/>
      </w:trPr>
      <w:tc>
        <w:tcPr>
          <w:tcW w:w="4838" w:type="dxa"/>
          <w:shd w:val="clear" w:color="auto" w:fill="auto"/>
          <w:vAlign w:val="bottom"/>
        </w:tcPr>
        <w:p w14:paraId="03A31487" w14:textId="2F68C833" w:rsidR="001B0501" w:rsidRPr="001B0501" w:rsidRDefault="001B0501" w:rsidP="001B0501">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F7D4F">
            <w:rPr>
              <w:b/>
              <w:sz w:val="17"/>
            </w:rPr>
            <w:t>CEDAW/C/OMN/CO/2-3</w:t>
          </w:r>
          <w:r>
            <w:rPr>
              <w:b/>
              <w:sz w:val="17"/>
            </w:rPr>
            <w:fldChar w:fldCharType="end"/>
          </w:r>
        </w:p>
      </w:tc>
      <w:tc>
        <w:tcPr>
          <w:tcW w:w="5028" w:type="dxa"/>
          <w:shd w:val="clear" w:color="auto" w:fill="auto"/>
          <w:vAlign w:val="bottom"/>
        </w:tcPr>
        <w:p w14:paraId="22572D94" w14:textId="77777777" w:rsidR="001B0501" w:rsidRDefault="001B0501" w:rsidP="001B0501">
          <w:pPr>
            <w:pStyle w:val="ab"/>
          </w:pPr>
        </w:p>
      </w:tc>
    </w:tr>
  </w:tbl>
  <w:p w14:paraId="0A6429A9" w14:textId="77777777" w:rsidR="001B0501" w:rsidRPr="001B0501" w:rsidRDefault="001B0501" w:rsidP="001B0501">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B0501" w14:paraId="62B07E8C" w14:textId="77777777" w:rsidTr="001B0501">
      <w:trPr>
        <w:trHeight w:hRule="exact" w:val="864"/>
      </w:trPr>
      <w:tc>
        <w:tcPr>
          <w:tcW w:w="4838" w:type="dxa"/>
          <w:shd w:val="clear" w:color="auto" w:fill="auto"/>
          <w:vAlign w:val="bottom"/>
        </w:tcPr>
        <w:p w14:paraId="51E0A82F" w14:textId="77777777" w:rsidR="001B0501" w:rsidRDefault="001B0501" w:rsidP="001B0501">
          <w:pPr>
            <w:pStyle w:val="ab"/>
          </w:pPr>
        </w:p>
      </w:tc>
      <w:tc>
        <w:tcPr>
          <w:tcW w:w="5028" w:type="dxa"/>
          <w:shd w:val="clear" w:color="auto" w:fill="auto"/>
          <w:vAlign w:val="bottom"/>
        </w:tcPr>
        <w:p w14:paraId="32A0ECFD" w14:textId="485BDF43" w:rsidR="001B0501" w:rsidRPr="001B0501" w:rsidRDefault="001B0501" w:rsidP="001B0501">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F7D4F">
            <w:rPr>
              <w:b/>
              <w:sz w:val="17"/>
            </w:rPr>
            <w:t>CEDAW/C/OMN/CO/2-3</w:t>
          </w:r>
          <w:r>
            <w:rPr>
              <w:b/>
              <w:sz w:val="17"/>
            </w:rPr>
            <w:fldChar w:fldCharType="end"/>
          </w:r>
        </w:p>
      </w:tc>
    </w:tr>
  </w:tbl>
  <w:p w14:paraId="27F3BC7E" w14:textId="77777777" w:rsidR="001B0501" w:rsidRPr="001B0501" w:rsidRDefault="001B0501" w:rsidP="001B0501">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B0501" w14:paraId="3CA3FB30" w14:textId="77777777" w:rsidTr="001B0501">
      <w:trPr>
        <w:gridAfter w:val="1"/>
        <w:wAfter w:w="12" w:type="dxa"/>
        <w:trHeight w:hRule="exact" w:val="864"/>
      </w:trPr>
      <w:tc>
        <w:tcPr>
          <w:tcW w:w="1267" w:type="dxa"/>
          <w:tcBorders>
            <w:bottom w:val="single" w:sz="4" w:space="0" w:color="auto"/>
          </w:tcBorders>
          <w:shd w:val="clear" w:color="auto" w:fill="auto"/>
          <w:vAlign w:val="bottom"/>
        </w:tcPr>
        <w:p w14:paraId="276F0858" w14:textId="77777777" w:rsidR="001B0501" w:rsidRDefault="001B0501" w:rsidP="001B0501">
          <w:pPr>
            <w:pStyle w:val="ab"/>
            <w:spacing w:after="120"/>
          </w:pPr>
        </w:p>
      </w:tc>
      <w:tc>
        <w:tcPr>
          <w:tcW w:w="1872" w:type="dxa"/>
          <w:tcBorders>
            <w:bottom w:val="single" w:sz="4" w:space="0" w:color="auto"/>
          </w:tcBorders>
          <w:shd w:val="clear" w:color="auto" w:fill="auto"/>
          <w:vAlign w:val="bottom"/>
        </w:tcPr>
        <w:p w14:paraId="699FE571" w14:textId="77777777" w:rsidR="001B0501" w:rsidRPr="001B0501" w:rsidRDefault="001B0501" w:rsidP="001B050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6321936" w14:textId="77777777" w:rsidR="001B0501" w:rsidRDefault="001B0501" w:rsidP="001B0501">
          <w:pPr>
            <w:pStyle w:val="ab"/>
            <w:spacing w:after="120"/>
          </w:pPr>
        </w:p>
      </w:tc>
      <w:tc>
        <w:tcPr>
          <w:tcW w:w="6523" w:type="dxa"/>
          <w:gridSpan w:val="3"/>
          <w:tcBorders>
            <w:bottom w:val="single" w:sz="4" w:space="0" w:color="auto"/>
          </w:tcBorders>
          <w:shd w:val="clear" w:color="auto" w:fill="auto"/>
          <w:vAlign w:val="bottom"/>
        </w:tcPr>
        <w:p w14:paraId="3AFDFB71" w14:textId="77777777" w:rsidR="001B0501" w:rsidRPr="001B0501" w:rsidRDefault="001B0501" w:rsidP="001B0501">
          <w:pPr>
            <w:spacing w:after="80" w:line="240" w:lineRule="auto"/>
            <w:jc w:val="right"/>
            <w:rPr>
              <w:position w:val="-4"/>
            </w:rPr>
          </w:pPr>
          <w:r>
            <w:rPr>
              <w:position w:val="-4"/>
              <w:sz w:val="40"/>
            </w:rPr>
            <w:t>CEDAW</w:t>
          </w:r>
          <w:r>
            <w:rPr>
              <w:position w:val="-4"/>
            </w:rPr>
            <w:t>/C/OMN/CO/2-3</w:t>
          </w:r>
        </w:p>
      </w:tc>
    </w:tr>
    <w:tr w:rsidR="001B0501" w:rsidRPr="001B0501" w14:paraId="200883F3" w14:textId="77777777" w:rsidTr="001B0501">
      <w:trPr>
        <w:trHeight w:hRule="exact" w:val="2880"/>
      </w:trPr>
      <w:tc>
        <w:tcPr>
          <w:tcW w:w="1267" w:type="dxa"/>
          <w:tcBorders>
            <w:top w:val="single" w:sz="4" w:space="0" w:color="auto"/>
            <w:bottom w:val="single" w:sz="12" w:space="0" w:color="auto"/>
          </w:tcBorders>
          <w:shd w:val="clear" w:color="auto" w:fill="auto"/>
        </w:tcPr>
        <w:p w14:paraId="79E831CE" w14:textId="77777777" w:rsidR="001B0501" w:rsidRPr="001B0501" w:rsidRDefault="001B0501" w:rsidP="001B0501">
          <w:pPr>
            <w:pStyle w:val="ab"/>
            <w:spacing w:before="109"/>
            <w:ind w:left="-72"/>
          </w:pPr>
          <w:r>
            <w:t xml:space="preserve"> </w:t>
          </w:r>
          <w:r>
            <w:drawing>
              <wp:inline distT="0" distB="0" distL="0" distR="0" wp14:anchorId="58291E87" wp14:editId="3C850DD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CBB614" w14:textId="77777777" w:rsidR="001B0501" w:rsidRPr="001B0501" w:rsidRDefault="001B0501" w:rsidP="001B050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114FC0D" w14:textId="77777777" w:rsidR="001B0501" w:rsidRPr="001B0501" w:rsidRDefault="001B0501" w:rsidP="001B0501">
          <w:pPr>
            <w:pStyle w:val="ab"/>
            <w:spacing w:before="109"/>
          </w:pPr>
        </w:p>
      </w:tc>
      <w:tc>
        <w:tcPr>
          <w:tcW w:w="3180" w:type="dxa"/>
          <w:gridSpan w:val="2"/>
          <w:tcBorders>
            <w:top w:val="single" w:sz="4" w:space="0" w:color="auto"/>
            <w:bottom w:val="single" w:sz="12" w:space="0" w:color="auto"/>
          </w:tcBorders>
          <w:shd w:val="clear" w:color="auto" w:fill="auto"/>
        </w:tcPr>
        <w:p w14:paraId="0D164FF3" w14:textId="77777777" w:rsidR="001B0501" w:rsidRDefault="001B0501" w:rsidP="001B0501">
          <w:pPr>
            <w:pStyle w:val="Distr"/>
          </w:pPr>
          <w:r>
            <w:t>Distr.: General</w:t>
          </w:r>
        </w:p>
        <w:p w14:paraId="2C05CCDC" w14:textId="21861B0A" w:rsidR="001B0501" w:rsidRDefault="002E7426" w:rsidP="001B0501">
          <w:pPr>
            <w:pStyle w:val="Publication"/>
          </w:pPr>
          <w:r>
            <w:rPr>
              <w:rFonts w:hint="eastAsia"/>
            </w:rPr>
            <w:t>22</w:t>
          </w:r>
          <w:r w:rsidR="001B0501">
            <w:t xml:space="preserve"> </w:t>
          </w:r>
          <w:r w:rsidR="000A2298">
            <w:t>Nove</w:t>
          </w:r>
          <w:r w:rsidR="001B0501">
            <w:t>mber 2017</w:t>
          </w:r>
        </w:p>
        <w:p w14:paraId="7590D482" w14:textId="77777777" w:rsidR="001B0501" w:rsidRDefault="001B0501" w:rsidP="001B0501">
          <w:pPr>
            <w:spacing w:line="240" w:lineRule="exact"/>
          </w:pPr>
          <w:r>
            <w:t>Chinese</w:t>
          </w:r>
        </w:p>
        <w:p w14:paraId="50356F18" w14:textId="77777777" w:rsidR="001B0501" w:rsidRDefault="001B0501" w:rsidP="001B0501">
          <w:pPr>
            <w:pStyle w:val="Original"/>
          </w:pPr>
          <w:r>
            <w:t>Original: English</w:t>
          </w:r>
        </w:p>
        <w:p w14:paraId="2CF3CCE7" w14:textId="77777777" w:rsidR="001B0501" w:rsidRPr="001B0501" w:rsidRDefault="001B0501" w:rsidP="001B0501"/>
      </w:tc>
    </w:tr>
  </w:tbl>
  <w:p w14:paraId="01BAC671" w14:textId="77777777" w:rsidR="001B0501" w:rsidRPr="001B0501" w:rsidRDefault="001B0501" w:rsidP="001B0501">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2289"/>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9*"/>
    <w:docVar w:name="CreationDt" w:val="22/12/2017 14:05:17"/>
    <w:docVar w:name="DocCategory" w:val="Doc"/>
    <w:docVar w:name="DocType" w:val="Final"/>
    <w:docVar w:name="DutyStation" w:val="New York"/>
    <w:docVar w:name="FooterJN" w:val="17-20379 (C)"/>
    <w:docVar w:name="jobn" w:val="17-20379 (C)"/>
    <w:docVar w:name="jobnDT" w:val="17-20379 (C)   221217"/>
    <w:docVar w:name="jobnDTDT" w:val="17-20379 (C)   221217   221217"/>
    <w:docVar w:name="JobNo" w:val="1720379C"/>
    <w:docVar w:name="LocalDrive" w:val="0"/>
    <w:docVar w:name="OandT" w:val="cdz"/>
    <w:docVar w:name="sss1" w:val="CEDAW/C/OMN/CO/2-3"/>
    <w:docVar w:name="sss2" w:val="-"/>
    <w:docVar w:name="Symbol1" w:val="CEDAW/C/OMN/CO/2-3"/>
    <w:docVar w:name="Symbol2" w:val="-"/>
  </w:docVars>
  <w:rsids>
    <w:rsidRoot w:val="005203F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5A9A"/>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14CE"/>
    <w:rsid w:val="000946C5"/>
    <w:rsid w:val="00095C67"/>
    <w:rsid w:val="000A2298"/>
    <w:rsid w:val="000A31F9"/>
    <w:rsid w:val="000B04CB"/>
    <w:rsid w:val="000C1786"/>
    <w:rsid w:val="000C4C08"/>
    <w:rsid w:val="000C4DDE"/>
    <w:rsid w:val="000C5208"/>
    <w:rsid w:val="000D32BA"/>
    <w:rsid w:val="000D5EF6"/>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24AA"/>
    <w:rsid w:val="00122728"/>
    <w:rsid w:val="00124677"/>
    <w:rsid w:val="00125D3C"/>
    <w:rsid w:val="001267BE"/>
    <w:rsid w:val="0012708E"/>
    <w:rsid w:val="001306F1"/>
    <w:rsid w:val="00130EE5"/>
    <w:rsid w:val="00131015"/>
    <w:rsid w:val="001329F7"/>
    <w:rsid w:val="00133AA5"/>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501"/>
    <w:rsid w:val="001B0DFD"/>
    <w:rsid w:val="001B2814"/>
    <w:rsid w:val="001B4F95"/>
    <w:rsid w:val="001B74C5"/>
    <w:rsid w:val="001B79D0"/>
    <w:rsid w:val="001C1478"/>
    <w:rsid w:val="001C161F"/>
    <w:rsid w:val="001C1E0E"/>
    <w:rsid w:val="001C3329"/>
    <w:rsid w:val="001C3F7F"/>
    <w:rsid w:val="001C45C9"/>
    <w:rsid w:val="001C5166"/>
    <w:rsid w:val="001C5303"/>
    <w:rsid w:val="001D0354"/>
    <w:rsid w:val="001D225C"/>
    <w:rsid w:val="001D3F72"/>
    <w:rsid w:val="001D41AE"/>
    <w:rsid w:val="001D558E"/>
    <w:rsid w:val="001D757D"/>
    <w:rsid w:val="001E0ADA"/>
    <w:rsid w:val="001E20EC"/>
    <w:rsid w:val="001E340C"/>
    <w:rsid w:val="001E3F65"/>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246D"/>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3A32"/>
    <w:rsid w:val="002A4AEF"/>
    <w:rsid w:val="002A5E53"/>
    <w:rsid w:val="002B305F"/>
    <w:rsid w:val="002B35DE"/>
    <w:rsid w:val="002B564F"/>
    <w:rsid w:val="002B5F5D"/>
    <w:rsid w:val="002B62ED"/>
    <w:rsid w:val="002B6772"/>
    <w:rsid w:val="002B6993"/>
    <w:rsid w:val="002B7E03"/>
    <w:rsid w:val="002C2254"/>
    <w:rsid w:val="002C3BC9"/>
    <w:rsid w:val="002C4439"/>
    <w:rsid w:val="002C48C3"/>
    <w:rsid w:val="002C5261"/>
    <w:rsid w:val="002C54DB"/>
    <w:rsid w:val="002D039F"/>
    <w:rsid w:val="002D0694"/>
    <w:rsid w:val="002D0B62"/>
    <w:rsid w:val="002D0FF5"/>
    <w:rsid w:val="002D4ACE"/>
    <w:rsid w:val="002D5503"/>
    <w:rsid w:val="002D62B2"/>
    <w:rsid w:val="002D65A8"/>
    <w:rsid w:val="002D76B6"/>
    <w:rsid w:val="002E3AD8"/>
    <w:rsid w:val="002E66D5"/>
    <w:rsid w:val="002E7426"/>
    <w:rsid w:val="002F41E2"/>
    <w:rsid w:val="002F746E"/>
    <w:rsid w:val="00301C97"/>
    <w:rsid w:val="00304BE5"/>
    <w:rsid w:val="003063F6"/>
    <w:rsid w:val="003068DB"/>
    <w:rsid w:val="00313030"/>
    <w:rsid w:val="00320C99"/>
    <w:rsid w:val="003274A9"/>
    <w:rsid w:val="00327D8B"/>
    <w:rsid w:val="003305F1"/>
    <w:rsid w:val="00331221"/>
    <w:rsid w:val="00337F71"/>
    <w:rsid w:val="00341F72"/>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96E0F"/>
    <w:rsid w:val="003A1C26"/>
    <w:rsid w:val="003A2BC6"/>
    <w:rsid w:val="003A7B88"/>
    <w:rsid w:val="003B26A6"/>
    <w:rsid w:val="003C4125"/>
    <w:rsid w:val="003C448D"/>
    <w:rsid w:val="003C7B20"/>
    <w:rsid w:val="003D075F"/>
    <w:rsid w:val="003D5B4D"/>
    <w:rsid w:val="003E4565"/>
    <w:rsid w:val="003E5999"/>
    <w:rsid w:val="003E748F"/>
    <w:rsid w:val="003E7612"/>
    <w:rsid w:val="003F4BD2"/>
    <w:rsid w:val="003F7BF8"/>
    <w:rsid w:val="004044EF"/>
    <w:rsid w:val="00405CAD"/>
    <w:rsid w:val="004130C5"/>
    <w:rsid w:val="00413FBC"/>
    <w:rsid w:val="00414423"/>
    <w:rsid w:val="0041733F"/>
    <w:rsid w:val="00420761"/>
    <w:rsid w:val="004320FA"/>
    <w:rsid w:val="0043377F"/>
    <w:rsid w:val="00433853"/>
    <w:rsid w:val="00435958"/>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934"/>
    <w:rsid w:val="00483BDA"/>
    <w:rsid w:val="00487444"/>
    <w:rsid w:val="00493C9C"/>
    <w:rsid w:val="004955C1"/>
    <w:rsid w:val="00495C7E"/>
    <w:rsid w:val="0049799B"/>
    <w:rsid w:val="004A06D1"/>
    <w:rsid w:val="004A0E04"/>
    <w:rsid w:val="004A11FC"/>
    <w:rsid w:val="004A133B"/>
    <w:rsid w:val="004A1D1E"/>
    <w:rsid w:val="004B2C67"/>
    <w:rsid w:val="004B4C5C"/>
    <w:rsid w:val="004B4F06"/>
    <w:rsid w:val="004C0224"/>
    <w:rsid w:val="004C053E"/>
    <w:rsid w:val="004C089F"/>
    <w:rsid w:val="004C1456"/>
    <w:rsid w:val="004C3255"/>
    <w:rsid w:val="004C3BAA"/>
    <w:rsid w:val="004C5B65"/>
    <w:rsid w:val="004D07E1"/>
    <w:rsid w:val="004D1C19"/>
    <w:rsid w:val="004D60D1"/>
    <w:rsid w:val="004E4081"/>
    <w:rsid w:val="004E641B"/>
    <w:rsid w:val="004E739A"/>
    <w:rsid w:val="004F29B8"/>
    <w:rsid w:val="004F3649"/>
    <w:rsid w:val="004F4BBB"/>
    <w:rsid w:val="004F4EFB"/>
    <w:rsid w:val="004F5333"/>
    <w:rsid w:val="004F5E26"/>
    <w:rsid w:val="0050413E"/>
    <w:rsid w:val="00510187"/>
    <w:rsid w:val="00512841"/>
    <w:rsid w:val="00515657"/>
    <w:rsid w:val="00515859"/>
    <w:rsid w:val="0051592B"/>
    <w:rsid w:val="005203F1"/>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5F8"/>
    <w:rsid w:val="0057094A"/>
    <w:rsid w:val="00570BD4"/>
    <w:rsid w:val="00572790"/>
    <w:rsid w:val="00572961"/>
    <w:rsid w:val="0057450D"/>
    <w:rsid w:val="00574A2F"/>
    <w:rsid w:val="00581328"/>
    <w:rsid w:val="0058302A"/>
    <w:rsid w:val="00583305"/>
    <w:rsid w:val="00585A6B"/>
    <w:rsid w:val="0058792C"/>
    <w:rsid w:val="0059033C"/>
    <w:rsid w:val="0059457A"/>
    <w:rsid w:val="005A1400"/>
    <w:rsid w:val="005A175A"/>
    <w:rsid w:val="005A5F1C"/>
    <w:rsid w:val="005A7200"/>
    <w:rsid w:val="005B04F3"/>
    <w:rsid w:val="005B1476"/>
    <w:rsid w:val="005B1D3C"/>
    <w:rsid w:val="005B3B9A"/>
    <w:rsid w:val="005B4497"/>
    <w:rsid w:val="005B6C71"/>
    <w:rsid w:val="005B7338"/>
    <w:rsid w:val="005C02AB"/>
    <w:rsid w:val="005C1943"/>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822EB"/>
    <w:rsid w:val="00691524"/>
    <w:rsid w:val="006926DF"/>
    <w:rsid w:val="00697E61"/>
    <w:rsid w:val="006A2730"/>
    <w:rsid w:val="006A5CFB"/>
    <w:rsid w:val="006A654B"/>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1D59"/>
    <w:rsid w:val="007038D4"/>
    <w:rsid w:val="00704287"/>
    <w:rsid w:val="007052CC"/>
    <w:rsid w:val="00715172"/>
    <w:rsid w:val="00715C4B"/>
    <w:rsid w:val="00721BC6"/>
    <w:rsid w:val="00722965"/>
    <w:rsid w:val="00724400"/>
    <w:rsid w:val="00727363"/>
    <w:rsid w:val="007319E0"/>
    <w:rsid w:val="00731FBF"/>
    <w:rsid w:val="007328A2"/>
    <w:rsid w:val="00732A10"/>
    <w:rsid w:val="00733752"/>
    <w:rsid w:val="007345AA"/>
    <w:rsid w:val="00735C21"/>
    <w:rsid w:val="00737B00"/>
    <w:rsid w:val="007435A3"/>
    <w:rsid w:val="00744E75"/>
    <w:rsid w:val="00747DB4"/>
    <w:rsid w:val="0075155C"/>
    <w:rsid w:val="0075174D"/>
    <w:rsid w:val="00751D96"/>
    <w:rsid w:val="00753A05"/>
    <w:rsid w:val="0075586B"/>
    <w:rsid w:val="00757193"/>
    <w:rsid w:val="007574CC"/>
    <w:rsid w:val="007606E1"/>
    <w:rsid w:val="00761190"/>
    <w:rsid w:val="00766FD7"/>
    <w:rsid w:val="00767959"/>
    <w:rsid w:val="00770BE9"/>
    <w:rsid w:val="00774DE5"/>
    <w:rsid w:val="00776537"/>
    <w:rsid w:val="00780C90"/>
    <w:rsid w:val="00782137"/>
    <w:rsid w:val="00783829"/>
    <w:rsid w:val="00783A25"/>
    <w:rsid w:val="00784162"/>
    <w:rsid w:val="007843DB"/>
    <w:rsid w:val="007877F4"/>
    <w:rsid w:val="007908BE"/>
    <w:rsid w:val="007A6A3A"/>
    <w:rsid w:val="007B2492"/>
    <w:rsid w:val="007B394B"/>
    <w:rsid w:val="007B6BAE"/>
    <w:rsid w:val="007C10AC"/>
    <w:rsid w:val="007C5623"/>
    <w:rsid w:val="007C6FC5"/>
    <w:rsid w:val="007C74B9"/>
    <w:rsid w:val="007D0EC0"/>
    <w:rsid w:val="007D441A"/>
    <w:rsid w:val="007D518C"/>
    <w:rsid w:val="007E0D70"/>
    <w:rsid w:val="007E1B5E"/>
    <w:rsid w:val="007E6253"/>
    <w:rsid w:val="007F0DF8"/>
    <w:rsid w:val="007F1030"/>
    <w:rsid w:val="007F2278"/>
    <w:rsid w:val="007F46DF"/>
    <w:rsid w:val="008006AB"/>
    <w:rsid w:val="00803014"/>
    <w:rsid w:val="00803567"/>
    <w:rsid w:val="00805783"/>
    <w:rsid w:val="00806CEF"/>
    <w:rsid w:val="00806F57"/>
    <w:rsid w:val="00806F90"/>
    <w:rsid w:val="0081246D"/>
    <w:rsid w:val="00814156"/>
    <w:rsid w:val="00815AB6"/>
    <w:rsid w:val="00816E02"/>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8F2"/>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5178"/>
    <w:rsid w:val="008C5548"/>
    <w:rsid w:val="008D2BD9"/>
    <w:rsid w:val="008D6C74"/>
    <w:rsid w:val="008E2913"/>
    <w:rsid w:val="008E2C22"/>
    <w:rsid w:val="008E2D03"/>
    <w:rsid w:val="008E7BDF"/>
    <w:rsid w:val="008F2BB5"/>
    <w:rsid w:val="008F425D"/>
    <w:rsid w:val="008F43E4"/>
    <w:rsid w:val="008F5472"/>
    <w:rsid w:val="008F5703"/>
    <w:rsid w:val="008F5D0F"/>
    <w:rsid w:val="00900D81"/>
    <w:rsid w:val="00905F23"/>
    <w:rsid w:val="00907874"/>
    <w:rsid w:val="00911686"/>
    <w:rsid w:val="009122E0"/>
    <w:rsid w:val="00913351"/>
    <w:rsid w:val="00917344"/>
    <w:rsid w:val="00922CCB"/>
    <w:rsid w:val="00923D95"/>
    <w:rsid w:val="009248ED"/>
    <w:rsid w:val="009264B1"/>
    <w:rsid w:val="00927AA6"/>
    <w:rsid w:val="009331FA"/>
    <w:rsid w:val="00941874"/>
    <w:rsid w:val="0094294B"/>
    <w:rsid w:val="00945CD6"/>
    <w:rsid w:val="00946C87"/>
    <w:rsid w:val="0095023C"/>
    <w:rsid w:val="0095295A"/>
    <w:rsid w:val="00957134"/>
    <w:rsid w:val="0096193C"/>
    <w:rsid w:val="009769E1"/>
    <w:rsid w:val="00977E0D"/>
    <w:rsid w:val="0098143C"/>
    <w:rsid w:val="00982A24"/>
    <w:rsid w:val="00982D5C"/>
    <w:rsid w:val="00986132"/>
    <w:rsid w:val="00986C04"/>
    <w:rsid w:val="009932F9"/>
    <w:rsid w:val="009A0105"/>
    <w:rsid w:val="009A02E7"/>
    <w:rsid w:val="009A11E3"/>
    <w:rsid w:val="009A2F76"/>
    <w:rsid w:val="009A7BA6"/>
    <w:rsid w:val="009B0F1B"/>
    <w:rsid w:val="009B1250"/>
    <w:rsid w:val="009B378F"/>
    <w:rsid w:val="009B4688"/>
    <w:rsid w:val="009B6787"/>
    <w:rsid w:val="009C600E"/>
    <w:rsid w:val="009C7B18"/>
    <w:rsid w:val="009D00AA"/>
    <w:rsid w:val="009D0B10"/>
    <w:rsid w:val="009D2AC2"/>
    <w:rsid w:val="009D2FE3"/>
    <w:rsid w:val="009E1774"/>
    <w:rsid w:val="009E2668"/>
    <w:rsid w:val="009E40A3"/>
    <w:rsid w:val="009E5C8C"/>
    <w:rsid w:val="009F10B1"/>
    <w:rsid w:val="009F2F21"/>
    <w:rsid w:val="009F3CC3"/>
    <w:rsid w:val="009F3D89"/>
    <w:rsid w:val="009F47E3"/>
    <w:rsid w:val="009F6579"/>
    <w:rsid w:val="009F6938"/>
    <w:rsid w:val="00A0537D"/>
    <w:rsid w:val="00A055AB"/>
    <w:rsid w:val="00A05AE9"/>
    <w:rsid w:val="00A06324"/>
    <w:rsid w:val="00A069AD"/>
    <w:rsid w:val="00A07CEC"/>
    <w:rsid w:val="00A11BD2"/>
    <w:rsid w:val="00A1297E"/>
    <w:rsid w:val="00A158E7"/>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3467"/>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0B7A"/>
    <w:rsid w:val="00AA3C28"/>
    <w:rsid w:val="00AA65E5"/>
    <w:rsid w:val="00AA759D"/>
    <w:rsid w:val="00AB1592"/>
    <w:rsid w:val="00AB2786"/>
    <w:rsid w:val="00AB5BEE"/>
    <w:rsid w:val="00AC2EAA"/>
    <w:rsid w:val="00AC373F"/>
    <w:rsid w:val="00AC550F"/>
    <w:rsid w:val="00AD25C4"/>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59CC"/>
    <w:rsid w:val="00B309DD"/>
    <w:rsid w:val="00B31E9D"/>
    <w:rsid w:val="00B34ADC"/>
    <w:rsid w:val="00B3574C"/>
    <w:rsid w:val="00B36621"/>
    <w:rsid w:val="00B36764"/>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038B"/>
    <w:rsid w:val="00B7141E"/>
    <w:rsid w:val="00B75C92"/>
    <w:rsid w:val="00B8025A"/>
    <w:rsid w:val="00B827B1"/>
    <w:rsid w:val="00B84001"/>
    <w:rsid w:val="00B85B9F"/>
    <w:rsid w:val="00B9116F"/>
    <w:rsid w:val="00B91D70"/>
    <w:rsid w:val="00B929DA"/>
    <w:rsid w:val="00B9408D"/>
    <w:rsid w:val="00B94698"/>
    <w:rsid w:val="00B95BF6"/>
    <w:rsid w:val="00BA026B"/>
    <w:rsid w:val="00BA1B3F"/>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2C71"/>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36E3E"/>
    <w:rsid w:val="00C403C9"/>
    <w:rsid w:val="00C4116C"/>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4A2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0912"/>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613E0"/>
    <w:rsid w:val="00D66509"/>
    <w:rsid w:val="00D676D7"/>
    <w:rsid w:val="00D6794E"/>
    <w:rsid w:val="00D7007A"/>
    <w:rsid w:val="00D71517"/>
    <w:rsid w:val="00D7168D"/>
    <w:rsid w:val="00D71A15"/>
    <w:rsid w:val="00D74BC3"/>
    <w:rsid w:val="00D74E0D"/>
    <w:rsid w:val="00D82311"/>
    <w:rsid w:val="00D83D1B"/>
    <w:rsid w:val="00D86A32"/>
    <w:rsid w:val="00D874E1"/>
    <w:rsid w:val="00D910C2"/>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DF7D4F"/>
    <w:rsid w:val="00E030F5"/>
    <w:rsid w:val="00E039B0"/>
    <w:rsid w:val="00E041F4"/>
    <w:rsid w:val="00E050BA"/>
    <w:rsid w:val="00E06CBE"/>
    <w:rsid w:val="00E076AC"/>
    <w:rsid w:val="00E16655"/>
    <w:rsid w:val="00E16A6B"/>
    <w:rsid w:val="00E21275"/>
    <w:rsid w:val="00E25442"/>
    <w:rsid w:val="00E25A1F"/>
    <w:rsid w:val="00E25D27"/>
    <w:rsid w:val="00E26D22"/>
    <w:rsid w:val="00E3288B"/>
    <w:rsid w:val="00E34E6A"/>
    <w:rsid w:val="00E35B72"/>
    <w:rsid w:val="00E37B54"/>
    <w:rsid w:val="00E37EEB"/>
    <w:rsid w:val="00E440B3"/>
    <w:rsid w:val="00E47D48"/>
    <w:rsid w:val="00E5153D"/>
    <w:rsid w:val="00E5359A"/>
    <w:rsid w:val="00E56134"/>
    <w:rsid w:val="00E56B5D"/>
    <w:rsid w:val="00E57635"/>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0C3C"/>
    <w:rsid w:val="00EB33AC"/>
    <w:rsid w:val="00EB4928"/>
    <w:rsid w:val="00EB6A13"/>
    <w:rsid w:val="00EC25DE"/>
    <w:rsid w:val="00EC669D"/>
    <w:rsid w:val="00EC6F21"/>
    <w:rsid w:val="00EC7887"/>
    <w:rsid w:val="00ED2708"/>
    <w:rsid w:val="00ED2D39"/>
    <w:rsid w:val="00ED3A3A"/>
    <w:rsid w:val="00EE0913"/>
    <w:rsid w:val="00EF23C4"/>
    <w:rsid w:val="00EF2CAB"/>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042"/>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64C"/>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BBC62E8"/>
  <w15:docId w15:val="{914B0E83-C932-40E2-A386-F551161A5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OMN/Q/2" TargetMode="External"/><Relationship Id="rId3" Type="http://schemas.openxmlformats.org/officeDocument/2006/relationships/styles" Target="styles.xml"/><Relationship Id="rId21" Type="http://schemas.openxmlformats.org/officeDocument/2006/relationships/hyperlink" Target="https://undocs.org/ch/CEDAW/C/OMN/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54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OMN/2" TargetMode="External"/><Relationship Id="rId20" Type="http://schemas.openxmlformats.org/officeDocument/2006/relationships/hyperlink" Target="https://undocs.org/ch/CEDAW/C/OMN/CO/1/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OMN/Q/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53/38/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AB257-F6F3-49E4-B2D9-36AA1F161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2134</Words>
  <Characters>12166</Characters>
  <Application>Microsoft Office Word</Application>
  <DocSecurity>0</DocSecurity>
  <Lines>101</Lines>
  <Paragraphs>28</Paragraphs>
  <ScaleCrop>false</ScaleCrop>
  <Company>United Nations</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Dezuo Cao</dc:creator>
  <cp:keywords/>
  <dc:description/>
  <cp:lastModifiedBy>Bin Guo</cp:lastModifiedBy>
  <cp:revision>3</cp:revision>
  <cp:lastPrinted>2018-01-17T17:53:00Z</cp:lastPrinted>
  <dcterms:created xsi:type="dcterms:W3CDTF">2018-01-17T17:52:00Z</dcterms:created>
  <dcterms:modified xsi:type="dcterms:W3CDTF">2018-01-17T17:54:00Z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1720379</vt:lpwstr>
  </property>
  <property fmtid="{D5CDD505-2E9C-101B-9397-08002B2CF9AE}" pid="3" name="ODSRefJobNo">
    <vt:lpwstr>1739401C</vt:lpwstr>
  </property>
  <property fmtid="{D5CDD505-2E9C-101B-9397-08002B2CF9AE}" pid="4" name="Symbol1">
    <vt:lpwstr>CEDAW/C/OMN/CO/2-3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cdz</vt:lpwstr>
  </property>
  <property fmtid="{D5CDD505-2E9C-101B-9397-08002B2CF9AE}" pid="12" name="Distribution">
    <vt:lpwstr>General</vt:lpwstr>
  </property>
  <property fmtid="{D5CDD505-2E9C-101B-9397-08002B2CF9AE}" pid="13" name="Publication Date">
    <vt:lpwstr>17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关于阿曼第二次和第三次合并定期报告的结论性意见*_x000d_</vt:lpwstr>
  </property>
</Properties>
</file>