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B9E" w:rsidRDefault="00A73B9E" w:rsidP="00A73B9E">
      <w:pPr>
        <w:spacing w:line="60" w:lineRule="exact"/>
        <w:rPr>
          <w:sz w:val="6"/>
        </w:rPr>
        <w:sectPr w:rsidR="00A73B9E" w:rsidSect="00A73B9E">
          <w:headerReference w:type="even" r:id="rId8"/>
          <w:headerReference w:type="default" r:id="rId9"/>
          <w:footerReference w:type="even" r:id="rId10"/>
          <w:footerReference w:type="default" r:id="rId11"/>
          <w:headerReference w:type="first" r:id="rId12"/>
          <w:footerReference w:type="first" r:id="rId13"/>
          <w:type w:val="continuous"/>
          <w:pgSz w:w="11909" w:h="16834" w:code="1"/>
          <w:pgMar w:top="1742" w:right="936" w:bottom="1898" w:left="936" w:header="576" w:footer="1030" w:gutter="0"/>
          <w:cols w:space="425"/>
          <w:titlePg/>
          <w:docGrid w:linePitch="312"/>
        </w:sectPr>
      </w:pPr>
      <w:r>
        <w:rPr>
          <w:rStyle w:val="a9"/>
        </w:rPr>
        <w:commentReference w:id="0"/>
      </w:r>
    </w:p>
    <w:p w:rsidR="00B31E9D" w:rsidRDefault="00B31E9D" w:rsidP="00A73B9E">
      <w:pPr>
        <w:spacing w:line="60" w:lineRule="exact"/>
        <w:rPr>
          <w:sz w:val="6"/>
        </w:rPr>
      </w:pPr>
    </w:p>
    <w:p w:rsidR="007C47DE" w:rsidRDefault="007C47DE" w:rsidP="007C47DE">
      <w:pPr>
        <w:spacing w:before="120"/>
        <w:rPr>
          <w:rFonts w:eastAsia="黑体"/>
          <w:sz w:val="24"/>
          <w:szCs w:val="24"/>
          <w:lang w:val="fr-CH"/>
        </w:rPr>
      </w:pPr>
      <w:r>
        <w:rPr>
          <w:rFonts w:eastAsia="黑体" w:hint="eastAsia"/>
          <w:sz w:val="24"/>
          <w:szCs w:val="24"/>
          <w:lang w:val="fr-CH"/>
        </w:rPr>
        <w:t>人权理事会</w:t>
      </w:r>
    </w:p>
    <w:p w:rsidR="007C47DE" w:rsidRDefault="007C47DE" w:rsidP="007C47DE">
      <w:pPr>
        <w:rPr>
          <w:rFonts w:eastAsia="黑体"/>
          <w:szCs w:val="21"/>
        </w:rPr>
      </w:pPr>
      <w:r>
        <w:rPr>
          <w:rFonts w:eastAsia="黑体" w:hint="eastAsia"/>
          <w:szCs w:val="21"/>
        </w:rPr>
        <w:t>第三十届会议</w:t>
      </w:r>
    </w:p>
    <w:p w:rsidR="007C47DE" w:rsidRDefault="007C47DE" w:rsidP="007C47DE">
      <w:r>
        <w:rPr>
          <w:rFonts w:hint="eastAsia"/>
          <w:szCs w:val="21"/>
        </w:rPr>
        <w:t>议程项目</w:t>
      </w:r>
      <w:r>
        <w:rPr>
          <w:szCs w:val="21"/>
        </w:rPr>
        <w:t>10</w:t>
      </w:r>
    </w:p>
    <w:p w:rsidR="007C47DE" w:rsidRPr="007C47DE" w:rsidRDefault="007C47DE" w:rsidP="007C47D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7C47DE" w:rsidRPr="007C47DE" w:rsidRDefault="007C47DE" w:rsidP="007C47D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7C47DE" w:rsidRPr="007C47DE" w:rsidRDefault="007C47DE" w:rsidP="007C47D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7C47DE" w:rsidRDefault="007C47DE" w:rsidP="007C47D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r>
      <w:r w:rsidRPr="00DF3DEF">
        <w:rPr>
          <w:rFonts w:hint="eastAsia"/>
        </w:rPr>
        <w:t>人权理事会</w:t>
      </w:r>
      <w:r w:rsidRPr="00DF3DEF">
        <w:t>2015</w:t>
      </w:r>
      <w:r w:rsidRPr="00DF3DEF">
        <w:rPr>
          <w:rFonts w:hint="eastAsia"/>
        </w:rPr>
        <w:t>年10月</w:t>
      </w:r>
      <w:r>
        <w:rPr>
          <w:rFonts w:hint="eastAsia"/>
        </w:rPr>
        <w:t>2</w:t>
      </w:r>
      <w:r w:rsidRPr="00DF3DEF">
        <w:rPr>
          <w:rFonts w:hint="eastAsia"/>
        </w:rPr>
        <w:t>日通过的决议</w:t>
      </w:r>
    </w:p>
    <w:p w:rsidR="007C47DE" w:rsidRPr="007C47DE" w:rsidRDefault="007C47DE" w:rsidP="007C47D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7C47DE" w:rsidRPr="007C47DE" w:rsidRDefault="007C47DE" w:rsidP="007C47D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7C47DE" w:rsidRPr="007C47DE" w:rsidRDefault="007C47DE" w:rsidP="007C47D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7C47DE" w:rsidRPr="007F1457" w:rsidRDefault="007C47DE" w:rsidP="007C47D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Pr>
          <w:rFonts w:hint="eastAsia"/>
        </w:rPr>
        <w:tab/>
      </w:r>
      <w:r>
        <w:rPr>
          <w:rFonts w:hint="eastAsia"/>
        </w:rPr>
        <w:tab/>
      </w:r>
      <w:r w:rsidRPr="007F1457">
        <w:t>30/23.</w:t>
      </w:r>
      <w:r w:rsidRPr="007F1457">
        <w:tab/>
      </w:r>
      <w:r w:rsidRPr="007F1457">
        <w:rPr>
          <w:rFonts w:hint="eastAsia"/>
        </w:rPr>
        <w:t>向柬埔寨提供咨询服务和技术援助</w:t>
      </w:r>
      <w:bookmarkStart w:id="1" w:name="_GoBack"/>
      <w:bookmarkEnd w:id="1"/>
    </w:p>
    <w:p w:rsidR="007C47DE" w:rsidRPr="007C47DE" w:rsidRDefault="007C47DE" w:rsidP="007C47DE">
      <w:pPr>
        <w:pStyle w:val="SingleTxt"/>
        <w:spacing w:after="0" w:line="120" w:lineRule="exact"/>
        <w:rPr>
          <w:rFonts w:eastAsia="楷体_GB2312" w:hint="eastAsia"/>
          <w:sz w:val="10"/>
        </w:rPr>
      </w:pPr>
    </w:p>
    <w:p w:rsidR="007C47DE" w:rsidRPr="007C47DE" w:rsidRDefault="007C47DE" w:rsidP="007C47DE">
      <w:pPr>
        <w:pStyle w:val="SingleTxt"/>
        <w:spacing w:after="0" w:line="120" w:lineRule="exact"/>
        <w:rPr>
          <w:rFonts w:eastAsia="楷体_GB2312" w:hint="eastAsia"/>
          <w:sz w:val="10"/>
        </w:rPr>
      </w:pPr>
    </w:p>
    <w:p w:rsidR="007C47DE" w:rsidRPr="009D61AC" w:rsidRDefault="007C47DE" w:rsidP="007C47DE">
      <w:pPr>
        <w:pStyle w:val="SingleTxt"/>
        <w:rPr>
          <w:rFonts w:eastAsia="楷体_GB2312"/>
        </w:rPr>
      </w:pPr>
      <w:r>
        <w:rPr>
          <w:rFonts w:eastAsia="楷体_GB2312" w:hint="eastAsia"/>
        </w:rPr>
        <w:tab/>
      </w:r>
      <w:r w:rsidRPr="009D61AC">
        <w:rPr>
          <w:rFonts w:eastAsia="楷体_GB2312" w:hint="eastAsia"/>
        </w:rPr>
        <w:t>人权理事会，</w:t>
      </w:r>
    </w:p>
    <w:p w:rsidR="007C47DE" w:rsidRPr="009D61AC" w:rsidRDefault="007C47DE" w:rsidP="007C47DE">
      <w:pPr>
        <w:pStyle w:val="SingleTxt"/>
      </w:pPr>
      <w:r>
        <w:rPr>
          <w:rFonts w:eastAsia="楷体_GB2312" w:hint="eastAsia"/>
          <w:spacing w:val="4"/>
        </w:rPr>
        <w:tab/>
      </w:r>
      <w:r w:rsidRPr="009D61AC">
        <w:rPr>
          <w:rFonts w:eastAsia="楷体_GB2312" w:hint="eastAsia"/>
          <w:spacing w:val="4"/>
        </w:rPr>
        <w:t>重申</w:t>
      </w:r>
      <w:r w:rsidRPr="009D61AC">
        <w:rPr>
          <w:rFonts w:hint="eastAsia"/>
          <w:spacing w:val="4"/>
        </w:rPr>
        <w:t>所有会员国均有义务增进和保护《联合国宪章》所规定、《世界人权宣言》所重申的各项人权和基本自由，并承担国际人权两公约和其他适用的人权文书规定的义</w:t>
      </w:r>
      <w:r w:rsidRPr="009D61AC">
        <w:rPr>
          <w:rFonts w:hint="eastAsia"/>
        </w:rPr>
        <w:t>务，</w:t>
      </w:r>
    </w:p>
    <w:p w:rsidR="007C47DE" w:rsidRPr="009D61AC" w:rsidRDefault="007C47DE" w:rsidP="007C47DE">
      <w:pPr>
        <w:pStyle w:val="SingleTxt"/>
      </w:pPr>
      <w:r>
        <w:rPr>
          <w:rFonts w:eastAsia="楷体_GB2312" w:hint="eastAsia"/>
        </w:rPr>
        <w:tab/>
      </w:r>
      <w:r w:rsidRPr="009D61AC">
        <w:rPr>
          <w:rFonts w:eastAsia="楷体_GB2312" w:hint="eastAsia"/>
        </w:rPr>
        <w:t>回顾</w:t>
      </w:r>
      <w:r w:rsidRPr="009D61AC">
        <w:rPr>
          <w:rFonts w:hint="eastAsia"/>
        </w:rPr>
        <w:t>大会</w:t>
      </w:r>
      <w:r w:rsidRPr="009D61AC">
        <w:t>2006</w:t>
      </w:r>
      <w:r w:rsidRPr="009D61AC">
        <w:rPr>
          <w:rFonts w:hint="eastAsia"/>
        </w:rPr>
        <w:t>年</w:t>
      </w:r>
      <w:r w:rsidRPr="009D61AC">
        <w:t>3</w:t>
      </w:r>
      <w:r w:rsidRPr="009D61AC">
        <w:rPr>
          <w:rFonts w:hint="eastAsia"/>
        </w:rPr>
        <w:t>月</w:t>
      </w:r>
      <w:r w:rsidRPr="009D61AC">
        <w:t>15</w:t>
      </w:r>
      <w:r w:rsidRPr="009D61AC">
        <w:rPr>
          <w:rFonts w:hint="eastAsia"/>
        </w:rPr>
        <w:t>日第</w:t>
      </w:r>
      <w:r w:rsidRPr="009D61AC">
        <w:t>60/251</w:t>
      </w:r>
      <w:r w:rsidRPr="009D61AC">
        <w:rPr>
          <w:rFonts w:hint="eastAsia"/>
        </w:rPr>
        <w:t>号决议，</w:t>
      </w:r>
    </w:p>
    <w:p w:rsidR="007C47DE" w:rsidRPr="009D61AC" w:rsidRDefault="007C47DE" w:rsidP="007C47DE">
      <w:pPr>
        <w:pStyle w:val="SingleTxt"/>
      </w:pPr>
      <w:r>
        <w:rPr>
          <w:rFonts w:eastAsia="楷体_GB2312" w:hint="eastAsia"/>
        </w:rPr>
        <w:tab/>
      </w:r>
      <w:r w:rsidRPr="009D61AC">
        <w:rPr>
          <w:rFonts w:eastAsia="楷体_GB2312" w:hint="eastAsia"/>
        </w:rPr>
        <w:t>又回顾</w:t>
      </w:r>
      <w:r w:rsidRPr="009D61AC">
        <w:rPr>
          <w:rFonts w:hint="eastAsia"/>
          <w:spacing w:val="4"/>
        </w:rPr>
        <w:t>人权</w:t>
      </w:r>
      <w:r w:rsidRPr="009D61AC">
        <w:rPr>
          <w:rFonts w:hint="eastAsia"/>
        </w:rPr>
        <w:t>理事会</w:t>
      </w:r>
      <w:r w:rsidRPr="009D61AC">
        <w:t>2007</w:t>
      </w:r>
      <w:r w:rsidRPr="009D61AC">
        <w:rPr>
          <w:rFonts w:hint="eastAsia"/>
        </w:rPr>
        <w:t>年</w:t>
      </w:r>
      <w:r w:rsidRPr="009D61AC">
        <w:t>6</w:t>
      </w:r>
      <w:r w:rsidRPr="009D61AC">
        <w:rPr>
          <w:rFonts w:hint="eastAsia"/>
        </w:rPr>
        <w:t>月</w:t>
      </w:r>
      <w:r w:rsidRPr="009D61AC">
        <w:t>18</w:t>
      </w:r>
      <w:r w:rsidRPr="009D61AC">
        <w:rPr>
          <w:rFonts w:hint="eastAsia"/>
        </w:rPr>
        <w:t>日第</w:t>
      </w:r>
      <w:r w:rsidRPr="009D61AC">
        <w:t>5/1</w:t>
      </w:r>
      <w:r w:rsidRPr="009D61AC">
        <w:rPr>
          <w:rFonts w:hint="eastAsia"/>
        </w:rPr>
        <w:t>号和第</w:t>
      </w:r>
      <w:r w:rsidRPr="009D61AC">
        <w:t>5/2</w:t>
      </w:r>
      <w:r w:rsidRPr="009D61AC">
        <w:rPr>
          <w:rFonts w:hint="eastAsia"/>
        </w:rPr>
        <w:t>号决议，强调任务负责人应根据这两项决议及其附件履行职责，</w:t>
      </w:r>
    </w:p>
    <w:p w:rsidR="007C47DE" w:rsidRPr="009D61AC" w:rsidRDefault="007C47DE" w:rsidP="007C47DE">
      <w:pPr>
        <w:pStyle w:val="SingleTxt"/>
      </w:pPr>
      <w:r>
        <w:rPr>
          <w:rFonts w:eastAsia="楷体_GB2312" w:hint="eastAsia"/>
        </w:rPr>
        <w:tab/>
      </w:r>
      <w:r w:rsidRPr="009D61AC">
        <w:rPr>
          <w:rFonts w:eastAsia="楷体_GB2312" w:hint="eastAsia"/>
        </w:rPr>
        <w:t>还回顾</w:t>
      </w:r>
      <w:r w:rsidRPr="009D61AC">
        <w:rPr>
          <w:rFonts w:hint="eastAsia"/>
          <w:spacing w:val="4"/>
        </w:rPr>
        <w:t>人权</w:t>
      </w:r>
      <w:r w:rsidRPr="009D61AC">
        <w:rPr>
          <w:rFonts w:hint="eastAsia"/>
        </w:rPr>
        <w:t>理事会</w:t>
      </w:r>
      <w:r w:rsidRPr="009D61AC">
        <w:t>2013</w:t>
      </w:r>
      <w:r w:rsidRPr="009D61AC">
        <w:rPr>
          <w:rFonts w:hint="eastAsia"/>
        </w:rPr>
        <w:t>年</w:t>
      </w:r>
      <w:r w:rsidRPr="009D61AC">
        <w:t>9</w:t>
      </w:r>
      <w:r w:rsidRPr="009D61AC">
        <w:rPr>
          <w:rFonts w:hint="eastAsia"/>
        </w:rPr>
        <w:t>月</w:t>
      </w:r>
      <w:r w:rsidRPr="009D61AC">
        <w:t>20</w:t>
      </w:r>
      <w:r w:rsidRPr="009D61AC">
        <w:rPr>
          <w:rFonts w:hint="eastAsia"/>
        </w:rPr>
        <w:t>日第</w:t>
      </w:r>
      <w:r w:rsidRPr="009D61AC">
        <w:t>24/32</w:t>
      </w:r>
      <w:r w:rsidRPr="009D61AC">
        <w:rPr>
          <w:rFonts w:hint="eastAsia"/>
        </w:rPr>
        <w:t>号决议和其他有关决议，</w:t>
      </w:r>
    </w:p>
    <w:p w:rsidR="007C47DE" w:rsidRPr="009D61AC" w:rsidRDefault="007C47DE" w:rsidP="007C47DE">
      <w:pPr>
        <w:pStyle w:val="SingleTxt"/>
        <w:rPr>
          <w:rFonts w:ascii="宋体" w:hAnsi="宋体" w:cs="宋体"/>
        </w:rPr>
      </w:pPr>
      <w:r>
        <w:rPr>
          <w:rFonts w:eastAsia="楷体_GB2312" w:hint="eastAsia"/>
        </w:rPr>
        <w:tab/>
      </w:r>
      <w:r w:rsidRPr="009D61AC">
        <w:rPr>
          <w:rFonts w:eastAsia="楷体_GB2312" w:hint="eastAsia"/>
        </w:rPr>
        <w:t>铭记</w:t>
      </w:r>
      <w:r w:rsidRPr="009D61AC">
        <w:rPr>
          <w:rFonts w:hint="eastAsia"/>
        </w:rPr>
        <w:t>秘书长关于联合国人权事务高级专员办事处在协助柬埔寨政府和人民增进和保护人权方面的作用和取得的成绩的报告，</w:t>
      </w:r>
      <w:r w:rsidRPr="009D61AC">
        <w:rPr>
          <w:color w:val="0000FF"/>
          <w:vertAlign w:val="superscript"/>
        </w:rPr>
        <w:footnoteReference w:id="1"/>
      </w:r>
      <w:r w:rsidRPr="009D61AC">
        <w:rPr>
          <w:rFonts w:ascii="宋体" w:hAnsi="宋体" w:cs="宋体" w:hint="eastAsia"/>
        </w:rPr>
        <w:t xml:space="preserve"> </w:t>
      </w:r>
    </w:p>
    <w:p w:rsidR="007C47DE" w:rsidRPr="009D61AC" w:rsidRDefault="007C47DE" w:rsidP="007C47DE">
      <w:pPr>
        <w:pStyle w:val="SingleTxt"/>
      </w:pPr>
      <w:r>
        <w:rPr>
          <w:rFonts w:eastAsia="楷体_GB2312" w:hint="eastAsia"/>
        </w:rPr>
        <w:tab/>
      </w:r>
      <w:r w:rsidRPr="009D61AC">
        <w:rPr>
          <w:rFonts w:eastAsia="楷体_GB2312" w:hint="eastAsia"/>
        </w:rPr>
        <w:t>确认</w:t>
      </w:r>
      <w:r w:rsidRPr="009D61AC">
        <w:rPr>
          <w:rFonts w:hint="eastAsia"/>
        </w:rPr>
        <w:t>鉴于柬埔寨的惨痛历史，需要根据</w:t>
      </w:r>
      <w:r w:rsidRPr="009D61AC">
        <w:t>1991</w:t>
      </w:r>
      <w:r w:rsidRPr="009D61AC">
        <w:rPr>
          <w:rFonts w:hint="eastAsia"/>
        </w:rPr>
        <w:t>年</w:t>
      </w:r>
      <w:r w:rsidRPr="009D61AC">
        <w:t>10</w:t>
      </w:r>
      <w:r w:rsidRPr="009D61AC">
        <w:rPr>
          <w:rFonts w:hint="eastAsia"/>
        </w:rPr>
        <w:t>月</w:t>
      </w:r>
      <w:r w:rsidRPr="009D61AC">
        <w:t>23</w:t>
      </w:r>
      <w:r w:rsidRPr="009D61AC">
        <w:rPr>
          <w:rFonts w:hint="eastAsia"/>
        </w:rPr>
        <w:t>日在巴黎签署的《柬埔寨冲突全面政治解决协定》的规定采取特别措施，确保柬埔寨人民的人权得到保护，不会倒退回过去的政策和做法，</w:t>
      </w:r>
    </w:p>
    <w:p w:rsidR="007C47DE" w:rsidRPr="009D61AC" w:rsidRDefault="007C47DE" w:rsidP="007C47DE">
      <w:pPr>
        <w:pStyle w:val="SingleTxt"/>
      </w:pPr>
      <w:r>
        <w:rPr>
          <w:rFonts w:eastAsia="楷体_GB2312" w:hint="eastAsia"/>
        </w:rPr>
        <w:tab/>
      </w:r>
      <w:r w:rsidRPr="009D61AC">
        <w:rPr>
          <w:rFonts w:eastAsia="楷体_GB2312" w:hint="eastAsia"/>
        </w:rPr>
        <w:t>注意到</w:t>
      </w:r>
      <w:r w:rsidRPr="009D61AC">
        <w:rPr>
          <w:rFonts w:hint="eastAsia"/>
        </w:rPr>
        <w:t>柬埔寨境内的新发展，特别是</w:t>
      </w:r>
      <w:r w:rsidRPr="009D61AC">
        <w:t>近年来</w:t>
      </w:r>
      <w:r w:rsidRPr="009D61AC">
        <w:rPr>
          <w:rFonts w:hint="eastAsia"/>
        </w:rPr>
        <w:t>通过实施有关国家计划、战略和纲要，在社会、经济、政治和文化领域所取得的成就和改善，</w:t>
      </w:r>
    </w:p>
    <w:p w:rsidR="007C47DE" w:rsidRPr="009D61AC" w:rsidRDefault="007C47DE" w:rsidP="007C47DE">
      <w:pPr>
        <w:pStyle w:val="SingleTxt"/>
      </w:pPr>
      <w:r>
        <w:rPr>
          <w:rFonts w:hint="eastAsia"/>
        </w:rPr>
        <w:tab/>
      </w:r>
      <w:r w:rsidRPr="009D61AC">
        <w:t xml:space="preserve">1.  </w:t>
      </w:r>
      <w:r w:rsidRPr="009D61AC">
        <w:rPr>
          <w:rFonts w:eastAsia="楷体_GB2312" w:hint="eastAsia"/>
        </w:rPr>
        <w:t>重申</w:t>
      </w:r>
      <w:r w:rsidRPr="009D61AC">
        <w:rPr>
          <w:rFonts w:hint="eastAsia"/>
        </w:rPr>
        <w:t>柬埔寨法院特别法庭必须秉持独立和公正；相信该法庭通过充分发挥其示范法庭的作用，可极大地促进消除有罪不罚现象和建立法治；</w:t>
      </w:r>
    </w:p>
    <w:p w:rsidR="007C47DE" w:rsidRPr="009D61AC" w:rsidRDefault="007C47DE" w:rsidP="007C47DE">
      <w:pPr>
        <w:pStyle w:val="SingleTxt"/>
      </w:pPr>
      <w:r>
        <w:rPr>
          <w:rFonts w:hint="eastAsia"/>
        </w:rPr>
        <w:tab/>
      </w:r>
      <w:r w:rsidRPr="009D61AC">
        <w:t xml:space="preserve">2.  </w:t>
      </w:r>
      <w:r w:rsidRPr="009D61AC">
        <w:rPr>
          <w:rFonts w:eastAsia="楷体_GB2312" w:hint="eastAsia"/>
        </w:rPr>
        <w:t>欢迎</w:t>
      </w:r>
      <w:r w:rsidRPr="009D61AC">
        <w:rPr>
          <w:rFonts w:hint="eastAsia"/>
        </w:rPr>
        <w:t>特别法庭所取得的进展，包括审判庭于</w:t>
      </w:r>
      <w:r w:rsidRPr="009D61AC">
        <w:t>2014</w:t>
      </w:r>
      <w:r w:rsidRPr="009D61AC">
        <w:rPr>
          <w:rFonts w:hint="eastAsia"/>
        </w:rPr>
        <w:t>年</w:t>
      </w:r>
      <w:r w:rsidRPr="009D61AC">
        <w:t>8</w:t>
      </w:r>
      <w:r w:rsidRPr="009D61AC">
        <w:rPr>
          <w:rFonts w:hint="eastAsia"/>
        </w:rPr>
        <w:t>月</w:t>
      </w:r>
      <w:r w:rsidRPr="009D61AC">
        <w:t>7</w:t>
      </w:r>
      <w:r w:rsidRPr="009D61AC">
        <w:rPr>
          <w:rFonts w:hint="eastAsia"/>
        </w:rPr>
        <w:t>日就起诉民主柬埔寨前高级领导人农谢和乔森潘的</w:t>
      </w:r>
      <w:r w:rsidRPr="009D61AC">
        <w:t>002/01</w:t>
      </w:r>
      <w:r w:rsidRPr="009D61AC">
        <w:rPr>
          <w:rFonts w:hint="eastAsia"/>
        </w:rPr>
        <w:t>号案作出了裁决，这两人被判犯有危害人类罪，并被判处终身监禁，</w:t>
      </w:r>
      <w:r>
        <w:rPr>
          <w:rFonts w:hint="eastAsia"/>
        </w:rPr>
        <w:t>并且</w:t>
      </w:r>
      <w:r w:rsidRPr="009D61AC">
        <w:t>2014</w:t>
      </w:r>
      <w:r w:rsidRPr="009D61AC">
        <w:rPr>
          <w:rFonts w:hint="eastAsia"/>
        </w:rPr>
        <w:t>年</w:t>
      </w:r>
      <w:r w:rsidRPr="009D61AC">
        <w:t>10</w:t>
      </w:r>
      <w:r w:rsidRPr="009D61AC">
        <w:rPr>
          <w:rFonts w:hint="eastAsia"/>
        </w:rPr>
        <w:t>月</w:t>
      </w:r>
      <w:r w:rsidRPr="009D61AC">
        <w:t>17</w:t>
      </w:r>
      <w:r w:rsidRPr="009D61AC">
        <w:rPr>
          <w:rFonts w:hint="eastAsia"/>
        </w:rPr>
        <w:t>日</w:t>
      </w:r>
      <w:r>
        <w:rPr>
          <w:rFonts w:hint="eastAsia"/>
        </w:rPr>
        <w:t>又</w:t>
      </w:r>
      <w:r w:rsidRPr="009D61AC">
        <w:rPr>
          <w:rFonts w:hint="eastAsia"/>
        </w:rPr>
        <w:t>开始了对</w:t>
      </w:r>
      <w:r w:rsidRPr="009D61AC">
        <w:t>002/02</w:t>
      </w:r>
      <w:r>
        <w:rPr>
          <w:rFonts w:hint="eastAsia"/>
        </w:rPr>
        <w:t>号案的审理；</w:t>
      </w:r>
      <w:r w:rsidRPr="009D61AC">
        <w:rPr>
          <w:rFonts w:hint="eastAsia"/>
        </w:rPr>
        <w:t>鉴于被告人年迈体衰而柬埔寨人民渴望正义已久，支持柬埔寨政府和联合国的立场，要求公平、高效、迅速地开展案件的审理；</w:t>
      </w:r>
    </w:p>
    <w:p w:rsidR="007C47DE" w:rsidRPr="009D61AC" w:rsidRDefault="007C47DE" w:rsidP="007C47DE">
      <w:pPr>
        <w:pStyle w:val="SingleTxt"/>
      </w:pPr>
      <w:r>
        <w:rPr>
          <w:rFonts w:hint="eastAsia"/>
        </w:rPr>
        <w:tab/>
      </w:r>
      <w:r w:rsidRPr="009D61AC">
        <w:t xml:space="preserve">3.  </w:t>
      </w:r>
      <w:r w:rsidRPr="009D61AC">
        <w:rPr>
          <w:rFonts w:eastAsia="楷体" w:hint="eastAsia"/>
        </w:rPr>
        <w:t>表</w:t>
      </w:r>
      <w:r w:rsidRPr="009D61AC">
        <w:rPr>
          <w:rFonts w:eastAsia="楷体_GB2312" w:hint="eastAsia"/>
        </w:rPr>
        <w:t>示</w:t>
      </w:r>
      <w:r w:rsidRPr="009D61AC">
        <w:rPr>
          <w:rFonts w:eastAsia="楷体" w:hint="eastAsia"/>
        </w:rPr>
        <w:t>继续</w:t>
      </w:r>
      <w:r w:rsidRPr="009D61AC">
        <w:rPr>
          <w:rFonts w:eastAsia="楷体_GB2312" w:hint="eastAsia"/>
        </w:rPr>
        <w:t>关切</w:t>
      </w:r>
      <w:r w:rsidRPr="009D61AC">
        <w:rPr>
          <w:rFonts w:hint="eastAsia"/>
        </w:rPr>
        <w:t>特别法庭严重的财务状况；促请柬埔寨政府与联合国和提供援助的各国一道确保特别法庭保持最高的司法水准；强调柬埔寨政府和国际社会需向特别法庭提供一切适当援助；并强调特别法庭必须高效和可持续地管理财政资源；</w:t>
      </w:r>
    </w:p>
    <w:p w:rsidR="007C47DE" w:rsidRPr="009D61AC" w:rsidRDefault="007C47DE" w:rsidP="007C47DE">
      <w:pPr>
        <w:pStyle w:val="SingleTxt"/>
      </w:pPr>
      <w:r>
        <w:rPr>
          <w:rFonts w:hint="eastAsia"/>
        </w:rPr>
        <w:tab/>
      </w:r>
      <w:r w:rsidRPr="009D61AC">
        <w:t xml:space="preserve">4.  </w:t>
      </w:r>
      <w:r w:rsidRPr="009D61AC">
        <w:rPr>
          <w:rFonts w:eastAsia="楷体_GB2312" w:hint="eastAsia"/>
        </w:rPr>
        <w:t>欢迎</w:t>
      </w:r>
      <w:r w:rsidRPr="009D61AC">
        <w:rPr>
          <w:rFonts w:hint="eastAsia"/>
        </w:rPr>
        <w:t>柬埔寨政府积极参与第二轮普遍定期审议进程，接受该进程中提出的大部分建议，并在落实这些建议方面取得了进展；</w:t>
      </w:r>
    </w:p>
    <w:p w:rsidR="007C47DE" w:rsidRPr="009D61AC" w:rsidRDefault="007C47DE" w:rsidP="007C47DE">
      <w:pPr>
        <w:pStyle w:val="SingleTxt"/>
      </w:pPr>
      <w:r>
        <w:rPr>
          <w:rFonts w:hint="eastAsia"/>
        </w:rPr>
        <w:tab/>
      </w:r>
      <w:r w:rsidRPr="009D61AC">
        <w:t xml:space="preserve">5.  </w:t>
      </w:r>
      <w:r w:rsidRPr="009D61AC">
        <w:rPr>
          <w:rFonts w:eastAsia="楷体_GB2312" w:hint="eastAsia"/>
        </w:rPr>
        <w:t>又欢迎</w:t>
      </w:r>
      <w:r w:rsidRPr="009D61AC">
        <w:rPr>
          <w:rFonts w:hint="eastAsia"/>
        </w:rPr>
        <w:t>柬埔寨人权状况特别报告员的报告</w:t>
      </w:r>
      <w:r w:rsidRPr="009D61AC">
        <w:rPr>
          <w:color w:val="0000FF"/>
          <w:vertAlign w:val="superscript"/>
        </w:rPr>
        <w:footnoteReference w:id="2"/>
      </w:r>
      <w:r w:rsidRPr="009D61AC">
        <w:t xml:space="preserve"> </w:t>
      </w:r>
      <w:r w:rsidRPr="009D61AC">
        <w:rPr>
          <w:rFonts w:hint="eastAsia"/>
        </w:rPr>
        <w:t>和其中所载的建议；注意到柬埔寨政府与特别报</w:t>
      </w:r>
      <w:r>
        <w:rPr>
          <w:rFonts w:hint="eastAsia"/>
        </w:rPr>
        <w:t>告员需要保持密切和相互尊重的协商，以进一步改善该国的人权状况，</w:t>
      </w:r>
      <w:r w:rsidRPr="009D61AC">
        <w:rPr>
          <w:rFonts w:hint="eastAsia"/>
        </w:rPr>
        <w:t>便于联合国人权事务高级专员办事处与柬埔寨政府继续开展技术合作；鼓励特别报告员和高级专员办事处驻金边办事处继续交流信息，以协助有效执行各自的任务，同时牢记自身的独立性；</w:t>
      </w:r>
    </w:p>
    <w:p w:rsidR="007C47DE" w:rsidRPr="009D61AC" w:rsidRDefault="007C47DE" w:rsidP="007C47DE">
      <w:pPr>
        <w:pStyle w:val="SingleTxt"/>
      </w:pPr>
      <w:r>
        <w:rPr>
          <w:rFonts w:hint="eastAsia"/>
        </w:rPr>
        <w:tab/>
      </w:r>
      <w:r w:rsidRPr="009D61AC">
        <w:t xml:space="preserve">6.  </w:t>
      </w:r>
      <w:r w:rsidRPr="009D61AC">
        <w:rPr>
          <w:rFonts w:eastAsia="楷体_GB2312" w:hint="eastAsia"/>
        </w:rPr>
        <w:t>重申</w:t>
      </w:r>
      <w:r w:rsidRPr="009D61AC">
        <w:rPr>
          <w:rFonts w:hint="eastAsia"/>
        </w:rPr>
        <w:t>柬埔寨政府需要加强努力巩固法治，包括通过并进一步执行建立民主社会和独立司法机构所必需的基本法律和准则；</w:t>
      </w:r>
    </w:p>
    <w:p w:rsidR="007C47DE" w:rsidRPr="009D61AC" w:rsidRDefault="007C47DE" w:rsidP="007C47DE">
      <w:pPr>
        <w:pStyle w:val="SingleTxt"/>
      </w:pPr>
      <w:r>
        <w:rPr>
          <w:rFonts w:hint="eastAsia"/>
        </w:rPr>
        <w:tab/>
      </w:r>
      <w:r w:rsidRPr="009D61AC">
        <w:t xml:space="preserve">7.  </w:t>
      </w:r>
      <w:r w:rsidRPr="009D61AC">
        <w:rPr>
          <w:rFonts w:eastAsia="楷体_GB2312" w:hint="eastAsia"/>
        </w:rPr>
        <w:t>注意到</w:t>
      </w:r>
      <w:r w:rsidRPr="009D61AC">
        <w:rPr>
          <w:rFonts w:hint="eastAsia"/>
        </w:rPr>
        <w:t>柬埔寨政府在法律和司法改革委员会领导下、在促进法律改革方面做出的努力和取得的进展，包括实施几项基本法，如民事诉讼法、民法、刑事诉讼法和刑法；</w:t>
      </w:r>
    </w:p>
    <w:p w:rsidR="007C47DE" w:rsidRPr="009D61AC" w:rsidRDefault="007C47DE" w:rsidP="007C47DE">
      <w:pPr>
        <w:pStyle w:val="SingleTxt"/>
      </w:pPr>
      <w:r>
        <w:rPr>
          <w:rFonts w:eastAsiaTheme="minorEastAsia" w:hint="eastAsia"/>
        </w:rPr>
        <w:tab/>
      </w:r>
      <w:r w:rsidRPr="009D61AC">
        <w:rPr>
          <w:rFonts w:eastAsia="MS Mincho"/>
        </w:rPr>
        <w:t xml:space="preserve">8.  </w:t>
      </w:r>
      <w:r w:rsidRPr="009D61AC">
        <w:rPr>
          <w:rFonts w:eastAsia="楷体_GB2312" w:hint="eastAsia"/>
        </w:rPr>
        <w:t>又注意到</w:t>
      </w:r>
      <w:r w:rsidRPr="009D61AC">
        <w:rPr>
          <w:rFonts w:hint="eastAsia"/>
        </w:rPr>
        <w:t>颁布了关于司法机构的三项基本法律，即《法官和检察官地位法》、《法院组织和运作法》、以及《最高司法行政官委员会组织和运作法》修正案；促请柬埔寨政府继续进一步努力开展司法改革，包括公正、有效和透明地实施这些法律，由特别法庭的工作人员传播知识，并分享</w:t>
      </w:r>
      <w:r w:rsidRPr="009D61AC">
        <w:t>特别法庭</w:t>
      </w:r>
      <w:r w:rsidRPr="009D61AC">
        <w:rPr>
          <w:rFonts w:hint="eastAsia"/>
        </w:rPr>
        <w:t>的良好做法；</w:t>
      </w:r>
    </w:p>
    <w:p w:rsidR="007C47DE" w:rsidRPr="009D61AC" w:rsidRDefault="007C47DE" w:rsidP="007C47DE">
      <w:pPr>
        <w:pStyle w:val="SingleTxt"/>
      </w:pPr>
      <w:r>
        <w:rPr>
          <w:rFonts w:eastAsiaTheme="minorEastAsia" w:hint="eastAsia"/>
        </w:rPr>
        <w:tab/>
      </w:r>
      <w:r w:rsidRPr="009D61AC">
        <w:rPr>
          <w:rFonts w:eastAsia="MS Mincho"/>
        </w:rPr>
        <w:t xml:space="preserve">9.  </w:t>
      </w:r>
      <w:r w:rsidRPr="009D61AC">
        <w:rPr>
          <w:rFonts w:eastAsia="楷体_GB2312" w:hint="eastAsia"/>
        </w:rPr>
        <w:t>强调</w:t>
      </w:r>
      <w:r w:rsidRPr="009D61AC">
        <w:rPr>
          <w:rFonts w:hint="eastAsia"/>
        </w:rPr>
        <w:t>柬埔寨政府需继续加强努力，按照正当法律程序和国际人权条约所规定的义务，尽快调查并起诉所有犯有严重罪行的人，包括犯有侵犯人权行为的人；</w:t>
      </w:r>
    </w:p>
    <w:p w:rsidR="007C47DE" w:rsidRPr="009D61AC" w:rsidRDefault="007C47DE" w:rsidP="007C47DE">
      <w:pPr>
        <w:pStyle w:val="SingleTxt"/>
      </w:pPr>
      <w:r>
        <w:rPr>
          <w:rFonts w:hint="eastAsia"/>
        </w:rPr>
        <w:tab/>
      </w:r>
      <w:r w:rsidRPr="009D61AC">
        <w:t xml:space="preserve">10.  </w:t>
      </w:r>
      <w:r w:rsidRPr="009D61AC">
        <w:rPr>
          <w:rFonts w:eastAsia="楷体_GB2312" w:hint="eastAsia"/>
        </w:rPr>
        <w:t>欢迎</w:t>
      </w:r>
      <w:r w:rsidRPr="009D61AC">
        <w:rPr>
          <w:rFonts w:hint="eastAsia"/>
        </w:rPr>
        <w:t>柬埔寨政府努力治理腐败；鼓励实施刑法和反腐败法，并鼓励政府继续开展其他这类努力，包括由反腐败股开展活动；</w:t>
      </w:r>
    </w:p>
    <w:p w:rsidR="007C47DE" w:rsidRPr="009D61AC" w:rsidRDefault="007C47DE" w:rsidP="007C47DE">
      <w:pPr>
        <w:pStyle w:val="SingleTxt"/>
      </w:pPr>
      <w:r>
        <w:rPr>
          <w:rFonts w:hint="eastAsia"/>
        </w:rPr>
        <w:tab/>
      </w:r>
      <w:r w:rsidRPr="009D61AC">
        <w:t xml:space="preserve">11.  </w:t>
      </w:r>
      <w:r w:rsidRPr="009D61AC">
        <w:rPr>
          <w:rFonts w:eastAsia="楷体_GB2312" w:hint="eastAsia"/>
        </w:rPr>
        <w:t>又欢迎</w:t>
      </w:r>
      <w:r w:rsidRPr="009D61AC">
        <w:rPr>
          <w:rFonts w:hint="eastAsia"/>
        </w:rPr>
        <w:t>柬埔寨政府努力打击犯罪，如贩运人口、剥削劳动力以及对妇女和儿童进行性剥削；促请该国政府与国际社会一道，为此做出进一步的努力，以解决这方面未决的关键问题；</w:t>
      </w:r>
    </w:p>
    <w:p w:rsidR="007C47DE" w:rsidRPr="009D61AC" w:rsidRDefault="007C47DE" w:rsidP="007C47DE">
      <w:pPr>
        <w:pStyle w:val="SingleTxt"/>
      </w:pPr>
      <w:r>
        <w:rPr>
          <w:rFonts w:hint="eastAsia"/>
        </w:rPr>
        <w:tab/>
      </w:r>
      <w:r w:rsidRPr="009D61AC">
        <w:t xml:space="preserve">12.  </w:t>
      </w:r>
      <w:r w:rsidRPr="009D61AC">
        <w:rPr>
          <w:rFonts w:eastAsia="楷体_GB2312" w:hint="eastAsia"/>
        </w:rPr>
        <w:t>注意到</w:t>
      </w:r>
      <w:r w:rsidRPr="009D61AC">
        <w:rPr>
          <w:rFonts w:hint="eastAsia"/>
        </w:rPr>
        <w:t>关于柬埔寨基于性别的暴力问题的最新调查结果；鼓励柬埔寨政府加强努力，解决基于性别的问题，包括切实执行现有的法律和规章；</w:t>
      </w:r>
    </w:p>
    <w:p w:rsidR="007C47DE" w:rsidRPr="009D61AC" w:rsidRDefault="007C47DE" w:rsidP="007C47DE">
      <w:pPr>
        <w:pStyle w:val="SingleTxt"/>
      </w:pPr>
      <w:r>
        <w:rPr>
          <w:rFonts w:hint="eastAsia"/>
        </w:rPr>
        <w:tab/>
      </w:r>
      <w:r w:rsidRPr="009D61AC">
        <w:rPr>
          <w:rFonts w:hint="eastAsia"/>
        </w:rPr>
        <w:t>13.</w:t>
      </w:r>
      <w:r w:rsidRPr="009D61AC">
        <w:t xml:space="preserve">  </w:t>
      </w:r>
      <w:r w:rsidRPr="009D61AC">
        <w:rPr>
          <w:rFonts w:eastAsia="楷体" w:hint="eastAsia"/>
        </w:rPr>
        <w:t>鼓励</w:t>
      </w:r>
      <w:r w:rsidRPr="009D61AC">
        <w:rPr>
          <w:rFonts w:hint="eastAsia"/>
        </w:rPr>
        <w:t>柬埔寨政府执行关于性别平等的五年战略，增进妇女的经济、社会和政治赋权，包括让她们参与决策进程，并通过改善工作条件、社会保护和劳动标准，扩大妇女的经济福利；</w:t>
      </w:r>
    </w:p>
    <w:p w:rsidR="007C47DE" w:rsidRPr="009D61AC" w:rsidRDefault="007C47DE" w:rsidP="007C47DE">
      <w:pPr>
        <w:pStyle w:val="SingleTxt"/>
      </w:pPr>
      <w:r>
        <w:rPr>
          <w:rFonts w:hint="eastAsia"/>
        </w:rPr>
        <w:tab/>
      </w:r>
      <w:r w:rsidRPr="009D61AC">
        <w:rPr>
          <w:rFonts w:hint="eastAsia"/>
        </w:rPr>
        <w:t>14</w:t>
      </w:r>
      <w:r w:rsidRPr="009D61AC">
        <w:t xml:space="preserve">.  </w:t>
      </w:r>
      <w:r w:rsidRPr="009D61AC">
        <w:rPr>
          <w:rFonts w:eastAsia="楷体" w:hint="eastAsia"/>
        </w:rPr>
        <w:t>为此鼓励</w:t>
      </w:r>
      <w:r w:rsidRPr="009D61AC">
        <w:rPr>
          <w:rFonts w:hint="eastAsia"/>
        </w:rPr>
        <w:t>柬埔寨政府监测《土地法》的执行</w:t>
      </w:r>
      <w:r>
        <w:rPr>
          <w:rFonts w:hint="eastAsia"/>
        </w:rPr>
        <w:t>工作</w:t>
      </w:r>
      <w:r w:rsidRPr="009D61AC">
        <w:rPr>
          <w:rFonts w:hint="eastAsia"/>
        </w:rPr>
        <w:t>，包括妇女和弱势群体在获得土地所有权和土地权方面的具体障碍；</w:t>
      </w:r>
    </w:p>
    <w:p w:rsidR="007C47DE" w:rsidRPr="009D61AC" w:rsidRDefault="007C47DE" w:rsidP="007C47DE">
      <w:pPr>
        <w:pStyle w:val="SingleTxt"/>
      </w:pPr>
      <w:r>
        <w:rPr>
          <w:rFonts w:hint="eastAsia"/>
        </w:rPr>
        <w:tab/>
      </w:r>
      <w:r w:rsidRPr="009D61AC">
        <w:rPr>
          <w:rFonts w:hint="eastAsia"/>
        </w:rPr>
        <w:t>15.</w:t>
      </w:r>
      <w:r w:rsidRPr="009D61AC">
        <w:t xml:space="preserve">  </w:t>
      </w:r>
      <w:r w:rsidRPr="009D61AC">
        <w:rPr>
          <w:rFonts w:eastAsia="楷体_GB2312" w:hint="eastAsia"/>
        </w:rPr>
        <w:t>注意到</w:t>
      </w:r>
      <w:r w:rsidRPr="009D61AC">
        <w:rPr>
          <w:rFonts w:hint="eastAsia"/>
        </w:rPr>
        <w:t>柬埔寨政府通过实施包括暂停经济土地出让在内的相关法律和规章，努力解决土地问题；对这方面的未决问题表示关切；促请该国政府继续并加强努力，按照有关法律和规章，如《</w:t>
      </w:r>
      <w:r w:rsidRPr="009D61AC">
        <w:t>2001</w:t>
      </w:r>
      <w:r w:rsidRPr="009D61AC">
        <w:rPr>
          <w:rFonts w:hint="eastAsia"/>
        </w:rPr>
        <w:t>年土地法》、《征用法》、《关于解决城乡地区非法临时建筑的通告》和《国家住房政策》，以公正和公开的方式，迅速公平地解决这些问题，同时考虑到有关各方的权利及其受到的实际影响，并提高全国解决土地争议管理局以及国家、省、县各级的地籍委员会等有关机构的能力和效力；</w:t>
      </w:r>
    </w:p>
    <w:p w:rsidR="007C47DE" w:rsidRPr="009D61AC" w:rsidRDefault="007C47DE" w:rsidP="007C47DE">
      <w:pPr>
        <w:pStyle w:val="SingleTxt"/>
      </w:pPr>
      <w:r>
        <w:rPr>
          <w:rFonts w:hint="eastAsia"/>
        </w:rPr>
        <w:tab/>
      </w:r>
      <w:r w:rsidRPr="009D61AC">
        <w:t>1</w:t>
      </w:r>
      <w:r w:rsidRPr="009D61AC">
        <w:rPr>
          <w:rFonts w:hint="eastAsia"/>
        </w:rPr>
        <w:t>6</w:t>
      </w:r>
      <w:r w:rsidRPr="009D61AC">
        <w:t xml:space="preserve">.  </w:t>
      </w:r>
      <w:r w:rsidRPr="009D61AC">
        <w:rPr>
          <w:rFonts w:eastAsia="楷体_GB2312" w:hint="eastAsia"/>
        </w:rPr>
        <w:t>欢迎</w:t>
      </w:r>
      <w:r w:rsidRPr="009D61AC">
        <w:rPr>
          <w:rFonts w:hint="eastAsia"/>
        </w:rPr>
        <w:t>柬埔寨政府承诺履行其加入的各项国际人权条约和公约所规定的义务，包括成立国家人权机构</w:t>
      </w:r>
      <w:r>
        <w:rPr>
          <w:rFonts w:hint="eastAsia"/>
        </w:rPr>
        <w:t>，以及</w:t>
      </w:r>
      <w:r w:rsidRPr="009D61AC">
        <w:rPr>
          <w:rFonts w:hint="eastAsia"/>
        </w:rPr>
        <w:t>鼓励在成立该机构时同相关利益攸关方进行充分协商的义务，</w:t>
      </w:r>
      <w:r>
        <w:rPr>
          <w:rFonts w:hint="eastAsia"/>
        </w:rPr>
        <w:t>并欢迎</w:t>
      </w:r>
      <w:r w:rsidRPr="009D61AC">
        <w:rPr>
          <w:rFonts w:hint="eastAsia"/>
        </w:rPr>
        <w:t>在这方面所取得的进展；促请柬埔寨政府继续采取措施履行其加入的条约和公约所规定的义务，并为此目的，加强与包括高级专员办事处在内的联合国各机构的合作，包括加强对话和联合开展活动；</w:t>
      </w:r>
    </w:p>
    <w:p w:rsidR="007C47DE" w:rsidRPr="009D61AC" w:rsidRDefault="007C47DE" w:rsidP="007C47DE">
      <w:pPr>
        <w:pStyle w:val="SingleTxt"/>
      </w:pPr>
      <w:r>
        <w:rPr>
          <w:rFonts w:hint="eastAsia"/>
        </w:rPr>
        <w:tab/>
      </w:r>
      <w:r w:rsidRPr="009D61AC">
        <w:t>1</w:t>
      </w:r>
      <w:r w:rsidRPr="009D61AC">
        <w:rPr>
          <w:rFonts w:hint="eastAsia"/>
        </w:rPr>
        <w:t>7</w:t>
      </w:r>
      <w:r w:rsidRPr="009D61AC">
        <w:t xml:space="preserve">.  </w:t>
      </w:r>
      <w:r w:rsidRPr="009D61AC">
        <w:rPr>
          <w:rFonts w:eastAsia="楷体_GB2312" w:hint="eastAsia"/>
        </w:rPr>
        <w:t>又欢迎</w:t>
      </w:r>
      <w:r w:rsidRPr="009D61AC">
        <w:rPr>
          <w:rFonts w:hint="eastAsia"/>
        </w:rPr>
        <w:t>柬埔寨人权委员会所做的努力，特别是在解决个人投诉方面所做的努力；</w:t>
      </w:r>
    </w:p>
    <w:p w:rsidR="007C47DE" w:rsidRPr="009D61AC" w:rsidRDefault="007C47DE" w:rsidP="007C47DE">
      <w:pPr>
        <w:pStyle w:val="SingleTxt"/>
      </w:pPr>
      <w:r>
        <w:rPr>
          <w:rFonts w:hint="eastAsia"/>
        </w:rPr>
        <w:tab/>
      </w:r>
      <w:r w:rsidRPr="009D61AC">
        <w:t>1</w:t>
      </w:r>
      <w:r w:rsidRPr="009D61AC">
        <w:rPr>
          <w:rFonts w:hint="eastAsia"/>
        </w:rPr>
        <w:t>8</w:t>
      </w:r>
      <w:r w:rsidRPr="009D61AC">
        <w:t xml:space="preserve">.  </w:t>
      </w:r>
      <w:r w:rsidRPr="009D61AC">
        <w:rPr>
          <w:rFonts w:eastAsia="楷体_GB2312" w:hint="eastAsia"/>
        </w:rPr>
        <w:t>还欢迎</w:t>
      </w:r>
      <w:r w:rsidRPr="009D61AC">
        <w:rPr>
          <w:rFonts w:hint="eastAsia"/>
        </w:rPr>
        <w:t>柬埔寨政府在促进权力下放和减少权力集中的改革方面所做的努力和取得的进展，改革的目的是加强地方和基层机构，以实现民主发展；</w:t>
      </w:r>
    </w:p>
    <w:p w:rsidR="007C47DE" w:rsidRPr="009D61AC" w:rsidRDefault="007C47DE" w:rsidP="007C47DE">
      <w:pPr>
        <w:pStyle w:val="SingleTxt"/>
      </w:pPr>
      <w:r>
        <w:rPr>
          <w:rFonts w:hint="eastAsia"/>
        </w:rPr>
        <w:tab/>
      </w:r>
      <w:r w:rsidRPr="009D61AC">
        <w:t>1</w:t>
      </w:r>
      <w:r w:rsidRPr="009D61AC">
        <w:rPr>
          <w:rFonts w:hint="eastAsia"/>
        </w:rPr>
        <w:t>9</w:t>
      </w:r>
      <w:r w:rsidRPr="009D61AC">
        <w:t xml:space="preserve">.  </w:t>
      </w:r>
      <w:r w:rsidRPr="009D61AC">
        <w:rPr>
          <w:rFonts w:eastAsia="楷体_GB2312" w:hint="eastAsia"/>
        </w:rPr>
        <w:t>注意到</w:t>
      </w:r>
      <w:r w:rsidRPr="009D61AC">
        <w:rPr>
          <w:rFonts w:hint="eastAsia"/>
        </w:rPr>
        <w:t>执政党和反对党于</w:t>
      </w:r>
      <w:r w:rsidRPr="009D61AC">
        <w:t>2014</w:t>
      </w:r>
      <w:r w:rsidRPr="009D61AC">
        <w:rPr>
          <w:rFonts w:hint="eastAsia"/>
        </w:rPr>
        <w:t>年</w:t>
      </w:r>
      <w:r w:rsidRPr="009D61AC">
        <w:t>7</w:t>
      </w:r>
      <w:r w:rsidRPr="009D61AC">
        <w:rPr>
          <w:rFonts w:hint="eastAsia"/>
        </w:rPr>
        <w:t>月</w:t>
      </w:r>
      <w:r w:rsidRPr="009D61AC">
        <w:t>22</w:t>
      </w:r>
      <w:r w:rsidRPr="009D61AC">
        <w:rPr>
          <w:rFonts w:hint="eastAsia"/>
        </w:rPr>
        <w:t>日达成协议，使反对党能参与国民议会并在选举改革中进行密切协作，特别是通过对《宪法》进行修正和通过《全国选举委员会的组织和运行法》以及《国民议会议员选举法》，修改选举管理机构的法律地位及其委员的组成，并审查选举进程，包括选民登记；并注意到执政党和反对党</w:t>
      </w:r>
      <w:r w:rsidRPr="009D61AC">
        <w:t>9</w:t>
      </w:r>
      <w:r w:rsidRPr="009D61AC">
        <w:rPr>
          <w:rFonts w:hint="eastAsia"/>
        </w:rPr>
        <w:t>月</w:t>
      </w:r>
      <w:r w:rsidRPr="009D61AC">
        <w:t>16</w:t>
      </w:r>
      <w:r w:rsidRPr="009D61AC">
        <w:rPr>
          <w:rFonts w:hint="eastAsia"/>
        </w:rPr>
        <w:t>日发布</w:t>
      </w:r>
      <w:r>
        <w:rPr>
          <w:rFonts w:hint="eastAsia"/>
        </w:rPr>
        <w:t>了</w:t>
      </w:r>
      <w:r w:rsidRPr="009D61AC">
        <w:rPr>
          <w:rFonts w:hint="eastAsia"/>
        </w:rPr>
        <w:t>关于选举改革的联合声明；促请柬埔寨政府继续努力，为所有政党开展合法的政治活动创造一个有利的环境，并进一步努力按照国际标准改进选举制度，使整个选举过程能够为相关各方所满意和接受；</w:t>
      </w:r>
    </w:p>
    <w:p w:rsidR="007C47DE" w:rsidRPr="009D61AC" w:rsidRDefault="007C47DE" w:rsidP="007C47DE">
      <w:pPr>
        <w:pStyle w:val="SingleTxt"/>
      </w:pPr>
      <w:r>
        <w:rPr>
          <w:rFonts w:eastAsiaTheme="minorEastAsia" w:hint="eastAsia"/>
        </w:rPr>
        <w:tab/>
      </w:r>
      <w:r w:rsidRPr="009D61AC">
        <w:rPr>
          <w:rFonts w:eastAsia="MS Mincho" w:hint="eastAsia"/>
        </w:rPr>
        <w:t>20</w:t>
      </w:r>
      <w:r w:rsidRPr="009D61AC">
        <w:rPr>
          <w:rFonts w:eastAsia="MS Mincho"/>
        </w:rPr>
        <w:t xml:space="preserve">.  </w:t>
      </w:r>
      <w:r w:rsidRPr="009D61AC">
        <w:rPr>
          <w:rFonts w:eastAsia="楷体_GB2312" w:hint="eastAsia"/>
        </w:rPr>
        <w:t>强调</w:t>
      </w:r>
      <w:r w:rsidRPr="009D61AC">
        <w:rPr>
          <w:rFonts w:hint="eastAsia"/>
        </w:rPr>
        <w:t>柬埔寨政府需要通过根据《宪法》举行的议会辩论，在促进柬埔寨多元化的民主进程方面取得进一步的进展和做出进一步的努力；</w:t>
      </w:r>
    </w:p>
    <w:p w:rsidR="007C47DE" w:rsidRPr="009D61AC" w:rsidRDefault="007C47DE" w:rsidP="007C47DE">
      <w:pPr>
        <w:pStyle w:val="SingleTxt"/>
      </w:pPr>
      <w:r>
        <w:rPr>
          <w:rFonts w:hint="eastAsia"/>
        </w:rPr>
        <w:tab/>
      </w:r>
      <w:r w:rsidRPr="009D61AC">
        <w:rPr>
          <w:rFonts w:hint="eastAsia"/>
        </w:rPr>
        <w:t>21</w:t>
      </w:r>
      <w:r w:rsidRPr="009D61AC">
        <w:t xml:space="preserve">.  </w:t>
      </w:r>
      <w:r w:rsidRPr="009D61AC">
        <w:rPr>
          <w:rFonts w:eastAsia="楷体_GB2312" w:hint="eastAsia"/>
        </w:rPr>
        <w:t>促请</w:t>
      </w:r>
      <w:r w:rsidRPr="009D61AC">
        <w:rPr>
          <w:rFonts w:hint="eastAsia"/>
        </w:rPr>
        <w:t>柬埔寨政府采取适当措施，鼓励和支持民间社会、包括独立工会和媒体在巩固柬埔寨民主发展的工作中发挥建设性作用，包括确保和增进其活动，并促进所有各方平等利用媒体；</w:t>
      </w:r>
    </w:p>
    <w:p w:rsidR="007C47DE" w:rsidRPr="009D61AC" w:rsidRDefault="007C47DE" w:rsidP="007C47DE">
      <w:pPr>
        <w:pStyle w:val="SingleTxt"/>
      </w:pPr>
      <w:r>
        <w:rPr>
          <w:rFonts w:hint="eastAsia"/>
        </w:rPr>
        <w:tab/>
      </w:r>
      <w:r w:rsidRPr="009D61AC">
        <w:rPr>
          <w:rFonts w:hint="eastAsia"/>
        </w:rPr>
        <w:t>22.</w:t>
      </w:r>
      <w:r w:rsidRPr="009D61AC">
        <w:t xml:space="preserve">  </w:t>
      </w:r>
      <w:r w:rsidRPr="009D61AC">
        <w:rPr>
          <w:rFonts w:eastAsia="楷体_GB2312" w:hint="eastAsia"/>
        </w:rPr>
        <w:t>又促请</w:t>
      </w:r>
      <w:r w:rsidRPr="009D61AC">
        <w:rPr>
          <w:rFonts w:hint="eastAsia"/>
        </w:rPr>
        <w:t>柬埔寨政府在执行《社团和非政府组织法》时，考虑到所有利益攸关方的利益和关切，以便民间社会得到蓬勃发展，并根据《宪法》及《</w:t>
      </w:r>
      <w:r w:rsidRPr="009D61AC">
        <w:t>公民权利和政治权利国际公约</w:t>
      </w:r>
      <w:r w:rsidRPr="009D61AC">
        <w:rPr>
          <w:rFonts w:hint="eastAsia"/>
        </w:rPr>
        <w:t>》，保护和确保言论、结社及和平集会自由；</w:t>
      </w:r>
    </w:p>
    <w:p w:rsidR="007C47DE" w:rsidRPr="009D61AC" w:rsidRDefault="007C47DE" w:rsidP="007C47DE">
      <w:pPr>
        <w:pStyle w:val="SingleTxt"/>
      </w:pPr>
      <w:r>
        <w:rPr>
          <w:rFonts w:eastAsiaTheme="minorEastAsia" w:hint="eastAsia"/>
        </w:rPr>
        <w:tab/>
      </w:r>
      <w:r w:rsidRPr="009D61AC">
        <w:rPr>
          <w:rFonts w:eastAsia="MS Mincho"/>
        </w:rPr>
        <w:t>2</w:t>
      </w:r>
      <w:r w:rsidRPr="009D61AC">
        <w:rPr>
          <w:rFonts w:eastAsia="MS Mincho" w:hint="eastAsia"/>
        </w:rPr>
        <w:t>3</w:t>
      </w:r>
      <w:r w:rsidRPr="009D61AC">
        <w:rPr>
          <w:rFonts w:eastAsia="MS Mincho"/>
        </w:rPr>
        <w:t xml:space="preserve">.  </w:t>
      </w:r>
      <w:r w:rsidRPr="009D61AC">
        <w:rPr>
          <w:rFonts w:eastAsia="楷体_GB2312" w:hint="eastAsia"/>
        </w:rPr>
        <w:t>鼓励</w:t>
      </w:r>
      <w:r w:rsidRPr="009D61AC">
        <w:rPr>
          <w:rFonts w:hint="eastAsia"/>
        </w:rPr>
        <w:t>柬埔寨政府继续采取行动，增进所有柬埔寨人的权利和尊严，保护公民权利和政治权利，包括见解和言论自由，并为此目的，确保审慎地解释和实施相关法律</w:t>
      </w:r>
      <w:r w:rsidRPr="009D61AC">
        <w:rPr>
          <w:rFonts w:hint="eastAsia"/>
        </w:rPr>
        <w:t xml:space="preserve"> </w:t>
      </w:r>
      <w:r w:rsidRPr="009D61AC">
        <w:t>(</w:t>
      </w:r>
      <w:r w:rsidRPr="009D61AC">
        <w:rPr>
          <w:rFonts w:hint="eastAsia"/>
        </w:rPr>
        <w:t>如刑法</w:t>
      </w:r>
      <w:r w:rsidRPr="009D61AC">
        <w:t>)</w:t>
      </w:r>
      <w:r w:rsidRPr="009D61AC">
        <w:rPr>
          <w:rFonts w:hint="eastAsia"/>
        </w:rPr>
        <w:t>，以便依照法治，增进经济、社会和文化权利；</w:t>
      </w:r>
    </w:p>
    <w:p w:rsidR="007C47DE" w:rsidRPr="009D61AC" w:rsidRDefault="007C47DE" w:rsidP="007C47DE">
      <w:pPr>
        <w:pStyle w:val="SingleTxt"/>
      </w:pPr>
      <w:r>
        <w:rPr>
          <w:rFonts w:hint="eastAsia"/>
        </w:rPr>
        <w:tab/>
      </w:r>
      <w:r w:rsidRPr="009D61AC">
        <w:t>2</w:t>
      </w:r>
      <w:r w:rsidRPr="009D61AC">
        <w:rPr>
          <w:rFonts w:hint="eastAsia"/>
        </w:rPr>
        <w:t>4</w:t>
      </w:r>
      <w:r w:rsidRPr="009D61AC">
        <w:t xml:space="preserve">.  </w:t>
      </w:r>
      <w:r w:rsidRPr="009D61AC">
        <w:rPr>
          <w:rFonts w:eastAsia="楷体_GB2312" w:hint="eastAsia"/>
        </w:rPr>
        <w:t>请</w:t>
      </w:r>
      <w:r w:rsidRPr="009D61AC">
        <w:rPr>
          <w:rFonts w:hint="eastAsia"/>
        </w:rPr>
        <w:t>秘书长、在柬埔寨设有办事处的联合国系统各机构和国际社会</w:t>
      </w:r>
      <w:r>
        <w:rPr>
          <w:rFonts w:hint="eastAsia"/>
        </w:rPr>
        <w:t xml:space="preserve"> </w:t>
      </w:r>
      <w:r w:rsidRPr="009D61AC">
        <w:t>(</w:t>
      </w:r>
      <w:r w:rsidRPr="009D61AC">
        <w:rPr>
          <w:rFonts w:hint="eastAsia"/>
        </w:rPr>
        <w:t>包括民间社会</w:t>
      </w:r>
      <w:r w:rsidRPr="009D61AC">
        <w:t>)</w:t>
      </w:r>
      <w:r>
        <w:rPr>
          <w:rFonts w:hint="eastAsia"/>
        </w:rPr>
        <w:t xml:space="preserve"> </w:t>
      </w:r>
      <w:r w:rsidRPr="009D61AC">
        <w:rPr>
          <w:rFonts w:hint="eastAsia"/>
        </w:rPr>
        <w:t>继续与柬埔寨政府合作，加强民主，确保保护和增进柬埔寨所有人的人权，包括在以下领域提供援助：</w:t>
      </w:r>
    </w:p>
    <w:p w:rsidR="007C47DE" w:rsidRPr="009D61AC" w:rsidRDefault="007C47DE" w:rsidP="007C47DE">
      <w:pPr>
        <w:pStyle w:val="SingleTxt"/>
        <w:tabs>
          <w:tab w:val="clear" w:pos="1264"/>
        </w:tabs>
        <w:ind w:firstLine="430"/>
      </w:pPr>
      <w:r w:rsidRPr="009D61AC">
        <w:t>(</w:t>
      </w:r>
      <w:r w:rsidRPr="009D61AC">
        <w:rPr>
          <w:i/>
        </w:rPr>
        <w:t>a</w:t>
      </w:r>
      <w:r w:rsidRPr="009D61AC">
        <w:t>)</w:t>
      </w:r>
      <w:r w:rsidRPr="009D61AC">
        <w:tab/>
      </w:r>
      <w:r w:rsidRPr="009D61AC">
        <w:rPr>
          <w:rFonts w:hint="eastAsia"/>
        </w:rPr>
        <w:t>起草法律，并协助成立一个独立的国家人权机构；</w:t>
      </w:r>
    </w:p>
    <w:p w:rsidR="007C47DE" w:rsidRPr="009D61AC" w:rsidRDefault="007C47DE" w:rsidP="007C47DE">
      <w:pPr>
        <w:pStyle w:val="SingleTxt"/>
        <w:tabs>
          <w:tab w:val="clear" w:pos="1264"/>
        </w:tabs>
        <w:ind w:firstLine="430"/>
      </w:pPr>
      <w:r w:rsidRPr="009D61AC">
        <w:t>(</w:t>
      </w:r>
      <w:r w:rsidRPr="009D61AC">
        <w:rPr>
          <w:i/>
        </w:rPr>
        <w:t>b</w:t>
      </w:r>
      <w:r w:rsidRPr="009D61AC">
        <w:t>)</w:t>
      </w:r>
      <w:r w:rsidRPr="009D61AC">
        <w:tab/>
      </w:r>
      <w:r w:rsidRPr="009D61AC">
        <w:rPr>
          <w:rFonts w:hint="eastAsia"/>
        </w:rPr>
        <w:t>开展能力建设，以加强法律机构，包括提高法官、检察官、律师和法庭工作人员的素质和独立性，汲取在柬埔寨法院特别法庭工作的柬埔寨国民积累的专门知识；</w:t>
      </w:r>
    </w:p>
    <w:p w:rsidR="007C47DE" w:rsidRPr="009D61AC" w:rsidRDefault="007C47DE" w:rsidP="007C47DE">
      <w:pPr>
        <w:pStyle w:val="SingleTxt"/>
        <w:tabs>
          <w:tab w:val="clear" w:pos="1264"/>
        </w:tabs>
        <w:ind w:firstLine="430"/>
      </w:pPr>
      <w:r w:rsidRPr="009D61AC">
        <w:t>(</w:t>
      </w:r>
      <w:r w:rsidRPr="009D61AC">
        <w:rPr>
          <w:i/>
        </w:rPr>
        <w:t>c</w:t>
      </w:r>
      <w:r w:rsidRPr="009D61AC">
        <w:t>)</w:t>
      </w:r>
      <w:r w:rsidRPr="009D61AC">
        <w:tab/>
      </w:r>
      <w:r w:rsidRPr="009D61AC">
        <w:rPr>
          <w:rFonts w:hint="eastAsia"/>
        </w:rPr>
        <w:t>开展能力建设，以加强国家刑事调查和执法机构，并为此目的提供必要的设备：</w:t>
      </w:r>
    </w:p>
    <w:p w:rsidR="007C47DE" w:rsidRPr="009D61AC" w:rsidRDefault="007C47DE" w:rsidP="007C47DE">
      <w:pPr>
        <w:pStyle w:val="SingleTxt"/>
        <w:tabs>
          <w:tab w:val="clear" w:pos="1264"/>
        </w:tabs>
        <w:ind w:firstLine="430"/>
      </w:pPr>
      <w:r w:rsidRPr="009D61AC">
        <w:t>(</w:t>
      </w:r>
      <w:r w:rsidRPr="009D61AC">
        <w:rPr>
          <w:i/>
        </w:rPr>
        <w:t>d</w:t>
      </w:r>
      <w:r w:rsidRPr="009D61AC">
        <w:t>)</w:t>
      </w:r>
      <w:r w:rsidRPr="009D61AC">
        <w:tab/>
      </w:r>
      <w:r w:rsidRPr="009D61AC">
        <w:rPr>
          <w:rFonts w:hint="eastAsia"/>
        </w:rPr>
        <w:t>落实已接受的普遍定期审议建议；</w:t>
      </w:r>
    </w:p>
    <w:p w:rsidR="007C47DE" w:rsidRPr="009D61AC" w:rsidRDefault="007C47DE" w:rsidP="007C47DE">
      <w:pPr>
        <w:pStyle w:val="SingleTxt"/>
        <w:tabs>
          <w:tab w:val="clear" w:pos="1264"/>
        </w:tabs>
        <w:ind w:firstLine="430"/>
      </w:pPr>
      <w:r w:rsidRPr="009D61AC">
        <w:t>(</w:t>
      </w:r>
      <w:r w:rsidRPr="009D61AC">
        <w:rPr>
          <w:i/>
        </w:rPr>
        <w:t>e</w:t>
      </w:r>
      <w:r w:rsidRPr="009D61AC">
        <w:t>)</w:t>
      </w:r>
      <w:r w:rsidRPr="009D61AC">
        <w:tab/>
      </w:r>
      <w:r w:rsidRPr="009D61AC">
        <w:rPr>
          <w:rFonts w:hint="eastAsia"/>
        </w:rPr>
        <w:t>协助评估在人权问题上的进展；</w:t>
      </w:r>
    </w:p>
    <w:p w:rsidR="007C47DE" w:rsidRPr="009D61AC" w:rsidRDefault="007C47DE" w:rsidP="007C47DE">
      <w:pPr>
        <w:pStyle w:val="SingleTxt"/>
      </w:pPr>
      <w:r>
        <w:rPr>
          <w:rFonts w:hint="eastAsia"/>
        </w:rPr>
        <w:tab/>
      </w:r>
      <w:r w:rsidRPr="009D61AC">
        <w:t>2</w:t>
      </w:r>
      <w:r w:rsidRPr="009D61AC">
        <w:rPr>
          <w:rFonts w:hint="eastAsia"/>
        </w:rPr>
        <w:t>5</w:t>
      </w:r>
      <w:r w:rsidRPr="009D61AC">
        <w:t xml:space="preserve">.  </w:t>
      </w:r>
      <w:r w:rsidRPr="009D61AC">
        <w:rPr>
          <w:rFonts w:eastAsia="楷体_GB2312" w:hint="eastAsia"/>
        </w:rPr>
        <w:t>决定</w:t>
      </w:r>
      <w:r w:rsidRPr="009D61AC">
        <w:rPr>
          <w:rFonts w:hint="eastAsia"/>
        </w:rPr>
        <w:t>将柬埔寨人权状况特别报告员的任期延长两年；请特别报告员向理事会第三十三届和第三十六届会议报告其履行任务的情况，并以建设性方式与柬埔寨政府一道进一步改善该国的人权状况；</w:t>
      </w:r>
    </w:p>
    <w:p w:rsidR="007C47DE" w:rsidRPr="009D61AC" w:rsidRDefault="007C47DE" w:rsidP="007C47DE">
      <w:pPr>
        <w:pStyle w:val="SingleTxt"/>
      </w:pPr>
      <w:r>
        <w:rPr>
          <w:rFonts w:hint="eastAsia"/>
        </w:rPr>
        <w:tab/>
      </w:r>
      <w:r w:rsidRPr="009D61AC">
        <w:t>2</w:t>
      </w:r>
      <w:r w:rsidRPr="009D61AC">
        <w:rPr>
          <w:rFonts w:hint="eastAsia"/>
        </w:rPr>
        <w:t>6</w:t>
      </w:r>
      <w:r w:rsidRPr="009D61AC">
        <w:t xml:space="preserve">.  </w:t>
      </w:r>
      <w:r w:rsidRPr="009D61AC">
        <w:rPr>
          <w:rFonts w:eastAsia="楷体_GB2312" w:hint="eastAsia"/>
        </w:rPr>
        <w:t>请</w:t>
      </w:r>
      <w:r w:rsidRPr="009D61AC">
        <w:rPr>
          <w:rFonts w:hint="eastAsia"/>
        </w:rPr>
        <w:t>秘书长向理事会第三十三届和第三十六届会议提出报告，说明高级专员办事处在协助柬埔寨政府和人民增进和保护人权方面发挥的作用和取得的成绩；</w:t>
      </w:r>
    </w:p>
    <w:p w:rsidR="007C47DE" w:rsidRPr="009D61AC" w:rsidRDefault="007C47DE" w:rsidP="007C47DE">
      <w:pPr>
        <w:pStyle w:val="SingleTxt"/>
      </w:pPr>
      <w:r>
        <w:rPr>
          <w:rFonts w:hint="eastAsia"/>
        </w:rPr>
        <w:tab/>
      </w:r>
      <w:r w:rsidRPr="009D61AC">
        <w:t>2</w:t>
      </w:r>
      <w:r w:rsidRPr="009D61AC">
        <w:rPr>
          <w:rFonts w:hint="eastAsia"/>
        </w:rPr>
        <w:t>7</w:t>
      </w:r>
      <w:r w:rsidRPr="009D61AC">
        <w:t xml:space="preserve">.  </w:t>
      </w:r>
      <w:r w:rsidRPr="009D61AC">
        <w:rPr>
          <w:rFonts w:eastAsia="楷体_GB2312" w:hint="eastAsia"/>
        </w:rPr>
        <w:t>决定</w:t>
      </w:r>
      <w:r w:rsidRPr="009D61AC">
        <w:rPr>
          <w:rFonts w:hint="eastAsia"/>
        </w:rPr>
        <w:t>理事会第三十六届会议继续审议柬埔寨的人权状况。</w:t>
      </w:r>
    </w:p>
    <w:p w:rsidR="007C47DE" w:rsidRPr="009D61AC" w:rsidRDefault="007C47DE" w:rsidP="007C47DE">
      <w:pPr>
        <w:pStyle w:val="SingleTxt"/>
        <w:jc w:val="right"/>
        <w:rPr>
          <w:rFonts w:eastAsia="楷体"/>
          <w:iCs/>
        </w:rPr>
      </w:pPr>
      <w:r w:rsidRPr="009D61AC">
        <w:rPr>
          <w:rFonts w:eastAsia="楷体"/>
          <w:iCs/>
        </w:rPr>
        <w:t>2015</w:t>
      </w:r>
      <w:r w:rsidRPr="009D61AC">
        <w:rPr>
          <w:rFonts w:eastAsia="楷体" w:hint="eastAsia"/>
          <w:iCs/>
        </w:rPr>
        <w:t>年</w:t>
      </w:r>
      <w:r w:rsidRPr="009D61AC">
        <w:rPr>
          <w:rFonts w:eastAsia="楷体" w:hint="eastAsia"/>
          <w:iCs/>
        </w:rPr>
        <w:t>10</w:t>
      </w:r>
      <w:r w:rsidRPr="009D61AC">
        <w:rPr>
          <w:rFonts w:eastAsia="楷体" w:hint="eastAsia"/>
          <w:iCs/>
        </w:rPr>
        <w:t>月</w:t>
      </w:r>
      <w:r w:rsidRPr="009D61AC">
        <w:rPr>
          <w:rFonts w:eastAsia="楷体" w:hint="eastAsia"/>
          <w:iCs/>
        </w:rPr>
        <w:t>2</w:t>
      </w:r>
      <w:r w:rsidRPr="009D61AC">
        <w:rPr>
          <w:rFonts w:eastAsia="楷体" w:hint="eastAsia"/>
          <w:iCs/>
        </w:rPr>
        <w:t>日</w:t>
      </w:r>
      <w:r>
        <w:rPr>
          <w:rFonts w:eastAsia="楷体" w:hint="eastAsia"/>
          <w:iCs/>
        </w:rPr>
        <w:br/>
      </w:r>
      <w:r w:rsidRPr="009D61AC">
        <w:rPr>
          <w:rFonts w:eastAsia="楷体" w:hint="eastAsia"/>
          <w:iCs/>
        </w:rPr>
        <w:t>第</w:t>
      </w:r>
      <w:r w:rsidRPr="009D61AC">
        <w:rPr>
          <w:rFonts w:eastAsia="楷体"/>
          <w:iCs/>
        </w:rPr>
        <w:t>4</w:t>
      </w:r>
      <w:r w:rsidRPr="009D61AC">
        <w:rPr>
          <w:rFonts w:eastAsia="楷体" w:hint="eastAsia"/>
          <w:iCs/>
        </w:rPr>
        <w:t>2</w:t>
      </w:r>
      <w:r w:rsidRPr="009D61AC">
        <w:rPr>
          <w:rFonts w:eastAsia="楷体" w:hint="eastAsia"/>
          <w:iCs/>
        </w:rPr>
        <w:t>次会议</w:t>
      </w:r>
    </w:p>
    <w:p w:rsidR="00A73B9E" w:rsidRPr="007C47DE" w:rsidRDefault="007C47DE" w:rsidP="007C47DE">
      <w:pPr>
        <w:pStyle w:val="SingleTxt"/>
        <w:rPr>
          <w:rFonts w:eastAsia="楷体" w:hint="eastAsia"/>
          <w:iCs/>
        </w:rPr>
      </w:pPr>
      <w:r w:rsidRPr="009D61AC">
        <w:rPr>
          <w:rFonts w:hint="eastAsia"/>
        </w:rPr>
        <w:t>[</w:t>
      </w:r>
      <w:r w:rsidRPr="009D61AC">
        <w:rPr>
          <w:rFonts w:hint="eastAsia"/>
        </w:rPr>
        <w:t>未</w:t>
      </w:r>
      <w:r w:rsidRPr="009D61AC">
        <w:t>经表决获得通过。</w:t>
      </w:r>
      <w:r w:rsidRPr="009D61AC">
        <w:rPr>
          <w:lang w:eastAsia="ar-SA"/>
        </w:rPr>
        <w:t>]</w:t>
      </w:r>
    </w:p>
    <w:p w:rsidR="00A73B9E" w:rsidRPr="007C47DE" w:rsidRDefault="007C47DE" w:rsidP="007C47DE">
      <w:pPr>
        <w:pStyle w:val="SingleTxt"/>
        <w:spacing w:after="0" w:line="240" w:lineRule="auto"/>
        <w:rPr>
          <w:rFonts w:hint="eastAsia"/>
          <w:sz w:val="20"/>
        </w:rPr>
      </w:pPr>
      <w:r>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A73B9E" w:rsidRPr="007C47DE" w:rsidSect="00A73B9E">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16T16:11:00Z" w:initials="Start">
    <w:p w:rsidR="00A73B9E" w:rsidRDefault="00A73B9E">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NO&gt;&gt;N1523227C&lt;&lt;ODS JOB NO&gt;&gt;</w:t>
      </w:r>
    </w:p>
    <w:p w:rsidR="00A73B9E" w:rsidRDefault="00A73B9E">
      <w:pPr>
        <w:pStyle w:val="a7"/>
      </w:pPr>
      <w:r>
        <w:t>&lt;&lt;ODS DOC SYMBOL1&gt;&gt;A/HRC/RES/30/23&lt;&lt;ODS DOC SYMBOL1&gt;&gt;</w:t>
      </w:r>
    </w:p>
    <w:p w:rsidR="00A73B9E" w:rsidRDefault="00A73B9E">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F3F" w:rsidRDefault="000A3F3F">
      <w:r>
        <w:separator/>
      </w:r>
    </w:p>
  </w:endnote>
  <w:endnote w:type="continuationSeparator" w:id="0">
    <w:p w:rsidR="000A3F3F" w:rsidRDefault="000A3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73B9E" w:rsidTr="00A73B9E">
      <w:tblPrEx>
        <w:tblCellMar>
          <w:top w:w="0" w:type="dxa"/>
          <w:bottom w:w="0" w:type="dxa"/>
        </w:tblCellMar>
      </w:tblPrEx>
      <w:trPr>
        <w:jc w:val="center"/>
      </w:trPr>
      <w:tc>
        <w:tcPr>
          <w:tcW w:w="5126" w:type="dxa"/>
          <w:shd w:val="clear" w:color="auto" w:fill="auto"/>
        </w:tcPr>
        <w:p w:rsidR="00A73B9E" w:rsidRPr="00A73B9E" w:rsidRDefault="00A73B9E" w:rsidP="00A73B9E">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34D2">
            <w:rPr>
              <w:b w:val="0"/>
              <w:w w:val="103"/>
              <w:sz w:val="14"/>
            </w:rPr>
            <w:t>GE.15-17565 (C)</w:t>
          </w:r>
          <w:r>
            <w:rPr>
              <w:b w:val="0"/>
              <w:w w:val="103"/>
              <w:sz w:val="14"/>
            </w:rPr>
            <w:fldChar w:fldCharType="end"/>
          </w:r>
        </w:p>
      </w:tc>
      <w:tc>
        <w:tcPr>
          <w:tcW w:w="5127" w:type="dxa"/>
          <w:shd w:val="clear" w:color="auto" w:fill="auto"/>
        </w:tcPr>
        <w:p w:rsidR="00A73B9E" w:rsidRPr="00A73B9E" w:rsidRDefault="00A73B9E" w:rsidP="00A73B9E">
          <w:pPr>
            <w:pStyle w:val="ac"/>
            <w:jc w:val="left"/>
            <w:rPr>
              <w:w w:val="103"/>
            </w:rPr>
          </w:pPr>
          <w:r>
            <w:rPr>
              <w:w w:val="103"/>
            </w:rPr>
            <w:fldChar w:fldCharType="begin"/>
          </w:r>
          <w:r>
            <w:rPr>
              <w:w w:val="103"/>
            </w:rPr>
            <w:instrText xml:space="preserve"> PAGE  \* Arabic  \* MERGEFORMAT </w:instrText>
          </w:r>
          <w:r>
            <w:rPr>
              <w:w w:val="103"/>
            </w:rPr>
            <w:fldChar w:fldCharType="separate"/>
          </w:r>
          <w:r w:rsidR="00FF34D2">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F34D2">
            <w:rPr>
              <w:w w:val="103"/>
            </w:rPr>
            <w:t>4</w:t>
          </w:r>
          <w:r>
            <w:rPr>
              <w:w w:val="103"/>
            </w:rPr>
            <w:fldChar w:fldCharType="end"/>
          </w:r>
        </w:p>
      </w:tc>
    </w:tr>
  </w:tbl>
  <w:p w:rsidR="00A73B9E" w:rsidRPr="00A73B9E" w:rsidRDefault="00A73B9E" w:rsidP="00A73B9E">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73B9E" w:rsidTr="00A73B9E">
      <w:tblPrEx>
        <w:tblCellMar>
          <w:top w:w="0" w:type="dxa"/>
          <w:bottom w:w="0" w:type="dxa"/>
        </w:tblCellMar>
      </w:tblPrEx>
      <w:trPr>
        <w:jc w:val="center"/>
      </w:trPr>
      <w:tc>
        <w:tcPr>
          <w:tcW w:w="5126" w:type="dxa"/>
          <w:shd w:val="clear" w:color="auto" w:fill="auto"/>
        </w:tcPr>
        <w:p w:rsidR="00A73B9E" w:rsidRPr="00A73B9E" w:rsidRDefault="00A73B9E" w:rsidP="00A73B9E">
          <w:pPr>
            <w:pStyle w:val="ac"/>
            <w:jc w:val="right"/>
          </w:pPr>
          <w:r>
            <w:fldChar w:fldCharType="begin"/>
          </w:r>
          <w:r>
            <w:instrText xml:space="preserve"> PAGE  \* Arabic  \* MERGEFORMAT </w:instrText>
          </w:r>
          <w:r>
            <w:fldChar w:fldCharType="separate"/>
          </w:r>
          <w:r w:rsidR="00FF34D2">
            <w:t>3</w:t>
          </w:r>
          <w:r>
            <w:fldChar w:fldCharType="end"/>
          </w:r>
          <w:r>
            <w:t>/</w:t>
          </w:r>
          <w:fldSimple w:instr=" NUMPAGES  \* Arabic  \* MERGEFORMAT ">
            <w:r w:rsidR="00FF34D2">
              <w:t>4</w:t>
            </w:r>
          </w:fldSimple>
        </w:p>
      </w:tc>
      <w:tc>
        <w:tcPr>
          <w:tcW w:w="5127" w:type="dxa"/>
          <w:shd w:val="clear" w:color="auto" w:fill="auto"/>
        </w:tcPr>
        <w:p w:rsidR="00A73B9E" w:rsidRPr="00A73B9E" w:rsidRDefault="00A73B9E" w:rsidP="00A73B9E">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34D2">
            <w:rPr>
              <w:b w:val="0"/>
              <w:w w:val="103"/>
              <w:sz w:val="14"/>
            </w:rPr>
            <w:t>GE.15-17565 (C)</w:t>
          </w:r>
          <w:r>
            <w:rPr>
              <w:b w:val="0"/>
              <w:w w:val="103"/>
              <w:sz w:val="14"/>
            </w:rPr>
            <w:fldChar w:fldCharType="end"/>
          </w:r>
        </w:p>
      </w:tc>
    </w:tr>
  </w:tbl>
  <w:p w:rsidR="00A73B9E" w:rsidRPr="00A73B9E" w:rsidRDefault="00A73B9E" w:rsidP="00A73B9E">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A73B9E" w:rsidTr="00A73B9E">
      <w:tblPrEx>
        <w:tblCellMar>
          <w:top w:w="0" w:type="dxa"/>
          <w:bottom w:w="0" w:type="dxa"/>
        </w:tblCellMar>
      </w:tblPrEx>
      <w:tc>
        <w:tcPr>
          <w:tcW w:w="3873" w:type="dxa"/>
        </w:tcPr>
        <w:p w:rsidR="00A73B9E" w:rsidRDefault="00A73B9E" w:rsidP="00A73B9E">
          <w:pPr>
            <w:pStyle w:val="ac"/>
            <w:rPr>
              <w:b w:val="0"/>
              <w:sz w:val="21"/>
            </w:rPr>
          </w:pPr>
          <w:r>
            <w:rPr>
              <w:b w:val="0"/>
              <w:sz w:val="21"/>
            </w:rPr>
            <w:drawing>
              <wp:anchor distT="0" distB="0" distL="114300" distR="114300" simplePos="0" relativeHeight="251658240" behindDoc="0" locked="0" layoutInCell="1" allowOverlap="1" wp14:anchorId="66B5FD71" wp14:editId="6EC8BB41">
                <wp:simplePos x="0" y="0"/>
                <wp:positionH relativeFrom="column">
                  <wp:posOffset>5687694</wp:posOffset>
                </wp:positionH>
                <wp:positionV relativeFrom="paragraph">
                  <wp:posOffset>-212091</wp:posOffset>
                </wp:positionV>
                <wp:extent cx="694690" cy="694690"/>
                <wp:effectExtent l="0" t="0" r="0" b="0"/>
                <wp:wrapNone/>
                <wp:docPr id="3" name="图片 3" descr="http://undocs.org/m2/QRCode2.ashx?DS=A/HRC/RES/30/23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HRC/RES/30/23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b w:val="0"/>
              <w:sz w:val="21"/>
            </w:rPr>
            <w:fldChar w:fldCharType="begin"/>
          </w:r>
          <w:r>
            <w:rPr>
              <w:b w:val="0"/>
              <w:sz w:val="21"/>
            </w:rPr>
            <w:instrText xml:space="preserve"> DOCVARIABLE "jobn" \* MERGEFORMAT </w:instrText>
          </w:r>
          <w:r>
            <w:rPr>
              <w:b w:val="0"/>
              <w:sz w:val="21"/>
            </w:rPr>
            <w:fldChar w:fldCharType="separate"/>
          </w:r>
          <w:r w:rsidR="00FF34D2">
            <w:rPr>
              <w:b w:val="0"/>
              <w:sz w:val="21"/>
            </w:rPr>
            <w:t>GE.15-17565 (C)</w:t>
          </w:r>
          <w:r>
            <w:rPr>
              <w:b w:val="0"/>
              <w:sz w:val="21"/>
            </w:rPr>
            <w:fldChar w:fldCharType="end"/>
          </w:r>
          <w:r w:rsidR="00D75BF6">
            <w:rPr>
              <w:rFonts w:hint="eastAsia"/>
              <w:b w:val="0"/>
              <w:sz w:val="21"/>
            </w:rPr>
            <w:t xml:space="preserve">   161015   161015</w:t>
          </w:r>
        </w:p>
        <w:p w:rsidR="00A73B9E" w:rsidRPr="00A73B9E" w:rsidRDefault="00A73B9E" w:rsidP="00A73B9E">
          <w:pPr>
            <w:spacing w:before="80" w:line="210" w:lineRule="exact"/>
            <w:rPr>
              <w:rFonts w:ascii="Barcode 3 of 9 by request" w:hAnsi="Barcode 3 of 9 by request"/>
              <w:sz w:val="24"/>
            </w:rPr>
          </w:pPr>
          <w:r>
            <w:rPr>
              <w:rFonts w:ascii="Barcode 3 of 9 by request" w:hAnsi="Barcode 3 of 9 by request"/>
              <w:sz w:val="24"/>
            </w:rPr>
            <w:t>*1517565*</w:t>
          </w:r>
        </w:p>
      </w:tc>
      <w:tc>
        <w:tcPr>
          <w:tcW w:w="5127" w:type="dxa"/>
        </w:tcPr>
        <w:p w:rsidR="00A73B9E" w:rsidRDefault="00A73B9E" w:rsidP="00A73B9E">
          <w:pPr>
            <w:pStyle w:val="ac"/>
            <w:jc w:val="right"/>
            <w:rPr>
              <w:b w:val="0"/>
              <w:sz w:val="21"/>
            </w:rPr>
          </w:pPr>
          <w:r>
            <w:rPr>
              <w:b w:val="0"/>
              <w:sz w:val="21"/>
            </w:rPr>
            <w:drawing>
              <wp:inline distT="0" distB="0" distL="0" distR="0" wp14:anchorId="25C49956" wp14:editId="023B414D">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A73B9E" w:rsidRPr="00A73B9E" w:rsidRDefault="00A73B9E" w:rsidP="00A73B9E">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F3F" w:rsidRDefault="000A3F3F">
      <w:r>
        <w:separator/>
      </w:r>
    </w:p>
  </w:footnote>
  <w:footnote w:type="continuationSeparator" w:id="0">
    <w:p w:rsidR="000A3F3F" w:rsidRDefault="000A3F3F">
      <w:r>
        <w:continuationSeparator/>
      </w:r>
    </w:p>
  </w:footnote>
  <w:footnote w:id="1">
    <w:p w:rsidR="007C47DE" w:rsidRDefault="007C47DE" w:rsidP="007C47DE">
      <w:pPr>
        <w:pStyle w:val="a5"/>
        <w:tabs>
          <w:tab w:val="right" w:pos="1195"/>
          <w:tab w:val="left" w:pos="1264"/>
          <w:tab w:val="left" w:pos="1695"/>
          <w:tab w:val="left" w:pos="2126"/>
          <w:tab w:val="left" w:pos="2557"/>
        </w:tabs>
        <w:ind w:left="1264" w:right="1264" w:hanging="432"/>
      </w:pPr>
      <w:r>
        <w:tab/>
      </w:r>
      <w:r>
        <w:rPr>
          <w:rStyle w:val="a3"/>
        </w:rPr>
        <w:footnoteRef/>
      </w:r>
      <w:r>
        <w:tab/>
        <w:t>A/HRC/24/32</w:t>
      </w:r>
      <w:r>
        <w:rPr>
          <w:rFonts w:hint="eastAsia"/>
        </w:rPr>
        <w:t>。</w:t>
      </w:r>
    </w:p>
  </w:footnote>
  <w:footnote w:id="2">
    <w:p w:rsidR="007C47DE" w:rsidRDefault="007C47DE" w:rsidP="007C47DE">
      <w:pPr>
        <w:pStyle w:val="a5"/>
        <w:tabs>
          <w:tab w:val="right" w:pos="1195"/>
          <w:tab w:val="left" w:pos="1264"/>
          <w:tab w:val="left" w:pos="1695"/>
          <w:tab w:val="left" w:pos="2126"/>
          <w:tab w:val="left" w:pos="2557"/>
        </w:tabs>
        <w:ind w:left="1264" w:right="1264" w:hanging="432"/>
      </w:pPr>
      <w:r>
        <w:tab/>
      </w:r>
      <w:r>
        <w:rPr>
          <w:rStyle w:val="a3"/>
        </w:rPr>
        <w:footnoteRef/>
      </w:r>
      <w:r>
        <w:tab/>
        <w:t>A/HRC/27/70</w:t>
      </w:r>
      <w:r>
        <w:rPr>
          <w:rFonts w:hint="eastAsia"/>
        </w:rPr>
        <w:t>和</w:t>
      </w:r>
      <w:r>
        <w:t>A/HRC/30/58</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A73B9E" w:rsidTr="00A73B9E">
      <w:tblPrEx>
        <w:tblCellMar>
          <w:top w:w="0" w:type="dxa"/>
          <w:bottom w:w="0" w:type="dxa"/>
        </w:tblCellMar>
      </w:tblPrEx>
      <w:trPr>
        <w:trHeight w:hRule="exact" w:val="864"/>
        <w:jc w:val="center"/>
      </w:trPr>
      <w:tc>
        <w:tcPr>
          <w:tcW w:w="4882" w:type="dxa"/>
          <w:shd w:val="clear" w:color="auto" w:fill="auto"/>
          <w:vAlign w:val="bottom"/>
        </w:tcPr>
        <w:p w:rsidR="00A73B9E" w:rsidRPr="00A73B9E" w:rsidRDefault="00A73B9E" w:rsidP="00A73B9E">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FF34D2">
            <w:rPr>
              <w:b/>
              <w:sz w:val="17"/>
            </w:rPr>
            <w:t>A/HRC/RES/30/23</w:t>
          </w:r>
          <w:r>
            <w:rPr>
              <w:b/>
              <w:sz w:val="17"/>
            </w:rPr>
            <w:fldChar w:fldCharType="end"/>
          </w:r>
        </w:p>
      </w:tc>
      <w:tc>
        <w:tcPr>
          <w:tcW w:w="5127" w:type="dxa"/>
          <w:shd w:val="clear" w:color="auto" w:fill="auto"/>
          <w:vAlign w:val="bottom"/>
        </w:tcPr>
        <w:p w:rsidR="00A73B9E" w:rsidRDefault="00A73B9E" w:rsidP="00A73B9E">
          <w:pPr>
            <w:pStyle w:val="ab"/>
          </w:pPr>
        </w:p>
      </w:tc>
    </w:tr>
  </w:tbl>
  <w:p w:rsidR="00A73B9E" w:rsidRPr="00A73B9E" w:rsidRDefault="00A73B9E" w:rsidP="00A73B9E">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A73B9E" w:rsidTr="00A73B9E">
      <w:tblPrEx>
        <w:tblCellMar>
          <w:top w:w="0" w:type="dxa"/>
          <w:bottom w:w="0" w:type="dxa"/>
        </w:tblCellMar>
      </w:tblPrEx>
      <w:trPr>
        <w:trHeight w:hRule="exact" w:val="864"/>
        <w:jc w:val="center"/>
      </w:trPr>
      <w:tc>
        <w:tcPr>
          <w:tcW w:w="4882" w:type="dxa"/>
          <w:shd w:val="clear" w:color="auto" w:fill="auto"/>
          <w:vAlign w:val="bottom"/>
        </w:tcPr>
        <w:p w:rsidR="00A73B9E" w:rsidRDefault="00A73B9E" w:rsidP="00A73B9E">
          <w:pPr>
            <w:pStyle w:val="ab"/>
          </w:pPr>
        </w:p>
      </w:tc>
      <w:tc>
        <w:tcPr>
          <w:tcW w:w="5127" w:type="dxa"/>
          <w:shd w:val="clear" w:color="auto" w:fill="auto"/>
          <w:vAlign w:val="bottom"/>
        </w:tcPr>
        <w:p w:rsidR="00A73B9E" w:rsidRPr="00A73B9E" w:rsidRDefault="00A73B9E" w:rsidP="00A73B9E">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FF34D2">
            <w:rPr>
              <w:b/>
              <w:sz w:val="17"/>
            </w:rPr>
            <w:t>A/HRC/RES/30/23</w:t>
          </w:r>
          <w:r>
            <w:rPr>
              <w:b/>
              <w:sz w:val="17"/>
            </w:rPr>
            <w:fldChar w:fldCharType="end"/>
          </w:r>
        </w:p>
      </w:tc>
    </w:tr>
  </w:tbl>
  <w:p w:rsidR="00A73B9E" w:rsidRPr="00A73B9E" w:rsidRDefault="00A73B9E" w:rsidP="00A73B9E">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A73B9E" w:rsidTr="00A73B9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73B9E" w:rsidRDefault="00A73B9E" w:rsidP="00A73B9E">
          <w:pPr>
            <w:pStyle w:val="ab"/>
            <w:spacing w:after="120"/>
          </w:pPr>
        </w:p>
      </w:tc>
      <w:tc>
        <w:tcPr>
          <w:tcW w:w="1872" w:type="dxa"/>
          <w:tcBorders>
            <w:bottom w:val="single" w:sz="4" w:space="0" w:color="auto"/>
          </w:tcBorders>
          <w:shd w:val="clear" w:color="auto" w:fill="auto"/>
          <w:vAlign w:val="bottom"/>
        </w:tcPr>
        <w:p w:rsidR="00A73B9E" w:rsidRPr="00A73B9E" w:rsidRDefault="00A73B9E" w:rsidP="00A73B9E">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A73B9E" w:rsidRDefault="00A73B9E" w:rsidP="00A73B9E">
          <w:pPr>
            <w:pStyle w:val="ab"/>
            <w:spacing w:after="120"/>
          </w:pPr>
        </w:p>
      </w:tc>
      <w:tc>
        <w:tcPr>
          <w:tcW w:w="6653" w:type="dxa"/>
          <w:gridSpan w:val="4"/>
          <w:tcBorders>
            <w:bottom w:val="single" w:sz="4" w:space="0" w:color="auto"/>
          </w:tcBorders>
          <w:shd w:val="clear" w:color="auto" w:fill="auto"/>
          <w:vAlign w:val="bottom"/>
        </w:tcPr>
        <w:p w:rsidR="00A73B9E" w:rsidRPr="00A73B9E" w:rsidRDefault="00A73B9E" w:rsidP="00A73B9E">
          <w:pPr>
            <w:spacing w:after="80" w:line="240" w:lineRule="auto"/>
            <w:jc w:val="right"/>
            <w:rPr>
              <w:position w:val="-4"/>
            </w:rPr>
          </w:pPr>
          <w:r>
            <w:rPr>
              <w:position w:val="-4"/>
              <w:sz w:val="40"/>
            </w:rPr>
            <w:t>A</w:t>
          </w:r>
          <w:r>
            <w:rPr>
              <w:position w:val="-4"/>
            </w:rPr>
            <w:t>/HRC/RES/30/23</w:t>
          </w:r>
        </w:p>
      </w:tc>
    </w:tr>
    <w:tr w:rsidR="00A73B9E" w:rsidRPr="00A73B9E" w:rsidTr="00A73B9E">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A73B9E" w:rsidRPr="00A73B9E" w:rsidRDefault="00A73B9E" w:rsidP="00A73B9E">
          <w:pPr>
            <w:pStyle w:val="ab"/>
            <w:spacing w:before="109"/>
            <w:ind w:left="-72"/>
          </w:pPr>
          <w:r>
            <w:t xml:space="preserve"> </w:t>
          </w:r>
          <w:r>
            <w:drawing>
              <wp:inline distT="0" distB="0" distL="0" distR="0" wp14:anchorId="20F099DC" wp14:editId="494B3ED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73B9E" w:rsidRPr="00A73B9E" w:rsidRDefault="00A73B9E" w:rsidP="00A73B9E">
          <w:pPr>
            <w:pStyle w:val="XLarge"/>
            <w:spacing w:before="109" w:after="140" w:line="440" w:lineRule="exact"/>
            <w:rPr>
              <w:sz w:val="38"/>
            </w:rPr>
          </w:pPr>
          <w:r>
            <w:rPr>
              <w:rFonts w:hint="eastAsia"/>
              <w:sz w:val="38"/>
            </w:rPr>
            <w:t>大  会</w:t>
          </w:r>
        </w:p>
      </w:tc>
      <w:tc>
        <w:tcPr>
          <w:tcW w:w="245" w:type="dxa"/>
          <w:tcBorders>
            <w:top w:val="single" w:sz="4" w:space="0" w:color="auto"/>
            <w:bottom w:val="single" w:sz="12" w:space="0" w:color="auto"/>
          </w:tcBorders>
          <w:shd w:val="clear" w:color="auto" w:fill="auto"/>
        </w:tcPr>
        <w:p w:rsidR="00A73B9E" w:rsidRPr="00A73B9E" w:rsidRDefault="00A73B9E" w:rsidP="00A73B9E">
          <w:pPr>
            <w:pStyle w:val="ab"/>
            <w:spacing w:before="109"/>
          </w:pPr>
        </w:p>
      </w:tc>
      <w:tc>
        <w:tcPr>
          <w:tcW w:w="3280" w:type="dxa"/>
          <w:tcBorders>
            <w:top w:val="single" w:sz="4" w:space="0" w:color="auto"/>
            <w:bottom w:val="single" w:sz="12" w:space="0" w:color="auto"/>
          </w:tcBorders>
          <w:shd w:val="clear" w:color="auto" w:fill="auto"/>
        </w:tcPr>
        <w:p w:rsidR="007C47DE" w:rsidRDefault="007C47DE" w:rsidP="007C47DE">
          <w:pPr>
            <w:spacing w:before="240" w:line="240" w:lineRule="exact"/>
          </w:pPr>
          <w:r>
            <w:t>Distr.: General</w:t>
          </w:r>
        </w:p>
        <w:p w:rsidR="007C47DE" w:rsidRDefault="007C47DE" w:rsidP="007C47DE">
          <w:pPr>
            <w:spacing w:line="240" w:lineRule="exact"/>
          </w:pPr>
          <w:r>
            <w:t>12 October 2015</w:t>
          </w:r>
        </w:p>
        <w:p w:rsidR="007C47DE" w:rsidRDefault="007C47DE" w:rsidP="007C47DE">
          <w:pPr>
            <w:spacing w:line="240" w:lineRule="exact"/>
          </w:pPr>
          <w:r>
            <w:t>Chinese</w:t>
          </w:r>
        </w:p>
        <w:p w:rsidR="00A73B9E" w:rsidRPr="00A73B9E" w:rsidRDefault="007C47DE" w:rsidP="007C47DE">
          <w:r>
            <w:t>Original: English</w:t>
          </w:r>
          <w:r w:rsidRPr="00A73B9E">
            <w:t xml:space="preserve"> </w:t>
          </w:r>
        </w:p>
      </w:tc>
    </w:tr>
  </w:tbl>
  <w:p w:rsidR="00A73B9E" w:rsidRPr="00A73B9E" w:rsidRDefault="00A73B9E" w:rsidP="00A73B9E">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565*"/>
    <w:docVar w:name="CreationDt" w:val="16/10/2015 16:11:50"/>
    <w:docVar w:name="DocCategory" w:val="Doc"/>
    <w:docVar w:name="DocType" w:val="Final"/>
    <w:docVar w:name="DutyStation" w:val="Geneva"/>
    <w:docVar w:name="FooterJN" w:val="GE.15-17565 (C)"/>
    <w:docVar w:name="jobn" w:val="GE.15-17565 (C)"/>
    <w:docVar w:name="jobnDT" w:val="15-17565 (C)   161015"/>
    <w:docVar w:name="jobnDTDT" w:val="15-17565 (C)   161015   161015"/>
    <w:docVar w:name="JobNo" w:val="GE.1517565C"/>
    <w:docVar w:name="LocalDrive" w:val="0"/>
    <w:docVar w:name="OandT" w:val="mlu"/>
    <w:docVar w:name="PaperSize" w:val="A4"/>
    <w:docVar w:name="sss1" w:val="A/HRC/RES/30/23"/>
    <w:docVar w:name="sss2" w:val="-"/>
    <w:docVar w:name="Symbol1" w:val="A/HRC/RES/30/23"/>
    <w:docVar w:name="Symbol2" w:val="-"/>
  </w:docVars>
  <w:rsids>
    <w:rsidRoot w:val="000A3F3F"/>
    <w:rsid w:val="00000689"/>
    <w:rsid w:val="0000347C"/>
    <w:rsid w:val="0000715A"/>
    <w:rsid w:val="000101C8"/>
    <w:rsid w:val="000125BC"/>
    <w:rsid w:val="0001645E"/>
    <w:rsid w:val="0001726F"/>
    <w:rsid w:val="00021314"/>
    <w:rsid w:val="00021A2B"/>
    <w:rsid w:val="00024E72"/>
    <w:rsid w:val="00034465"/>
    <w:rsid w:val="000344BB"/>
    <w:rsid w:val="000366AA"/>
    <w:rsid w:val="0003678F"/>
    <w:rsid w:val="00036AA2"/>
    <w:rsid w:val="00036F1B"/>
    <w:rsid w:val="00037444"/>
    <w:rsid w:val="00037B39"/>
    <w:rsid w:val="00041E7A"/>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A3F3F"/>
    <w:rsid w:val="000C1786"/>
    <w:rsid w:val="000C4C08"/>
    <w:rsid w:val="000C4DDE"/>
    <w:rsid w:val="000C5208"/>
    <w:rsid w:val="000D00CE"/>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0396"/>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4BA"/>
    <w:rsid w:val="001F2F76"/>
    <w:rsid w:val="001F595B"/>
    <w:rsid w:val="001F6F25"/>
    <w:rsid w:val="00203760"/>
    <w:rsid w:val="00207135"/>
    <w:rsid w:val="00212008"/>
    <w:rsid w:val="002145EA"/>
    <w:rsid w:val="002200D0"/>
    <w:rsid w:val="00221884"/>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14F9"/>
    <w:rsid w:val="00282D17"/>
    <w:rsid w:val="00285DE9"/>
    <w:rsid w:val="00286AD1"/>
    <w:rsid w:val="00290382"/>
    <w:rsid w:val="0029111A"/>
    <w:rsid w:val="002A4AEF"/>
    <w:rsid w:val="002A5E53"/>
    <w:rsid w:val="002B305F"/>
    <w:rsid w:val="002B564F"/>
    <w:rsid w:val="002B5F5D"/>
    <w:rsid w:val="002B62ED"/>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D60D1"/>
    <w:rsid w:val="004E011A"/>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93710"/>
    <w:rsid w:val="006A2730"/>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10AC"/>
    <w:rsid w:val="007C47DE"/>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4156"/>
    <w:rsid w:val="00815AB6"/>
    <w:rsid w:val="008246FC"/>
    <w:rsid w:val="00824C19"/>
    <w:rsid w:val="00826250"/>
    <w:rsid w:val="0083056F"/>
    <w:rsid w:val="008343E5"/>
    <w:rsid w:val="008378D1"/>
    <w:rsid w:val="00843C13"/>
    <w:rsid w:val="00846462"/>
    <w:rsid w:val="00847383"/>
    <w:rsid w:val="00860742"/>
    <w:rsid w:val="00862B69"/>
    <w:rsid w:val="0086691F"/>
    <w:rsid w:val="00872730"/>
    <w:rsid w:val="00883DB0"/>
    <w:rsid w:val="008843BC"/>
    <w:rsid w:val="00884C8F"/>
    <w:rsid w:val="008927AD"/>
    <w:rsid w:val="00893A33"/>
    <w:rsid w:val="00896D38"/>
    <w:rsid w:val="008A0216"/>
    <w:rsid w:val="008A0650"/>
    <w:rsid w:val="008A1208"/>
    <w:rsid w:val="008B0240"/>
    <w:rsid w:val="008B0349"/>
    <w:rsid w:val="008B1481"/>
    <w:rsid w:val="008B5DE8"/>
    <w:rsid w:val="008B6642"/>
    <w:rsid w:val="008C076B"/>
    <w:rsid w:val="008C3296"/>
    <w:rsid w:val="008C3413"/>
    <w:rsid w:val="008D6C74"/>
    <w:rsid w:val="008E29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B6787"/>
    <w:rsid w:val="009C600E"/>
    <w:rsid w:val="009C7B18"/>
    <w:rsid w:val="009D00AA"/>
    <w:rsid w:val="009D0B10"/>
    <w:rsid w:val="009D2AC2"/>
    <w:rsid w:val="009D7250"/>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72E47"/>
    <w:rsid w:val="00A73B9E"/>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E6719"/>
    <w:rsid w:val="00AE6C5D"/>
    <w:rsid w:val="00AF021F"/>
    <w:rsid w:val="00AF114B"/>
    <w:rsid w:val="00AF2A33"/>
    <w:rsid w:val="00AF4609"/>
    <w:rsid w:val="00AF4C2D"/>
    <w:rsid w:val="00AF4FD7"/>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71A15"/>
    <w:rsid w:val="00D75BF6"/>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655"/>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31C3"/>
    <w:rsid w:val="00EA4947"/>
    <w:rsid w:val="00EB33AC"/>
    <w:rsid w:val="00EC25DE"/>
    <w:rsid w:val="00EC669D"/>
    <w:rsid w:val="00EC6F21"/>
    <w:rsid w:val="00ED2D39"/>
    <w:rsid w:val="00ED3A3A"/>
    <w:rsid w:val="00EE0913"/>
    <w:rsid w:val="00EF23C4"/>
    <w:rsid w:val="00EF2DB0"/>
    <w:rsid w:val="00EF36AA"/>
    <w:rsid w:val="00EF695D"/>
    <w:rsid w:val="00EF6CA2"/>
    <w:rsid w:val="00F01440"/>
    <w:rsid w:val="00F020E7"/>
    <w:rsid w:val="00F03676"/>
    <w:rsid w:val="00F04C64"/>
    <w:rsid w:val="00F057A4"/>
    <w:rsid w:val="00F13305"/>
    <w:rsid w:val="00F1516C"/>
    <w:rsid w:val="00F26864"/>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0C55"/>
    <w:rsid w:val="00FF34D2"/>
    <w:rsid w:val="00FF3563"/>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803014"/>
    <w:rPr>
      <w:color w:val="auto"/>
      <w:spacing w:val="0"/>
      <w:w w:val="150"/>
      <w:position w:val="0"/>
      <w:vertAlign w:val="superscript"/>
    </w:rPr>
  </w:style>
  <w:style w:type="character" w:styleId="a4">
    <w:name w:val="endnote reference"/>
    <w:basedOn w:val="a3"/>
    <w:semiHidden/>
    <w:rsid w:val="001E5A51"/>
    <w:rPr>
      <w:color w:val="auto"/>
      <w:spacing w:val="0"/>
      <w:w w:val="150"/>
      <w:position w:val="0"/>
      <w:vertAlign w:val="superscript"/>
    </w:rPr>
  </w:style>
  <w:style w:type="paragraph" w:styleId="a5">
    <w:name w:val="footnote text"/>
    <w:aliases w:val="5_G,Footnote,Text"/>
    <w:basedOn w:val="a"/>
    <w:link w:val="Char"/>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03678F"/>
    <w:pPr>
      <w:tabs>
        <w:tab w:val="left" w:pos="2218"/>
      </w:tabs>
      <w:spacing w:after="120" w:line="240" w:lineRule="atLeast"/>
      <w:ind w:left="1743" w:right="1267" w:hanging="130"/>
    </w:pPr>
    <w:rPr>
      <w:spacing w:val="4"/>
      <w:w w:val="103"/>
      <w:sz w:val="20"/>
    </w:rPr>
  </w:style>
  <w:style w:type="paragraph" w:customStyle="1" w:styleId="Bullet2">
    <w:name w:val="Bullet 2"/>
    <w:basedOn w:val="a"/>
    <w:qFormat/>
    <w:rsid w:val="008B6642"/>
    <w:pPr>
      <w:tabs>
        <w:tab w:val="left" w:pos="2218"/>
      </w:tabs>
      <w:spacing w:after="120" w:line="240" w:lineRule="exact"/>
      <w:ind w:left="2218" w:right="1267" w:hanging="130"/>
    </w:pPr>
    <w:rPr>
      <w:snapToGrid w:val="0"/>
      <w:spacing w:val="4"/>
      <w:w w:val="103"/>
      <w:sz w:val="20"/>
    </w:rPr>
  </w:style>
  <w:style w:type="paragraph" w:customStyle="1" w:styleId="SingleTxtG">
    <w:name w:val="_ Single Txt_G"/>
    <w:basedOn w:val="a"/>
    <w:link w:val="SingleTxtGChar"/>
    <w:rsid w:val="007C47DE"/>
    <w:pPr>
      <w:suppressAutoHyphens/>
      <w:spacing w:after="120" w:line="240" w:lineRule="atLeast"/>
      <w:ind w:left="1134" w:right="1134"/>
    </w:pPr>
    <w:rPr>
      <w:kern w:val="0"/>
      <w:sz w:val="20"/>
      <w:lang w:val="en-GB" w:eastAsia="en-US"/>
    </w:rPr>
  </w:style>
  <w:style w:type="paragraph" w:customStyle="1" w:styleId="HChG">
    <w:name w:val="_ H _Ch_G"/>
    <w:basedOn w:val="a"/>
    <w:next w:val="a"/>
    <w:rsid w:val="007C47DE"/>
    <w:pPr>
      <w:keepNext/>
      <w:keepLines/>
      <w:tabs>
        <w:tab w:val="right" w:pos="851"/>
      </w:tabs>
      <w:suppressAutoHyphens/>
      <w:spacing w:before="360" w:after="240" w:line="300" w:lineRule="exact"/>
      <w:ind w:left="1134" w:right="1134" w:hanging="1134"/>
      <w:jc w:val="left"/>
    </w:pPr>
    <w:rPr>
      <w:b/>
      <w:kern w:val="0"/>
      <w:sz w:val="28"/>
      <w:lang w:val="en-GB" w:eastAsia="en-US"/>
    </w:rPr>
  </w:style>
  <w:style w:type="paragraph" w:customStyle="1" w:styleId="H1G">
    <w:name w:val="_ H_1_G"/>
    <w:basedOn w:val="a"/>
    <w:next w:val="a"/>
    <w:link w:val="H1GChar"/>
    <w:rsid w:val="007C47DE"/>
    <w:pPr>
      <w:keepNext/>
      <w:keepLines/>
      <w:tabs>
        <w:tab w:val="right" w:pos="851"/>
      </w:tabs>
      <w:suppressAutoHyphens/>
      <w:spacing w:before="360" w:after="240" w:line="270" w:lineRule="exact"/>
      <w:ind w:left="1134" w:right="1134" w:hanging="1134"/>
      <w:jc w:val="left"/>
    </w:pPr>
    <w:rPr>
      <w:b/>
      <w:kern w:val="0"/>
      <w:sz w:val="24"/>
      <w:lang w:val="en-GB" w:eastAsia="en-US"/>
    </w:rPr>
  </w:style>
  <w:style w:type="character" w:customStyle="1" w:styleId="H1GChar">
    <w:name w:val="_ H_1_G Char"/>
    <w:link w:val="H1G"/>
    <w:rsid w:val="007C47DE"/>
    <w:rPr>
      <w:rFonts w:eastAsia="宋体"/>
      <w:b/>
      <w:sz w:val="24"/>
      <w:lang w:eastAsia="en-US"/>
    </w:rPr>
  </w:style>
  <w:style w:type="character" w:customStyle="1" w:styleId="SingleTxtGChar">
    <w:name w:val="_ Single Txt_G Char"/>
    <w:link w:val="SingleTxtG"/>
    <w:rsid w:val="007C47DE"/>
    <w:rPr>
      <w:rFonts w:eastAsia="宋体"/>
      <w:lang w:eastAsia="en-US"/>
    </w:rPr>
  </w:style>
  <w:style w:type="character" w:customStyle="1" w:styleId="Char">
    <w:name w:val="脚注文本 Char"/>
    <w:aliases w:val="5_G Char,Footnote Char,Text Char"/>
    <w:basedOn w:val="a0"/>
    <w:link w:val="a5"/>
    <w:rsid w:val="007C47DE"/>
    <w:rPr>
      <w:rFonts w:eastAsia="宋体"/>
      <w:noProof/>
      <w:kern w:val="14"/>
      <w:sz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803014"/>
    <w:rPr>
      <w:color w:val="auto"/>
      <w:spacing w:val="0"/>
      <w:w w:val="150"/>
      <w:position w:val="0"/>
      <w:vertAlign w:val="superscript"/>
    </w:rPr>
  </w:style>
  <w:style w:type="character" w:styleId="a4">
    <w:name w:val="endnote reference"/>
    <w:basedOn w:val="a3"/>
    <w:semiHidden/>
    <w:rsid w:val="001E5A51"/>
    <w:rPr>
      <w:color w:val="auto"/>
      <w:spacing w:val="0"/>
      <w:w w:val="150"/>
      <w:position w:val="0"/>
      <w:vertAlign w:val="superscript"/>
    </w:rPr>
  </w:style>
  <w:style w:type="paragraph" w:styleId="a5">
    <w:name w:val="footnote text"/>
    <w:aliases w:val="5_G,Footnote,Text"/>
    <w:basedOn w:val="a"/>
    <w:link w:val="Char"/>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03678F"/>
    <w:pPr>
      <w:tabs>
        <w:tab w:val="left" w:pos="2218"/>
      </w:tabs>
      <w:spacing w:after="120" w:line="240" w:lineRule="atLeast"/>
      <w:ind w:left="1743" w:right="1267" w:hanging="130"/>
    </w:pPr>
    <w:rPr>
      <w:spacing w:val="4"/>
      <w:w w:val="103"/>
      <w:sz w:val="20"/>
    </w:rPr>
  </w:style>
  <w:style w:type="paragraph" w:customStyle="1" w:styleId="Bullet2">
    <w:name w:val="Bullet 2"/>
    <w:basedOn w:val="a"/>
    <w:qFormat/>
    <w:rsid w:val="008B6642"/>
    <w:pPr>
      <w:tabs>
        <w:tab w:val="left" w:pos="2218"/>
      </w:tabs>
      <w:spacing w:after="120" w:line="240" w:lineRule="exact"/>
      <w:ind w:left="2218" w:right="1267" w:hanging="130"/>
    </w:pPr>
    <w:rPr>
      <w:snapToGrid w:val="0"/>
      <w:spacing w:val="4"/>
      <w:w w:val="103"/>
      <w:sz w:val="20"/>
    </w:rPr>
  </w:style>
  <w:style w:type="paragraph" w:customStyle="1" w:styleId="SingleTxtG">
    <w:name w:val="_ Single Txt_G"/>
    <w:basedOn w:val="a"/>
    <w:link w:val="SingleTxtGChar"/>
    <w:rsid w:val="007C47DE"/>
    <w:pPr>
      <w:suppressAutoHyphens/>
      <w:spacing w:after="120" w:line="240" w:lineRule="atLeast"/>
      <w:ind w:left="1134" w:right="1134"/>
    </w:pPr>
    <w:rPr>
      <w:kern w:val="0"/>
      <w:sz w:val="20"/>
      <w:lang w:val="en-GB" w:eastAsia="en-US"/>
    </w:rPr>
  </w:style>
  <w:style w:type="paragraph" w:customStyle="1" w:styleId="HChG">
    <w:name w:val="_ H _Ch_G"/>
    <w:basedOn w:val="a"/>
    <w:next w:val="a"/>
    <w:rsid w:val="007C47DE"/>
    <w:pPr>
      <w:keepNext/>
      <w:keepLines/>
      <w:tabs>
        <w:tab w:val="right" w:pos="851"/>
      </w:tabs>
      <w:suppressAutoHyphens/>
      <w:spacing w:before="360" w:after="240" w:line="300" w:lineRule="exact"/>
      <w:ind w:left="1134" w:right="1134" w:hanging="1134"/>
      <w:jc w:val="left"/>
    </w:pPr>
    <w:rPr>
      <w:b/>
      <w:kern w:val="0"/>
      <w:sz w:val="28"/>
      <w:lang w:val="en-GB" w:eastAsia="en-US"/>
    </w:rPr>
  </w:style>
  <w:style w:type="paragraph" w:customStyle="1" w:styleId="H1G">
    <w:name w:val="_ H_1_G"/>
    <w:basedOn w:val="a"/>
    <w:next w:val="a"/>
    <w:link w:val="H1GChar"/>
    <w:rsid w:val="007C47DE"/>
    <w:pPr>
      <w:keepNext/>
      <w:keepLines/>
      <w:tabs>
        <w:tab w:val="right" w:pos="851"/>
      </w:tabs>
      <w:suppressAutoHyphens/>
      <w:spacing w:before="360" w:after="240" w:line="270" w:lineRule="exact"/>
      <w:ind w:left="1134" w:right="1134" w:hanging="1134"/>
      <w:jc w:val="left"/>
    </w:pPr>
    <w:rPr>
      <w:b/>
      <w:kern w:val="0"/>
      <w:sz w:val="24"/>
      <w:lang w:val="en-GB" w:eastAsia="en-US"/>
    </w:rPr>
  </w:style>
  <w:style w:type="character" w:customStyle="1" w:styleId="H1GChar">
    <w:name w:val="_ H_1_G Char"/>
    <w:link w:val="H1G"/>
    <w:rsid w:val="007C47DE"/>
    <w:rPr>
      <w:rFonts w:eastAsia="宋体"/>
      <w:b/>
      <w:sz w:val="24"/>
      <w:lang w:eastAsia="en-US"/>
    </w:rPr>
  </w:style>
  <w:style w:type="character" w:customStyle="1" w:styleId="SingleTxtGChar">
    <w:name w:val="_ Single Txt_G Char"/>
    <w:link w:val="SingleTxtG"/>
    <w:rsid w:val="007C47DE"/>
    <w:rPr>
      <w:rFonts w:eastAsia="宋体"/>
      <w:lang w:eastAsia="en-US"/>
    </w:rPr>
  </w:style>
  <w:style w:type="character" w:customStyle="1" w:styleId="Char">
    <w:name w:val="脚注文本 Char"/>
    <w:aliases w:val="5_G Char,Footnote Char,Text Char"/>
    <w:basedOn w:val="a0"/>
    <w:link w:val="a5"/>
    <w:rsid w:val="007C47DE"/>
    <w:rPr>
      <w:rFonts w:eastAsia="宋体"/>
      <w:noProof/>
      <w:kern w:val="14"/>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507</Words>
  <Characters>2892</Characters>
  <Application>Microsoft Office Word</Application>
  <DocSecurity>0</DocSecurity>
  <Lines>24</Lines>
  <Paragraphs>6</Paragraphs>
  <ScaleCrop>false</ScaleCrop>
  <Company>DCM</Company>
  <LinksUpToDate>false</LinksUpToDate>
  <CharactersWithSpaces>3393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mlu</dc:creator>
  <cp:keywords/>
  <dc:description/>
  <cp:lastModifiedBy>mlu</cp:lastModifiedBy>
  <cp:revision>3</cp:revision>
  <cp:lastPrinted>2015-10-16T14:46:00Z</cp:lastPrinted>
  <dcterms:created xsi:type="dcterms:W3CDTF">2015-10-16T14:46:00Z</dcterms:created>
  <dcterms:modified xsi:type="dcterms:W3CDTF">2015-10-16T14:46:00Z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1517565</vt:lpwstr>
  </property>
  <property fmtid="{D5CDD505-2E9C-101B-9397-08002B2CF9AE}" pid="3" name="ODSRefJobNo">
    <vt:lpwstr>1523227C</vt:lpwstr>
  </property>
  <property fmtid="{D5CDD505-2E9C-101B-9397-08002B2CF9AE}" pid="4" name="Symbol1">
    <vt:lpwstr>A/HRC/RES/30/23</vt:lpwstr>
  </property>
  <property fmtid="{D5CDD505-2E9C-101B-9397-08002B2CF9AE}" pid="5" name="Symbol2">
    <vt:lpwstr/>
  </property>
  <property fmtid="{D5CDD505-2E9C-101B-9397-08002B2CF9AE}" pid="6" name="Translator">
    <vt:lpwstr/>
  </property>
  <property fmtid="{D5CDD505-2E9C-101B-9397-08002B2CF9AE}" pid="7" name="Operator">
    <vt:lpwstr>mlu</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12 October 2015</vt:lpwstr>
  </property>
</Properties>
</file>