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3B6" w:rsidRDefault="001003B6" w:rsidP="001003B6">
      <w:pPr>
        <w:spacing w:line="60" w:lineRule="exact"/>
        <w:sectPr w:rsidR="001003B6" w:rsidSect="001003B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8Size =1Lang = C"/>
            <w10:wrap anchorx="page" anchory="page"/>
          </v:shape>
        </w:pict>
      </w:r>
      <w:commentRangeEnd w:id="0"/>
      <w:r>
        <w:rPr>
          <w:rStyle w:val="CommentReference"/>
        </w:rPr>
        <w:commentReference w:id="0"/>
      </w:r>
    </w:p>
    <w:p w:rsidR="001003B6" w:rsidRDefault="001003B6" w:rsidP="001003B6">
      <w:pPr>
        <w:spacing w:line="60" w:lineRule="exact"/>
      </w:pPr>
    </w:p>
    <w:p w:rsidR="00BB0A73" w:rsidRDefault="00BB0A73" w:rsidP="00BB0A7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BB0A73" w:rsidRPr="00BB0A73" w:rsidRDefault="00BB0A73" w:rsidP="00BB0A73">
      <w:pPr>
        <w:pStyle w:val="SingleTxt"/>
        <w:spacing w:after="0" w:line="120" w:lineRule="exact"/>
        <w:rPr>
          <w:sz w:val="10"/>
        </w:rPr>
      </w:pPr>
    </w:p>
    <w:p w:rsidR="00BB0A73" w:rsidRPr="00BB0A73" w:rsidRDefault="00BB0A73" w:rsidP="00BB0A73">
      <w:pPr>
        <w:pStyle w:val="SingleTxt"/>
        <w:spacing w:after="0" w:line="120" w:lineRule="exact"/>
        <w:rPr>
          <w:rFonts w:hint="eastAsia"/>
          <w:sz w:val="10"/>
        </w:rPr>
      </w:pPr>
    </w:p>
    <w:p w:rsidR="00BB0A73" w:rsidRPr="00BB0A73" w:rsidRDefault="00BB0A73" w:rsidP="00BB0A73">
      <w:pPr>
        <w:pStyle w:val="SingleTxt"/>
        <w:spacing w:after="0" w:line="120" w:lineRule="exact"/>
        <w:rPr>
          <w:rFonts w:hint="eastAsia"/>
          <w:sz w:val="10"/>
        </w:rPr>
      </w:pPr>
    </w:p>
    <w:p w:rsidR="00BB0A73" w:rsidRDefault="00BB0A73" w:rsidP="00BB0A7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BB0A73">
        <w:rPr>
          <w:rFonts w:hint="eastAsia"/>
          <w:spacing w:val="2"/>
        </w:rPr>
        <w:t>与几内亚第七次和第八次合并定期报告有关的议题和问题清单</w:t>
      </w:r>
      <w:r w:rsidRPr="00BB0A73">
        <w:rPr>
          <w:rFonts w:hint="eastAsia"/>
          <w:vertAlign w:val="superscript"/>
        </w:rPr>
        <w:t>*</w:t>
      </w:r>
    </w:p>
    <w:p w:rsidR="00BB0A73" w:rsidRPr="00BB0A73" w:rsidRDefault="00BB0A73" w:rsidP="00BB0A73">
      <w:pPr>
        <w:pStyle w:val="SingleTxt"/>
        <w:spacing w:after="0" w:line="120" w:lineRule="exact"/>
        <w:rPr>
          <w:sz w:val="10"/>
        </w:rPr>
      </w:pPr>
    </w:p>
    <w:p w:rsidR="00BB0A73" w:rsidRPr="00BB0A73" w:rsidRDefault="00BB0A73" w:rsidP="00BB0A73">
      <w:pPr>
        <w:pStyle w:val="SingleTxt"/>
        <w:spacing w:after="0" w:line="120" w:lineRule="exact"/>
        <w:rPr>
          <w:rFonts w:hint="eastAsia"/>
          <w:sz w:val="10"/>
        </w:rPr>
      </w:pPr>
    </w:p>
    <w:p w:rsidR="00BB0A73" w:rsidRDefault="00BB0A73" w:rsidP="00BB0A7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宪法、立法和体制框架</w:t>
      </w:r>
    </w:p>
    <w:p w:rsidR="00BB0A73" w:rsidRPr="00BB0A73" w:rsidRDefault="00BB0A73" w:rsidP="00BB0A73">
      <w:pPr>
        <w:pStyle w:val="SingleTxt"/>
        <w:spacing w:after="0" w:line="120" w:lineRule="exact"/>
        <w:rPr>
          <w:sz w:val="10"/>
        </w:rPr>
      </w:pPr>
    </w:p>
    <w:p w:rsidR="00BB0A73" w:rsidRPr="00BB0A73" w:rsidRDefault="00BB0A73" w:rsidP="00BB0A73">
      <w:pPr>
        <w:pStyle w:val="SingleTxt"/>
        <w:spacing w:after="0" w:line="120" w:lineRule="exact"/>
        <w:rPr>
          <w:rFonts w:hint="eastAsia"/>
          <w:sz w:val="10"/>
        </w:rPr>
      </w:pPr>
    </w:p>
    <w:p w:rsidR="00BB0A73" w:rsidRDefault="00BB0A73" w:rsidP="00BB0A73">
      <w:pPr>
        <w:pStyle w:val="SingleTxt"/>
      </w:pPr>
      <w:r>
        <w:rPr>
          <w:rFonts w:hint="eastAsia"/>
        </w:rPr>
        <w:t>1.</w:t>
      </w:r>
      <w:r>
        <w:rPr>
          <w:rFonts w:hint="eastAsia"/>
        </w:rPr>
        <w:tab/>
      </w:r>
      <w:r w:rsidRPr="00BB0A73">
        <w:rPr>
          <w:rFonts w:hint="eastAsia"/>
          <w:spacing w:val="-2"/>
        </w:rPr>
        <w:t>报告指出，《宪法》用词为“区分”，而不是“歧视”</w:t>
      </w:r>
      <w:r w:rsidRPr="00BB0A73">
        <w:rPr>
          <w:spacing w:val="-2"/>
        </w:rPr>
        <w:t>(</w:t>
      </w:r>
      <w:r w:rsidRPr="00BB0A73">
        <w:rPr>
          <w:rFonts w:hint="eastAsia"/>
          <w:spacing w:val="-2"/>
        </w:rPr>
        <w:t>第25段和第26段</w:t>
      </w:r>
      <w:r w:rsidRPr="00BB0A73">
        <w:rPr>
          <w:spacing w:val="-2"/>
        </w:rPr>
        <w:t>)</w:t>
      </w:r>
      <w:r w:rsidRPr="00BB0A73">
        <w:rPr>
          <w:rFonts w:hint="eastAsia"/>
          <w:spacing w:val="-2"/>
        </w:rPr>
        <w:t>。</w:t>
      </w:r>
      <w:r w:rsidRPr="00BB0A73">
        <w:rPr>
          <w:rStyle w:val="FootnoteReference"/>
          <w:spacing w:val="-2"/>
        </w:rPr>
        <w:footnoteReference w:id="1"/>
      </w:r>
      <w:r w:rsidRPr="00BB0A73">
        <w:rPr>
          <w:rFonts w:hint="eastAsia"/>
          <w:spacing w:val="-2"/>
        </w:rPr>
        <w:t xml:space="preserve"> </w:t>
      </w:r>
      <w:r>
        <w:rPr>
          <w:rFonts w:hint="eastAsia"/>
        </w:rPr>
        <w:t>请提供更多资料说明法院和法庭对这个概念的解释，并说明是否计划通过符合《公约》第1条的歧视妇女的定义。报告指出，目前正在修订《民法典》(第31段和第183段)。请说明修正案草案涉及妇女权利的内容及其通过的时间框架。另外，请提供资料说明，采取了哪些行动来废止立法中剩余的所有歧视性规定。请提供资料说明民事法律、习惯法和伊斯兰法的等级和权限，以及与其共存有关的规定(第203段)。</w:t>
      </w:r>
    </w:p>
    <w:p w:rsidR="00BB0A73" w:rsidRPr="006643C4" w:rsidRDefault="00BB0A73" w:rsidP="00BB0A73">
      <w:pPr>
        <w:pStyle w:val="SingleTxt"/>
        <w:rPr>
          <w:rFonts w:ascii="SimHei" w:eastAsia="SimHei" w:hint="eastAsia"/>
        </w:rPr>
      </w:pPr>
      <w:r w:rsidRPr="006643C4">
        <w:rPr>
          <w:rFonts w:ascii="SimHei" w:eastAsia="SimHei" w:hint="eastAsia"/>
        </w:rPr>
        <w:t>妇女及和平与安全</w:t>
      </w:r>
    </w:p>
    <w:p w:rsidR="00BB0A73" w:rsidRDefault="00BB0A73" w:rsidP="00BB0A73">
      <w:pPr>
        <w:pStyle w:val="SingleTxt"/>
      </w:pPr>
      <w:r>
        <w:rPr>
          <w:rFonts w:hint="eastAsia"/>
        </w:rPr>
        <w:t>2.</w:t>
      </w:r>
      <w:r>
        <w:rPr>
          <w:rFonts w:hint="eastAsia"/>
        </w:rPr>
        <w:tab/>
        <w:t>报告提及了针对安全部队进行的关于妇女及和平与安全的安理会第</w:t>
      </w:r>
      <w:hyperlink r:id="rId14" w:history="1">
        <w:r w:rsidRPr="0073775E">
          <w:rPr>
            <w:rStyle w:val="Hyperlink"/>
            <w:rFonts w:hint="eastAsia"/>
          </w:rPr>
          <w:t>1325(2000)</w:t>
        </w:r>
      </w:hyperlink>
      <w:r>
        <w:rPr>
          <w:rFonts w:hint="eastAsia"/>
        </w:rPr>
        <w:t>、</w:t>
      </w:r>
      <w:hyperlink r:id="rId15" w:history="1">
        <w:r w:rsidRPr="0073775E">
          <w:rPr>
            <w:rStyle w:val="Hyperlink"/>
            <w:rFonts w:hint="eastAsia"/>
          </w:rPr>
          <w:t>1820(2008)</w:t>
        </w:r>
      </w:hyperlink>
      <w:r>
        <w:rPr>
          <w:rFonts w:hint="eastAsia"/>
        </w:rPr>
        <w:t>、</w:t>
      </w:r>
      <w:hyperlink r:id="rId16" w:history="1">
        <w:r w:rsidRPr="0073775E">
          <w:rPr>
            <w:rStyle w:val="Hyperlink"/>
            <w:rFonts w:hint="eastAsia"/>
          </w:rPr>
          <w:t>1888(2009)</w:t>
        </w:r>
      </w:hyperlink>
      <w:r>
        <w:rPr>
          <w:rFonts w:hint="eastAsia"/>
        </w:rPr>
        <w:t>和</w:t>
      </w:r>
      <w:hyperlink r:id="rId17" w:history="1">
        <w:r w:rsidRPr="0073775E">
          <w:rPr>
            <w:rStyle w:val="Hyperlink"/>
            <w:rFonts w:hint="eastAsia"/>
          </w:rPr>
          <w:t>1889(2009)</w:t>
        </w:r>
      </w:hyperlink>
      <w:r>
        <w:rPr>
          <w:rFonts w:hint="eastAsia"/>
        </w:rPr>
        <w:t>号决议的培训。此外，还设有一个执行第</w:t>
      </w:r>
      <w:hyperlink r:id="rId18" w:history="1">
        <w:r w:rsidRPr="0073775E">
          <w:rPr>
            <w:rStyle w:val="Hyperlink"/>
            <w:rFonts w:hint="eastAsia"/>
          </w:rPr>
          <w:t>1325(2000)</w:t>
        </w:r>
      </w:hyperlink>
      <w:r>
        <w:rPr>
          <w:rFonts w:hint="eastAsia"/>
        </w:rPr>
        <w:t>号决议的指导委员会(第31段)。请说明，是否通过了关于实施第</w:t>
      </w:r>
      <w:hyperlink r:id="rId19" w:history="1">
        <w:r w:rsidRPr="0073775E">
          <w:rPr>
            <w:rStyle w:val="Hyperlink"/>
            <w:rFonts w:hint="eastAsia"/>
          </w:rPr>
          <w:t>1325(2000)</w:t>
        </w:r>
      </w:hyperlink>
      <w:r>
        <w:rPr>
          <w:rFonts w:hint="eastAsia"/>
        </w:rPr>
        <w:t>和</w:t>
      </w:r>
      <w:hyperlink r:id="rId20" w:history="1">
        <w:r w:rsidRPr="0073775E">
          <w:rPr>
            <w:rStyle w:val="Hyperlink"/>
            <w:rFonts w:hint="eastAsia"/>
          </w:rPr>
          <w:t>1820(2008)</w:t>
        </w:r>
      </w:hyperlink>
      <w:r>
        <w:rPr>
          <w:rFonts w:hint="eastAsia"/>
        </w:rPr>
        <w:t>号决议的国家行动计划，如果已经通过，则请详细说明执行情况。</w:t>
      </w:r>
    </w:p>
    <w:p w:rsidR="00BB0A73" w:rsidRPr="006643C4" w:rsidRDefault="00BB0A73" w:rsidP="00BB0A73">
      <w:pPr>
        <w:pStyle w:val="SingleTxt"/>
        <w:rPr>
          <w:rFonts w:ascii="SimHei" w:eastAsia="SimHei"/>
        </w:rPr>
      </w:pPr>
      <w:r w:rsidRPr="006643C4">
        <w:rPr>
          <w:rFonts w:ascii="SimHei" w:eastAsia="SimHei" w:hint="eastAsia"/>
        </w:rPr>
        <w:t>司法部门改革和司法救助</w:t>
      </w:r>
    </w:p>
    <w:p w:rsidR="00BB0A73" w:rsidRDefault="00BB0A73" w:rsidP="00BB0A73">
      <w:pPr>
        <w:pStyle w:val="SingleTxt"/>
        <w:rPr>
          <w:rFonts w:hint="eastAsia"/>
        </w:rPr>
      </w:pPr>
      <w:r>
        <w:rPr>
          <w:rFonts w:hint="eastAsia"/>
        </w:rPr>
        <w:t>3.</w:t>
      </w:r>
      <w:r>
        <w:rPr>
          <w:rFonts w:hint="eastAsia"/>
        </w:rPr>
        <w:tab/>
        <w:t>国际调查委员会受委托查明几内亚2009年9月28日事件真相和情况，确认至少有109起强奸和其他类型性暴力，强调有罪不罚现象是一个关注重点。据称，大多数在报告中被指名的人仍在担任职务，没有被起诉。请提供资料说明提供支持的情况，包括为司法部任命的法官小组提供物质和人力资源，以及安全与保护，以便其执行任务和开展调查。请提供资料说明针对司法部门改革，特别是为解决法院系统机能失调和有罪不罚文化而采取或计划采取的措施。请提供资料说明对性暴力受害人和证人采取的安全保护措施，以及促进其获得司法救助的措施，包括获得司法援助的情况。</w:t>
      </w:r>
    </w:p>
    <w:p w:rsidR="00BB0A73" w:rsidRPr="006643C4" w:rsidRDefault="00BB0A73" w:rsidP="00BB0A73">
      <w:pPr>
        <w:pStyle w:val="SingleTxt"/>
        <w:rPr>
          <w:rFonts w:ascii="SimHei" w:eastAsia="SimHei" w:hint="eastAsia"/>
        </w:rPr>
      </w:pPr>
      <w:r w:rsidRPr="006643C4">
        <w:rPr>
          <w:rFonts w:ascii="SimHei" w:eastAsia="SimHei" w:hint="eastAsia"/>
        </w:rPr>
        <w:t>提高妇女地位的国家机制</w:t>
      </w:r>
    </w:p>
    <w:p w:rsidR="00BB0A73" w:rsidRDefault="00BB0A73" w:rsidP="00BB0A73">
      <w:pPr>
        <w:pStyle w:val="SingleTxt"/>
        <w:rPr>
          <w:rFonts w:hint="eastAsia"/>
        </w:rPr>
      </w:pPr>
      <w:r>
        <w:rPr>
          <w:rFonts w:hint="eastAsia"/>
        </w:rPr>
        <w:t>4.</w:t>
      </w:r>
      <w:r>
        <w:rPr>
          <w:rFonts w:hint="eastAsia"/>
        </w:rPr>
        <w:tab/>
        <w:t>报告中提到“非洲妇女十年”战略计划草案(第31段)、国家家庭政策(第第31段和第42段)、国家性别问题政策(第38段)、国家提高妇女地位政策(第39段)和打击性别暴力国家战略(第45段)。请说明为通过和/或执行这些政策所采取的行动，以及与政策执行有关的协调、监测和评估情况。请提供资料说明提高妇女地位国家机制的能力、权威、社会表现及人力和预算资源。此外，请提供资料说明以性别主流化为目的的数据收集和协调情况。</w:t>
      </w:r>
    </w:p>
    <w:p w:rsidR="00BB0A73" w:rsidRPr="006643C4" w:rsidRDefault="00BB0A73" w:rsidP="00BB0A73">
      <w:pPr>
        <w:pStyle w:val="SingleTxt"/>
        <w:rPr>
          <w:rFonts w:ascii="SimHei" w:eastAsia="SimHei" w:hint="eastAsia"/>
        </w:rPr>
      </w:pPr>
      <w:r w:rsidRPr="006643C4">
        <w:rPr>
          <w:rFonts w:ascii="SimHei" w:eastAsia="SimHei" w:hint="eastAsia"/>
        </w:rPr>
        <w:t>定型观念和有害做法</w:t>
      </w:r>
    </w:p>
    <w:p w:rsidR="00BB0A73" w:rsidRDefault="00BB0A73" w:rsidP="00BB0A73">
      <w:pPr>
        <w:pStyle w:val="SingleTxt"/>
        <w:rPr>
          <w:rFonts w:hint="eastAsia"/>
        </w:rPr>
      </w:pPr>
      <w:r>
        <w:rPr>
          <w:rFonts w:hint="eastAsia"/>
        </w:rPr>
        <w:t>5.</w:t>
      </w:r>
      <w:r>
        <w:rPr>
          <w:rFonts w:hint="eastAsia"/>
        </w:rPr>
        <w:tab/>
        <w:t xml:space="preserve">请说明为改变社会、文化模式以及消除其他性别定型观念和有害做法而采取或构想的具体措施，例如抛弃；早婚和强迫婚姻；守寡习俗、娶寡嫂制和娶姨制；以及剥夺妇女继承权。请提供资料说明就上述所有做法明确定罪，并就该主题开展教育和提高认识所采取的步骤。 </w:t>
      </w:r>
    </w:p>
    <w:p w:rsidR="00BB0A73" w:rsidRPr="006643C4" w:rsidRDefault="00BB0A73" w:rsidP="00BB0A73">
      <w:pPr>
        <w:pStyle w:val="SingleTxt"/>
        <w:rPr>
          <w:rFonts w:ascii="SimHei" w:eastAsia="SimHei" w:hint="eastAsia"/>
        </w:rPr>
      </w:pPr>
      <w:r w:rsidRPr="006643C4">
        <w:rPr>
          <w:rFonts w:ascii="SimHei" w:eastAsia="SimHei" w:hint="eastAsia"/>
        </w:rPr>
        <w:t>暴力侵害妇女行为</w:t>
      </w:r>
    </w:p>
    <w:p w:rsidR="00BB0A73" w:rsidRDefault="00BB0A73" w:rsidP="00BB0A73">
      <w:pPr>
        <w:pStyle w:val="SingleTxt"/>
        <w:rPr>
          <w:rFonts w:hint="eastAsia"/>
        </w:rPr>
      </w:pPr>
      <w:r>
        <w:rPr>
          <w:rFonts w:hint="eastAsia"/>
        </w:rPr>
        <w:t>6.</w:t>
      </w:r>
      <w:r>
        <w:rPr>
          <w:rFonts w:hint="eastAsia"/>
        </w:rPr>
        <w:tab/>
        <w:t>请提供资料说明在起诉2007年罢工骚乱至2010年选举前后动乱期间各种性暴力行为实施者方面取得的进展，包括执行上文第3段所述国际调查委员会建议的情况。鉴于未提交委员会根据第18(1)(b)条所要求的特别报告，请提供额外资料说明对国际调查委员会有文件证明的一切暴力行为实施者的起诉和处罚情况；赔偿强奸和一切性暴力行为受害人以及为受害人提供医疗和心理护理的情况。</w:t>
      </w:r>
    </w:p>
    <w:p w:rsidR="00BB0A73" w:rsidRDefault="00BB0A73" w:rsidP="00BB0A73">
      <w:pPr>
        <w:pStyle w:val="SingleTxt"/>
        <w:rPr>
          <w:rFonts w:hint="eastAsia"/>
        </w:rPr>
      </w:pPr>
      <w:r>
        <w:rPr>
          <w:rFonts w:hint="eastAsia"/>
        </w:rPr>
        <w:t>7.</w:t>
      </w:r>
      <w:r>
        <w:rPr>
          <w:rFonts w:hint="eastAsia"/>
        </w:rPr>
        <w:tab/>
        <w:t>请说明是否优先关注暴力侵害妇女行为，包括在正在开展的司法部门改革过程中。说明缔约国是否设想通过关于暴力侵害妇女的特殊法律，特别是将家庭暴力和婚内强奸定为犯罪。请提供资料说明所设想的对《刑法典》中歧视性条款的修正案，包括强奸的狭义定义，尤其是受害人不满14岁时加重强奸处罚的第321条。报告提及打击性别暴力、制订可行的行动计划和建立性别暴力观察站的国家战略(第45段)。请提供关于这些举措的进一步信息，包括实施细节。报告提到2009年展开了全国性别暴力调查(第31段)。请提供资料说明调查的主要结论和所采取的后续措施。报告指出，尽管法律禁止残割女性生殖器，但每10名妇女中约有9名沦为这种习俗的受害人(第192段和第193段)。请提供进一步资料说明与残割女性生殖器有关的法律规定的执行情况；为消除该习俗所采取的其他措施；对第31段所列各项措施的评价。</w:t>
      </w:r>
    </w:p>
    <w:p w:rsidR="00BB0A73" w:rsidRPr="006643C4" w:rsidRDefault="00BB0A73" w:rsidP="00BB0A73">
      <w:pPr>
        <w:pStyle w:val="SingleTxt"/>
        <w:rPr>
          <w:rFonts w:ascii="SimHei" w:eastAsia="SimHei" w:hint="eastAsia"/>
        </w:rPr>
      </w:pPr>
      <w:r w:rsidRPr="006643C4">
        <w:rPr>
          <w:rFonts w:ascii="SimHei" w:eastAsia="SimHei" w:hint="eastAsia"/>
        </w:rPr>
        <w:t>贩运妇女和利用妇女卖淫营利</w:t>
      </w:r>
    </w:p>
    <w:p w:rsidR="00BB0A73" w:rsidRDefault="00BB0A73" w:rsidP="00BB0A73">
      <w:pPr>
        <w:pStyle w:val="SingleTxt"/>
        <w:rPr>
          <w:rFonts w:hint="eastAsia"/>
        </w:rPr>
      </w:pPr>
      <w:r>
        <w:rPr>
          <w:rFonts w:hint="eastAsia"/>
        </w:rPr>
        <w:t>8.</w:t>
      </w:r>
      <w:r>
        <w:rPr>
          <w:rFonts w:hint="eastAsia"/>
        </w:rPr>
        <w:tab/>
        <w:t>请提供详细资料说明《刑法典》关于贩运人口条款的执行情况，包括收到的涉及贩运妇女的投诉量统计数据，以及侦查、起诉、定罪和处罚此类罪犯行为人的情况。请提供进一步资料说明为确定贩运妇女和女童的根本原因及其程度所做的努力。另外，请提供资料说明利用妇女卖淫营利的法律规定，并说明希望摆脱卖淫的妇女可以利用哪些方案(如有)。请说明采取了哪些措施来减少卖淫需求(如有)。</w:t>
      </w:r>
    </w:p>
    <w:p w:rsidR="00BB0A73" w:rsidRPr="006643C4" w:rsidRDefault="00BB0A73" w:rsidP="00BB0A73">
      <w:pPr>
        <w:pStyle w:val="SingleTxt"/>
        <w:rPr>
          <w:rFonts w:ascii="SimHei" w:eastAsia="SimHei"/>
        </w:rPr>
      </w:pPr>
      <w:r w:rsidRPr="006643C4">
        <w:rPr>
          <w:rFonts w:ascii="SimHei" w:eastAsia="SimHei" w:hint="eastAsia"/>
        </w:rPr>
        <w:t>参与决策和在国际一级的代表性</w:t>
      </w:r>
    </w:p>
    <w:p w:rsidR="00BB0A73" w:rsidRDefault="00BB0A73" w:rsidP="00BB0A73">
      <w:pPr>
        <w:pStyle w:val="SingleTxt"/>
      </w:pPr>
      <w:r>
        <w:rPr>
          <w:rFonts w:hint="eastAsia"/>
        </w:rPr>
        <w:t>9.</w:t>
      </w:r>
      <w:r>
        <w:rPr>
          <w:rFonts w:hint="eastAsia"/>
        </w:rPr>
        <w:tab/>
        <w:t>报告提及《选举法》第103条、第115条和第129条所列权利(第60至62段)。然而，这一信息与统计数据显示的决策机构中妇女代表性低形成鲜明对比(第66段至第68段)。请提供资料说明为增加当选和/或获得任命进入决策机构的妇女人数而计划采取的进一步措施，以及实现妇女在政治和公共生活中有平等代表性所做的努力，包括根据《公约》第4(1)条和委员会第25号一般性建议而采取的暂行特别措施，以及针对违反配额措施实施的制裁。另外，请说明缔约国是否计划采取暂行特别措施，以便在总体上增加妇女对国际公共生活的参与，特别是在外交部门(第71段)。</w:t>
      </w:r>
    </w:p>
    <w:p w:rsidR="00BB0A73" w:rsidRPr="006643C4" w:rsidRDefault="00BB0A73" w:rsidP="00BB0A73">
      <w:pPr>
        <w:pStyle w:val="SingleTxt"/>
        <w:rPr>
          <w:rFonts w:ascii="SimHei" w:eastAsia="SimHei" w:hint="eastAsia"/>
        </w:rPr>
      </w:pPr>
      <w:r w:rsidRPr="006643C4">
        <w:rPr>
          <w:rFonts w:ascii="SimHei" w:eastAsia="SimHei" w:hint="eastAsia"/>
        </w:rPr>
        <w:t>国籍</w:t>
      </w:r>
    </w:p>
    <w:p w:rsidR="00BB0A73" w:rsidRDefault="00BB0A73" w:rsidP="00BB0A73">
      <w:pPr>
        <w:pStyle w:val="SingleTxt"/>
        <w:rPr>
          <w:rFonts w:hint="eastAsia"/>
        </w:rPr>
      </w:pPr>
      <w:r>
        <w:rPr>
          <w:rFonts w:hint="eastAsia"/>
        </w:rPr>
        <w:t>10.</w:t>
      </w:r>
      <w:r>
        <w:rPr>
          <w:rFonts w:hint="eastAsia"/>
        </w:rPr>
        <w:tab/>
        <w:t>报告指出，《国籍法》的规定与《公约》相悖，事实上，与妇女不同，男子可将其国籍传与子女(第76段)。报告进一步指出，作为家庭法改革的一部分，国籍传与子女的规定将做修正，以反映《公约》条款(第78段)。请提供详尽资料说明计划中的家庭法修订，包括关于将国籍传与子女的具体规定的详细情况，以及这些修订的时间框架(同上)。请说明是否还计划修正关于通过婚姻取得国籍的《民法典》第50条至第55条所载歧视性规定。</w:t>
      </w:r>
    </w:p>
    <w:p w:rsidR="00BB0A73" w:rsidRPr="006643C4" w:rsidRDefault="00BB0A73" w:rsidP="00BB0A73">
      <w:pPr>
        <w:pStyle w:val="SingleTxt"/>
        <w:rPr>
          <w:rFonts w:ascii="SimHei" w:eastAsia="SimHei" w:hint="eastAsia"/>
        </w:rPr>
      </w:pPr>
      <w:r w:rsidRPr="006643C4">
        <w:rPr>
          <w:rFonts w:ascii="SimHei" w:eastAsia="SimHei" w:hint="eastAsia"/>
        </w:rPr>
        <w:t>教育</w:t>
      </w:r>
    </w:p>
    <w:p w:rsidR="00BB0A73" w:rsidRDefault="00BB0A73" w:rsidP="00BB0A73">
      <w:pPr>
        <w:pStyle w:val="SingleTxt"/>
        <w:rPr>
          <w:rFonts w:hint="eastAsia"/>
        </w:rPr>
      </w:pPr>
      <w:r>
        <w:rPr>
          <w:rFonts w:hint="eastAsia"/>
        </w:rPr>
        <w:t>11.</w:t>
      </w:r>
      <w:r>
        <w:rPr>
          <w:rFonts w:hint="eastAsia"/>
        </w:rPr>
        <w:tab/>
        <w:t>请提供资料说明针对以下情况已采取或计划采取的措施：(a) 提高各级教育女童入学率，以及解决这方面的区域差异，包括有父母和社区参与的各种方案；(b) 减少女童辍学率；(c) 消除女童接受教育的经济、社会和文化障碍，包括教育的直接和间接费用以及早婚和怀孕；(d) 扼制学校中的暴力团伙和对女童的性骚扰；(e) 消除课本、课程和教师培训中对妇女和男子作用与职责的定型态度。</w:t>
      </w:r>
    </w:p>
    <w:p w:rsidR="00BB0A73" w:rsidRPr="006643C4" w:rsidRDefault="00BB0A73" w:rsidP="00BB0A73">
      <w:pPr>
        <w:pStyle w:val="SingleTxt"/>
        <w:rPr>
          <w:rFonts w:ascii="SimHei" w:eastAsia="SimHei" w:hint="eastAsia"/>
        </w:rPr>
      </w:pPr>
      <w:r w:rsidRPr="006643C4">
        <w:rPr>
          <w:rFonts w:ascii="SimHei" w:eastAsia="SimHei" w:hint="eastAsia"/>
        </w:rPr>
        <w:t>就业</w:t>
      </w:r>
    </w:p>
    <w:p w:rsidR="00BB0A73" w:rsidRDefault="00BB0A73" w:rsidP="00BB0A73">
      <w:pPr>
        <w:pStyle w:val="SingleTxt"/>
      </w:pPr>
      <w:r>
        <w:rPr>
          <w:rFonts w:hint="eastAsia"/>
        </w:rPr>
        <w:t>12.</w:t>
      </w:r>
      <w:r>
        <w:rPr>
          <w:rFonts w:hint="eastAsia"/>
        </w:rPr>
        <w:tab/>
        <w:t>报告承认，很少有妇女在政府中担任高级职务(第106段)，存在男女薪资差距(第107段)，以及妇女主要从事生计农业、农工和商贩的工作(第109段)。报告进一步指出，妇女仅占从事现代行业人数的10%(第113段)；所提供的统计数据表明了这种差距。请提供资料说明为解决这些情况所采取的措施，包括采用没有性别偏见的薪级。另外，请提供资料说明《劳动法》各项规定的执行情况，包括第206条所列的工资不歧视原则，以及可能限制妇女获得某些类型就业的其他规定。另外，请提供资料说明关于孕产妇保护的法律规定的执行情况(第101条)，包括产假补助金和孕期解雇。</w:t>
      </w:r>
    </w:p>
    <w:p w:rsidR="00BB0A73" w:rsidRDefault="00BB0A73" w:rsidP="00BB0A73">
      <w:pPr>
        <w:pStyle w:val="SingleTxt"/>
      </w:pPr>
      <w:r>
        <w:rPr>
          <w:rFonts w:hint="eastAsia"/>
        </w:rPr>
        <w:t>13.</w:t>
      </w:r>
      <w:r>
        <w:rPr>
          <w:rFonts w:hint="eastAsia"/>
        </w:rPr>
        <w:tab/>
        <w:t>请说明为处理童工和经济剥削儿童案件而采取的措施，尤其关注女童的情况，以及妇女和女童的危险劳动条件。</w:t>
      </w:r>
    </w:p>
    <w:p w:rsidR="00BB0A73" w:rsidRPr="006643C4" w:rsidRDefault="00BB0A73" w:rsidP="00BB0A73">
      <w:pPr>
        <w:pStyle w:val="SingleTxt"/>
        <w:rPr>
          <w:rFonts w:ascii="SimHei" w:eastAsia="SimHei" w:hint="eastAsia"/>
        </w:rPr>
      </w:pPr>
      <w:r w:rsidRPr="006643C4">
        <w:rPr>
          <w:rFonts w:ascii="SimHei" w:eastAsia="SimHei" w:hint="eastAsia"/>
        </w:rPr>
        <w:t>保健</w:t>
      </w:r>
    </w:p>
    <w:p w:rsidR="00BB0A73" w:rsidRDefault="00BB0A73" w:rsidP="00BB0A73">
      <w:pPr>
        <w:pStyle w:val="SingleTxt"/>
        <w:rPr>
          <w:rFonts w:hint="eastAsia"/>
        </w:rPr>
      </w:pPr>
      <w:r>
        <w:rPr>
          <w:rFonts w:hint="eastAsia"/>
        </w:rPr>
        <w:t>14.</w:t>
      </w:r>
      <w:r>
        <w:rPr>
          <w:rFonts w:hint="eastAsia"/>
        </w:rPr>
        <w:tab/>
        <w:t>报告提及关于孕产妇保健的各种关切(第128段)。请说明已采取或计划采取哪些措施：(a)</w:t>
      </w:r>
      <w:r w:rsidR="006643C4">
        <w:t xml:space="preserve"> </w:t>
      </w:r>
      <w:r>
        <w:rPr>
          <w:rFonts w:hint="eastAsia"/>
        </w:rPr>
        <w:t>解决长期存在的孕产妇高死亡率问题；(b)</w:t>
      </w:r>
      <w:r w:rsidR="006643C4">
        <w:t xml:space="preserve"> </w:t>
      </w:r>
      <w:r>
        <w:rPr>
          <w:rFonts w:hint="eastAsia"/>
        </w:rPr>
        <w:t>增加获得产前护理和辅助生育的途径；(c)</w:t>
      </w:r>
      <w:r w:rsidR="006643C4">
        <w:t xml:space="preserve"> </w:t>
      </w:r>
      <w:r>
        <w:rPr>
          <w:rFonts w:hint="eastAsia"/>
        </w:rPr>
        <w:t>增加获得产科护理的机会，尤其是在高发的产科瘘方面；以及(d)</w:t>
      </w:r>
      <w:r w:rsidR="006643C4">
        <w:t xml:space="preserve"> </w:t>
      </w:r>
      <w:r>
        <w:rPr>
          <w:rFonts w:hint="eastAsia"/>
        </w:rPr>
        <w:t>增加获得计划生育服务的途径，包括性保健服务和生殖保健服务。请提供进一步资料说明生殖保健项目、获得基本保健和免疫接种情况，以及国家艾滋病毒方案(《2013-2017年抗击性病/艾滋病毒/艾滋病国家战略框架》)的执行情况和影响(第129段)。请提供进一步资料说明在改善缔约国保健基础设施以及妇女获得保健服务方面所做的努力。</w:t>
      </w:r>
    </w:p>
    <w:p w:rsidR="00BB0A73" w:rsidRPr="006643C4" w:rsidRDefault="00BB0A73" w:rsidP="00BB0A73">
      <w:pPr>
        <w:pStyle w:val="SingleTxt"/>
        <w:rPr>
          <w:rFonts w:ascii="SimHei" w:eastAsia="SimHei" w:hint="eastAsia"/>
        </w:rPr>
      </w:pPr>
      <w:r w:rsidRPr="006643C4">
        <w:rPr>
          <w:rFonts w:ascii="SimHei" w:eastAsia="SimHei" w:hint="eastAsia"/>
        </w:rPr>
        <w:t>获得经济和社会福利</w:t>
      </w:r>
    </w:p>
    <w:p w:rsidR="00BB0A73" w:rsidRDefault="00BB0A73" w:rsidP="00BB0A73">
      <w:pPr>
        <w:pStyle w:val="SingleTxt"/>
        <w:rPr>
          <w:rFonts w:hint="eastAsia"/>
        </w:rPr>
      </w:pPr>
      <w:r>
        <w:rPr>
          <w:rFonts w:hint="eastAsia"/>
        </w:rPr>
        <w:t>15.</w:t>
      </w:r>
      <w:r>
        <w:rPr>
          <w:rFonts w:hint="eastAsia"/>
        </w:rPr>
        <w:tab/>
        <w:t>报告指出，《公务员总章程》不允许向需要抚养孩子的女公务员提供家庭补助(第103段)。请提供资料说明为纠正这种情况所采取的措施。鉴于妇女是几内亚人口中最贫穷的部分，妇女有资格享受哪些经济、社会福利(第145段)？</w:t>
      </w:r>
    </w:p>
    <w:p w:rsidR="00BB0A73" w:rsidRPr="006643C4" w:rsidRDefault="00BB0A73" w:rsidP="00BB0A73">
      <w:pPr>
        <w:pStyle w:val="SingleTxt"/>
        <w:rPr>
          <w:rFonts w:ascii="SimHei" w:eastAsia="SimHei" w:hint="eastAsia"/>
        </w:rPr>
      </w:pPr>
      <w:r w:rsidRPr="006643C4">
        <w:rPr>
          <w:rFonts w:ascii="SimHei" w:eastAsia="SimHei" w:hint="eastAsia"/>
        </w:rPr>
        <w:t>农村妇女</w:t>
      </w:r>
    </w:p>
    <w:p w:rsidR="00BB0A73" w:rsidRDefault="00BB0A73" w:rsidP="00BB0A73">
      <w:pPr>
        <w:pStyle w:val="SingleTxt"/>
        <w:rPr>
          <w:rFonts w:hint="eastAsia"/>
        </w:rPr>
      </w:pPr>
      <w:r>
        <w:rPr>
          <w:rFonts w:hint="eastAsia"/>
        </w:rPr>
        <w:t>16.</w:t>
      </w:r>
      <w:r>
        <w:rPr>
          <w:rFonts w:hint="eastAsia"/>
        </w:rPr>
        <w:tab/>
        <w:t>报告指出，农村妇女面临众多问题，例如识字率低、严重贫困、社会文化负担，难以获得基础服务，如饮用水、卫生服务和法律服务，以及长期存在的暴力现象，尤其是家庭暴力(第155段和第156段)。然而，报告没有提供为解决这些问题所采取措施的综合信息。请说明除包括创收项目和信贷服务在内的经济机会外，为确保农村妇女与男子和城市妇女在平等基础上公平获得基本服务而采取或计划采取的措施，包括保健和教育及基础设施。另外，请说明为解决暴力侵害农村妇女行为高发而采取的措施。</w:t>
      </w:r>
    </w:p>
    <w:p w:rsidR="00BB0A73" w:rsidRDefault="00BB0A73" w:rsidP="00BB0A73">
      <w:pPr>
        <w:pStyle w:val="SingleTxt"/>
        <w:rPr>
          <w:rFonts w:hint="eastAsia"/>
        </w:rPr>
      </w:pPr>
      <w:r>
        <w:rPr>
          <w:rFonts w:hint="eastAsia"/>
        </w:rPr>
        <w:t>17.</w:t>
      </w:r>
      <w:r>
        <w:rPr>
          <w:rFonts w:hint="eastAsia"/>
        </w:rPr>
        <w:tab/>
        <w:t>报告指出，绝大多数就业妇女从事生计农业(表b)。请提供资料说明为解决继承和土地保有制中的歧视性规则和做法，以及确保妇女与男子平等地获得土地而采取的措施。</w:t>
      </w:r>
    </w:p>
    <w:p w:rsidR="00BB0A73" w:rsidRPr="006643C4" w:rsidRDefault="00BB0A73" w:rsidP="00BB0A73">
      <w:pPr>
        <w:pStyle w:val="SingleTxt"/>
        <w:rPr>
          <w:rFonts w:ascii="SimHei" w:eastAsia="SimHei" w:hint="eastAsia"/>
        </w:rPr>
      </w:pPr>
      <w:r w:rsidRPr="006643C4">
        <w:rPr>
          <w:rFonts w:ascii="SimHei" w:eastAsia="SimHei" w:hint="eastAsia"/>
        </w:rPr>
        <w:t>弱势妇女群体</w:t>
      </w:r>
    </w:p>
    <w:p w:rsidR="00BB0A73" w:rsidRDefault="00BB0A73" w:rsidP="00BB0A73">
      <w:pPr>
        <w:pStyle w:val="SingleTxt"/>
        <w:rPr>
          <w:rFonts w:hint="eastAsia"/>
        </w:rPr>
      </w:pPr>
      <w:r>
        <w:rPr>
          <w:rFonts w:hint="eastAsia"/>
        </w:rPr>
        <w:t>18.</w:t>
      </w:r>
      <w:r>
        <w:rPr>
          <w:rFonts w:hint="eastAsia"/>
        </w:rPr>
        <w:tab/>
        <w:t>请提供资料说明为确保包括妇女难民、残疾妇女、老年妇女、土著妇女和流落街头的女孩在内的弱势妇女群体切实获得保健、教育、水、食物、住房和创收项目，以及确保土著妇女不受歧视地获得土地和自给自足的生计而采取或计划采取的措施。</w:t>
      </w:r>
    </w:p>
    <w:p w:rsidR="00BB0A73" w:rsidRPr="006643C4" w:rsidRDefault="00BB0A73" w:rsidP="00BB0A73">
      <w:pPr>
        <w:pStyle w:val="SingleTxt"/>
        <w:rPr>
          <w:rFonts w:ascii="SimHei" w:eastAsia="SimHei" w:hint="eastAsia"/>
        </w:rPr>
      </w:pPr>
      <w:r w:rsidRPr="006643C4">
        <w:rPr>
          <w:rFonts w:ascii="SimHei" w:eastAsia="SimHei" w:hint="eastAsia"/>
        </w:rPr>
        <w:t>婚姻和家庭关系</w:t>
      </w:r>
    </w:p>
    <w:p w:rsidR="00BB0A73" w:rsidRDefault="00BB0A73" w:rsidP="00BB0A73">
      <w:pPr>
        <w:pStyle w:val="SingleTxt"/>
        <w:rPr>
          <w:rFonts w:hint="eastAsia"/>
        </w:rPr>
      </w:pPr>
      <w:r>
        <w:rPr>
          <w:rFonts w:hint="eastAsia"/>
        </w:rPr>
        <w:t>19.</w:t>
      </w:r>
      <w:r>
        <w:rPr>
          <w:rFonts w:hint="eastAsia"/>
        </w:rPr>
        <w:tab/>
        <w:t>报告指出，正在修订载有若干歧视妇女条款的《民法典》(第31段和第183段)。请提供资料说明将被修正的歧视性条款，并指出经修订的《民法典》颁布的时间框架。请说明设想的关于亲权和未成年子女监护权以及继承权的新规定。另外，请说明针对对女童和男童设定不同最低结婚年龄的歧视性法律规定(第280条)；择居的法律规定(第331条)；一夫多妻制做法以及早婚和强迫婚姻所采取的措施。</w:t>
      </w:r>
    </w:p>
    <w:p w:rsidR="00EA31C3" w:rsidRDefault="00BB0A73" w:rsidP="00BB0A73">
      <w:pPr>
        <w:pStyle w:val="SingleTxt"/>
        <w:rPr>
          <w:rFonts w:hint="eastAsia"/>
        </w:rPr>
      </w:pPr>
      <w:r>
        <w:rPr>
          <w:rFonts w:hint="eastAsia"/>
        </w:rPr>
        <w:t>20.</w:t>
      </w:r>
      <w:r>
        <w:rPr>
          <w:rFonts w:hint="eastAsia"/>
        </w:rPr>
        <w:tab/>
        <w:t>报告指出已经拟订了家庭政策(第183段)。请提供详细资料说明家庭政策的关键要素及其执行情况，以及为执行该政策而设立的国家理事会的任务和职能。</w:t>
      </w:r>
    </w:p>
    <w:p w:rsidR="00BB0A73" w:rsidRPr="00BB0A73" w:rsidRDefault="00BB0A73" w:rsidP="00BB0A73">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BB0A73" w:rsidRPr="00BB0A73" w:rsidSect="001003B6">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2T15:52:00Z" w:initials="Start">
    <w:p w:rsidR="00B61282" w:rsidRDefault="00B6128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t>&lt;&lt;ODS JOB NO&gt;&gt;N1425879C&lt;&lt;ODS JOB NO&gt;&gt;</w:t>
      </w:r>
    </w:p>
    <w:p w:rsidR="00B61282" w:rsidRDefault="00B61282">
      <w:pPr>
        <w:pStyle w:val="CommentText"/>
      </w:pPr>
      <w:r>
        <w:t>&lt;&lt;ODS DOC SYMBOL1&gt;&gt;CEDAW/C/GIN/Q/7-8&lt;&lt;ODS DOC SYMBOL1&gt;&gt;</w:t>
      </w:r>
    </w:p>
    <w:p w:rsidR="00B61282" w:rsidRDefault="00B6128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7A5" w:rsidRDefault="009907A5">
      <w:r>
        <w:separator/>
      </w:r>
    </w:p>
  </w:endnote>
  <w:endnote w:type="continuationSeparator" w:id="0">
    <w:p w:rsidR="009907A5" w:rsidRDefault="009907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61282" w:rsidTr="001003B6">
      <w:tblPrEx>
        <w:tblCellMar>
          <w:top w:w="0" w:type="dxa"/>
          <w:bottom w:w="0" w:type="dxa"/>
        </w:tblCellMar>
      </w:tblPrEx>
      <w:tc>
        <w:tcPr>
          <w:tcW w:w="5033" w:type="dxa"/>
          <w:shd w:val="clear" w:color="auto" w:fill="auto"/>
        </w:tcPr>
        <w:p w:rsidR="00B61282" w:rsidRPr="001003B6" w:rsidRDefault="00B61282" w:rsidP="001003B6">
          <w:pPr>
            <w:pStyle w:val="Footer"/>
            <w:jc w:val="right"/>
            <w:rPr>
              <w:b w:val="0"/>
              <w:w w:val="103"/>
              <w:sz w:val="14"/>
            </w:rPr>
          </w:pPr>
          <w:fldSimple w:instr=" DOCVARIABLE &quot;FooterJN&quot; \* MERGEFORMAT ">
            <w:r>
              <w:rPr>
                <w:b w:val="0"/>
                <w:w w:val="103"/>
                <w:sz w:val="14"/>
              </w:rPr>
              <w:t>14-25879 (C)</w:t>
            </w:r>
          </w:fldSimple>
        </w:p>
      </w:tc>
      <w:tc>
        <w:tcPr>
          <w:tcW w:w="5033" w:type="dxa"/>
          <w:shd w:val="clear" w:color="auto" w:fill="auto"/>
        </w:tcPr>
        <w:p w:rsidR="00B61282" w:rsidRPr="001003B6" w:rsidRDefault="00B61282" w:rsidP="001003B6">
          <w:pPr>
            <w:pStyle w:val="Footer"/>
            <w:jc w:val="left"/>
            <w:rPr>
              <w:w w:val="103"/>
            </w:rPr>
          </w:pPr>
          <w:r>
            <w:rPr>
              <w:w w:val="103"/>
            </w:rPr>
            <w:fldChar w:fldCharType="begin"/>
          </w:r>
          <w:r>
            <w:rPr>
              <w:w w:val="103"/>
            </w:rPr>
            <w:instrText xml:space="preserve"> PAGE  \* Arabic  \* MERGEFORMAT </w:instrText>
          </w:r>
          <w:r>
            <w:rPr>
              <w:w w:val="103"/>
            </w:rPr>
            <w:fldChar w:fldCharType="separate"/>
          </w:r>
          <w:r w:rsidR="00654570">
            <w:rPr>
              <w:w w:val="103"/>
            </w:rPr>
            <w:t>4</w:t>
          </w:r>
          <w:r>
            <w:rPr>
              <w:w w:val="103"/>
            </w:rPr>
            <w:fldChar w:fldCharType="end"/>
          </w:r>
          <w:r>
            <w:rPr>
              <w:w w:val="103"/>
            </w:rPr>
            <w:t>/</w:t>
          </w:r>
          <w:fldSimple w:instr=" NUMPAGES  \* Arabic  \* MERGEFORMAT ">
            <w:r>
              <w:rPr>
                <w:w w:val="103"/>
              </w:rPr>
              <w:t>5</w:t>
            </w:r>
          </w:fldSimple>
        </w:p>
      </w:tc>
    </w:tr>
  </w:tbl>
  <w:p w:rsidR="00B61282" w:rsidRPr="001003B6" w:rsidRDefault="00B61282" w:rsidP="001003B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61282" w:rsidTr="001003B6">
      <w:tblPrEx>
        <w:tblCellMar>
          <w:top w:w="0" w:type="dxa"/>
          <w:bottom w:w="0" w:type="dxa"/>
        </w:tblCellMar>
      </w:tblPrEx>
      <w:tc>
        <w:tcPr>
          <w:tcW w:w="5033" w:type="dxa"/>
          <w:shd w:val="clear" w:color="auto" w:fill="auto"/>
        </w:tcPr>
        <w:p w:rsidR="00B61282" w:rsidRPr="001003B6" w:rsidRDefault="00B61282" w:rsidP="001003B6">
          <w:pPr>
            <w:pStyle w:val="Footer"/>
            <w:jc w:val="right"/>
          </w:pPr>
          <w:fldSimple w:instr=" PAGE  \* Arabic  \* MERGEFORMAT ">
            <w:r w:rsidR="00654570">
              <w:t>5</w:t>
            </w:r>
          </w:fldSimple>
          <w:r>
            <w:t>/</w:t>
          </w:r>
          <w:fldSimple w:instr=" NUMPAGES  \* Arabic  \* MERGEFORMAT ">
            <w:r>
              <w:t>5</w:t>
            </w:r>
          </w:fldSimple>
        </w:p>
      </w:tc>
      <w:tc>
        <w:tcPr>
          <w:tcW w:w="5033" w:type="dxa"/>
          <w:shd w:val="clear" w:color="auto" w:fill="auto"/>
        </w:tcPr>
        <w:p w:rsidR="00B61282" w:rsidRPr="001003B6" w:rsidRDefault="00B61282" w:rsidP="001003B6">
          <w:pPr>
            <w:pStyle w:val="Footer"/>
            <w:jc w:val="left"/>
            <w:rPr>
              <w:b w:val="0"/>
              <w:w w:val="103"/>
              <w:sz w:val="14"/>
            </w:rPr>
          </w:pPr>
          <w:fldSimple w:instr=" DOCVARIABLE &quot;FooterJN&quot; \* MERGEFORMAT ">
            <w:r>
              <w:rPr>
                <w:b w:val="0"/>
                <w:w w:val="103"/>
                <w:sz w:val="14"/>
              </w:rPr>
              <w:t>14-25879 (C)</w:t>
            </w:r>
          </w:fldSimple>
        </w:p>
      </w:tc>
    </w:tr>
  </w:tbl>
  <w:p w:rsidR="00B61282" w:rsidRPr="001003B6" w:rsidRDefault="00B61282" w:rsidP="001003B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61282" w:rsidTr="001003B6">
      <w:tblPrEx>
        <w:tblCellMar>
          <w:top w:w="0" w:type="dxa"/>
          <w:bottom w:w="0" w:type="dxa"/>
        </w:tblCellMar>
      </w:tblPrEx>
      <w:tc>
        <w:tcPr>
          <w:tcW w:w="5033" w:type="dxa"/>
        </w:tcPr>
        <w:p w:rsidR="00B61282" w:rsidRDefault="00B61282" w:rsidP="001003B6">
          <w:pPr>
            <w:pStyle w:val="Footer"/>
            <w:rPr>
              <w:b w:val="0"/>
              <w:sz w:val="21"/>
            </w:rPr>
          </w:pPr>
          <w:r w:rsidRPr="007C3861">
            <w:rPr>
              <w:b w:val="0"/>
              <w:sz w:val="21"/>
            </w:rPr>
            <w:t>14-25879 X (C)</w:t>
          </w:r>
          <w:r>
            <w:rPr>
              <w:b w:val="0"/>
              <w:sz w:val="21"/>
            </w:rPr>
            <w:t xml:space="preserve">    020414    030414</w:t>
          </w:r>
        </w:p>
        <w:p w:rsidR="00B61282" w:rsidRPr="001003B6" w:rsidRDefault="00B61282" w:rsidP="001003B6">
          <w:pPr>
            <w:spacing w:before="80" w:line="210" w:lineRule="exact"/>
            <w:rPr>
              <w:rFonts w:ascii="Barcode 3 of 9 by request" w:hAnsi="Barcode 3 of 9 by request"/>
              <w:sz w:val="24"/>
            </w:rPr>
          </w:pPr>
          <w:r>
            <w:rPr>
              <w:rFonts w:ascii="Barcode 3 of 9 by request" w:hAnsi="Barcode 3 of 9 by request"/>
              <w:sz w:val="24"/>
            </w:rPr>
            <w:t>*1425879*</w:t>
          </w:r>
        </w:p>
      </w:tc>
      <w:tc>
        <w:tcPr>
          <w:tcW w:w="3686" w:type="dxa"/>
        </w:tcPr>
        <w:p w:rsidR="00B61282" w:rsidRDefault="00B61282" w:rsidP="001003B6">
          <w:pPr>
            <w:pStyle w:val="Footer"/>
            <w:jc w:val="right"/>
            <w:rPr>
              <w:b w:val="0"/>
              <w:sz w:val="21"/>
            </w:rPr>
          </w:pPr>
          <w:r w:rsidRPr="001003B6">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B61282" w:rsidRPr="001003B6" w:rsidRDefault="00B61282" w:rsidP="001003B6">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7A5" w:rsidRPr="00BB0A73" w:rsidRDefault="009907A5" w:rsidP="00BB0A73">
      <w:pPr>
        <w:pStyle w:val="Footer"/>
        <w:spacing w:after="80"/>
        <w:ind w:left="792"/>
        <w:rPr>
          <w:sz w:val="16"/>
        </w:rPr>
      </w:pPr>
      <w:r w:rsidRPr="00BB0A73">
        <w:rPr>
          <w:sz w:val="16"/>
        </w:rPr>
        <w:t>__________________</w:t>
      </w:r>
    </w:p>
  </w:footnote>
  <w:footnote w:type="continuationSeparator" w:id="0">
    <w:p w:rsidR="009907A5" w:rsidRPr="00BB0A73" w:rsidRDefault="009907A5" w:rsidP="00BB0A73">
      <w:pPr>
        <w:pStyle w:val="Footer"/>
        <w:spacing w:after="80"/>
        <w:ind w:left="792"/>
        <w:rPr>
          <w:sz w:val="16"/>
        </w:rPr>
      </w:pPr>
      <w:r w:rsidRPr="00BB0A73">
        <w:rPr>
          <w:sz w:val="16"/>
        </w:rPr>
        <w:t>__________________</w:t>
      </w:r>
    </w:p>
  </w:footnote>
  <w:footnote w:id="1">
    <w:p w:rsidR="00B61282" w:rsidRPr="00BB0A73" w:rsidRDefault="00B61282" w:rsidP="00BB0A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rPr>
          <w:rFonts w:hint="eastAsia"/>
        </w:rPr>
        <w:tab/>
      </w:r>
      <w:r w:rsidRPr="00BB0A73">
        <w:rPr>
          <w:vertAlign w:val="superscript"/>
        </w:rPr>
        <w:t>*</w:t>
      </w:r>
      <w:r>
        <w:tab/>
      </w:r>
      <w:r w:rsidRPr="00BB0A73">
        <w:rPr>
          <w:rFonts w:hint="eastAsia"/>
        </w:rPr>
        <w:t>由2014年3月3日至7日第五十九届会议会前工作组通过。</w:t>
      </w:r>
    </w:p>
    <w:p w:rsidR="00B61282" w:rsidRPr="00BB0A73" w:rsidRDefault="00B61282" w:rsidP="00BB0A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B0A73">
        <w:rPr>
          <w:rFonts w:hint="eastAsia"/>
        </w:rPr>
        <w:t>除非另有说明，段号均为缔约国第七次和第八次合并定期报告中的段号。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61282" w:rsidTr="001003B6">
      <w:tblPrEx>
        <w:tblCellMar>
          <w:top w:w="0" w:type="dxa"/>
          <w:bottom w:w="0" w:type="dxa"/>
        </w:tblCellMar>
      </w:tblPrEx>
      <w:trPr>
        <w:trHeight w:hRule="exact" w:val="864"/>
      </w:trPr>
      <w:tc>
        <w:tcPr>
          <w:tcW w:w="4838" w:type="dxa"/>
          <w:shd w:val="clear" w:color="auto" w:fill="auto"/>
          <w:vAlign w:val="bottom"/>
        </w:tcPr>
        <w:p w:rsidR="00B61282" w:rsidRPr="001003B6" w:rsidRDefault="00B61282" w:rsidP="001003B6">
          <w:pPr>
            <w:pStyle w:val="Header"/>
            <w:spacing w:after="80"/>
            <w:jc w:val="left"/>
            <w:rPr>
              <w:b/>
              <w:sz w:val="17"/>
            </w:rPr>
          </w:pPr>
          <w:fldSimple w:instr=" DOCVARIABLE &quot;sss1&quot; \* MERGEFORMAT ">
            <w:r>
              <w:rPr>
                <w:b/>
                <w:sz w:val="17"/>
              </w:rPr>
              <w:t>CEDAW/C/GIN/Q/7-8</w:t>
            </w:r>
          </w:fldSimple>
        </w:p>
      </w:tc>
      <w:tc>
        <w:tcPr>
          <w:tcW w:w="5033" w:type="dxa"/>
          <w:shd w:val="clear" w:color="auto" w:fill="auto"/>
          <w:vAlign w:val="bottom"/>
        </w:tcPr>
        <w:p w:rsidR="00B61282" w:rsidRDefault="00B61282" w:rsidP="001003B6">
          <w:pPr>
            <w:pStyle w:val="Header"/>
          </w:pPr>
        </w:p>
      </w:tc>
    </w:tr>
  </w:tbl>
  <w:p w:rsidR="00B61282" w:rsidRPr="001003B6" w:rsidRDefault="00B61282" w:rsidP="001003B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61282" w:rsidTr="001003B6">
      <w:tblPrEx>
        <w:tblCellMar>
          <w:top w:w="0" w:type="dxa"/>
          <w:bottom w:w="0" w:type="dxa"/>
        </w:tblCellMar>
      </w:tblPrEx>
      <w:trPr>
        <w:trHeight w:hRule="exact" w:val="864"/>
      </w:trPr>
      <w:tc>
        <w:tcPr>
          <w:tcW w:w="4838" w:type="dxa"/>
          <w:shd w:val="clear" w:color="auto" w:fill="auto"/>
          <w:vAlign w:val="bottom"/>
        </w:tcPr>
        <w:p w:rsidR="00B61282" w:rsidRDefault="00B61282" w:rsidP="001003B6">
          <w:pPr>
            <w:pStyle w:val="Header"/>
          </w:pPr>
        </w:p>
      </w:tc>
      <w:tc>
        <w:tcPr>
          <w:tcW w:w="5033" w:type="dxa"/>
          <w:shd w:val="clear" w:color="auto" w:fill="auto"/>
          <w:vAlign w:val="bottom"/>
        </w:tcPr>
        <w:p w:rsidR="00B61282" w:rsidRPr="001003B6" w:rsidRDefault="00B61282" w:rsidP="001003B6">
          <w:pPr>
            <w:pStyle w:val="Header"/>
            <w:spacing w:after="80"/>
            <w:jc w:val="right"/>
            <w:rPr>
              <w:b/>
              <w:sz w:val="17"/>
            </w:rPr>
          </w:pPr>
          <w:fldSimple w:instr=" DOCVARIABLE &quot;sss1&quot; \* MERGEFORMAT ">
            <w:r>
              <w:rPr>
                <w:b/>
                <w:sz w:val="17"/>
              </w:rPr>
              <w:t>CEDAW/C/GIN/Q/7-8</w:t>
            </w:r>
          </w:fldSimple>
        </w:p>
      </w:tc>
    </w:tr>
  </w:tbl>
  <w:p w:rsidR="00B61282" w:rsidRPr="001003B6" w:rsidRDefault="00B61282" w:rsidP="001003B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61282" w:rsidTr="001003B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1282" w:rsidRDefault="00B61282" w:rsidP="001003B6">
          <w:pPr>
            <w:pStyle w:val="Header"/>
            <w:spacing w:after="120"/>
          </w:pPr>
        </w:p>
      </w:tc>
      <w:tc>
        <w:tcPr>
          <w:tcW w:w="1872" w:type="dxa"/>
          <w:tcBorders>
            <w:bottom w:val="single" w:sz="4" w:space="0" w:color="auto"/>
          </w:tcBorders>
          <w:shd w:val="clear" w:color="auto" w:fill="auto"/>
          <w:vAlign w:val="bottom"/>
        </w:tcPr>
        <w:p w:rsidR="00B61282" w:rsidRPr="001003B6" w:rsidRDefault="00B61282" w:rsidP="001003B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61282" w:rsidRDefault="00B61282" w:rsidP="001003B6">
          <w:pPr>
            <w:pStyle w:val="Header"/>
            <w:spacing w:after="120"/>
          </w:pPr>
        </w:p>
      </w:tc>
      <w:tc>
        <w:tcPr>
          <w:tcW w:w="6523" w:type="dxa"/>
          <w:gridSpan w:val="3"/>
          <w:tcBorders>
            <w:bottom w:val="single" w:sz="4" w:space="0" w:color="auto"/>
          </w:tcBorders>
          <w:shd w:val="clear" w:color="auto" w:fill="auto"/>
          <w:vAlign w:val="bottom"/>
        </w:tcPr>
        <w:p w:rsidR="00B61282" w:rsidRPr="001003B6" w:rsidRDefault="00B61282" w:rsidP="001003B6">
          <w:pPr>
            <w:spacing w:after="80" w:line="240" w:lineRule="auto"/>
            <w:jc w:val="right"/>
            <w:rPr>
              <w:rFonts w:ascii="Times New Roman"/>
              <w:position w:val="-4"/>
            </w:rPr>
          </w:pPr>
          <w:r>
            <w:rPr>
              <w:rFonts w:ascii="Times New Roman"/>
              <w:position w:val="-4"/>
              <w:sz w:val="40"/>
            </w:rPr>
            <w:t>CEDAW</w:t>
          </w:r>
          <w:r>
            <w:rPr>
              <w:rFonts w:ascii="Times New Roman"/>
              <w:position w:val="-4"/>
            </w:rPr>
            <w:t>/C/GIN/Q/7-8</w:t>
          </w:r>
        </w:p>
      </w:tc>
    </w:tr>
    <w:tr w:rsidR="00B61282" w:rsidRPr="001003B6" w:rsidTr="001003B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1282" w:rsidRDefault="00B61282" w:rsidP="001003B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61282" w:rsidRPr="001003B6" w:rsidRDefault="00B61282" w:rsidP="001003B6">
          <w:pPr>
            <w:pStyle w:val="Header"/>
            <w:spacing w:before="109"/>
            <w:ind w:left="-72"/>
          </w:pPr>
        </w:p>
      </w:tc>
      <w:tc>
        <w:tcPr>
          <w:tcW w:w="5227" w:type="dxa"/>
          <w:gridSpan w:val="3"/>
          <w:tcBorders>
            <w:top w:val="single" w:sz="4" w:space="0" w:color="auto"/>
            <w:bottom w:val="single" w:sz="12" w:space="0" w:color="auto"/>
          </w:tcBorders>
          <w:shd w:val="clear" w:color="auto" w:fill="auto"/>
        </w:tcPr>
        <w:p w:rsidR="00B61282" w:rsidRPr="001003B6" w:rsidRDefault="00B61282" w:rsidP="001003B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61282" w:rsidRPr="001003B6" w:rsidRDefault="00B61282" w:rsidP="001003B6">
          <w:pPr>
            <w:pStyle w:val="Header"/>
            <w:spacing w:before="109"/>
          </w:pPr>
        </w:p>
      </w:tc>
      <w:tc>
        <w:tcPr>
          <w:tcW w:w="3180" w:type="dxa"/>
          <w:gridSpan w:val="2"/>
          <w:tcBorders>
            <w:top w:val="single" w:sz="4" w:space="0" w:color="auto"/>
            <w:bottom w:val="single" w:sz="12" w:space="0" w:color="auto"/>
          </w:tcBorders>
          <w:shd w:val="clear" w:color="auto" w:fill="auto"/>
        </w:tcPr>
        <w:p w:rsidR="00B61282" w:rsidRDefault="00B61282" w:rsidP="001003B6">
          <w:pPr>
            <w:spacing w:before="240" w:line="240" w:lineRule="exact"/>
            <w:rPr>
              <w:rFonts w:ascii="Times New Roman"/>
            </w:rPr>
          </w:pPr>
          <w:r>
            <w:rPr>
              <w:rFonts w:ascii="Times New Roman"/>
            </w:rPr>
            <w:t>Distr.: General</w:t>
          </w:r>
        </w:p>
        <w:p w:rsidR="00B61282" w:rsidRDefault="00B61282" w:rsidP="001003B6">
          <w:pPr>
            <w:spacing w:line="240" w:lineRule="exact"/>
            <w:rPr>
              <w:rFonts w:ascii="Times New Roman"/>
            </w:rPr>
          </w:pPr>
          <w:r>
            <w:rPr>
              <w:rFonts w:ascii="Times New Roman"/>
            </w:rPr>
            <w:t>10 March 2013</w:t>
          </w:r>
        </w:p>
        <w:p w:rsidR="00B61282" w:rsidRDefault="00B61282" w:rsidP="001003B6">
          <w:pPr>
            <w:spacing w:line="240" w:lineRule="exact"/>
            <w:rPr>
              <w:rFonts w:ascii="Times New Roman"/>
            </w:rPr>
          </w:pPr>
          <w:r>
            <w:rPr>
              <w:rFonts w:ascii="Times New Roman"/>
            </w:rPr>
            <w:t>Chinese</w:t>
          </w:r>
        </w:p>
        <w:p w:rsidR="00B61282" w:rsidRPr="001003B6" w:rsidRDefault="00B61282" w:rsidP="001003B6">
          <w:pPr>
            <w:spacing w:line="240" w:lineRule="exact"/>
            <w:rPr>
              <w:rFonts w:ascii="Times New Roman"/>
            </w:rPr>
          </w:pPr>
          <w:r>
            <w:rPr>
              <w:rFonts w:ascii="Times New Roman"/>
            </w:rPr>
            <w:t>Original: English</w:t>
          </w:r>
        </w:p>
      </w:tc>
    </w:tr>
  </w:tbl>
  <w:p w:rsidR="00B61282" w:rsidRPr="001003B6" w:rsidRDefault="00B61282" w:rsidP="001003B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79*"/>
    <w:docVar w:name="CreationDt" w:val="02/04/2014 15:52:01"/>
    <w:docVar w:name="DocCategory" w:val="Doc"/>
    <w:docVar w:name="DocType" w:val="Final"/>
    <w:docVar w:name="FooterJN" w:val="14-25879 (C)"/>
    <w:docVar w:name="jobn" w:val="14-25879 (C)"/>
    <w:docVar w:name="jobnDT" w:val="14-25879 (C)   020414"/>
    <w:docVar w:name="jobnDTDT" w:val="14-25879 (C)   020414   020414"/>
    <w:docVar w:name="JobNo" w:val="1425879C"/>
    <w:docVar w:name="OandT" w:val="zxs"/>
    <w:docVar w:name="sss1" w:val="CEDAW/C/GIN/Q/7-8"/>
    <w:docVar w:name="sss2" w:val="-"/>
    <w:docVar w:name="Symbol1" w:val="CEDAW/C/GIN/Q/7-8"/>
    <w:docVar w:name="Symbol2" w:val="-"/>
  </w:docVars>
  <w:rsids>
    <w:rsidRoot w:val="009C5B4A"/>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03B6"/>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2CD5"/>
    <w:rsid w:val="001C3329"/>
    <w:rsid w:val="001C3F7F"/>
    <w:rsid w:val="001C5166"/>
    <w:rsid w:val="001D0354"/>
    <w:rsid w:val="001D3F72"/>
    <w:rsid w:val="001E0ADA"/>
    <w:rsid w:val="001E20EC"/>
    <w:rsid w:val="001E4442"/>
    <w:rsid w:val="001E5A51"/>
    <w:rsid w:val="001F03A7"/>
    <w:rsid w:val="001F24F5"/>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B70F2"/>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54570"/>
    <w:rsid w:val="006643C4"/>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75E"/>
    <w:rsid w:val="00737B00"/>
    <w:rsid w:val="00744923"/>
    <w:rsid w:val="0075155C"/>
    <w:rsid w:val="00753A05"/>
    <w:rsid w:val="00757193"/>
    <w:rsid w:val="00761190"/>
    <w:rsid w:val="00776537"/>
    <w:rsid w:val="00783A25"/>
    <w:rsid w:val="007843DB"/>
    <w:rsid w:val="007877F4"/>
    <w:rsid w:val="007B6BAE"/>
    <w:rsid w:val="007C3861"/>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2406E"/>
    <w:rsid w:val="00957134"/>
    <w:rsid w:val="0096193C"/>
    <w:rsid w:val="009769E1"/>
    <w:rsid w:val="0097717F"/>
    <w:rsid w:val="00977E0D"/>
    <w:rsid w:val="00982D5C"/>
    <w:rsid w:val="00986132"/>
    <w:rsid w:val="00986C04"/>
    <w:rsid w:val="009907A5"/>
    <w:rsid w:val="009932F9"/>
    <w:rsid w:val="009A11E3"/>
    <w:rsid w:val="009A2F76"/>
    <w:rsid w:val="009B1250"/>
    <w:rsid w:val="009C5B4A"/>
    <w:rsid w:val="009D2AC2"/>
    <w:rsid w:val="009E1774"/>
    <w:rsid w:val="009E2668"/>
    <w:rsid w:val="009E40A3"/>
    <w:rsid w:val="009E5C8C"/>
    <w:rsid w:val="009F10B1"/>
    <w:rsid w:val="009F3D89"/>
    <w:rsid w:val="009F47E3"/>
    <w:rsid w:val="009F6938"/>
    <w:rsid w:val="00A0537D"/>
    <w:rsid w:val="00A060A6"/>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186"/>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282"/>
    <w:rsid w:val="00B61A34"/>
    <w:rsid w:val="00B64E8E"/>
    <w:rsid w:val="00B65E8B"/>
    <w:rsid w:val="00B8025A"/>
    <w:rsid w:val="00B827B1"/>
    <w:rsid w:val="00B9116F"/>
    <w:rsid w:val="00B9408D"/>
    <w:rsid w:val="00BB0A73"/>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S/RES/1325(200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S/RES/1889(2009)" TargetMode="External"/><Relationship Id="rId2" Type="http://schemas.openxmlformats.org/officeDocument/2006/relationships/settings" Target="settings.xml"/><Relationship Id="rId16" Type="http://schemas.openxmlformats.org/officeDocument/2006/relationships/hyperlink" Target="http://undocs.org/ch/S/RES/1888(2009)" TargetMode="External"/><Relationship Id="rId20" Type="http://schemas.openxmlformats.org/officeDocument/2006/relationships/hyperlink" Target="http://undocs.org/ch/S/RES/1820(200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S/RES/1820(2008)" TargetMode="External"/><Relationship Id="rId10" Type="http://schemas.openxmlformats.org/officeDocument/2006/relationships/header" Target="header3.xml"/><Relationship Id="rId19" Type="http://schemas.openxmlformats.org/officeDocument/2006/relationships/hyperlink" Target="http://undocs.org/ch/S/RES/1325(2000)"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S/RES/1325(2000)"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2133</Words>
  <Characters>2261</Characters>
  <Application>Microsoft Office Outlook</Application>
  <DocSecurity>4</DocSecurity>
  <Lines>83</Lines>
  <Paragraphs>42</Paragraphs>
  <ScaleCrop>false</ScaleCrop>
  <Company>United Nations</Company>
  <LinksUpToDate>false</LinksUpToDate>
  <CharactersWithSpaces>4352</CharactersWithSpaces>
  <SharedDoc>false</SharedDoc>
  <HLinks>
    <vt:vector size="42" baseType="variant">
      <vt:variant>
        <vt:i4>1245264</vt:i4>
      </vt:variant>
      <vt:variant>
        <vt:i4>18</vt:i4>
      </vt:variant>
      <vt:variant>
        <vt:i4>0</vt:i4>
      </vt:variant>
      <vt:variant>
        <vt:i4>5</vt:i4>
      </vt:variant>
      <vt:variant>
        <vt:lpwstr>http://undocs.org/ch/S/RES/1820(2008)</vt:lpwstr>
      </vt:variant>
      <vt:variant>
        <vt:lpwstr/>
      </vt:variant>
      <vt:variant>
        <vt:i4>1769566</vt:i4>
      </vt:variant>
      <vt:variant>
        <vt:i4>15</vt:i4>
      </vt:variant>
      <vt:variant>
        <vt:i4>0</vt:i4>
      </vt:variant>
      <vt:variant>
        <vt:i4>5</vt:i4>
      </vt:variant>
      <vt:variant>
        <vt:lpwstr>http://undocs.org/ch/S/RES/1325(2000)</vt:lpwstr>
      </vt:variant>
      <vt:variant>
        <vt:lpwstr/>
      </vt:variant>
      <vt:variant>
        <vt:i4>1769566</vt:i4>
      </vt:variant>
      <vt:variant>
        <vt:i4>12</vt:i4>
      </vt:variant>
      <vt:variant>
        <vt:i4>0</vt:i4>
      </vt:variant>
      <vt:variant>
        <vt:i4>5</vt:i4>
      </vt:variant>
      <vt:variant>
        <vt:lpwstr>http://undocs.org/ch/S/RES/1325(2000)</vt:lpwstr>
      </vt:variant>
      <vt:variant>
        <vt:lpwstr/>
      </vt:variant>
      <vt:variant>
        <vt:i4>1572953</vt:i4>
      </vt:variant>
      <vt:variant>
        <vt:i4>9</vt:i4>
      </vt:variant>
      <vt:variant>
        <vt:i4>0</vt:i4>
      </vt:variant>
      <vt:variant>
        <vt:i4>5</vt:i4>
      </vt:variant>
      <vt:variant>
        <vt:lpwstr>http://undocs.org/ch/S/RES/1889(2009)</vt:lpwstr>
      </vt:variant>
      <vt:variant>
        <vt:lpwstr/>
      </vt:variant>
      <vt:variant>
        <vt:i4>1572952</vt:i4>
      </vt:variant>
      <vt:variant>
        <vt:i4>6</vt:i4>
      </vt:variant>
      <vt:variant>
        <vt:i4>0</vt:i4>
      </vt:variant>
      <vt:variant>
        <vt:i4>5</vt:i4>
      </vt:variant>
      <vt:variant>
        <vt:lpwstr>http://undocs.org/ch/S/RES/1888(2009)</vt:lpwstr>
      </vt:variant>
      <vt:variant>
        <vt:lpwstr/>
      </vt:variant>
      <vt:variant>
        <vt:i4>1245264</vt:i4>
      </vt:variant>
      <vt:variant>
        <vt:i4>3</vt:i4>
      </vt:variant>
      <vt:variant>
        <vt:i4>0</vt:i4>
      </vt:variant>
      <vt:variant>
        <vt:i4>5</vt:i4>
      </vt:variant>
      <vt:variant>
        <vt:lpwstr>http://undocs.org/ch/S/RES/1820(2008)</vt:lpwstr>
      </vt:variant>
      <vt:variant>
        <vt:lpwstr/>
      </vt:variant>
      <vt:variant>
        <vt:i4>1769566</vt:i4>
      </vt:variant>
      <vt:variant>
        <vt:i4>0</vt:i4>
      </vt:variant>
      <vt:variant>
        <vt:i4>0</vt:i4>
      </vt:variant>
      <vt:variant>
        <vt:i4>5</vt:i4>
      </vt:variant>
      <vt:variant>
        <vt:lpwstr>http://undocs.org/ch/S/RES/1325(2000)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ZXS</dc:creator>
  <cp:keywords/>
  <dc:description/>
  <cp:lastModifiedBy>CTPU ZXS</cp:lastModifiedBy>
  <cp:revision>18</cp:revision>
  <cp:lastPrinted>2014-04-02T14:00:00Z</cp:lastPrinted>
  <dcterms:created xsi:type="dcterms:W3CDTF">2014-04-02T13:50:00Z</dcterms:created>
  <dcterms:modified xsi:type="dcterms:W3CDTF">2014-04-02T14:22:00Z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1425879</vt:lpwstr>
  </property>
  <property fmtid="{D5CDD505-2E9C-101B-9397-08002B2CF9AE}" pid="3" name="Symbol1">
    <vt:lpwstr>CEDAW/C/GIN/Q/7-8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