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F25B6E" w14:textId="77777777" w:rsidTr="00333AFD">
        <w:trPr>
          <w:trHeight w:hRule="exact" w:val="851"/>
        </w:trPr>
        <w:tc>
          <w:tcPr>
            <w:tcW w:w="1280" w:type="dxa"/>
            <w:tcBorders>
              <w:bottom w:val="single" w:sz="4" w:space="0" w:color="auto"/>
            </w:tcBorders>
          </w:tcPr>
          <w:p w14:paraId="408115FC" w14:textId="77777777" w:rsidR="002D5AAC" w:rsidRDefault="002D5AAC" w:rsidP="00A011C7">
            <w:pPr>
              <w:kinsoku w:val="0"/>
              <w:overflowPunct w:val="0"/>
              <w:autoSpaceDE w:val="0"/>
              <w:autoSpaceDN w:val="0"/>
              <w:adjustRightInd w:val="0"/>
              <w:snapToGrid w:val="0"/>
            </w:pPr>
          </w:p>
        </w:tc>
        <w:tc>
          <w:tcPr>
            <w:tcW w:w="2273" w:type="dxa"/>
            <w:tcBorders>
              <w:bottom w:val="single" w:sz="4" w:space="0" w:color="auto"/>
            </w:tcBorders>
            <w:vAlign w:val="bottom"/>
          </w:tcPr>
          <w:p w14:paraId="333533C0"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B0F1702" w14:textId="37AB1CCE" w:rsidR="002D5AAC" w:rsidRDefault="00A011C7" w:rsidP="00A011C7">
            <w:pPr>
              <w:jc w:val="right"/>
            </w:pPr>
            <w:r w:rsidRPr="00A011C7">
              <w:rPr>
                <w:sz w:val="40"/>
              </w:rPr>
              <w:t>HRI</w:t>
            </w:r>
            <w:r>
              <w:t>/CORE/ZWE/2021</w:t>
            </w:r>
          </w:p>
        </w:tc>
      </w:tr>
      <w:tr w:rsidR="002D5AAC" w14:paraId="49453642" w14:textId="77777777" w:rsidTr="00333AFD">
        <w:trPr>
          <w:trHeight w:hRule="exact" w:val="2835"/>
        </w:trPr>
        <w:tc>
          <w:tcPr>
            <w:tcW w:w="1280" w:type="dxa"/>
            <w:tcBorders>
              <w:top w:val="single" w:sz="4" w:space="0" w:color="auto"/>
              <w:bottom w:val="single" w:sz="12" w:space="0" w:color="auto"/>
            </w:tcBorders>
          </w:tcPr>
          <w:p w14:paraId="68AA4B2C" w14:textId="77777777" w:rsidR="002D5AAC" w:rsidRDefault="0095700F" w:rsidP="00C057D5">
            <w:pPr>
              <w:spacing w:before="120"/>
              <w:jc w:val="center"/>
            </w:pPr>
            <w:r>
              <w:rPr>
                <w:noProof/>
              </w:rPr>
              <w:drawing>
                <wp:inline distT="0" distB="0" distL="0" distR="0" wp14:anchorId="3CDA70CA" wp14:editId="2325BB7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12CA5F"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0E31520B" w14:textId="77777777" w:rsidR="002D5AAC" w:rsidRDefault="00A011C7" w:rsidP="00C057D5">
            <w:pPr>
              <w:spacing w:before="240"/>
            </w:pPr>
            <w:r>
              <w:t>Distr. general</w:t>
            </w:r>
          </w:p>
          <w:p w14:paraId="51010408" w14:textId="77777777" w:rsidR="00A011C7" w:rsidRDefault="00A011C7" w:rsidP="00A011C7">
            <w:pPr>
              <w:spacing w:line="240" w:lineRule="exact"/>
            </w:pPr>
            <w:r>
              <w:t>18 de febrero de 2022</w:t>
            </w:r>
          </w:p>
          <w:p w14:paraId="4CDAB994" w14:textId="77777777" w:rsidR="00A011C7" w:rsidRDefault="00A011C7" w:rsidP="00A011C7">
            <w:pPr>
              <w:spacing w:line="240" w:lineRule="exact"/>
            </w:pPr>
            <w:r>
              <w:t>Español</w:t>
            </w:r>
          </w:p>
          <w:p w14:paraId="33EA943A" w14:textId="051AC242" w:rsidR="00A011C7" w:rsidRDefault="00A011C7" w:rsidP="00A011C7">
            <w:pPr>
              <w:spacing w:line="240" w:lineRule="exact"/>
            </w:pPr>
            <w:r>
              <w:t>Original: inglés</w:t>
            </w:r>
          </w:p>
        </w:tc>
      </w:tr>
    </w:tbl>
    <w:p w14:paraId="5B204EBA" w14:textId="006A6591" w:rsidR="00333AFD" w:rsidRPr="00333AFD" w:rsidRDefault="00333AFD" w:rsidP="00333AFD">
      <w:pPr>
        <w:pStyle w:val="HMG"/>
      </w:pPr>
      <w:r>
        <w:tab/>
      </w:r>
      <w:r>
        <w:tab/>
      </w:r>
      <w:r w:rsidRPr="00333AFD">
        <w:t>Documento básico común que forma parte integrante de los informes de los Estados partes</w:t>
      </w:r>
    </w:p>
    <w:p w14:paraId="01791DBA" w14:textId="704BDBF2" w:rsidR="00333AFD" w:rsidRPr="00333AFD" w:rsidRDefault="00333AFD" w:rsidP="00333AFD">
      <w:pPr>
        <w:pStyle w:val="HMG"/>
      </w:pPr>
      <w:r>
        <w:tab/>
      </w:r>
      <w:r w:rsidRPr="00333AFD">
        <w:tab/>
        <w:t>Zimbabwe</w:t>
      </w:r>
      <w:r w:rsidRPr="00333AFD">
        <w:rPr>
          <w:rStyle w:val="Refdenotaalpie"/>
          <w:b w:val="0"/>
          <w:bCs/>
          <w:sz w:val="20"/>
          <w:vertAlign w:val="baseline"/>
        </w:rPr>
        <w:footnoteReference w:customMarkFollows="1" w:id="1"/>
        <w:t>*</w:t>
      </w:r>
    </w:p>
    <w:p w14:paraId="1E76081E" w14:textId="77777777" w:rsidR="00333AFD" w:rsidRPr="00333AFD" w:rsidRDefault="00333AFD" w:rsidP="00333AFD">
      <w:pPr>
        <w:pStyle w:val="SingleTxtG"/>
        <w:jc w:val="right"/>
      </w:pPr>
      <w:r w:rsidRPr="00333AFD">
        <w:t>[Fecha de recepción: 6 de diciembre de 2021]</w:t>
      </w:r>
    </w:p>
    <w:p w14:paraId="31222C6F" w14:textId="77777777" w:rsidR="00333AFD" w:rsidRPr="00333AFD" w:rsidRDefault="00333AFD" w:rsidP="00333AFD">
      <w:pPr>
        <w:pStyle w:val="SingleTxtG"/>
        <w:rPr>
          <w:b/>
        </w:rPr>
      </w:pPr>
      <w:r w:rsidRPr="00333AFD">
        <w:br w:type="page"/>
      </w:r>
    </w:p>
    <w:p w14:paraId="76B70E0B" w14:textId="67D50103" w:rsidR="00333AFD" w:rsidRPr="00333AFD" w:rsidRDefault="00333AFD" w:rsidP="00333AFD">
      <w:pPr>
        <w:pStyle w:val="HChG"/>
      </w:pPr>
      <w:r>
        <w:lastRenderedPageBreak/>
        <w:tab/>
      </w:r>
      <w:r w:rsidRPr="00333AFD">
        <w:tab/>
        <w:t>Primera parte</w:t>
      </w:r>
      <w:r>
        <w:br/>
      </w:r>
      <w:r w:rsidRPr="00333AFD">
        <w:t>Información general</w:t>
      </w:r>
    </w:p>
    <w:p w14:paraId="67A2BE8E" w14:textId="553D76A0" w:rsidR="00333AFD" w:rsidRPr="00333AFD" w:rsidRDefault="00333AFD" w:rsidP="00333AFD">
      <w:pPr>
        <w:pStyle w:val="HChG"/>
      </w:pPr>
      <w:r w:rsidRPr="00333AFD">
        <w:rPr>
          <w:bCs/>
        </w:rPr>
        <w:tab/>
        <w:t>I.</w:t>
      </w:r>
      <w:r w:rsidRPr="00333AFD">
        <w:tab/>
        <w:t>Características demográficas, económicas, sociales y</w:t>
      </w:r>
      <w:r>
        <w:t> </w:t>
      </w:r>
      <w:r w:rsidRPr="00333AFD">
        <w:t>culturales del Estado</w:t>
      </w:r>
    </w:p>
    <w:p w14:paraId="69754E3C" w14:textId="4239F682" w:rsidR="00333AFD" w:rsidRPr="00333AFD" w:rsidRDefault="00333AFD" w:rsidP="00333AFD">
      <w:pPr>
        <w:pStyle w:val="SingleTxtG"/>
      </w:pPr>
      <w:r w:rsidRPr="00333AFD">
        <w:t>1.</w:t>
      </w:r>
      <w:r w:rsidRPr="00333AFD">
        <w:tab/>
        <w:t>Zimbabwe es un país sin litoral situado en África Meridional, dividido en 10</w:t>
      </w:r>
      <w:r w:rsidR="00F432C8">
        <w:t> </w:t>
      </w:r>
      <w:r w:rsidRPr="00333AFD">
        <w:t>provincias que comprenden 72 distritos. La superficie de Zimbabwe es de 386.848 km</w:t>
      </w:r>
      <w:r w:rsidRPr="00333AFD">
        <w:rPr>
          <w:vertAlign w:val="superscript"/>
        </w:rPr>
        <w:t>2</w:t>
      </w:r>
      <w:r w:rsidRPr="00333AFD">
        <w:t>, de los cuales 3.910 km</w:t>
      </w:r>
      <w:r w:rsidRPr="00333AFD">
        <w:rPr>
          <w:vertAlign w:val="superscript"/>
        </w:rPr>
        <w:t>2</w:t>
      </w:r>
      <w:r w:rsidRPr="00333AFD">
        <w:t xml:space="preserve"> están cubiertos por agua, el 85</w:t>
      </w:r>
      <w:r w:rsidR="00F432C8">
        <w:t xml:space="preserve"> </w:t>
      </w:r>
      <w:r w:rsidRPr="00333AFD">
        <w:t>% son tierras agrícolas y el resto son parques nacionales, bosques estatales y terrenos urbanos.</w:t>
      </w:r>
    </w:p>
    <w:p w14:paraId="54474F47" w14:textId="59FBD76A" w:rsidR="00333AFD" w:rsidRPr="00333AFD" w:rsidRDefault="00333AFD" w:rsidP="00333AFD">
      <w:pPr>
        <w:pStyle w:val="H23G"/>
      </w:pPr>
      <w:r>
        <w:tab/>
      </w:r>
      <w:r w:rsidRPr="00333AFD">
        <w:tab/>
        <w:t>Características demográficas</w:t>
      </w:r>
    </w:p>
    <w:p w14:paraId="4EB93DD2" w14:textId="77777777" w:rsidR="00333AFD" w:rsidRPr="00333AFD" w:rsidRDefault="00333AFD" w:rsidP="00333AFD">
      <w:pPr>
        <w:pStyle w:val="SingleTxtG"/>
      </w:pPr>
      <w:r w:rsidRPr="00333AFD">
        <w:t>2.</w:t>
      </w:r>
      <w:r w:rsidRPr="00333AFD">
        <w:tab/>
        <w:t>La población de Zimbabwe es de 13.714.014 habitantes. El cuadro siguiente contiene los datos demográficos desglosados.</w:t>
      </w:r>
    </w:p>
    <w:p w14:paraId="216A22D4" w14:textId="718A3926" w:rsidR="00333AFD" w:rsidRPr="00333AFD" w:rsidRDefault="00333AFD" w:rsidP="00333AFD">
      <w:pPr>
        <w:pStyle w:val="H23G"/>
      </w:pPr>
      <w:r w:rsidRPr="00333AFD">
        <w:rPr>
          <w:b w:val="0"/>
          <w:bCs/>
        </w:rPr>
        <w:tab/>
      </w:r>
      <w:r w:rsidRPr="00333AFD">
        <w:rPr>
          <w:b w:val="0"/>
          <w:bCs/>
        </w:rPr>
        <w:tab/>
        <w:t>Cuadro 1</w:t>
      </w:r>
      <w:r w:rsidRPr="00333AFD">
        <w:rPr>
          <w:b w:val="0"/>
          <w:bCs/>
        </w:rPr>
        <w:br/>
      </w:r>
      <w:r w:rsidRPr="00333AFD">
        <w:t>Indicadores demográficos</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55"/>
        <w:gridCol w:w="482"/>
        <w:gridCol w:w="17"/>
        <w:gridCol w:w="2248"/>
        <w:gridCol w:w="1843"/>
        <w:gridCol w:w="3260"/>
      </w:tblGrid>
      <w:tr w:rsidR="00333AFD" w:rsidRPr="00333AFD" w14:paraId="4130750D" w14:textId="77777777" w:rsidTr="00333AFD">
        <w:trPr>
          <w:trHeight w:val="240"/>
          <w:tblHeader/>
        </w:trPr>
        <w:tc>
          <w:tcPr>
            <w:tcW w:w="655" w:type="dxa"/>
            <w:tcBorders>
              <w:top w:val="single" w:sz="4" w:space="0" w:color="auto"/>
              <w:bottom w:val="single" w:sz="12" w:space="0" w:color="auto"/>
            </w:tcBorders>
            <w:shd w:val="clear" w:color="auto" w:fill="auto"/>
            <w:vAlign w:val="bottom"/>
          </w:tcPr>
          <w:p w14:paraId="7FC6E273" w14:textId="0BFCDBBC"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6A1449">
              <w:rPr>
                <w:i/>
                <w:iCs/>
                <w:sz w:val="16"/>
              </w:rPr>
              <w:t>ero</w:t>
            </w:r>
          </w:p>
        </w:tc>
        <w:tc>
          <w:tcPr>
            <w:tcW w:w="2747" w:type="dxa"/>
            <w:gridSpan w:val="3"/>
            <w:tcBorders>
              <w:top w:val="single" w:sz="4" w:space="0" w:color="auto"/>
              <w:bottom w:val="single" w:sz="12" w:space="0" w:color="auto"/>
            </w:tcBorders>
            <w:shd w:val="clear" w:color="auto" w:fill="auto"/>
            <w:vAlign w:val="bottom"/>
          </w:tcPr>
          <w:p w14:paraId="0BEA41E7"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Descripción</w:t>
            </w:r>
            <w:r w:rsidRPr="00333AFD">
              <w:rPr>
                <w:i/>
                <w:sz w:val="16"/>
              </w:rPr>
              <w:t xml:space="preserve"> </w:t>
            </w:r>
          </w:p>
        </w:tc>
        <w:tc>
          <w:tcPr>
            <w:tcW w:w="1843" w:type="dxa"/>
            <w:tcBorders>
              <w:top w:val="single" w:sz="4" w:space="0" w:color="auto"/>
              <w:bottom w:val="single" w:sz="12" w:space="0" w:color="auto"/>
            </w:tcBorders>
            <w:shd w:val="clear" w:color="auto" w:fill="auto"/>
            <w:vAlign w:val="bottom"/>
          </w:tcPr>
          <w:p w14:paraId="34EEF297" w14:textId="163348DC" w:rsidR="00333AFD" w:rsidRPr="00333AFD" w:rsidRDefault="00333AFD" w:rsidP="006A1449">
            <w:pPr>
              <w:pStyle w:val="SingleTxtG"/>
              <w:tabs>
                <w:tab w:val="clear" w:pos="1701"/>
                <w:tab w:val="clear" w:pos="2268"/>
                <w:tab w:val="clear" w:pos="2835"/>
              </w:tabs>
              <w:spacing w:before="80" w:after="80" w:line="200" w:lineRule="exact"/>
              <w:ind w:left="0" w:right="0"/>
              <w:jc w:val="right"/>
              <w:rPr>
                <w:i/>
                <w:sz w:val="16"/>
              </w:rPr>
            </w:pPr>
            <w:r w:rsidRPr="00333AFD">
              <w:rPr>
                <w:i/>
                <w:iCs/>
                <w:sz w:val="16"/>
              </w:rPr>
              <w:t>Valor</w:t>
            </w:r>
            <w:r w:rsidR="00F432C8">
              <w:rPr>
                <w:i/>
                <w:iCs/>
                <w:sz w:val="16"/>
              </w:rPr>
              <w:br/>
            </w:r>
            <w:r w:rsidRPr="00333AFD">
              <w:rPr>
                <w:i/>
                <w:iCs/>
                <w:sz w:val="16"/>
              </w:rPr>
              <w:t>(número o proporción)</w:t>
            </w:r>
          </w:p>
        </w:tc>
        <w:tc>
          <w:tcPr>
            <w:tcW w:w="3260" w:type="dxa"/>
            <w:tcBorders>
              <w:top w:val="single" w:sz="4" w:space="0" w:color="auto"/>
              <w:bottom w:val="single" w:sz="12" w:space="0" w:color="auto"/>
            </w:tcBorders>
            <w:shd w:val="clear" w:color="auto" w:fill="auto"/>
            <w:vAlign w:val="bottom"/>
          </w:tcPr>
          <w:p w14:paraId="4DDD631F"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Fuente</w:t>
            </w:r>
          </w:p>
        </w:tc>
      </w:tr>
      <w:tr w:rsidR="00333AFD" w:rsidRPr="00333AFD" w14:paraId="2B11C2CF" w14:textId="77777777" w:rsidTr="00333AFD">
        <w:trPr>
          <w:trHeight w:hRule="exact" w:val="113"/>
          <w:tblHeader/>
        </w:trPr>
        <w:tc>
          <w:tcPr>
            <w:tcW w:w="655" w:type="dxa"/>
            <w:tcBorders>
              <w:top w:val="single" w:sz="12" w:space="0" w:color="auto"/>
              <w:bottom w:val="nil"/>
            </w:tcBorders>
            <w:shd w:val="clear" w:color="auto" w:fill="auto"/>
            <w:vAlign w:val="bottom"/>
          </w:tcPr>
          <w:p w14:paraId="555EF29B"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iCs/>
                <w:sz w:val="16"/>
              </w:rPr>
            </w:pPr>
          </w:p>
        </w:tc>
        <w:tc>
          <w:tcPr>
            <w:tcW w:w="2747" w:type="dxa"/>
            <w:gridSpan w:val="3"/>
            <w:tcBorders>
              <w:top w:val="single" w:sz="12" w:space="0" w:color="auto"/>
              <w:bottom w:val="nil"/>
            </w:tcBorders>
            <w:shd w:val="clear" w:color="auto" w:fill="auto"/>
            <w:vAlign w:val="bottom"/>
          </w:tcPr>
          <w:p w14:paraId="368E100E"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iCs/>
                <w:sz w:val="16"/>
              </w:rPr>
            </w:pPr>
          </w:p>
        </w:tc>
        <w:tc>
          <w:tcPr>
            <w:tcW w:w="1843" w:type="dxa"/>
            <w:tcBorders>
              <w:top w:val="single" w:sz="12" w:space="0" w:color="auto"/>
              <w:bottom w:val="nil"/>
            </w:tcBorders>
            <w:shd w:val="clear" w:color="auto" w:fill="auto"/>
            <w:vAlign w:val="bottom"/>
          </w:tcPr>
          <w:p w14:paraId="030ACA92"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iCs/>
                <w:sz w:val="16"/>
              </w:rPr>
            </w:pPr>
          </w:p>
        </w:tc>
        <w:tc>
          <w:tcPr>
            <w:tcW w:w="3260" w:type="dxa"/>
            <w:tcBorders>
              <w:top w:val="single" w:sz="12" w:space="0" w:color="auto"/>
              <w:bottom w:val="nil"/>
            </w:tcBorders>
            <w:shd w:val="clear" w:color="auto" w:fill="auto"/>
            <w:vAlign w:val="bottom"/>
          </w:tcPr>
          <w:p w14:paraId="500A0294"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iCs/>
                <w:sz w:val="16"/>
              </w:rPr>
            </w:pPr>
          </w:p>
        </w:tc>
      </w:tr>
      <w:tr w:rsidR="00333AFD" w:rsidRPr="00333AFD" w14:paraId="754F3869" w14:textId="77777777" w:rsidTr="00333AFD">
        <w:trPr>
          <w:trHeight w:val="240"/>
        </w:trPr>
        <w:tc>
          <w:tcPr>
            <w:tcW w:w="655" w:type="dxa"/>
            <w:tcBorders>
              <w:top w:val="nil"/>
            </w:tcBorders>
            <w:shd w:val="clear" w:color="auto" w:fill="auto"/>
          </w:tcPr>
          <w:p w14:paraId="452F7ED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w:t>
            </w:r>
          </w:p>
        </w:tc>
        <w:tc>
          <w:tcPr>
            <w:tcW w:w="2747" w:type="dxa"/>
            <w:gridSpan w:val="3"/>
            <w:tcBorders>
              <w:top w:val="nil"/>
            </w:tcBorders>
            <w:shd w:val="clear" w:color="auto" w:fill="auto"/>
          </w:tcPr>
          <w:p w14:paraId="4A2145F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Tamaño de la población</w:t>
            </w:r>
          </w:p>
        </w:tc>
        <w:tc>
          <w:tcPr>
            <w:tcW w:w="1843" w:type="dxa"/>
            <w:tcBorders>
              <w:top w:val="nil"/>
            </w:tcBorders>
            <w:shd w:val="clear" w:color="auto" w:fill="auto"/>
          </w:tcPr>
          <w:p w14:paraId="7986AC82" w14:textId="02E3D4F9" w:rsidR="00333AFD" w:rsidRPr="00333AFD" w:rsidRDefault="00333AFD" w:rsidP="00333AFD">
            <w:pPr>
              <w:pStyle w:val="SingleTxtG"/>
              <w:tabs>
                <w:tab w:val="clear" w:pos="1701"/>
                <w:tab w:val="clear" w:pos="2268"/>
                <w:tab w:val="clear" w:pos="2835"/>
              </w:tabs>
              <w:spacing w:before="40"/>
              <w:ind w:left="0" w:right="0"/>
              <w:jc w:val="right"/>
            </w:pPr>
            <w:r w:rsidRPr="00333AFD">
              <w:t>13</w:t>
            </w:r>
            <w:r>
              <w:t xml:space="preserve"> </w:t>
            </w:r>
            <w:r w:rsidRPr="00333AFD">
              <w:t>714</w:t>
            </w:r>
            <w:r>
              <w:t xml:space="preserve"> </w:t>
            </w:r>
            <w:r w:rsidRPr="00333AFD">
              <w:t>014</w:t>
            </w:r>
          </w:p>
        </w:tc>
        <w:tc>
          <w:tcPr>
            <w:tcW w:w="3260" w:type="dxa"/>
            <w:tcBorders>
              <w:top w:val="nil"/>
            </w:tcBorders>
            <w:shd w:val="clear" w:color="auto" w:fill="auto"/>
          </w:tcPr>
          <w:p w14:paraId="3E9500D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Turismo Interno y Externo (DOTS) 2017/2018, Agencia Nacional de Estadística de Zimbabwe (ZIMSTAT)</w:t>
            </w:r>
          </w:p>
        </w:tc>
      </w:tr>
      <w:tr w:rsidR="00333AFD" w:rsidRPr="00333AFD" w14:paraId="5071D23F" w14:textId="77777777" w:rsidTr="00333AFD">
        <w:trPr>
          <w:trHeight w:val="240"/>
        </w:trPr>
        <w:tc>
          <w:tcPr>
            <w:tcW w:w="655" w:type="dxa"/>
            <w:shd w:val="clear" w:color="auto" w:fill="auto"/>
          </w:tcPr>
          <w:p w14:paraId="7B34065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w:t>
            </w:r>
          </w:p>
        </w:tc>
        <w:tc>
          <w:tcPr>
            <w:tcW w:w="2747" w:type="dxa"/>
            <w:gridSpan w:val="3"/>
            <w:shd w:val="clear" w:color="auto" w:fill="auto"/>
          </w:tcPr>
          <w:p w14:paraId="15E3E43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crecimiento demográfico</w:t>
            </w:r>
          </w:p>
        </w:tc>
        <w:tc>
          <w:tcPr>
            <w:tcW w:w="1843" w:type="dxa"/>
            <w:shd w:val="clear" w:color="auto" w:fill="auto"/>
          </w:tcPr>
          <w:p w14:paraId="62B5E246" w14:textId="0C169A4E" w:rsidR="00333AFD" w:rsidRPr="00333AFD" w:rsidRDefault="00333AFD" w:rsidP="00333AFD">
            <w:pPr>
              <w:pStyle w:val="SingleTxtG"/>
              <w:tabs>
                <w:tab w:val="clear" w:pos="1701"/>
                <w:tab w:val="clear" w:pos="2268"/>
                <w:tab w:val="clear" w:pos="2835"/>
              </w:tabs>
              <w:spacing w:before="40"/>
              <w:ind w:left="0" w:right="0"/>
              <w:jc w:val="right"/>
            </w:pPr>
            <w:r w:rsidRPr="00333AFD">
              <w:t>2</w:t>
            </w:r>
            <w:r>
              <w:t xml:space="preserve"> </w:t>
            </w:r>
            <w:r w:rsidRPr="00333AFD">
              <w:t>%</w:t>
            </w:r>
          </w:p>
        </w:tc>
        <w:tc>
          <w:tcPr>
            <w:tcW w:w="3260" w:type="dxa"/>
            <w:shd w:val="clear" w:color="auto" w:fill="auto"/>
          </w:tcPr>
          <w:p w14:paraId="76B6734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Demográfica Intercensal (ICDS) 2017, ZIMSTAT</w:t>
            </w:r>
          </w:p>
        </w:tc>
      </w:tr>
      <w:tr w:rsidR="00333AFD" w:rsidRPr="00333AFD" w14:paraId="56564386" w14:textId="77777777" w:rsidTr="00333AFD">
        <w:trPr>
          <w:trHeight w:val="240"/>
        </w:trPr>
        <w:tc>
          <w:tcPr>
            <w:tcW w:w="655" w:type="dxa"/>
            <w:shd w:val="clear" w:color="auto" w:fill="auto"/>
          </w:tcPr>
          <w:p w14:paraId="399B982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3.</w:t>
            </w:r>
          </w:p>
        </w:tc>
        <w:tc>
          <w:tcPr>
            <w:tcW w:w="2747" w:type="dxa"/>
            <w:gridSpan w:val="3"/>
            <w:shd w:val="clear" w:color="auto" w:fill="auto"/>
          </w:tcPr>
          <w:p w14:paraId="2129AF4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Densidad de población</w:t>
            </w:r>
          </w:p>
        </w:tc>
        <w:tc>
          <w:tcPr>
            <w:tcW w:w="1843" w:type="dxa"/>
            <w:shd w:val="clear" w:color="auto" w:fill="auto"/>
          </w:tcPr>
          <w:p w14:paraId="5736ABE2"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35 personas por km</w:t>
            </w:r>
            <w:r w:rsidRPr="00333AFD">
              <w:rPr>
                <w:vertAlign w:val="superscript"/>
              </w:rPr>
              <w:t>2</w:t>
            </w:r>
          </w:p>
        </w:tc>
        <w:tc>
          <w:tcPr>
            <w:tcW w:w="3260" w:type="dxa"/>
            <w:shd w:val="clear" w:color="auto" w:fill="auto"/>
          </w:tcPr>
          <w:p w14:paraId="676CDC8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DOTS 2017/2018, ZIMSTAT</w:t>
            </w:r>
          </w:p>
        </w:tc>
      </w:tr>
      <w:tr w:rsidR="00333AFD" w:rsidRPr="00333AFD" w14:paraId="3A69D921" w14:textId="77777777" w:rsidTr="00333AFD">
        <w:trPr>
          <w:trHeight w:val="240"/>
        </w:trPr>
        <w:tc>
          <w:tcPr>
            <w:tcW w:w="655" w:type="dxa"/>
            <w:vMerge w:val="restart"/>
            <w:shd w:val="clear" w:color="auto" w:fill="auto"/>
          </w:tcPr>
          <w:p w14:paraId="466942E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4.</w:t>
            </w:r>
          </w:p>
        </w:tc>
        <w:tc>
          <w:tcPr>
            <w:tcW w:w="7850" w:type="dxa"/>
            <w:gridSpan w:val="5"/>
            <w:shd w:val="clear" w:color="auto" w:fill="auto"/>
          </w:tcPr>
          <w:p w14:paraId="4F38358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Distribución de la población por idioma</w:t>
            </w:r>
          </w:p>
        </w:tc>
      </w:tr>
      <w:tr w:rsidR="00333AFD" w:rsidRPr="00333AFD" w14:paraId="1C7B2A5F" w14:textId="77777777" w:rsidTr="00333AFD">
        <w:trPr>
          <w:trHeight w:val="240"/>
        </w:trPr>
        <w:tc>
          <w:tcPr>
            <w:tcW w:w="655" w:type="dxa"/>
            <w:vMerge/>
            <w:shd w:val="clear" w:color="auto" w:fill="auto"/>
          </w:tcPr>
          <w:p w14:paraId="09BB881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7A61215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48" w:type="dxa"/>
            <w:shd w:val="clear" w:color="auto" w:fill="auto"/>
          </w:tcPr>
          <w:p w14:paraId="7B49D76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Chewa</w:t>
            </w:r>
          </w:p>
        </w:tc>
        <w:tc>
          <w:tcPr>
            <w:tcW w:w="1843" w:type="dxa"/>
            <w:shd w:val="clear" w:color="auto" w:fill="auto"/>
          </w:tcPr>
          <w:p w14:paraId="5AD99CE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val="restart"/>
            <w:shd w:val="clear" w:color="auto" w:fill="auto"/>
            <w:vAlign w:val="center"/>
          </w:tcPr>
          <w:p w14:paraId="59B8AAB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El artículo 6 de la Constitución de Zimbabwe reconoce 16 idiomas oficiales.</w:t>
            </w:r>
          </w:p>
        </w:tc>
      </w:tr>
      <w:tr w:rsidR="00333AFD" w:rsidRPr="00333AFD" w14:paraId="63E00E28" w14:textId="77777777" w:rsidTr="00333AFD">
        <w:trPr>
          <w:trHeight w:val="240"/>
        </w:trPr>
        <w:tc>
          <w:tcPr>
            <w:tcW w:w="655" w:type="dxa"/>
            <w:vMerge/>
            <w:shd w:val="clear" w:color="auto" w:fill="auto"/>
          </w:tcPr>
          <w:p w14:paraId="3C152ED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13B2CE0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48" w:type="dxa"/>
            <w:shd w:val="clear" w:color="auto" w:fill="auto"/>
          </w:tcPr>
          <w:p w14:paraId="4D96361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Chibarwe</w:t>
            </w:r>
          </w:p>
        </w:tc>
        <w:tc>
          <w:tcPr>
            <w:tcW w:w="1843" w:type="dxa"/>
            <w:shd w:val="clear" w:color="auto" w:fill="auto"/>
          </w:tcPr>
          <w:p w14:paraId="16A6B50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147B93C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1B12C98" w14:textId="77777777" w:rsidTr="00333AFD">
        <w:trPr>
          <w:trHeight w:val="240"/>
        </w:trPr>
        <w:tc>
          <w:tcPr>
            <w:tcW w:w="655" w:type="dxa"/>
            <w:vMerge/>
            <w:shd w:val="clear" w:color="auto" w:fill="auto"/>
          </w:tcPr>
          <w:p w14:paraId="258BF378"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0507FB6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248" w:type="dxa"/>
            <w:shd w:val="clear" w:color="auto" w:fill="auto"/>
          </w:tcPr>
          <w:p w14:paraId="1E43F90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Inglés</w:t>
            </w:r>
          </w:p>
        </w:tc>
        <w:tc>
          <w:tcPr>
            <w:tcW w:w="1843" w:type="dxa"/>
            <w:shd w:val="clear" w:color="auto" w:fill="auto"/>
          </w:tcPr>
          <w:p w14:paraId="30B5693F"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3A935859"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1B1476B" w14:textId="77777777" w:rsidTr="00333AFD">
        <w:trPr>
          <w:trHeight w:val="240"/>
        </w:trPr>
        <w:tc>
          <w:tcPr>
            <w:tcW w:w="655" w:type="dxa"/>
            <w:vMerge/>
            <w:shd w:val="clear" w:color="auto" w:fill="auto"/>
          </w:tcPr>
          <w:p w14:paraId="45088A0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73A3FAF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248" w:type="dxa"/>
            <w:shd w:val="clear" w:color="auto" w:fill="auto"/>
          </w:tcPr>
          <w:p w14:paraId="74DFE06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Kalanga</w:t>
            </w:r>
          </w:p>
        </w:tc>
        <w:tc>
          <w:tcPr>
            <w:tcW w:w="1843" w:type="dxa"/>
            <w:shd w:val="clear" w:color="auto" w:fill="auto"/>
          </w:tcPr>
          <w:p w14:paraId="4BB1717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715AC129"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2619D78" w14:textId="77777777" w:rsidTr="00333AFD">
        <w:trPr>
          <w:trHeight w:val="240"/>
        </w:trPr>
        <w:tc>
          <w:tcPr>
            <w:tcW w:w="655" w:type="dxa"/>
            <w:vMerge/>
            <w:shd w:val="clear" w:color="auto" w:fill="auto"/>
          </w:tcPr>
          <w:p w14:paraId="490DA1B9"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2B02057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w:t>
            </w:r>
          </w:p>
        </w:tc>
        <w:tc>
          <w:tcPr>
            <w:tcW w:w="2248" w:type="dxa"/>
            <w:shd w:val="clear" w:color="auto" w:fill="auto"/>
          </w:tcPr>
          <w:p w14:paraId="0799204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Koisan</w:t>
            </w:r>
          </w:p>
        </w:tc>
        <w:tc>
          <w:tcPr>
            <w:tcW w:w="1843" w:type="dxa"/>
            <w:shd w:val="clear" w:color="auto" w:fill="auto"/>
          </w:tcPr>
          <w:p w14:paraId="1877AFB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429CBF3F"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798F3DE4" w14:textId="77777777" w:rsidTr="00333AFD">
        <w:trPr>
          <w:trHeight w:val="240"/>
        </w:trPr>
        <w:tc>
          <w:tcPr>
            <w:tcW w:w="655" w:type="dxa"/>
            <w:vMerge/>
            <w:shd w:val="clear" w:color="auto" w:fill="auto"/>
          </w:tcPr>
          <w:p w14:paraId="45E2C64E"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27DE83A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f)</w:t>
            </w:r>
          </w:p>
        </w:tc>
        <w:tc>
          <w:tcPr>
            <w:tcW w:w="2248" w:type="dxa"/>
            <w:shd w:val="clear" w:color="auto" w:fill="auto"/>
          </w:tcPr>
          <w:p w14:paraId="1E6CF43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Nambya</w:t>
            </w:r>
          </w:p>
        </w:tc>
        <w:tc>
          <w:tcPr>
            <w:tcW w:w="1843" w:type="dxa"/>
            <w:shd w:val="clear" w:color="auto" w:fill="auto"/>
          </w:tcPr>
          <w:p w14:paraId="54E26A7A"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0D1BAB8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5D01358C" w14:textId="77777777" w:rsidTr="00333AFD">
        <w:trPr>
          <w:trHeight w:val="240"/>
        </w:trPr>
        <w:tc>
          <w:tcPr>
            <w:tcW w:w="655" w:type="dxa"/>
            <w:vMerge/>
            <w:shd w:val="clear" w:color="auto" w:fill="auto"/>
          </w:tcPr>
          <w:p w14:paraId="07463F5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2CF92C5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g)</w:t>
            </w:r>
          </w:p>
        </w:tc>
        <w:tc>
          <w:tcPr>
            <w:tcW w:w="2248" w:type="dxa"/>
            <w:shd w:val="clear" w:color="auto" w:fill="auto"/>
          </w:tcPr>
          <w:p w14:paraId="6E27253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Ndau</w:t>
            </w:r>
          </w:p>
        </w:tc>
        <w:tc>
          <w:tcPr>
            <w:tcW w:w="1843" w:type="dxa"/>
            <w:shd w:val="clear" w:color="auto" w:fill="auto"/>
          </w:tcPr>
          <w:p w14:paraId="6ECB11AE"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7F723FA9"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254D7D3" w14:textId="77777777" w:rsidTr="00333AFD">
        <w:trPr>
          <w:trHeight w:val="240"/>
        </w:trPr>
        <w:tc>
          <w:tcPr>
            <w:tcW w:w="655" w:type="dxa"/>
            <w:vMerge/>
            <w:shd w:val="clear" w:color="auto" w:fill="auto"/>
          </w:tcPr>
          <w:p w14:paraId="12701F24"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7267756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h)</w:t>
            </w:r>
          </w:p>
        </w:tc>
        <w:tc>
          <w:tcPr>
            <w:tcW w:w="2248" w:type="dxa"/>
            <w:shd w:val="clear" w:color="auto" w:fill="auto"/>
          </w:tcPr>
          <w:p w14:paraId="060FDBA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Ndebele</w:t>
            </w:r>
          </w:p>
        </w:tc>
        <w:tc>
          <w:tcPr>
            <w:tcW w:w="1843" w:type="dxa"/>
            <w:shd w:val="clear" w:color="auto" w:fill="auto"/>
          </w:tcPr>
          <w:p w14:paraId="2969F9B9"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619DEB32"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8D62167" w14:textId="77777777" w:rsidTr="00333AFD">
        <w:trPr>
          <w:trHeight w:val="240"/>
        </w:trPr>
        <w:tc>
          <w:tcPr>
            <w:tcW w:w="655" w:type="dxa"/>
            <w:vMerge/>
            <w:shd w:val="clear" w:color="auto" w:fill="auto"/>
          </w:tcPr>
          <w:p w14:paraId="0BE87A65"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70AC25C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w:t>
            </w:r>
          </w:p>
        </w:tc>
        <w:tc>
          <w:tcPr>
            <w:tcW w:w="2248" w:type="dxa"/>
            <w:shd w:val="clear" w:color="auto" w:fill="auto"/>
          </w:tcPr>
          <w:p w14:paraId="1731E66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Shangani</w:t>
            </w:r>
          </w:p>
        </w:tc>
        <w:tc>
          <w:tcPr>
            <w:tcW w:w="1843" w:type="dxa"/>
            <w:shd w:val="clear" w:color="auto" w:fill="auto"/>
          </w:tcPr>
          <w:p w14:paraId="7061B57E"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Disponible</w:t>
            </w:r>
          </w:p>
        </w:tc>
        <w:tc>
          <w:tcPr>
            <w:tcW w:w="3260" w:type="dxa"/>
            <w:vMerge/>
            <w:shd w:val="clear" w:color="auto" w:fill="auto"/>
          </w:tcPr>
          <w:p w14:paraId="6F7C911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1388433" w14:textId="77777777" w:rsidTr="00333AFD">
        <w:trPr>
          <w:trHeight w:val="240"/>
        </w:trPr>
        <w:tc>
          <w:tcPr>
            <w:tcW w:w="655" w:type="dxa"/>
            <w:vMerge/>
            <w:shd w:val="clear" w:color="auto" w:fill="auto"/>
          </w:tcPr>
          <w:p w14:paraId="69CC395E"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5AC1B9E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j)</w:t>
            </w:r>
          </w:p>
        </w:tc>
        <w:tc>
          <w:tcPr>
            <w:tcW w:w="2248" w:type="dxa"/>
            <w:shd w:val="clear" w:color="auto" w:fill="auto"/>
          </w:tcPr>
          <w:p w14:paraId="55054B8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Shona</w:t>
            </w:r>
          </w:p>
        </w:tc>
        <w:tc>
          <w:tcPr>
            <w:tcW w:w="1843" w:type="dxa"/>
            <w:shd w:val="clear" w:color="auto" w:fill="auto"/>
          </w:tcPr>
          <w:p w14:paraId="472E4803"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558D851D"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FDA1E64" w14:textId="77777777" w:rsidTr="00333AFD">
        <w:trPr>
          <w:trHeight w:val="240"/>
        </w:trPr>
        <w:tc>
          <w:tcPr>
            <w:tcW w:w="655" w:type="dxa"/>
            <w:vMerge/>
            <w:shd w:val="clear" w:color="auto" w:fill="auto"/>
          </w:tcPr>
          <w:p w14:paraId="60346A1F"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55D8200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k)</w:t>
            </w:r>
          </w:p>
        </w:tc>
        <w:tc>
          <w:tcPr>
            <w:tcW w:w="2248" w:type="dxa"/>
            <w:shd w:val="clear" w:color="auto" w:fill="auto"/>
          </w:tcPr>
          <w:p w14:paraId="5F523EB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Lengua de señas</w:t>
            </w:r>
          </w:p>
        </w:tc>
        <w:tc>
          <w:tcPr>
            <w:tcW w:w="1843" w:type="dxa"/>
            <w:shd w:val="clear" w:color="auto" w:fill="auto"/>
          </w:tcPr>
          <w:p w14:paraId="713C7121"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36CCF4DA"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1A2C432" w14:textId="77777777" w:rsidTr="00333AFD">
        <w:trPr>
          <w:trHeight w:val="240"/>
        </w:trPr>
        <w:tc>
          <w:tcPr>
            <w:tcW w:w="655" w:type="dxa"/>
            <w:vMerge/>
            <w:shd w:val="clear" w:color="auto" w:fill="auto"/>
          </w:tcPr>
          <w:p w14:paraId="1DCCE24F"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5812AD7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l)</w:t>
            </w:r>
          </w:p>
        </w:tc>
        <w:tc>
          <w:tcPr>
            <w:tcW w:w="2248" w:type="dxa"/>
            <w:shd w:val="clear" w:color="auto" w:fill="auto"/>
          </w:tcPr>
          <w:p w14:paraId="5F9593F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Soto</w:t>
            </w:r>
          </w:p>
        </w:tc>
        <w:tc>
          <w:tcPr>
            <w:tcW w:w="1843" w:type="dxa"/>
            <w:shd w:val="clear" w:color="auto" w:fill="auto"/>
          </w:tcPr>
          <w:p w14:paraId="085AF7A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24DB71A0"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50B954ED" w14:textId="77777777" w:rsidTr="00333AFD">
        <w:trPr>
          <w:trHeight w:val="240"/>
        </w:trPr>
        <w:tc>
          <w:tcPr>
            <w:tcW w:w="655" w:type="dxa"/>
            <w:vMerge/>
            <w:shd w:val="clear" w:color="auto" w:fill="auto"/>
          </w:tcPr>
          <w:p w14:paraId="2C4D671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3077B3C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w:t>
            </w:r>
          </w:p>
        </w:tc>
        <w:tc>
          <w:tcPr>
            <w:tcW w:w="2248" w:type="dxa"/>
            <w:shd w:val="clear" w:color="auto" w:fill="auto"/>
          </w:tcPr>
          <w:p w14:paraId="7B394A8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Tonga</w:t>
            </w:r>
          </w:p>
        </w:tc>
        <w:tc>
          <w:tcPr>
            <w:tcW w:w="1843" w:type="dxa"/>
            <w:shd w:val="clear" w:color="auto" w:fill="auto"/>
          </w:tcPr>
          <w:p w14:paraId="5FEE4BA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53D941AC"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264E602" w14:textId="77777777" w:rsidTr="00333AFD">
        <w:trPr>
          <w:trHeight w:val="240"/>
        </w:trPr>
        <w:tc>
          <w:tcPr>
            <w:tcW w:w="655" w:type="dxa"/>
            <w:vMerge/>
            <w:shd w:val="clear" w:color="auto" w:fill="auto"/>
          </w:tcPr>
          <w:p w14:paraId="70FBE215"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0A1D459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w:t>
            </w:r>
          </w:p>
        </w:tc>
        <w:tc>
          <w:tcPr>
            <w:tcW w:w="2248" w:type="dxa"/>
            <w:shd w:val="clear" w:color="auto" w:fill="auto"/>
          </w:tcPr>
          <w:p w14:paraId="2003F61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Tswana</w:t>
            </w:r>
          </w:p>
        </w:tc>
        <w:tc>
          <w:tcPr>
            <w:tcW w:w="1843" w:type="dxa"/>
            <w:shd w:val="clear" w:color="auto" w:fill="auto"/>
          </w:tcPr>
          <w:p w14:paraId="5304C5B1"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7921025F"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1F3EC20" w14:textId="77777777" w:rsidTr="00333AFD">
        <w:trPr>
          <w:trHeight w:val="240"/>
        </w:trPr>
        <w:tc>
          <w:tcPr>
            <w:tcW w:w="655" w:type="dxa"/>
            <w:vMerge/>
            <w:shd w:val="clear" w:color="auto" w:fill="auto"/>
          </w:tcPr>
          <w:p w14:paraId="73D898F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57721FF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o)</w:t>
            </w:r>
          </w:p>
        </w:tc>
        <w:tc>
          <w:tcPr>
            <w:tcW w:w="2248" w:type="dxa"/>
            <w:shd w:val="clear" w:color="auto" w:fill="auto"/>
          </w:tcPr>
          <w:p w14:paraId="50403F0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Venda</w:t>
            </w:r>
          </w:p>
        </w:tc>
        <w:tc>
          <w:tcPr>
            <w:tcW w:w="1843" w:type="dxa"/>
            <w:shd w:val="clear" w:color="auto" w:fill="auto"/>
          </w:tcPr>
          <w:p w14:paraId="4BBF17FB"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7D07DE9B"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6594D17" w14:textId="77777777" w:rsidTr="00333AFD">
        <w:trPr>
          <w:trHeight w:val="240"/>
        </w:trPr>
        <w:tc>
          <w:tcPr>
            <w:tcW w:w="655" w:type="dxa"/>
            <w:vMerge/>
            <w:shd w:val="clear" w:color="auto" w:fill="auto"/>
          </w:tcPr>
          <w:p w14:paraId="75B65F5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99" w:type="dxa"/>
            <w:gridSpan w:val="2"/>
            <w:shd w:val="clear" w:color="auto" w:fill="auto"/>
          </w:tcPr>
          <w:p w14:paraId="7075678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w:t>
            </w:r>
          </w:p>
        </w:tc>
        <w:tc>
          <w:tcPr>
            <w:tcW w:w="2248" w:type="dxa"/>
            <w:shd w:val="clear" w:color="auto" w:fill="auto"/>
          </w:tcPr>
          <w:p w14:paraId="6311598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Xhosa</w:t>
            </w:r>
          </w:p>
        </w:tc>
        <w:tc>
          <w:tcPr>
            <w:tcW w:w="1843" w:type="dxa"/>
            <w:shd w:val="clear" w:color="auto" w:fill="auto"/>
          </w:tcPr>
          <w:p w14:paraId="2BA41511"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vMerge/>
            <w:shd w:val="clear" w:color="auto" w:fill="auto"/>
          </w:tcPr>
          <w:p w14:paraId="50C8E72B"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5F94306A" w14:textId="77777777" w:rsidTr="00333AFD">
        <w:trPr>
          <w:trHeight w:val="240"/>
        </w:trPr>
        <w:tc>
          <w:tcPr>
            <w:tcW w:w="655" w:type="dxa"/>
            <w:vMerge w:val="restart"/>
            <w:shd w:val="clear" w:color="auto" w:fill="auto"/>
          </w:tcPr>
          <w:p w14:paraId="6AEF377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5.</w:t>
            </w:r>
          </w:p>
        </w:tc>
        <w:tc>
          <w:tcPr>
            <w:tcW w:w="2747" w:type="dxa"/>
            <w:gridSpan w:val="3"/>
            <w:shd w:val="clear" w:color="auto" w:fill="auto"/>
          </w:tcPr>
          <w:p w14:paraId="7630588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Religión</w:t>
            </w:r>
          </w:p>
        </w:tc>
        <w:tc>
          <w:tcPr>
            <w:tcW w:w="5103" w:type="dxa"/>
            <w:gridSpan w:val="2"/>
            <w:shd w:val="clear" w:color="auto" w:fill="auto"/>
          </w:tcPr>
          <w:p w14:paraId="37C01937"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AB4102B" w14:textId="77777777" w:rsidTr="00333AFD">
        <w:trPr>
          <w:trHeight w:val="240"/>
        </w:trPr>
        <w:tc>
          <w:tcPr>
            <w:tcW w:w="655" w:type="dxa"/>
            <w:vMerge/>
            <w:shd w:val="clear" w:color="auto" w:fill="auto"/>
          </w:tcPr>
          <w:p w14:paraId="53123FC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7E24A28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5E7B356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Cristianismo </w:t>
            </w:r>
          </w:p>
        </w:tc>
        <w:tc>
          <w:tcPr>
            <w:tcW w:w="1843" w:type="dxa"/>
            <w:shd w:val="clear" w:color="auto" w:fill="auto"/>
          </w:tcPr>
          <w:p w14:paraId="37BDC5DB" w14:textId="5B3E3658" w:rsidR="00333AFD" w:rsidRPr="00333AFD" w:rsidRDefault="00333AFD" w:rsidP="00333AFD">
            <w:pPr>
              <w:pStyle w:val="SingleTxtG"/>
              <w:tabs>
                <w:tab w:val="clear" w:pos="1701"/>
                <w:tab w:val="clear" w:pos="2268"/>
                <w:tab w:val="clear" w:pos="2835"/>
              </w:tabs>
              <w:spacing w:before="40"/>
              <w:ind w:left="0" w:right="0"/>
              <w:jc w:val="right"/>
            </w:pPr>
            <w:r w:rsidRPr="00333AFD">
              <w:t>84,1</w:t>
            </w:r>
            <w:r>
              <w:t xml:space="preserve"> </w:t>
            </w:r>
            <w:r w:rsidRPr="00333AFD">
              <w:t>%</w:t>
            </w:r>
          </w:p>
        </w:tc>
        <w:tc>
          <w:tcPr>
            <w:tcW w:w="3260" w:type="dxa"/>
            <w:shd w:val="clear" w:color="auto" w:fill="auto"/>
          </w:tcPr>
          <w:p w14:paraId="065C36E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77AC4C62" w14:textId="77777777" w:rsidTr="00333AFD">
        <w:trPr>
          <w:trHeight w:val="240"/>
        </w:trPr>
        <w:tc>
          <w:tcPr>
            <w:tcW w:w="655" w:type="dxa"/>
            <w:vMerge/>
            <w:shd w:val="clear" w:color="auto" w:fill="auto"/>
          </w:tcPr>
          <w:p w14:paraId="08DD14F2"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24793AC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59D13E0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Islamismo</w:t>
            </w:r>
          </w:p>
        </w:tc>
        <w:tc>
          <w:tcPr>
            <w:tcW w:w="1843" w:type="dxa"/>
            <w:shd w:val="clear" w:color="auto" w:fill="auto"/>
          </w:tcPr>
          <w:p w14:paraId="4B45B344" w14:textId="2D9C1723" w:rsidR="00333AFD" w:rsidRPr="00333AFD" w:rsidRDefault="00333AFD" w:rsidP="00333AFD">
            <w:pPr>
              <w:pStyle w:val="SingleTxtG"/>
              <w:tabs>
                <w:tab w:val="clear" w:pos="1701"/>
                <w:tab w:val="clear" w:pos="2268"/>
                <w:tab w:val="clear" w:pos="2835"/>
              </w:tabs>
              <w:spacing w:before="40"/>
              <w:ind w:left="0" w:right="0"/>
              <w:jc w:val="right"/>
            </w:pPr>
            <w:r w:rsidRPr="00333AFD">
              <w:t>0,7</w:t>
            </w:r>
            <w:r>
              <w:t xml:space="preserve"> </w:t>
            </w:r>
            <w:r w:rsidRPr="00333AFD">
              <w:t>%</w:t>
            </w:r>
          </w:p>
        </w:tc>
        <w:tc>
          <w:tcPr>
            <w:tcW w:w="3260" w:type="dxa"/>
            <w:shd w:val="clear" w:color="auto" w:fill="auto"/>
          </w:tcPr>
          <w:p w14:paraId="4BFB02E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55504D52" w14:textId="77777777" w:rsidTr="00333AFD">
        <w:trPr>
          <w:trHeight w:val="240"/>
        </w:trPr>
        <w:tc>
          <w:tcPr>
            <w:tcW w:w="655" w:type="dxa"/>
            <w:vMerge/>
            <w:shd w:val="clear" w:color="auto" w:fill="auto"/>
          </w:tcPr>
          <w:p w14:paraId="27FB4955"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6E3913E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265" w:type="dxa"/>
            <w:gridSpan w:val="2"/>
            <w:shd w:val="clear" w:color="auto" w:fill="auto"/>
          </w:tcPr>
          <w:p w14:paraId="1EBE40F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Religiones africanas tradicionales </w:t>
            </w:r>
          </w:p>
        </w:tc>
        <w:tc>
          <w:tcPr>
            <w:tcW w:w="1843" w:type="dxa"/>
            <w:shd w:val="clear" w:color="auto" w:fill="auto"/>
          </w:tcPr>
          <w:p w14:paraId="03CF23DE" w14:textId="563B1B58" w:rsidR="00333AFD" w:rsidRPr="00333AFD" w:rsidRDefault="00333AFD" w:rsidP="00333AFD">
            <w:pPr>
              <w:pStyle w:val="SingleTxtG"/>
              <w:tabs>
                <w:tab w:val="clear" w:pos="1701"/>
                <w:tab w:val="clear" w:pos="2268"/>
                <w:tab w:val="clear" w:pos="2835"/>
              </w:tabs>
              <w:spacing w:before="40"/>
              <w:ind w:left="0" w:right="0"/>
              <w:jc w:val="right"/>
            </w:pPr>
            <w:r w:rsidRPr="00333AFD">
              <w:t>4,5</w:t>
            </w:r>
            <w:r>
              <w:t xml:space="preserve"> </w:t>
            </w:r>
            <w:r w:rsidRPr="00333AFD">
              <w:t>%</w:t>
            </w:r>
          </w:p>
        </w:tc>
        <w:tc>
          <w:tcPr>
            <w:tcW w:w="3260" w:type="dxa"/>
            <w:shd w:val="clear" w:color="auto" w:fill="auto"/>
          </w:tcPr>
          <w:p w14:paraId="3C9FB0D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087CF444" w14:textId="77777777" w:rsidTr="00333AFD">
        <w:trPr>
          <w:trHeight w:val="240"/>
        </w:trPr>
        <w:tc>
          <w:tcPr>
            <w:tcW w:w="655" w:type="dxa"/>
            <w:vMerge/>
            <w:shd w:val="clear" w:color="auto" w:fill="auto"/>
          </w:tcPr>
          <w:p w14:paraId="04B3307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6957DBE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265" w:type="dxa"/>
            <w:gridSpan w:val="2"/>
            <w:shd w:val="clear" w:color="auto" w:fill="auto"/>
          </w:tcPr>
          <w:p w14:paraId="6A9B814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Otra </w:t>
            </w:r>
          </w:p>
        </w:tc>
        <w:tc>
          <w:tcPr>
            <w:tcW w:w="1843" w:type="dxa"/>
            <w:shd w:val="clear" w:color="auto" w:fill="auto"/>
          </w:tcPr>
          <w:p w14:paraId="6ABC987A" w14:textId="4CC45514" w:rsidR="00333AFD" w:rsidRPr="00333AFD" w:rsidRDefault="00333AFD" w:rsidP="00333AFD">
            <w:pPr>
              <w:pStyle w:val="SingleTxtG"/>
              <w:tabs>
                <w:tab w:val="clear" w:pos="1701"/>
                <w:tab w:val="clear" w:pos="2268"/>
                <w:tab w:val="clear" w:pos="2835"/>
              </w:tabs>
              <w:spacing w:before="40"/>
              <w:ind w:left="0" w:right="0"/>
              <w:jc w:val="right"/>
            </w:pPr>
            <w:r w:rsidRPr="00333AFD">
              <w:t>0,5</w:t>
            </w:r>
            <w:r>
              <w:t xml:space="preserve"> </w:t>
            </w:r>
            <w:r w:rsidRPr="00333AFD">
              <w:t>%</w:t>
            </w:r>
          </w:p>
        </w:tc>
        <w:tc>
          <w:tcPr>
            <w:tcW w:w="3260" w:type="dxa"/>
            <w:shd w:val="clear" w:color="auto" w:fill="auto"/>
          </w:tcPr>
          <w:p w14:paraId="603265E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760146D8" w14:textId="77777777" w:rsidTr="00333AFD">
        <w:trPr>
          <w:trHeight w:val="240"/>
        </w:trPr>
        <w:tc>
          <w:tcPr>
            <w:tcW w:w="655" w:type="dxa"/>
            <w:vMerge/>
            <w:shd w:val="clear" w:color="auto" w:fill="auto"/>
          </w:tcPr>
          <w:p w14:paraId="3CB38CE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4F31363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w:t>
            </w:r>
          </w:p>
        </w:tc>
        <w:tc>
          <w:tcPr>
            <w:tcW w:w="2265" w:type="dxa"/>
            <w:gridSpan w:val="2"/>
            <w:shd w:val="clear" w:color="auto" w:fill="auto"/>
          </w:tcPr>
          <w:p w14:paraId="2DFA7E1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Ninguna</w:t>
            </w:r>
          </w:p>
        </w:tc>
        <w:tc>
          <w:tcPr>
            <w:tcW w:w="1843" w:type="dxa"/>
            <w:shd w:val="clear" w:color="auto" w:fill="auto"/>
          </w:tcPr>
          <w:p w14:paraId="7DC49145" w14:textId="6EC525E8" w:rsidR="00333AFD" w:rsidRPr="00333AFD" w:rsidRDefault="00333AFD" w:rsidP="00333AFD">
            <w:pPr>
              <w:pStyle w:val="SingleTxtG"/>
              <w:tabs>
                <w:tab w:val="clear" w:pos="1701"/>
                <w:tab w:val="clear" w:pos="2268"/>
                <w:tab w:val="clear" w:pos="2835"/>
              </w:tabs>
              <w:spacing w:before="40"/>
              <w:ind w:left="0" w:right="0"/>
              <w:jc w:val="right"/>
            </w:pPr>
            <w:r w:rsidRPr="00333AFD">
              <w:t>10,2</w:t>
            </w:r>
            <w:r>
              <w:t xml:space="preserve"> </w:t>
            </w:r>
            <w:r w:rsidRPr="00333AFD">
              <w:t>%</w:t>
            </w:r>
          </w:p>
        </w:tc>
        <w:tc>
          <w:tcPr>
            <w:tcW w:w="3260" w:type="dxa"/>
            <w:shd w:val="clear" w:color="auto" w:fill="auto"/>
          </w:tcPr>
          <w:p w14:paraId="7905FE7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7708DDEA" w14:textId="77777777" w:rsidTr="00333AFD">
        <w:trPr>
          <w:trHeight w:val="240"/>
        </w:trPr>
        <w:tc>
          <w:tcPr>
            <w:tcW w:w="655" w:type="dxa"/>
            <w:shd w:val="clear" w:color="auto" w:fill="auto"/>
          </w:tcPr>
          <w:p w14:paraId="2A07BE4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6.</w:t>
            </w:r>
          </w:p>
        </w:tc>
        <w:tc>
          <w:tcPr>
            <w:tcW w:w="2747" w:type="dxa"/>
            <w:gridSpan w:val="3"/>
            <w:shd w:val="clear" w:color="auto" w:fill="auto"/>
          </w:tcPr>
          <w:p w14:paraId="061BCD1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Etnia</w:t>
            </w:r>
          </w:p>
        </w:tc>
        <w:tc>
          <w:tcPr>
            <w:tcW w:w="5103" w:type="dxa"/>
            <w:gridSpan w:val="2"/>
            <w:shd w:val="clear" w:color="auto" w:fill="auto"/>
          </w:tcPr>
          <w:p w14:paraId="7396B0C8"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70620974" w14:textId="77777777" w:rsidTr="00333AFD">
        <w:trPr>
          <w:trHeight w:val="240"/>
        </w:trPr>
        <w:tc>
          <w:tcPr>
            <w:tcW w:w="655" w:type="dxa"/>
            <w:vMerge w:val="restart"/>
            <w:shd w:val="clear" w:color="auto" w:fill="auto"/>
          </w:tcPr>
          <w:p w14:paraId="2A36648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03BC498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695D340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Africana </w:t>
            </w:r>
          </w:p>
        </w:tc>
        <w:tc>
          <w:tcPr>
            <w:tcW w:w="1843" w:type="dxa"/>
            <w:shd w:val="clear" w:color="auto" w:fill="auto"/>
          </w:tcPr>
          <w:p w14:paraId="37A2D487" w14:textId="056E3D3D" w:rsidR="00333AFD" w:rsidRPr="00333AFD" w:rsidRDefault="00333AFD" w:rsidP="00333AFD">
            <w:pPr>
              <w:pStyle w:val="SingleTxtG"/>
              <w:tabs>
                <w:tab w:val="clear" w:pos="1701"/>
                <w:tab w:val="clear" w:pos="2268"/>
                <w:tab w:val="clear" w:pos="2835"/>
              </w:tabs>
              <w:spacing w:before="40"/>
              <w:ind w:left="0" w:right="0"/>
              <w:jc w:val="right"/>
            </w:pPr>
            <w:r w:rsidRPr="00333AFD">
              <w:t>99,7</w:t>
            </w:r>
            <w:r>
              <w:t xml:space="preserve"> </w:t>
            </w:r>
            <w:r w:rsidRPr="00333AFD">
              <w:t>%</w:t>
            </w:r>
          </w:p>
        </w:tc>
        <w:tc>
          <w:tcPr>
            <w:tcW w:w="3260" w:type="dxa"/>
            <w:shd w:val="clear" w:color="auto" w:fill="auto"/>
          </w:tcPr>
          <w:p w14:paraId="7CC017E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02E79880" w14:textId="77777777" w:rsidTr="00333AFD">
        <w:trPr>
          <w:trHeight w:val="240"/>
        </w:trPr>
        <w:tc>
          <w:tcPr>
            <w:tcW w:w="655" w:type="dxa"/>
            <w:vMerge/>
            <w:shd w:val="clear" w:color="auto" w:fill="auto"/>
          </w:tcPr>
          <w:p w14:paraId="7C118FD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48C7155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1889E73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Europea</w:t>
            </w:r>
          </w:p>
        </w:tc>
        <w:tc>
          <w:tcPr>
            <w:tcW w:w="1843" w:type="dxa"/>
            <w:shd w:val="clear" w:color="auto" w:fill="auto"/>
          </w:tcPr>
          <w:p w14:paraId="7D792A68" w14:textId="27801839" w:rsidR="00333AFD" w:rsidRPr="00333AFD" w:rsidRDefault="00333AFD" w:rsidP="00333AFD">
            <w:pPr>
              <w:pStyle w:val="SingleTxtG"/>
              <w:tabs>
                <w:tab w:val="clear" w:pos="1701"/>
                <w:tab w:val="clear" w:pos="2268"/>
                <w:tab w:val="clear" w:pos="2835"/>
              </w:tabs>
              <w:spacing w:before="40"/>
              <w:ind w:left="0" w:right="0"/>
              <w:jc w:val="right"/>
            </w:pPr>
            <w:r w:rsidRPr="00333AFD">
              <w:t>0,1</w:t>
            </w:r>
            <w:r>
              <w:t xml:space="preserve"> </w:t>
            </w:r>
            <w:r w:rsidRPr="00333AFD">
              <w:t>%</w:t>
            </w:r>
          </w:p>
        </w:tc>
        <w:tc>
          <w:tcPr>
            <w:tcW w:w="3260" w:type="dxa"/>
            <w:shd w:val="clear" w:color="auto" w:fill="auto"/>
          </w:tcPr>
          <w:p w14:paraId="2C5CE5C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674DEFAC" w14:textId="77777777" w:rsidTr="00333AFD">
        <w:trPr>
          <w:trHeight w:val="240"/>
        </w:trPr>
        <w:tc>
          <w:tcPr>
            <w:tcW w:w="655" w:type="dxa"/>
            <w:vMerge/>
            <w:shd w:val="clear" w:color="auto" w:fill="auto"/>
          </w:tcPr>
          <w:p w14:paraId="09D2297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5E8E62B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265" w:type="dxa"/>
            <w:gridSpan w:val="2"/>
            <w:shd w:val="clear" w:color="auto" w:fill="auto"/>
          </w:tcPr>
          <w:p w14:paraId="176E3A8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Asiática </w:t>
            </w:r>
          </w:p>
        </w:tc>
        <w:tc>
          <w:tcPr>
            <w:tcW w:w="1843" w:type="dxa"/>
            <w:shd w:val="clear" w:color="auto" w:fill="auto"/>
          </w:tcPr>
          <w:p w14:paraId="7AC803BD" w14:textId="1841441E" w:rsidR="00333AFD" w:rsidRPr="00333AFD" w:rsidRDefault="00333AFD" w:rsidP="00333AFD">
            <w:pPr>
              <w:pStyle w:val="SingleTxtG"/>
              <w:tabs>
                <w:tab w:val="clear" w:pos="1701"/>
                <w:tab w:val="clear" w:pos="2268"/>
                <w:tab w:val="clear" w:pos="2835"/>
              </w:tabs>
              <w:spacing w:before="40"/>
              <w:ind w:left="0" w:right="0"/>
              <w:jc w:val="right"/>
            </w:pPr>
            <w:r w:rsidRPr="00333AFD">
              <w:t>0,1</w:t>
            </w:r>
            <w:r>
              <w:t xml:space="preserve"> </w:t>
            </w:r>
            <w:r w:rsidRPr="00333AFD">
              <w:t>%</w:t>
            </w:r>
          </w:p>
        </w:tc>
        <w:tc>
          <w:tcPr>
            <w:tcW w:w="3260" w:type="dxa"/>
            <w:shd w:val="clear" w:color="auto" w:fill="auto"/>
          </w:tcPr>
          <w:p w14:paraId="66445A6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422FA988" w14:textId="77777777" w:rsidTr="00333AFD">
        <w:trPr>
          <w:trHeight w:val="240"/>
        </w:trPr>
        <w:tc>
          <w:tcPr>
            <w:tcW w:w="655" w:type="dxa"/>
            <w:vMerge/>
            <w:shd w:val="clear" w:color="auto" w:fill="auto"/>
          </w:tcPr>
          <w:p w14:paraId="33F07ECA"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2C3CD50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265" w:type="dxa"/>
            <w:gridSpan w:val="2"/>
            <w:shd w:val="clear" w:color="auto" w:fill="auto"/>
          </w:tcPr>
          <w:p w14:paraId="34C5A95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Mestiza</w:t>
            </w:r>
          </w:p>
        </w:tc>
        <w:tc>
          <w:tcPr>
            <w:tcW w:w="1843" w:type="dxa"/>
            <w:shd w:val="clear" w:color="auto" w:fill="auto"/>
          </w:tcPr>
          <w:p w14:paraId="1DFD433F" w14:textId="755275DF" w:rsidR="00333AFD" w:rsidRPr="00333AFD" w:rsidRDefault="00333AFD" w:rsidP="00333AFD">
            <w:pPr>
              <w:pStyle w:val="SingleTxtG"/>
              <w:tabs>
                <w:tab w:val="clear" w:pos="1701"/>
                <w:tab w:val="clear" w:pos="2268"/>
                <w:tab w:val="clear" w:pos="2835"/>
              </w:tabs>
              <w:spacing w:before="40"/>
              <w:ind w:left="0" w:right="0"/>
              <w:jc w:val="right"/>
            </w:pPr>
            <w:r w:rsidRPr="00333AFD">
              <w:t>0</w:t>
            </w:r>
            <w:r>
              <w:t xml:space="preserve"> </w:t>
            </w:r>
            <w:r w:rsidRPr="00333AFD">
              <w:t>%</w:t>
            </w:r>
          </w:p>
        </w:tc>
        <w:tc>
          <w:tcPr>
            <w:tcW w:w="3260" w:type="dxa"/>
            <w:shd w:val="clear" w:color="auto" w:fill="auto"/>
          </w:tcPr>
          <w:p w14:paraId="180991E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14B750E4" w14:textId="77777777" w:rsidTr="00333AFD">
        <w:trPr>
          <w:trHeight w:val="240"/>
        </w:trPr>
        <w:tc>
          <w:tcPr>
            <w:tcW w:w="655" w:type="dxa"/>
            <w:vMerge/>
            <w:shd w:val="clear" w:color="auto" w:fill="auto"/>
          </w:tcPr>
          <w:p w14:paraId="398792FC"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211E997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w:t>
            </w:r>
          </w:p>
        </w:tc>
        <w:tc>
          <w:tcPr>
            <w:tcW w:w="2265" w:type="dxa"/>
            <w:gridSpan w:val="2"/>
            <w:shd w:val="clear" w:color="auto" w:fill="auto"/>
          </w:tcPr>
          <w:p w14:paraId="2DF1AAB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Otra </w:t>
            </w:r>
          </w:p>
        </w:tc>
        <w:tc>
          <w:tcPr>
            <w:tcW w:w="1843" w:type="dxa"/>
            <w:shd w:val="clear" w:color="auto" w:fill="auto"/>
          </w:tcPr>
          <w:p w14:paraId="2B2E20F1" w14:textId="24D96F6C" w:rsidR="00333AFD" w:rsidRPr="00333AFD" w:rsidRDefault="00333AFD" w:rsidP="00333AFD">
            <w:pPr>
              <w:pStyle w:val="SingleTxtG"/>
              <w:tabs>
                <w:tab w:val="clear" w:pos="1701"/>
                <w:tab w:val="clear" w:pos="2268"/>
                <w:tab w:val="clear" w:pos="2835"/>
              </w:tabs>
              <w:spacing w:before="40"/>
              <w:ind w:left="0" w:right="0"/>
              <w:jc w:val="right"/>
            </w:pPr>
            <w:r w:rsidRPr="00333AFD">
              <w:t>0</w:t>
            </w:r>
            <w:r>
              <w:t xml:space="preserve"> </w:t>
            </w:r>
            <w:r w:rsidRPr="00333AFD">
              <w:t>%</w:t>
            </w:r>
          </w:p>
        </w:tc>
        <w:tc>
          <w:tcPr>
            <w:tcW w:w="3260" w:type="dxa"/>
            <w:shd w:val="clear" w:color="auto" w:fill="auto"/>
          </w:tcPr>
          <w:p w14:paraId="23B292D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1A799B4B" w14:textId="77777777" w:rsidTr="00333AFD">
        <w:trPr>
          <w:trHeight w:val="240"/>
        </w:trPr>
        <w:tc>
          <w:tcPr>
            <w:tcW w:w="655" w:type="dxa"/>
            <w:vMerge w:val="restart"/>
            <w:shd w:val="clear" w:color="auto" w:fill="auto"/>
          </w:tcPr>
          <w:p w14:paraId="57A7030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7.</w:t>
            </w:r>
          </w:p>
        </w:tc>
        <w:tc>
          <w:tcPr>
            <w:tcW w:w="2747" w:type="dxa"/>
            <w:gridSpan w:val="3"/>
            <w:shd w:val="clear" w:color="auto" w:fill="auto"/>
          </w:tcPr>
          <w:p w14:paraId="3D2D342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Sexo</w:t>
            </w:r>
          </w:p>
        </w:tc>
        <w:tc>
          <w:tcPr>
            <w:tcW w:w="5103" w:type="dxa"/>
            <w:gridSpan w:val="2"/>
            <w:shd w:val="clear" w:color="auto" w:fill="auto"/>
          </w:tcPr>
          <w:p w14:paraId="0A37D1D5"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ACD4BFD" w14:textId="77777777" w:rsidTr="00333AFD">
        <w:trPr>
          <w:trHeight w:val="240"/>
        </w:trPr>
        <w:tc>
          <w:tcPr>
            <w:tcW w:w="655" w:type="dxa"/>
            <w:vMerge/>
            <w:shd w:val="clear" w:color="auto" w:fill="auto"/>
          </w:tcPr>
          <w:p w14:paraId="4647479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3792404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00B998A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Masculino</w:t>
            </w:r>
          </w:p>
        </w:tc>
        <w:tc>
          <w:tcPr>
            <w:tcW w:w="1843" w:type="dxa"/>
            <w:shd w:val="clear" w:color="auto" w:fill="auto"/>
          </w:tcPr>
          <w:p w14:paraId="6B21E780" w14:textId="2E826507" w:rsidR="00333AFD" w:rsidRPr="00333AFD" w:rsidRDefault="00333AFD" w:rsidP="00333AFD">
            <w:pPr>
              <w:pStyle w:val="SingleTxtG"/>
              <w:tabs>
                <w:tab w:val="clear" w:pos="1701"/>
                <w:tab w:val="clear" w:pos="2268"/>
                <w:tab w:val="clear" w:pos="2835"/>
              </w:tabs>
              <w:spacing w:before="40"/>
              <w:ind w:left="0" w:right="0"/>
              <w:jc w:val="right"/>
            </w:pPr>
            <w:r w:rsidRPr="00333AFD">
              <w:t>48</w:t>
            </w:r>
            <w:r>
              <w:t xml:space="preserve"> </w:t>
            </w:r>
            <w:r w:rsidRPr="00333AFD">
              <w:t>%</w:t>
            </w:r>
          </w:p>
        </w:tc>
        <w:tc>
          <w:tcPr>
            <w:tcW w:w="3260" w:type="dxa"/>
            <w:shd w:val="clear" w:color="auto" w:fill="auto"/>
          </w:tcPr>
          <w:p w14:paraId="0EBB197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26D0B665" w14:textId="77777777" w:rsidTr="00333AFD">
        <w:trPr>
          <w:trHeight w:val="240"/>
        </w:trPr>
        <w:tc>
          <w:tcPr>
            <w:tcW w:w="655" w:type="dxa"/>
            <w:vMerge/>
            <w:shd w:val="clear" w:color="auto" w:fill="auto"/>
          </w:tcPr>
          <w:p w14:paraId="70E90D9C"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37BC1EA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46F16FD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Femenino</w:t>
            </w:r>
          </w:p>
        </w:tc>
        <w:tc>
          <w:tcPr>
            <w:tcW w:w="1843" w:type="dxa"/>
            <w:shd w:val="clear" w:color="auto" w:fill="auto"/>
          </w:tcPr>
          <w:p w14:paraId="375C969F" w14:textId="214A32C7" w:rsidR="00333AFD" w:rsidRPr="00333AFD" w:rsidRDefault="00333AFD" w:rsidP="00333AFD">
            <w:pPr>
              <w:pStyle w:val="SingleTxtG"/>
              <w:tabs>
                <w:tab w:val="clear" w:pos="1701"/>
                <w:tab w:val="clear" w:pos="2268"/>
                <w:tab w:val="clear" w:pos="2835"/>
              </w:tabs>
              <w:spacing w:before="40"/>
              <w:ind w:left="0" w:right="0"/>
              <w:jc w:val="right"/>
            </w:pPr>
            <w:r w:rsidRPr="00333AFD">
              <w:t>52</w:t>
            </w:r>
            <w:r>
              <w:t xml:space="preserve"> </w:t>
            </w:r>
            <w:r w:rsidRPr="00333AFD">
              <w:t>%</w:t>
            </w:r>
          </w:p>
        </w:tc>
        <w:tc>
          <w:tcPr>
            <w:tcW w:w="3260" w:type="dxa"/>
            <w:shd w:val="clear" w:color="auto" w:fill="auto"/>
          </w:tcPr>
          <w:p w14:paraId="760B33D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32552A5C" w14:textId="77777777" w:rsidTr="00333AFD">
        <w:trPr>
          <w:trHeight w:val="240"/>
        </w:trPr>
        <w:tc>
          <w:tcPr>
            <w:tcW w:w="655" w:type="dxa"/>
            <w:vMerge w:val="restart"/>
            <w:shd w:val="clear" w:color="auto" w:fill="auto"/>
          </w:tcPr>
          <w:p w14:paraId="2FF1FAC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8.</w:t>
            </w:r>
          </w:p>
        </w:tc>
        <w:tc>
          <w:tcPr>
            <w:tcW w:w="2747" w:type="dxa"/>
            <w:gridSpan w:val="3"/>
            <w:shd w:val="clear" w:color="auto" w:fill="auto"/>
          </w:tcPr>
          <w:p w14:paraId="712DDBE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Zona</w:t>
            </w:r>
          </w:p>
        </w:tc>
        <w:tc>
          <w:tcPr>
            <w:tcW w:w="5103" w:type="dxa"/>
            <w:gridSpan w:val="2"/>
            <w:shd w:val="clear" w:color="auto" w:fill="auto"/>
          </w:tcPr>
          <w:p w14:paraId="075A6805"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FF81FAA" w14:textId="77777777" w:rsidTr="00333AFD">
        <w:trPr>
          <w:trHeight w:val="240"/>
        </w:trPr>
        <w:tc>
          <w:tcPr>
            <w:tcW w:w="655" w:type="dxa"/>
            <w:vMerge/>
            <w:shd w:val="clear" w:color="auto" w:fill="auto"/>
          </w:tcPr>
          <w:p w14:paraId="0846DB2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2151FE7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619C2E3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Rural</w:t>
            </w:r>
          </w:p>
        </w:tc>
        <w:tc>
          <w:tcPr>
            <w:tcW w:w="1843" w:type="dxa"/>
            <w:shd w:val="clear" w:color="auto" w:fill="auto"/>
          </w:tcPr>
          <w:p w14:paraId="3FA6C289" w14:textId="0C646C53" w:rsidR="00333AFD" w:rsidRPr="00333AFD" w:rsidRDefault="00333AFD" w:rsidP="00333AFD">
            <w:pPr>
              <w:pStyle w:val="SingleTxtG"/>
              <w:tabs>
                <w:tab w:val="clear" w:pos="1701"/>
                <w:tab w:val="clear" w:pos="2268"/>
                <w:tab w:val="clear" w:pos="2835"/>
              </w:tabs>
              <w:spacing w:before="40"/>
              <w:ind w:left="0" w:right="0"/>
              <w:jc w:val="right"/>
            </w:pPr>
            <w:r w:rsidRPr="00333AFD">
              <w:t>68</w:t>
            </w:r>
            <w:r>
              <w:t xml:space="preserve"> </w:t>
            </w:r>
            <w:r w:rsidRPr="00333AFD">
              <w:t>%</w:t>
            </w:r>
          </w:p>
        </w:tc>
        <w:tc>
          <w:tcPr>
            <w:tcW w:w="3260" w:type="dxa"/>
            <w:shd w:val="clear" w:color="auto" w:fill="auto"/>
          </w:tcPr>
          <w:p w14:paraId="7B81DC9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708E601B" w14:textId="77777777" w:rsidTr="00333AFD">
        <w:trPr>
          <w:trHeight w:val="240"/>
        </w:trPr>
        <w:tc>
          <w:tcPr>
            <w:tcW w:w="655" w:type="dxa"/>
            <w:vMerge/>
            <w:shd w:val="clear" w:color="auto" w:fill="auto"/>
          </w:tcPr>
          <w:p w14:paraId="2CE38703"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2FBF582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5AA5B6B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Urbana</w:t>
            </w:r>
          </w:p>
        </w:tc>
        <w:tc>
          <w:tcPr>
            <w:tcW w:w="1843" w:type="dxa"/>
            <w:shd w:val="clear" w:color="auto" w:fill="auto"/>
          </w:tcPr>
          <w:p w14:paraId="22608A6A" w14:textId="23019EA9" w:rsidR="00333AFD" w:rsidRPr="00333AFD" w:rsidRDefault="00333AFD" w:rsidP="00333AFD">
            <w:pPr>
              <w:pStyle w:val="SingleTxtG"/>
              <w:tabs>
                <w:tab w:val="clear" w:pos="1701"/>
                <w:tab w:val="clear" w:pos="2268"/>
                <w:tab w:val="clear" w:pos="2835"/>
              </w:tabs>
              <w:spacing w:before="40"/>
              <w:ind w:left="0" w:right="0"/>
              <w:jc w:val="right"/>
            </w:pPr>
            <w:r w:rsidRPr="00333AFD">
              <w:t>32</w:t>
            </w:r>
            <w:r>
              <w:t xml:space="preserve"> </w:t>
            </w:r>
            <w:r w:rsidRPr="00333AFD">
              <w:t>%</w:t>
            </w:r>
          </w:p>
        </w:tc>
        <w:tc>
          <w:tcPr>
            <w:tcW w:w="3260" w:type="dxa"/>
            <w:shd w:val="clear" w:color="auto" w:fill="auto"/>
          </w:tcPr>
          <w:p w14:paraId="6CAAD3D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09459CCC" w14:textId="77777777" w:rsidTr="00333AFD">
        <w:trPr>
          <w:trHeight w:val="240"/>
        </w:trPr>
        <w:tc>
          <w:tcPr>
            <w:tcW w:w="655" w:type="dxa"/>
            <w:vMerge w:val="restart"/>
            <w:shd w:val="clear" w:color="auto" w:fill="auto"/>
          </w:tcPr>
          <w:p w14:paraId="2109ED3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9.</w:t>
            </w:r>
          </w:p>
        </w:tc>
        <w:tc>
          <w:tcPr>
            <w:tcW w:w="2747" w:type="dxa"/>
            <w:gridSpan w:val="3"/>
            <w:shd w:val="clear" w:color="auto" w:fill="auto"/>
          </w:tcPr>
          <w:p w14:paraId="14DDFEC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Estructura de edad</w:t>
            </w:r>
          </w:p>
        </w:tc>
        <w:tc>
          <w:tcPr>
            <w:tcW w:w="5103" w:type="dxa"/>
            <w:gridSpan w:val="2"/>
            <w:shd w:val="clear" w:color="auto" w:fill="auto"/>
          </w:tcPr>
          <w:p w14:paraId="2383905A"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822BB33" w14:textId="77777777" w:rsidTr="00333AFD">
        <w:trPr>
          <w:trHeight w:val="240"/>
        </w:trPr>
        <w:tc>
          <w:tcPr>
            <w:tcW w:w="655" w:type="dxa"/>
            <w:vMerge/>
            <w:shd w:val="clear" w:color="auto" w:fill="auto"/>
          </w:tcPr>
          <w:p w14:paraId="4E9CF84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76ECADA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70CEC9E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Niños (menores de 15 años)</w:t>
            </w:r>
          </w:p>
        </w:tc>
        <w:tc>
          <w:tcPr>
            <w:tcW w:w="1843" w:type="dxa"/>
            <w:shd w:val="clear" w:color="auto" w:fill="auto"/>
          </w:tcPr>
          <w:p w14:paraId="482505BA" w14:textId="48D5081C" w:rsidR="00333AFD" w:rsidRPr="00333AFD" w:rsidRDefault="00333AFD" w:rsidP="00333AFD">
            <w:pPr>
              <w:pStyle w:val="SingleTxtG"/>
              <w:tabs>
                <w:tab w:val="clear" w:pos="1701"/>
                <w:tab w:val="clear" w:pos="2268"/>
                <w:tab w:val="clear" w:pos="2835"/>
              </w:tabs>
              <w:spacing w:before="40"/>
              <w:ind w:left="0" w:right="0"/>
              <w:jc w:val="right"/>
            </w:pPr>
            <w:r w:rsidRPr="00333AFD">
              <w:t>40</w:t>
            </w:r>
            <w:r>
              <w:t xml:space="preserve"> </w:t>
            </w:r>
            <w:r w:rsidRPr="00333AFD">
              <w:t>%</w:t>
            </w:r>
          </w:p>
        </w:tc>
        <w:tc>
          <w:tcPr>
            <w:tcW w:w="3260" w:type="dxa"/>
            <w:shd w:val="clear" w:color="auto" w:fill="auto"/>
          </w:tcPr>
          <w:p w14:paraId="4F5983D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361B8967" w14:textId="77777777" w:rsidTr="00333AFD">
        <w:trPr>
          <w:trHeight w:val="240"/>
        </w:trPr>
        <w:tc>
          <w:tcPr>
            <w:tcW w:w="655" w:type="dxa"/>
            <w:vMerge/>
            <w:shd w:val="clear" w:color="auto" w:fill="auto"/>
          </w:tcPr>
          <w:p w14:paraId="277457F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355E65C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017484F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Adultos (de 15 a 64 años)</w:t>
            </w:r>
          </w:p>
        </w:tc>
        <w:tc>
          <w:tcPr>
            <w:tcW w:w="1843" w:type="dxa"/>
            <w:shd w:val="clear" w:color="auto" w:fill="auto"/>
          </w:tcPr>
          <w:p w14:paraId="6E1D3471" w14:textId="6887CDDC" w:rsidR="00333AFD" w:rsidRPr="00333AFD" w:rsidRDefault="00333AFD" w:rsidP="00333AFD">
            <w:pPr>
              <w:pStyle w:val="SingleTxtG"/>
              <w:tabs>
                <w:tab w:val="clear" w:pos="1701"/>
                <w:tab w:val="clear" w:pos="2268"/>
                <w:tab w:val="clear" w:pos="2835"/>
              </w:tabs>
              <w:spacing w:before="40"/>
              <w:ind w:left="0" w:right="0"/>
              <w:jc w:val="right"/>
            </w:pPr>
            <w:r w:rsidRPr="00333AFD">
              <w:t>54</w:t>
            </w:r>
            <w:r>
              <w:t xml:space="preserve"> </w:t>
            </w:r>
            <w:r w:rsidRPr="00333AFD">
              <w:t>%</w:t>
            </w:r>
          </w:p>
        </w:tc>
        <w:tc>
          <w:tcPr>
            <w:tcW w:w="3260" w:type="dxa"/>
            <w:shd w:val="clear" w:color="auto" w:fill="auto"/>
          </w:tcPr>
          <w:p w14:paraId="7171CEE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1E60FE0C" w14:textId="77777777" w:rsidTr="00333AFD">
        <w:trPr>
          <w:trHeight w:val="240"/>
        </w:trPr>
        <w:tc>
          <w:tcPr>
            <w:tcW w:w="655" w:type="dxa"/>
            <w:vMerge/>
            <w:shd w:val="clear" w:color="auto" w:fill="auto"/>
          </w:tcPr>
          <w:p w14:paraId="5972F64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2A5EF50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265" w:type="dxa"/>
            <w:gridSpan w:val="2"/>
            <w:shd w:val="clear" w:color="auto" w:fill="auto"/>
          </w:tcPr>
          <w:p w14:paraId="17EB1BA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Personas de edad (65 años o más)</w:t>
            </w:r>
          </w:p>
        </w:tc>
        <w:tc>
          <w:tcPr>
            <w:tcW w:w="1843" w:type="dxa"/>
            <w:shd w:val="clear" w:color="auto" w:fill="auto"/>
          </w:tcPr>
          <w:p w14:paraId="3191D201" w14:textId="138281D6" w:rsidR="00333AFD" w:rsidRPr="00333AFD" w:rsidRDefault="00333AFD" w:rsidP="00333AFD">
            <w:pPr>
              <w:pStyle w:val="SingleTxtG"/>
              <w:tabs>
                <w:tab w:val="clear" w:pos="1701"/>
                <w:tab w:val="clear" w:pos="2268"/>
                <w:tab w:val="clear" w:pos="2835"/>
              </w:tabs>
              <w:spacing w:before="40"/>
              <w:ind w:left="0" w:right="0"/>
              <w:jc w:val="right"/>
            </w:pPr>
            <w:r w:rsidRPr="00333AFD">
              <w:t>6</w:t>
            </w:r>
            <w:r>
              <w:t xml:space="preserve"> </w:t>
            </w:r>
            <w:r w:rsidRPr="00333AFD">
              <w:t>%</w:t>
            </w:r>
          </w:p>
        </w:tc>
        <w:tc>
          <w:tcPr>
            <w:tcW w:w="3260" w:type="dxa"/>
            <w:shd w:val="clear" w:color="auto" w:fill="auto"/>
          </w:tcPr>
          <w:p w14:paraId="42324A8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5959E2C5" w14:textId="77777777" w:rsidTr="00333AFD">
        <w:trPr>
          <w:trHeight w:val="240"/>
        </w:trPr>
        <w:tc>
          <w:tcPr>
            <w:tcW w:w="655" w:type="dxa"/>
            <w:vMerge w:val="restart"/>
            <w:shd w:val="clear" w:color="auto" w:fill="auto"/>
          </w:tcPr>
          <w:p w14:paraId="09FEDB4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10.</w:t>
            </w:r>
          </w:p>
        </w:tc>
        <w:tc>
          <w:tcPr>
            <w:tcW w:w="2747" w:type="dxa"/>
            <w:gridSpan w:val="3"/>
            <w:shd w:val="clear" w:color="auto" w:fill="auto"/>
          </w:tcPr>
          <w:p w14:paraId="112E8F6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dependencia</w:t>
            </w:r>
          </w:p>
        </w:tc>
        <w:tc>
          <w:tcPr>
            <w:tcW w:w="5103" w:type="dxa"/>
            <w:gridSpan w:val="2"/>
            <w:shd w:val="clear" w:color="auto" w:fill="auto"/>
          </w:tcPr>
          <w:p w14:paraId="42412CA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B422DE0" w14:textId="77777777" w:rsidTr="00333AFD">
        <w:trPr>
          <w:trHeight w:val="240"/>
        </w:trPr>
        <w:tc>
          <w:tcPr>
            <w:tcW w:w="655" w:type="dxa"/>
            <w:vMerge/>
            <w:shd w:val="clear" w:color="auto" w:fill="auto"/>
          </w:tcPr>
          <w:p w14:paraId="685D87F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6735035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77CEE651" w14:textId="4C752C55" w:rsidR="00333AFD" w:rsidRPr="00333AFD" w:rsidRDefault="00333AFD" w:rsidP="00333AFD">
            <w:pPr>
              <w:pStyle w:val="SingleTxtG"/>
              <w:tabs>
                <w:tab w:val="clear" w:pos="1701"/>
                <w:tab w:val="clear" w:pos="2268"/>
                <w:tab w:val="clear" w:pos="2835"/>
              </w:tabs>
              <w:spacing w:before="40"/>
              <w:ind w:left="0" w:right="0"/>
              <w:jc w:val="left"/>
            </w:pPr>
            <w:r w:rsidRPr="00333AFD">
              <w:t>Tasa de dependencia de</w:t>
            </w:r>
            <w:r w:rsidR="00697477">
              <w:t> </w:t>
            </w:r>
            <w:r w:rsidRPr="00333AFD">
              <w:t>los niños (menores de 15 años)</w:t>
            </w:r>
          </w:p>
        </w:tc>
        <w:tc>
          <w:tcPr>
            <w:tcW w:w="1843" w:type="dxa"/>
            <w:shd w:val="clear" w:color="auto" w:fill="auto"/>
          </w:tcPr>
          <w:p w14:paraId="5766A1F8"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 xml:space="preserve">74 dependientes por cada 100 personas en el grupo de edad de 15 a 64 años </w:t>
            </w:r>
          </w:p>
        </w:tc>
        <w:tc>
          <w:tcPr>
            <w:tcW w:w="3260" w:type="dxa"/>
            <w:shd w:val="clear" w:color="auto" w:fill="auto"/>
          </w:tcPr>
          <w:p w14:paraId="17607A5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0461E827" w14:textId="77777777" w:rsidTr="00333AFD">
        <w:trPr>
          <w:trHeight w:val="240"/>
        </w:trPr>
        <w:tc>
          <w:tcPr>
            <w:tcW w:w="655" w:type="dxa"/>
            <w:vMerge/>
            <w:shd w:val="clear" w:color="auto" w:fill="auto"/>
          </w:tcPr>
          <w:p w14:paraId="64E6D525"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068BE68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40169238" w14:textId="201BED06" w:rsidR="00333AFD" w:rsidRPr="00333AFD" w:rsidRDefault="00333AFD" w:rsidP="00333AFD">
            <w:pPr>
              <w:pStyle w:val="SingleTxtG"/>
              <w:tabs>
                <w:tab w:val="clear" w:pos="1701"/>
                <w:tab w:val="clear" w:pos="2268"/>
                <w:tab w:val="clear" w:pos="2835"/>
              </w:tabs>
              <w:spacing w:before="40"/>
              <w:ind w:left="0" w:right="0"/>
              <w:jc w:val="left"/>
            </w:pPr>
            <w:r w:rsidRPr="00333AFD">
              <w:t>Tasa de dependencia de las personas de edad (65</w:t>
            </w:r>
            <w:r w:rsidR="00697477">
              <w:t> </w:t>
            </w:r>
            <w:r w:rsidRPr="00333AFD">
              <w:t>años o más)</w:t>
            </w:r>
          </w:p>
        </w:tc>
        <w:tc>
          <w:tcPr>
            <w:tcW w:w="1843" w:type="dxa"/>
            <w:shd w:val="clear" w:color="auto" w:fill="auto"/>
          </w:tcPr>
          <w:p w14:paraId="3CF44064"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9 dependientes por cada 100 personas en el grupo de edad de 15 a 64 años</w:t>
            </w:r>
          </w:p>
        </w:tc>
        <w:tc>
          <w:tcPr>
            <w:tcW w:w="3260" w:type="dxa"/>
            <w:shd w:val="clear" w:color="auto" w:fill="auto"/>
          </w:tcPr>
          <w:p w14:paraId="0157123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17F431F8" w14:textId="77777777" w:rsidTr="00333AFD">
        <w:trPr>
          <w:trHeight w:val="240"/>
        </w:trPr>
        <w:tc>
          <w:tcPr>
            <w:tcW w:w="655" w:type="dxa"/>
            <w:vMerge/>
            <w:shd w:val="clear" w:color="auto" w:fill="auto"/>
          </w:tcPr>
          <w:p w14:paraId="3B13C76F"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00D6B332" w14:textId="77777777" w:rsidR="00333AFD" w:rsidRPr="00333AFD" w:rsidRDefault="00333AFD" w:rsidP="00810014">
            <w:pPr>
              <w:pStyle w:val="SingleTxtG"/>
              <w:keepNext/>
              <w:keepLines/>
              <w:tabs>
                <w:tab w:val="clear" w:pos="1701"/>
                <w:tab w:val="clear" w:pos="2268"/>
                <w:tab w:val="clear" w:pos="2835"/>
              </w:tabs>
              <w:spacing w:before="40"/>
              <w:ind w:left="0" w:right="0"/>
              <w:jc w:val="left"/>
            </w:pPr>
            <w:r w:rsidRPr="00333AFD">
              <w:t>c)</w:t>
            </w:r>
          </w:p>
        </w:tc>
        <w:tc>
          <w:tcPr>
            <w:tcW w:w="2265" w:type="dxa"/>
            <w:gridSpan w:val="2"/>
            <w:shd w:val="clear" w:color="auto" w:fill="auto"/>
          </w:tcPr>
          <w:p w14:paraId="47A52C6D" w14:textId="77777777" w:rsidR="00333AFD" w:rsidRPr="00333AFD" w:rsidRDefault="00333AFD" w:rsidP="00810014">
            <w:pPr>
              <w:pStyle w:val="SingleTxtG"/>
              <w:keepNext/>
              <w:keepLines/>
              <w:tabs>
                <w:tab w:val="clear" w:pos="1701"/>
                <w:tab w:val="clear" w:pos="2268"/>
                <w:tab w:val="clear" w:pos="2835"/>
              </w:tabs>
              <w:spacing w:before="40"/>
              <w:ind w:left="0" w:right="0"/>
              <w:jc w:val="left"/>
            </w:pPr>
            <w:r w:rsidRPr="00333AFD">
              <w:t>Relación de personas a cargo (menores de 15 años y mayores de 65)</w:t>
            </w:r>
          </w:p>
        </w:tc>
        <w:tc>
          <w:tcPr>
            <w:tcW w:w="1843" w:type="dxa"/>
            <w:shd w:val="clear" w:color="auto" w:fill="auto"/>
          </w:tcPr>
          <w:p w14:paraId="26A63255" w14:textId="77777777" w:rsidR="00333AFD" w:rsidRPr="00333AFD" w:rsidRDefault="00333AFD" w:rsidP="00810014">
            <w:pPr>
              <w:pStyle w:val="SingleTxtG"/>
              <w:keepNext/>
              <w:keepLines/>
              <w:tabs>
                <w:tab w:val="clear" w:pos="1701"/>
                <w:tab w:val="clear" w:pos="2268"/>
                <w:tab w:val="clear" w:pos="2835"/>
              </w:tabs>
              <w:spacing w:before="40"/>
              <w:ind w:left="0" w:right="0"/>
              <w:jc w:val="right"/>
            </w:pPr>
            <w:r w:rsidRPr="00333AFD">
              <w:t>83 dependientes por cada 100 personas en el grupo de edad de 15 a 64 años.</w:t>
            </w:r>
          </w:p>
        </w:tc>
        <w:tc>
          <w:tcPr>
            <w:tcW w:w="3260" w:type="dxa"/>
            <w:shd w:val="clear" w:color="auto" w:fill="auto"/>
          </w:tcPr>
          <w:p w14:paraId="50E5B8ED" w14:textId="77777777" w:rsidR="00333AFD" w:rsidRPr="00333AFD" w:rsidRDefault="00333AFD" w:rsidP="00810014">
            <w:pPr>
              <w:pStyle w:val="SingleTxtG"/>
              <w:keepNext/>
              <w:keepLines/>
              <w:tabs>
                <w:tab w:val="clear" w:pos="1701"/>
                <w:tab w:val="clear" w:pos="2268"/>
                <w:tab w:val="clear" w:pos="2835"/>
              </w:tabs>
              <w:spacing w:before="40"/>
              <w:ind w:left="0" w:right="0"/>
              <w:jc w:val="left"/>
            </w:pPr>
            <w:r w:rsidRPr="00333AFD">
              <w:t>ICDS 2017, ZIMSTAT</w:t>
            </w:r>
          </w:p>
        </w:tc>
      </w:tr>
      <w:tr w:rsidR="00333AFD" w:rsidRPr="00333AFD" w14:paraId="7E024A26" w14:textId="77777777" w:rsidTr="00333AFD">
        <w:trPr>
          <w:trHeight w:val="240"/>
        </w:trPr>
        <w:tc>
          <w:tcPr>
            <w:tcW w:w="655" w:type="dxa"/>
            <w:shd w:val="clear" w:color="auto" w:fill="auto"/>
          </w:tcPr>
          <w:p w14:paraId="0E2DB0B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11.</w:t>
            </w:r>
          </w:p>
        </w:tc>
        <w:tc>
          <w:tcPr>
            <w:tcW w:w="2747" w:type="dxa"/>
            <w:gridSpan w:val="3"/>
            <w:shd w:val="clear" w:color="auto" w:fill="auto"/>
          </w:tcPr>
          <w:p w14:paraId="09E12A1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bruta de natalidad</w:t>
            </w:r>
          </w:p>
        </w:tc>
        <w:tc>
          <w:tcPr>
            <w:tcW w:w="1843" w:type="dxa"/>
            <w:shd w:val="clear" w:color="auto" w:fill="auto"/>
          </w:tcPr>
          <w:p w14:paraId="1E192E8B" w14:textId="1BA6FDB7" w:rsidR="00333AFD" w:rsidRPr="00333AFD" w:rsidRDefault="00333AFD" w:rsidP="00333AFD">
            <w:pPr>
              <w:pStyle w:val="SingleTxtG"/>
              <w:tabs>
                <w:tab w:val="clear" w:pos="1701"/>
                <w:tab w:val="clear" w:pos="2268"/>
                <w:tab w:val="clear" w:pos="2835"/>
              </w:tabs>
              <w:spacing w:before="40"/>
              <w:ind w:left="0" w:right="0"/>
              <w:jc w:val="right"/>
            </w:pPr>
            <w:r w:rsidRPr="00333AFD">
              <w:t>29,8 nacidos vivos por cada 1.000</w:t>
            </w:r>
            <w:r w:rsidR="00697477">
              <w:t> </w:t>
            </w:r>
            <w:r w:rsidRPr="00333AFD">
              <w:t>habitantes</w:t>
            </w:r>
          </w:p>
        </w:tc>
        <w:tc>
          <w:tcPr>
            <w:tcW w:w="3260" w:type="dxa"/>
            <w:shd w:val="clear" w:color="auto" w:fill="auto"/>
          </w:tcPr>
          <w:p w14:paraId="471B511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77DECCF2" w14:textId="77777777" w:rsidTr="00333AFD">
        <w:trPr>
          <w:trHeight w:val="240"/>
        </w:trPr>
        <w:tc>
          <w:tcPr>
            <w:tcW w:w="655" w:type="dxa"/>
            <w:shd w:val="clear" w:color="auto" w:fill="auto"/>
          </w:tcPr>
          <w:p w14:paraId="38E3847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12.</w:t>
            </w:r>
          </w:p>
        </w:tc>
        <w:tc>
          <w:tcPr>
            <w:tcW w:w="2747" w:type="dxa"/>
            <w:gridSpan w:val="3"/>
            <w:shd w:val="clear" w:color="auto" w:fill="auto"/>
          </w:tcPr>
          <w:p w14:paraId="0B5EDD2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Tasa de mortalidad </w:t>
            </w:r>
          </w:p>
        </w:tc>
        <w:tc>
          <w:tcPr>
            <w:tcW w:w="1843" w:type="dxa"/>
            <w:shd w:val="clear" w:color="auto" w:fill="auto"/>
          </w:tcPr>
          <w:p w14:paraId="51579D13"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10,2 muertes por cada 1.000 habitantes</w:t>
            </w:r>
          </w:p>
        </w:tc>
        <w:tc>
          <w:tcPr>
            <w:tcW w:w="3260" w:type="dxa"/>
            <w:shd w:val="clear" w:color="auto" w:fill="auto"/>
          </w:tcPr>
          <w:p w14:paraId="2931D5A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6946C371" w14:textId="77777777" w:rsidTr="00333AFD">
        <w:trPr>
          <w:trHeight w:val="240"/>
        </w:trPr>
        <w:tc>
          <w:tcPr>
            <w:tcW w:w="655" w:type="dxa"/>
            <w:shd w:val="clear" w:color="auto" w:fill="auto"/>
          </w:tcPr>
          <w:p w14:paraId="3969593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13.</w:t>
            </w:r>
          </w:p>
        </w:tc>
        <w:tc>
          <w:tcPr>
            <w:tcW w:w="2747" w:type="dxa"/>
            <w:gridSpan w:val="3"/>
            <w:shd w:val="clear" w:color="auto" w:fill="auto"/>
          </w:tcPr>
          <w:p w14:paraId="1990BC8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Esperanza de vida </w:t>
            </w:r>
          </w:p>
        </w:tc>
        <w:tc>
          <w:tcPr>
            <w:tcW w:w="1843" w:type="dxa"/>
            <w:shd w:val="clear" w:color="auto" w:fill="auto"/>
          </w:tcPr>
          <w:p w14:paraId="609DFC5B"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60 años</w:t>
            </w:r>
          </w:p>
        </w:tc>
        <w:tc>
          <w:tcPr>
            <w:tcW w:w="3260" w:type="dxa"/>
            <w:shd w:val="clear" w:color="auto" w:fill="auto"/>
          </w:tcPr>
          <w:p w14:paraId="27E7236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62CD7D62" w14:textId="77777777" w:rsidTr="00333AFD">
        <w:trPr>
          <w:trHeight w:val="240"/>
        </w:trPr>
        <w:tc>
          <w:tcPr>
            <w:tcW w:w="655" w:type="dxa"/>
            <w:shd w:val="clear" w:color="auto" w:fill="auto"/>
          </w:tcPr>
          <w:p w14:paraId="5AC4C4C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14.</w:t>
            </w:r>
          </w:p>
        </w:tc>
        <w:tc>
          <w:tcPr>
            <w:tcW w:w="2747" w:type="dxa"/>
            <w:gridSpan w:val="3"/>
            <w:shd w:val="clear" w:color="auto" w:fill="auto"/>
          </w:tcPr>
          <w:p w14:paraId="49BCFFD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fecundidad</w:t>
            </w:r>
          </w:p>
        </w:tc>
        <w:tc>
          <w:tcPr>
            <w:tcW w:w="1843" w:type="dxa"/>
            <w:shd w:val="clear" w:color="auto" w:fill="auto"/>
          </w:tcPr>
          <w:p w14:paraId="72B0ED18"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3,9 niños por mujer</w:t>
            </w:r>
          </w:p>
        </w:tc>
        <w:tc>
          <w:tcPr>
            <w:tcW w:w="3260" w:type="dxa"/>
            <w:shd w:val="clear" w:color="auto" w:fill="auto"/>
          </w:tcPr>
          <w:p w14:paraId="08849ED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396FF021" w14:textId="77777777" w:rsidTr="00333AFD">
        <w:trPr>
          <w:trHeight w:val="240"/>
        </w:trPr>
        <w:tc>
          <w:tcPr>
            <w:tcW w:w="655" w:type="dxa"/>
            <w:shd w:val="clear" w:color="auto" w:fill="auto"/>
          </w:tcPr>
          <w:p w14:paraId="0050010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15.</w:t>
            </w:r>
          </w:p>
        </w:tc>
        <w:tc>
          <w:tcPr>
            <w:tcW w:w="2747" w:type="dxa"/>
            <w:gridSpan w:val="3"/>
            <w:shd w:val="clear" w:color="auto" w:fill="auto"/>
          </w:tcPr>
          <w:p w14:paraId="1845318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Tamaño medio de las familias</w:t>
            </w:r>
          </w:p>
        </w:tc>
        <w:tc>
          <w:tcPr>
            <w:tcW w:w="1843" w:type="dxa"/>
            <w:shd w:val="clear" w:color="auto" w:fill="auto"/>
          </w:tcPr>
          <w:p w14:paraId="3188FD47"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4,2 personas por familia</w:t>
            </w:r>
          </w:p>
        </w:tc>
        <w:tc>
          <w:tcPr>
            <w:tcW w:w="3260" w:type="dxa"/>
            <w:shd w:val="clear" w:color="auto" w:fill="auto"/>
          </w:tcPr>
          <w:p w14:paraId="6F6965B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Indicadores Múltiples por Conglomerados (MICS) 2019, ZIMSTAT</w:t>
            </w:r>
          </w:p>
        </w:tc>
      </w:tr>
      <w:tr w:rsidR="00810014" w:rsidRPr="00333AFD" w14:paraId="5B7AC36C" w14:textId="77777777" w:rsidTr="000F3076">
        <w:trPr>
          <w:trHeight w:val="240"/>
        </w:trPr>
        <w:tc>
          <w:tcPr>
            <w:tcW w:w="655" w:type="dxa"/>
            <w:vMerge w:val="restart"/>
            <w:shd w:val="clear" w:color="auto" w:fill="auto"/>
          </w:tcPr>
          <w:p w14:paraId="165BE2F4" w14:textId="77777777" w:rsidR="00810014" w:rsidRPr="00333AFD" w:rsidRDefault="00810014" w:rsidP="00333AFD">
            <w:pPr>
              <w:pStyle w:val="SingleTxtG"/>
              <w:tabs>
                <w:tab w:val="clear" w:pos="1701"/>
                <w:tab w:val="clear" w:pos="2268"/>
                <w:tab w:val="clear" w:pos="2835"/>
              </w:tabs>
              <w:spacing w:before="40"/>
              <w:ind w:left="0" w:right="0"/>
              <w:jc w:val="left"/>
            </w:pPr>
            <w:r w:rsidRPr="00333AFD">
              <w:t>16.</w:t>
            </w:r>
          </w:p>
        </w:tc>
        <w:tc>
          <w:tcPr>
            <w:tcW w:w="7850" w:type="dxa"/>
            <w:gridSpan w:val="5"/>
            <w:shd w:val="clear" w:color="auto" w:fill="auto"/>
          </w:tcPr>
          <w:p w14:paraId="50D376A0" w14:textId="64ED76D3" w:rsidR="00810014" w:rsidRPr="00333AFD" w:rsidRDefault="00810014" w:rsidP="00333AFD">
            <w:pPr>
              <w:pStyle w:val="SingleTxtG"/>
              <w:tabs>
                <w:tab w:val="clear" w:pos="1701"/>
                <w:tab w:val="clear" w:pos="2268"/>
                <w:tab w:val="clear" w:pos="2835"/>
              </w:tabs>
              <w:spacing w:before="40"/>
              <w:ind w:left="0" w:right="0"/>
              <w:jc w:val="left"/>
            </w:pPr>
            <w:r w:rsidRPr="00333AFD">
              <w:t xml:space="preserve">Proporción de la población (familias) encabezada por: </w:t>
            </w:r>
          </w:p>
        </w:tc>
      </w:tr>
      <w:tr w:rsidR="00333AFD" w:rsidRPr="00333AFD" w14:paraId="1A9CFD5C" w14:textId="77777777" w:rsidTr="00333AFD">
        <w:trPr>
          <w:trHeight w:val="240"/>
        </w:trPr>
        <w:tc>
          <w:tcPr>
            <w:tcW w:w="655" w:type="dxa"/>
            <w:vMerge/>
            <w:shd w:val="clear" w:color="auto" w:fill="auto"/>
          </w:tcPr>
          <w:p w14:paraId="0FA7E44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36ED035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265" w:type="dxa"/>
            <w:gridSpan w:val="2"/>
            <w:shd w:val="clear" w:color="auto" w:fill="auto"/>
          </w:tcPr>
          <w:p w14:paraId="3DA5ACA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Hombres</w:t>
            </w:r>
          </w:p>
        </w:tc>
        <w:tc>
          <w:tcPr>
            <w:tcW w:w="1843" w:type="dxa"/>
            <w:shd w:val="clear" w:color="auto" w:fill="auto"/>
          </w:tcPr>
          <w:p w14:paraId="17DDFF54" w14:textId="21CFC1EB" w:rsidR="00333AFD" w:rsidRPr="00333AFD" w:rsidRDefault="00333AFD" w:rsidP="00333AFD">
            <w:pPr>
              <w:pStyle w:val="SingleTxtG"/>
              <w:tabs>
                <w:tab w:val="clear" w:pos="1701"/>
                <w:tab w:val="clear" w:pos="2268"/>
                <w:tab w:val="clear" w:pos="2835"/>
              </w:tabs>
              <w:spacing w:before="40"/>
              <w:ind w:left="0" w:right="0"/>
              <w:jc w:val="right"/>
            </w:pPr>
            <w:r w:rsidRPr="00333AFD">
              <w:t>30</w:t>
            </w:r>
            <w:r>
              <w:t xml:space="preserve"> </w:t>
            </w:r>
            <w:r w:rsidRPr="00333AFD">
              <w:t>%</w:t>
            </w:r>
          </w:p>
        </w:tc>
        <w:tc>
          <w:tcPr>
            <w:tcW w:w="3260" w:type="dxa"/>
            <w:shd w:val="clear" w:color="auto" w:fill="auto"/>
          </w:tcPr>
          <w:p w14:paraId="3A98FFE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585582A0" w14:textId="77777777" w:rsidTr="00333AFD">
        <w:trPr>
          <w:trHeight w:val="240"/>
        </w:trPr>
        <w:tc>
          <w:tcPr>
            <w:tcW w:w="655" w:type="dxa"/>
            <w:vMerge/>
            <w:shd w:val="clear" w:color="auto" w:fill="auto"/>
          </w:tcPr>
          <w:p w14:paraId="13B062C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shd w:val="clear" w:color="auto" w:fill="auto"/>
          </w:tcPr>
          <w:p w14:paraId="70C93FA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265" w:type="dxa"/>
            <w:gridSpan w:val="2"/>
            <w:shd w:val="clear" w:color="auto" w:fill="auto"/>
          </w:tcPr>
          <w:p w14:paraId="739BFD0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Mujeres</w:t>
            </w:r>
          </w:p>
        </w:tc>
        <w:tc>
          <w:tcPr>
            <w:tcW w:w="1843" w:type="dxa"/>
            <w:shd w:val="clear" w:color="auto" w:fill="auto"/>
          </w:tcPr>
          <w:p w14:paraId="4247C0A7" w14:textId="0A172605" w:rsidR="00333AFD" w:rsidRPr="00333AFD" w:rsidRDefault="00333AFD" w:rsidP="00333AFD">
            <w:pPr>
              <w:pStyle w:val="SingleTxtG"/>
              <w:tabs>
                <w:tab w:val="clear" w:pos="1701"/>
                <w:tab w:val="clear" w:pos="2268"/>
                <w:tab w:val="clear" w:pos="2835"/>
              </w:tabs>
              <w:spacing w:before="40"/>
              <w:ind w:left="0" w:right="0"/>
              <w:jc w:val="right"/>
            </w:pPr>
            <w:r w:rsidRPr="00333AFD">
              <w:t>36,6</w:t>
            </w:r>
            <w:r>
              <w:t xml:space="preserve"> </w:t>
            </w:r>
            <w:r w:rsidRPr="00333AFD">
              <w:t>%</w:t>
            </w:r>
          </w:p>
        </w:tc>
        <w:tc>
          <w:tcPr>
            <w:tcW w:w="3260" w:type="dxa"/>
            <w:shd w:val="clear" w:color="auto" w:fill="auto"/>
          </w:tcPr>
          <w:p w14:paraId="55B693E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Pobreza, Ingresos, Consumo y Gasto (PICES) 2017, ZIMSTAT</w:t>
            </w:r>
          </w:p>
        </w:tc>
      </w:tr>
      <w:tr w:rsidR="00333AFD" w:rsidRPr="00333AFD" w14:paraId="0E29FB11" w14:textId="77777777" w:rsidTr="00333AFD">
        <w:trPr>
          <w:trHeight w:val="240"/>
        </w:trPr>
        <w:tc>
          <w:tcPr>
            <w:tcW w:w="655" w:type="dxa"/>
            <w:vMerge/>
            <w:tcBorders>
              <w:bottom w:val="single" w:sz="12" w:space="0" w:color="auto"/>
            </w:tcBorders>
            <w:shd w:val="clear" w:color="auto" w:fill="auto"/>
          </w:tcPr>
          <w:p w14:paraId="63810F5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82" w:type="dxa"/>
            <w:tcBorders>
              <w:bottom w:val="single" w:sz="12" w:space="0" w:color="auto"/>
            </w:tcBorders>
            <w:shd w:val="clear" w:color="auto" w:fill="auto"/>
          </w:tcPr>
          <w:p w14:paraId="69354C1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265" w:type="dxa"/>
            <w:gridSpan w:val="2"/>
            <w:tcBorders>
              <w:bottom w:val="single" w:sz="12" w:space="0" w:color="auto"/>
            </w:tcBorders>
            <w:shd w:val="clear" w:color="auto" w:fill="auto"/>
          </w:tcPr>
          <w:p w14:paraId="3CB450D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Niños</w:t>
            </w:r>
          </w:p>
        </w:tc>
        <w:tc>
          <w:tcPr>
            <w:tcW w:w="1843" w:type="dxa"/>
            <w:tcBorders>
              <w:bottom w:val="single" w:sz="12" w:space="0" w:color="auto"/>
            </w:tcBorders>
            <w:shd w:val="clear" w:color="auto" w:fill="auto"/>
          </w:tcPr>
          <w:p w14:paraId="6C8E1D12" w14:textId="77777777" w:rsidR="00333AFD" w:rsidRPr="00333AFD" w:rsidRDefault="00333AFD" w:rsidP="00333AFD">
            <w:pPr>
              <w:pStyle w:val="SingleTxtG"/>
              <w:tabs>
                <w:tab w:val="clear" w:pos="1701"/>
                <w:tab w:val="clear" w:pos="2268"/>
                <w:tab w:val="clear" w:pos="2835"/>
              </w:tabs>
              <w:spacing w:before="40"/>
              <w:ind w:left="0" w:right="0"/>
              <w:jc w:val="right"/>
            </w:pPr>
            <w:r w:rsidRPr="00333AFD">
              <w:t>No disponible</w:t>
            </w:r>
          </w:p>
        </w:tc>
        <w:tc>
          <w:tcPr>
            <w:tcW w:w="3260" w:type="dxa"/>
            <w:tcBorders>
              <w:bottom w:val="single" w:sz="12" w:space="0" w:color="auto"/>
            </w:tcBorders>
            <w:shd w:val="clear" w:color="auto" w:fill="auto"/>
          </w:tcPr>
          <w:p w14:paraId="22FE3AFF" w14:textId="77777777" w:rsidR="00333AFD" w:rsidRPr="00333AFD" w:rsidRDefault="00333AFD" w:rsidP="00333AFD">
            <w:pPr>
              <w:pStyle w:val="SingleTxtG"/>
              <w:tabs>
                <w:tab w:val="clear" w:pos="1701"/>
                <w:tab w:val="clear" w:pos="2268"/>
                <w:tab w:val="clear" w:pos="2835"/>
              </w:tabs>
              <w:spacing w:before="40"/>
              <w:ind w:left="0" w:right="0"/>
              <w:jc w:val="left"/>
            </w:pPr>
          </w:p>
        </w:tc>
      </w:tr>
    </w:tbl>
    <w:p w14:paraId="7B917804" w14:textId="3ECE20C5" w:rsidR="00333AFD" w:rsidRPr="00333AFD" w:rsidRDefault="00333AFD" w:rsidP="00333AFD">
      <w:pPr>
        <w:pStyle w:val="H23G"/>
      </w:pPr>
      <w:bookmarkStart w:id="0" w:name="_Toc87853270"/>
      <w:r>
        <w:tab/>
      </w:r>
      <w:r w:rsidRPr="00333AFD">
        <w:tab/>
        <w:t>Principales hechos históricos</w:t>
      </w:r>
      <w:bookmarkEnd w:id="0"/>
    </w:p>
    <w:p w14:paraId="16B61E2D" w14:textId="77777777" w:rsidR="00333AFD" w:rsidRPr="00333AFD" w:rsidRDefault="00333AFD" w:rsidP="00333AFD">
      <w:pPr>
        <w:pStyle w:val="SingleTxtG"/>
      </w:pPr>
      <w:r w:rsidRPr="00333AFD">
        <w:t>3.</w:t>
      </w:r>
      <w:r w:rsidRPr="00333AFD">
        <w:tab/>
        <w:t xml:space="preserve">Zimbabwe alcanzó su independencia en 1980, tras una prolongada lucha de liberación en la que el movimiento nacionalista combatió contra el régimen colonial británico. Esa lucha estuvo motivada por diversas razones, como la discriminación racial, las prácticas laborales injustas y la distribución desigual de la tierra, ya que el 75 % de las tierras cultivables estaban ocupadas por la minoría blanca. El 75 % de estas tierras se encuentra en las zonas de alta pluviosidad de Zimbabwe, donde el potencial de producción agrícola es elevado. La mayoría de las personas negras se hacinaba en zonas comunales áridas caracterizadas por un clima hostil y suelos de rendimiento marginal de limitado potencial agrícola. A fin de corregir la desigual distribución de la tierra en el país, el Gobierno emprendió un programa de reforma agraria para resolver los problemas que afectaban a la mayoría de la población. Además, el Gobierno ha comenzado a indemnizar a los antiguos ocupantes de las tierras por el valor de las mejoras realizadas. </w:t>
      </w:r>
    </w:p>
    <w:p w14:paraId="63B06D67" w14:textId="380A69C4" w:rsidR="00333AFD" w:rsidRPr="00333AFD" w:rsidRDefault="00333AFD" w:rsidP="00333AFD">
      <w:pPr>
        <w:pStyle w:val="H23G"/>
      </w:pPr>
      <w:bookmarkStart w:id="1" w:name="_Toc87853271"/>
      <w:r>
        <w:tab/>
      </w:r>
      <w:r w:rsidRPr="00333AFD">
        <w:tab/>
        <w:t>Características sociales y culturales</w:t>
      </w:r>
      <w:bookmarkEnd w:id="1"/>
    </w:p>
    <w:p w14:paraId="0261E615" w14:textId="77777777" w:rsidR="00333AFD" w:rsidRPr="00333AFD" w:rsidRDefault="00333AFD" w:rsidP="00333AFD">
      <w:pPr>
        <w:pStyle w:val="SingleTxtG"/>
      </w:pPr>
      <w:r w:rsidRPr="00333AFD">
        <w:t>4.</w:t>
      </w:r>
      <w:r w:rsidRPr="00333AFD">
        <w:tab/>
        <w:t>A continuación se describen las características sociales y culturales de Zimbabwe.</w:t>
      </w:r>
    </w:p>
    <w:p w14:paraId="00C4690F" w14:textId="4494552E" w:rsidR="00333AFD" w:rsidRPr="00333AFD" w:rsidRDefault="00333AFD" w:rsidP="00333AFD">
      <w:pPr>
        <w:pStyle w:val="H23G"/>
      </w:pPr>
      <w:bookmarkStart w:id="2" w:name="_Toc87853272"/>
      <w:r>
        <w:tab/>
      </w:r>
      <w:r w:rsidRPr="00333AFD">
        <w:tab/>
        <w:t>Idiomas</w:t>
      </w:r>
      <w:bookmarkEnd w:id="2"/>
    </w:p>
    <w:p w14:paraId="09FF0520" w14:textId="77777777" w:rsidR="00333AFD" w:rsidRPr="00333AFD" w:rsidRDefault="00333AFD" w:rsidP="00333AFD">
      <w:pPr>
        <w:pStyle w:val="SingleTxtG"/>
      </w:pPr>
      <w:r w:rsidRPr="00333AFD">
        <w:t>5.</w:t>
      </w:r>
      <w:r w:rsidRPr="00333AFD">
        <w:tab/>
        <w:t xml:space="preserve">Zimbabwe tiene 16 idiomas oficiales hablados por los diversos grupos étnicos. En el país predominan las normas, costumbres y prácticas tradicionales africanas, aunque también se respetan otras culturas minoritarias. </w:t>
      </w:r>
    </w:p>
    <w:p w14:paraId="1774483B" w14:textId="45DA0EAB" w:rsidR="00333AFD" w:rsidRPr="00333AFD" w:rsidRDefault="00333AFD" w:rsidP="00333AFD">
      <w:pPr>
        <w:pStyle w:val="H23G"/>
      </w:pPr>
      <w:bookmarkStart w:id="3" w:name="_Toc87853273"/>
      <w:r>
        <w:tab/>
      </w:r>
      <w:r w:rsidRPr="00333AFD">
        <w:tab/>
        <w:t>Tótems</w:t>
      </w:r>
      <w:bookmarkEnd w:id="3"/>
    </w:p>
    <w:p w14:paraId="6303BB35" w14:textId="77777777" w:rsidR="00333AFD" w:rsidRPr="00333AFD" w:rsidRDefault="00333AFD" w:rsidP="00333AFD">
      <w:pPr>
        <w:pStyle w:val="SingleTxtG"/>
      </w:pPr>
      <w:r w:rsidRPr="00333AFD">
        <w:t>6.</w:t>
      </w:r>
      <w:r w:rsidRPr="00333AFD">
        <w:tab/>
        <w:t xml:space="preserve">Los tótems son aspectos culturales fundamentales utilizados para prevenir la extinción de la fauna. Se utilizan para identificar a los diferentes clanes que conforman la antigua civilización de las dinastías. Utilizan los nombres de animales como símbolo y proporcionan </w:t>
      </w:r>
      <w:r w:rsidRPr="00333AFD">
        <w:lastRenderedPageBreak/>
        <w:t>una identidad social al clan. También tienen por objeto evitar los comportamientos incestuosos. El pueblo de Zimbabwe utiliza varios marcadores culturales para identificar a una persona y mostrar su origen. Cada linaje totémico posee un poema de alabanza que se asocia con el linaje.</w:t>
      </w:r>
    </w:p>
    <w:p w14:paraId="2131BFFF" w14:textId="59717DD4" w:rsidR="00333AFD" w:rsidRPr="00333AFD" w:rsidRDefault="00333AFD" w:rsidP="00333AFD">
      <w:pPr>
        <w:pStyle w:val="H23G"/>
      </w:pPr>
      <w:bookmarkStart w:id="4" w:name="_Toc87853274"/>
      <w:r>
        <w:tab/>
      </w:r>
      <w:r w:rsidRPr="00333AFD">
        <w:tab/>
        <w:t>Alimentación</w:t>
      </w:r>
      <w:bookmarkEnd w:id="4"/>
    </w:p>
    <w:p w14:paraId="0C9F5A3A" w14:textId="77777777" w:rsidR="00333AFD" w:rsidRPr="00333AFD" w:rsidRDefault="00333AFD" w:rsidP="00333AFD">
      <w:pPr>
        <w:pStyle w:val="SingleTxtG"/>
      </w:pPr>
      <w:r w:rsidRPr="00333AFD">
        <w:t>7.</w:t>
      </w:r>
      <w:r w:rsidRPr="00333AFD">
        <w:tab/>
        <w:t>La diversidad de culturas y estilos de vida en Zimbabwe se refleja en la dieta nacional. La sadza se consume de forma generalizada, seguida del mijo y el rapoko. La carne de animales domésticos constituye un manjar que se consume habitualmente como como guarnición.</w:t>
      </w:r>
    </w:p>
    <w:p w14:paraId="58552C93" w14:textId="71F51856" w:rsidR="00333AFD" w:rsidRPr="00333AFD" w:rsidRDefault="00333AFD" w:rsidP="00333AFD">
      <w:pPr>
        <w:pStyle w:val="H23G"/>
      </w:pPr>
      <w:bookmarkStart w:id="5" w:name="_Toc87853275"/>
      <w:r>
        <w:tab/>
      </w:r>
      <w:r w:rsidRPr="00333AFD">
        <w:tab/>
        <w:t>La medicina tradicional y sus practicantes</w:t>
      </w:r>
      <w:bookmarkEnd w:id="5"/>
    </w:p>
    <w:p w14:paraId="569BE482" w14:textId="77777777" w:rsidR="00333AFD" w:rsidRPr="00333AFD" w:rsidRDefault="00333AFD" w:rsidP="00333AFD">
      <w:pPr>
        <w:pStyle w:val="SingleTxtG"/>
      </w:pPr>
      <w:r w:rsidRPr="00333AFD">
        <w:t>8.</w:t>
      </w:r>
      <w:r w:rsidRPr="00333AFD">
        <w:tab/>
        <w:t>La medicina tradicional y sus practicantes son la fuente de atención primaria de la salud para muchas personas. Se consulta a los practicantes de la medicina tradicional por su poder político y religioso. La medicina tradicional africana utiliza el tratamiento con hierbas medicinales combinado con elementos espirituales. Incluye adivinos, comadronas y herbolarios.</w:t>
      </w:r>
    </w:p>
    <w:p w14:paraId="359A38A7" w14:textId="62B391C7" w:rsidR="00333AFD" w:rsidRPr="00333AFD" w:rsidRDefault="00333AFD" w:rsidP="00333AFD">
      <w:pPr>
        <w:pStyle w:val="H23G"/>
      </w:pPr>
      <w:bookmarkStart w:id="6" w:name="_Toc87853276"/>
      <w:r>
        <w:tab/>
      </w:r>
      <w:r w:rsidRPr="00333AFD">
        <w:tab/>
        <w:t>Abalorios</w:t>
      </w:r>
      <w:bookmarkEnd w:id="6"/>
    </w:p>
    <w:p w14:paraId="787C27F2" w14:textId="77777777" w:rsidR="00333AFD" w:rsidRPr="00333AFD" w:rsidRDefault="00333AFD" w:rsidP="00333AFD">
      <w:pPr>
        <w:pStyle w:val="SingleTxtG"/>
      </w:pPr>
      <w:r w:rsidRPr="00333AFD">
        <w:t>9.</w:t>
      </w:r>
      <w:r w:rsidRPr="00333AFD">
        <w:tab/>
        <w:t>Los abalorios tienen importancia cultural y lingüística para los habitantes de Matabelelandia. Las mujeres suelen llevar vestidos ceremoniales con abalorios, mientras que los hombres solo lo hacen en algunas ceremonias.</w:t>
      </w:r>
    </w:p>
    <w:p w14:paraId="4E15617B" w14:textId="1DEC66EC" w:rsidR="00333AFD" w:rsidRPr="00333AFD" w:rsidRDefault="00333AFD" w:rsidP="00333AFD">
      <w:pPr>
        <w:pStyle w:val="H23G"/>
      </w:pPr>
      <w:bookmarkStart w:id="7" w:name="_Toc87853277"/>
      <w:r>
        <w:tab/>
      </w:r>
      <w:r w:rsidRPr="00333AFD">
        <w:tab/>
        <w:t>Matrimonio</w:t>
      </w:r>
      <w:bookmarkEnd w:id="7"/>
    </w:p>
    <w:p w14:paraId="25497B2F" w14:textId="77777777" w:rsidR="00333AFD" w:rsidRPr="00333AFD" w:rsidRDefault="00333AFD" w:rsidP="00333AFD">
      <w:pPr>
        <w:pStyle w:val="SingleTxtG"/>
      </w:pPr>
      <w:r w:rsidRPr="00333AFD">
        <w:t>10.</w:t>
      </w:r>
      <w:r w:rsidRPr="00333AFD">
        <w:tab/>
        <w:t xml:space="preserve">El matrimonio se percibe en términos de su valor como alianza entre dos grupos de parentesco. Tradicionalmente, se paga una dote (llamada </w:t>
      </w:r>
      <w:r w:rsidRPr="00333AFD">
        <w:rPr>
          <w:i/>
          <w:iCs/>
        </w:rPr>
        <w:t>roora/lobola</w:t>
      </w:r>
      <w:r w:rsidRPr="00333AFD">
        <w:t>) a la familia de la novia como forma de unir a dos familias. La poligamia es aceptada y el número de esposas e hijos que tiene un hombre es un importante indicador de su riqueza.</w:t>
      </w:r>
    </w:p>
    <w:p w14:paraId="0F078934" w14:textId="1135273B" w:rsidR="00333AFD" w:rsidRPr="00333AFD" w:rsidRDefault="00333AFD" w:rsidP="00333AFD">
      <w:pPr>
        <w:pStyle w:val="H23G"/>
      </w:pPr>
      <w:bookmarkStart w:id="8" w:name="_Toc87853278"/>
      <w:r>
        <w:tab/>
      </w:r>
      <w:r w:rsidRPr="00333AFD">
        <w:tab/>
        <w:t>Fiestas y celebraciones</w:t>
      </w:r>
      <w:bookmarkEnd w:id="8"/>
    </w:p>
    <w:p w14:paraId="2F273C2D" w14:textId="77777777" w:rsidR="00333AFD" w:rsidRPr="00333AFD" w:rsidRDefault="00333AFD" w:rsidP="00333AFD">
      <w:pPr>
        <w:pStyle w:val="SingleTxtG"/>
      </w:pPr>
      <w:r w:rsidRPr="00333AFD">
        <w:t>11.</w:t>
      </w:r>
      <w:r w:rsidRPr="00333AFD">
        <w:tab/>
        <w:t xml:space="preserve">Los rituales culturales asociados al nacimiento, la muerte y el paso a la edad adulta son características bastante comunes de la cultura zimbabuense. Las comunidades rurales celebran el inicio de las temporadas de cosecha y de caza. Entre las ceremonias más populares se encuentran las de la lluvia y de </w:t>
      </w:r>
      <w:r w:rsidRPr="00333AFD">
        <w:rPr>
          <w:i/>
          <w:iCs/>
        </w:rPr>
        <w:t>kurovaguva</w:t>
      </w:r>
      <w:r w:rsidRPr="00333AFD">
        <w:t xml:space="preserve"> y los festivales </w:t>
      </w:r>
      <w:r w:rsidRPr="00333AFD">
        <w:rPr>
          <w:i/>
          <w:iCs/>
        </w:rPr>
        <w:t>inxwala</w:t>
      </w:r>
      <w:r w:rsidRPr="00333AFD">
        <w:t>.</w:t>
      </w:r>
    </w:p>
    <w:p w14:paraId="0F3C4B3D" w14:textId="3F2EBE74" w:rsidR="00333AFD" w:rsidRPr="00333AFD" w:rsidRDefault="00333AFD" w:rsidP="00333AFD">
      <w:pPr>
        <w:pStyle w:val="H23G"/>
      </w:pPr>
      <w:bookmarkStart w:id="9" w:name="_Toc87853279"/>
      <w:r>
        <w:tab/>
      </w:r>
      <w:r w:rsidRPr="00333AFD">
        <w:tab/>
        <w:t>Música y artes</w:t>
      </w:r>
      <w:bookmarkEnd w:id="9"/>
    </w:p>
    <w:p w14:paraId="171F222D" w14:textId="7060037C" w:rsidR="00333AFD" w:rsidRPr="00333AFD" w:rsidRDefault="00333AFD" w:rsidP="00333AFD">
      <w:pPr>
        <w:pStyle w:val="SingleTxtG"/>
      </w:pPr>
      <w:r w:rsidRPr="00333AFD">
        <w:t>12.</w:t>
      </w:r>
      <w:r w:rsidRPr="00333AFD">
        <w:tab/>
        <w:t xml:space="preserve">Zimbabwe tiene sus propias danzas, normalmente acompañadas de música vocal y de percusión, que varían entre las tribus. Las danzas se dividen en tres categorías principales: religiosas, ceremoniales y narrativas. Las danzas tradicionales están asociadas a las regiones. Por ejemplo, Manicalandia, Mashonalandia y Matabelelandia están asociadas a las danzas </w:t>
      </w:r>
      <w:r w:rsidRPr="00333AFD">
        <w:rPr>
          <w:i/>
          <w:iCs/>
        </w:rPr>
        <w:t>muchongoyo</w:t>
      </w:r>
      <w:r w:rsidRPr="00333AFD">
        <w:t xml:space="preserve">, </w:t>
      </w:r>
      <w:r w:rsidRPr="00333AFD">
        <w:rPr>
          <w:i/>
          <w:iCs/>
        </w:rPr>
        <w:t>jelusalem</w:t>
      </w:r>
      <w:r w:rsidRPr="00333AFD">
        <w:t xml:space="preserve"> y </w:t>
      </w:r>
      <w:r w:rsidRPr="00333AFD">
        <w:rPr>
          <w:i/>
          <w:iCs/>
        </w:rPr>
        <w:t>amabhiza</w:t>
      </w:r>
      <w:r w:rsidRPr="00333AFD">
        <w:t>, respectivamente</w:t>
      </w:r>
      <w:r w:rsidR="00697477">
        <w:t>.</w:t>
      </w:r>
    </w:p>
    <w:p w14:paraId="206EE8F9" w14:textId="7F4D2E92" w:rsidR="00333AFD" w:rsidRPr="00333AFD" w:rsidRDefault="00333AFD" w:rsidP="00333AFD">
      <w:pPr>
        <w:pStyle w:val="H23G"/>
      </w:pPr>
      <w:bookmarkStart w:id="10" w:name="_Toc87853280"/>
      <w:r>
        <w:tab/>
      </w:r>
      <w:r w:rsidRPr="00333AFD">
        <w:tab/>
        <w:t>Características económicas</w:t>
      </w:r>
      <w:bookmarkEnd w:id="10"/>
    </w:p>
    <w:p w14:paraId="59EC5D04" w14:textId="2E729A1E" w:rsidR="00333AFD" w:rsidRPr="00333AFD" w:rsidRDefault="00333AFD" w:rsidP="00333AFD">
      <w:pPr>
        <w:pStyle w:val="SingleTxtG"/>
      </w:pPr>
      <w:r w:rsidRPr="00333AFD">
        <w:t>13.</w:t>
      </w:r>
      <w:r w:rsidRPr="00333AFD">
        <w:tab/>
        <w:t xml:space="preserve">Las principales actividades económicas de Zimbabwe son la agricultura, la minería y el turismo, así como la manufactura. El Gobierno se propone lograr un cambio de rumbo sostenido de la economía mediante el apoyo a los sectores productivos, especialmente la agricultura, la minería y la infraestructura. Sin embargo, la sequía de 2018/19 ha hecho que el sector agrícola registre un crecimiento negativo, por lo que el Gobierno ha reservado 1.800 millones de dólares de Zimbabwe para la producción de cultivos como el maíz, la soja y el algodón. De estos, 567,4 millones se han destinado a la provisión de insumos para los hogares vulnerables y 332 millones a garantizar la adquisición de insumos para la producción de algodón. Un total de 968 millones de dólares de Zimbabwe se añadirán a los 2.800 millones aportados por bancos y el sector privado en apoyo al Programa de Agricultura Dirigida. A fin de que los insumos sean más asequibles para los agricultores, el Gobierno está poniendo en marcha medidas como la exención de los aranceles de importación sobre los fertilizantes, </w:t>
      </w:r>
      <w:r w:rsidRPr="00333AFD">
        <w:lastRenderedPageBreak/>
        <w:t>subvenciones eléctricas selectivas y la fabricación local de fertilizantes, incluida la explotación plena de los fosfatos de Dorowa.</w:t>
      </w:r>
    </w:p>
    <w:p w14:paraId="5BB94402" w14:textId="77777777" w:rsidR="00333AFD" w:rsidRPr="00333AFD" w:rsidRDefault="00333AFD" w:rsidP="00333AFD">
      <w:pPr>
        <w:pStyle w:val="SingleTxtG"/>
      </w:pPr>
      <w:r w:rsidRPr="00333AFD">
        <w:t>14.</w:t>
      </w:r>
      <w:r w:rsidRPr="00333AFD">
        <w:tab/>
        <w:t xml:space="preserve">El sector minero ha seguido contribuyendo positivamente a la recuperación económica. Durante el período de enero a junio de 2019, el sector generó 1.300 millones de dólares de los Estados Unidos, lo que constituye el 68 % de los ingresos de exportación. Por lo tanto, el Gobierno tiene la intención de apoyar al sector minero mediante la exención de los aranceles de importación sobre las materias primas y los bienes de capital, como parte de la aplicación de las recientemente aprobadas Política Nacional de Desarrollo Industrial de Zimbabwe y Estrategia de Contenido Local. El objetivo general del Gobierno es promover el derecho a disponer libremente de los recursos económicos, tal como se consagra en los artículos 21 y 22 de la Carta Africana de Derechos Humanos y de los Pueblos. </w:t>
      </w:r>
    </w:p>
    <w:p w14:paraId="6D72ED98" w14:textId="77777777" w:rsidR="00333AFD" w:rsidRPr="00333AFD" w:rsidRDefault="00333AFD" w:rsidP="00333AFD">
      <w:pPr>
        <w:pStyle w:val="SingleTxtG"/>
      </w:pPr>
      <w:r w:rsidRPr="00333AFD">
        <w:t>15.</w:t>
      </w:r>
      <w:r w:rsidRPr="00333AFD">
        <w:tab/>
        <w:t>El sector del turismo sigue una tendencia de crecimiento ascendente que genera unos 1.300 millones de dólares de los Estados Unidos. Para acelerar esta tendencia se están aplicando estrategias para impulsar las inversiones en instalaciones de alojamiento y conferencias y ampliar la gama de productos turísticos.</w:t>
      </w:r>
    </w:p>
    <w:p w14:paraId="6D11DD7F" w14:textId="77777777" w:rsidR="00333AFD" w:rsidRPr="00333AFD" w:rsidRDefault="00333AFD" w:rsidP="00333AFD">
      <w:pPr>
        <w:pStyle w:val="SingleTxtG"/>
      </w:pPr>
      <w:r w:rsidRPr="00333AFD">
        <w:t>16.</w:t>
      </w:r>
      <w:r w:rsidRPr="00333AFD">
        <w:tab/>
        <w:t>El sector manufacturero ofrece inmensas oportunidades de crecimiento en los eslabonamientos de producción hacia atrás y hacia adelante; algunas empresas están aumentando gradualmente su producción y sus exportaciones. La introducción de un sistema de moneda única también impulsará la competitividad del sector. Además, el Gobierno está incrementando su apoyo al sector mediante exenciones de los aranceles de importación sobre las materias primas y los bienes de capital, exenciones y moratorias fiscales para proyectos prioritarios, y otras medidas de gestión de las importaciones, como parte de la aplicación de las recientemente aprobadas Política Nacional de Desarrollo Industrial de Zimbabwe y Estrategia de Contenido Local.</w:t>
      </w:r>
    </w:p>
    <w:p w14:paraId="616B45F3" w14:textId="1DDF31AC" w:rsidR="00333AFD" w:rsidRPr="00333AFD" w:rsidRDefault="00333AFD" w:rsidP="00333AFD">
      <w:pPr>
        <w:pStyle w:val="SingleTxtG"/>
      </w:pPr>
      <w:r w:rsidRPr="00333AFD">
        <w:t>17.</w:t>
      </w:r>
      <w:r w:rsidRPr="00333AFD">
        <w:tab/>
        <w:t>Zimbabwe también se ha comprometido a seguir cooperando con la Comunidad de África Meridional para el Desarrollo (SADC), el Mercado Común para África Oriental y Meridional (COMESA) y la Agenda 2063 de la Unión Africana, así como con la Agenda</w:t>
      </w:r>
      <w:r w:rsidR="00697477">
        <w:t> </w:t>
      </w:r>
      <w:r w:rsidRPr="00333AFD">
        <w:t>2030 para el Desarrollo Sostenible y los Objetivos de Desarrollo Sostenible de las Naciones Unidas. Zimbabwe sigue decidida a colaborar o volver a colaborar con la comunidad internacional.</w:t>
      </w:r>
    </w:p>
    <w:p w14:paraId="6B675C02" w14:textId="168167EE" w:rsidR="00333AFD" w:rsidRPr="00333AFD" w:rsidRDefault="00333AFD" w:rsidP="00333AFD">
      <w:pPr>
        <w:pStyle w:val="SingleTxtG"/>
      </w:pPr>
      <w:r w:rsidRPr="00333AFD">
        <w:t>18.</w:t>
      </w:r>
      <w:r w:rsidRPr="00333AFD">
        <w:tab/>
        <w:t>El cambio de rumbo sostenido de la economía se basa en el apoyo centrado en los sectores productivos, especialmente la agricultura, la minería y el sector manufacturero. La sequía de 2018/19 ha provocado una tasa de crecimiento negativa del sector agrícola.</w:t>
      </w:r>
    </w:p>
    <w:p w14:paraId="7741A5AB" w14:textId="77777777" w:rsidR="00333AFD" w:rsidRPr="00333AFD" w:rsidRDefault="00333AFD" w:rsidP="00333AFD">
      <w:pPr>
        <w:pStyle w:val="SingleTxtG"/>
      </w:pPr>
      <w:r w:rsidRPr="00333AFD">
        <w:t>19.</w:t>
      </w:r>
      <w:r w:rsidRPr="00333AFD">
        <w:tab/>
        <w:t>El Gobierno es plenamente consciente de los problemas económicos a los que se enfrentan los zimbabuenses como consecuencia de los efectos de las sanciones económicas impuestas ilegalmente y perpetuadas por Occidente y sus aliados. Los efectos devastadores de las sanciones han planteado una amenaza continua para el disfrute de los derechos socioeconómicos por el pueblo de Zimbabwe. El país sigue en deuda con la SADC por la histórica resolución aprobada en la 39ª Cumbre celebrada en la República Unida de Tanzanía, en la que se fijó el 25 de octubre como fecha para que los Estados miembros pidieran colectivamente el levantamiento de las sanciones ilegales impuestas a Zimbabwe. El país agradece profundamente este gesto de amistad y solidaridad.</w:t>
      </w:r>
    </w:p>
    <w:p w14:paraId="68DDE7A8" w14:textId="225FAEF0" w:rsidR="00333AFD" w:rsidRPr="00333AFD" w:rsidRDefault="00333AFD" w:rsidP="00333AFD">
      <w:pPr>
        <w:pStyle w:val="H23G"/>
      </w:pPr>
      <w:r w:rsidRPr="00333AFD">
        <w:rPr>
          <w:b w:val="0"/>
          <w:bCs/>
        </w:rPr>
        <w:tab/>
      </w:r>
      <w:r w:rsidRPr="00333AFD">
        <w:rPr>
          <w:b w:val="0"/>
          <w:bCs/>
        </w:rPr>
        <w:tab/>
        <w:t>Cuadro 2</w:t>
      </w:r>
      <w:r w:rsidRPr="00333AFD">
        <w:rPr>
          <w:b w:val="0"/>
          <w:bCs/>
        </w:rPr>
        <w:br/>
      </w:r>
      <w:r w:rsidRPr="00333AFD">
        <w:t>Indicadores sociales y económicos actuales</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54"/>
        <w:gridCol w:w="438"/>
        <w:gridCol w:w="696"/>
        <w:gridCol w:w="1614"/>
        <w:gridCol w:w="1985"/>
        <w:gridCol w:w="3118"/>
      </w:tblGrid>
      <w:tr w:rsidR="00333AFD" w:rsidRPr="00333AFD" w14:paraId="6338F4E8" w14:textId="77777777" w:rsidTr="00F35AF3">
        <w:trPr>
          <w:trHeight w:val="240"/>
          <w:tblHeader/>
        </w:trPr>
        <w:tc>
          <w:tcPr>
            <w:tcW w:w="654" w:type="dxa"/>
            <w:tcBorders>
              <w:top w:val="single" w:sz="4" w:space="0" w:color="auto"/>
              <w:bottom w:val="single" w:sz="12" w:space="0" w:color="auto"/>
            </w:tcBorders>
            <w:shd w:val="clear" w:color="auto" w:fill="auto"/>
            <w:vAlign w:val="bottom"/>
          </w:tcPr>
          <w:p w14:paraId="240CF7CB" w14:textId="4B411EF9"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3D4091">
              <w:rPr>
                <w:i/>
                <w:iCs/>
                <w:sz w:val="16"/>
              </w:rPr>
              <w:t>ero</w:t>
            </w:r>
          </w:p>
        </w:tc>
        <w:tc>
          <w:tcPr>
            <w:tcW w:w="2748" w:type="dxa"/>
            <w:gridSpan w:val="3"/>
            <w:tcBorders>
              <w:top w:val="single" w:sz="4" w:space="0" w:color="auto"/>
              <w:bottom w:val="single" w:sz="12" w:space="0" w:color="auto"/>
            </w:tcBorders>
            <w:shd w:val="clear" w:color="auto" w:fill="auto"/>
            <w:vAlign w:val="bottom"/>
          </w:tcPr>
          <w:p w14:paraId="208ADF78"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Indicador</w:t>
            </w:r>
          </w:p>
        </w:tc>
        <w:tc>
          <w:tcPr>
            <w:tcW w:w="1985" w:type="dxa"/>
            <w:tcBorders>
              <w:top w:val="single" w:sz="4" w:space="0" w:color="auto"/>
              <w:bottom w:val="single" w:sz="12" w:space="0" w:color="auto"/>
            </w:tcBorders>
            <w:shd w:val="clear" w:color="auto" w:fill="auto"/>
            <w:vAlign w:val="bottom"/>
          </w:tcPr>
          <w:p w14:paraId="0AABC554" w14:textId="77777777" w:rsidR="00333AFD" w:rsidRPr="00333AFD" w:rsidRDefault="00333AFD" w:rsidP="003D4091">
            <w:pPr>
              <w:pStyle w:val="SingleTxtG"/>
              <w:tabs>
                <w:tab w:val="clear" w:pos="1701"/>
                <w:tab w:val="clear" w:pos="2268"/>
                <w:tab w:val="clear" w:pos="2835"/>
              </w:tabs>
              <w:spacing w:before="80" w:after="80" w:line="200" w:lineRule="exact"/>
              <w:ind w:left="0" w:right="0"/>
              <w:jc w:val="right"/>
              <w:rPr>
                <w:i/>
                <w:sz w:val="16"/>
              </w:rPr>
            </w:pPr>
            <w:r w:rsidRPr="00333AFD">
              <w:rPr>
                <w:i/>
                <w:iCs/>
                <w:sz w:val="16"/>
              </w:rPr>
              <w:t>Valor</w:t>
            </w:r>
          </w:p>
        </w:tc>
        <w:tc>
          <w:tcPr>
            <w:tcW w:w="3118" w:type="dxa"/>
            <w:tcBorders>
              <w:top w:val="single" w:sz="4" w:space="0" w:color="auto"/>
              <w:bottom w:val="single" w:sz="12" w:space="0" w:color="auto"/>
            </w:tcBorders>
            <w:shd w:val="clear" w:color="auto" w:fill="auto"/>
            <w:vAlign w:val="bottom"/>
          </w:tcPr>
          <w:p w14:paraId="7ABDECF9"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Fuente</w:t>
            </w:r>
          </w:p>
        </w:tc>
      </w:tr>
      <w:tr w:rsidR="00333AFD" w:rsidRPr="00333AFD" w14:paraId="08F79EDD" w14:textId="77777777" w:rsidTr="00F35AF3">
        <w:trPr>
          <w:trHeight w:hRule="exact" w:val="113"/>
          <w:tblHeader/>
        </w:trPr>
        <w:tc>
          <w:tcPr>
            <w:tcW w:w="654" w:type="dxa"/>
            <w:tcBorders>
              <w:top w:val="single" w:sz="12" w:space="0" w:color="auto"/>
            </w:tcBorders>
            <w:shd w:val="clear" w:color="auto" w:fill="auto"/>
          </w:tcPr>
          <w:p w14:paraId="1B184A3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2748" w:type="dxa"/>
            <w:gridSpan w:val="3"/>
            <w:tcBorders>
              <w:top w:val="single" w:sz="12" w:space="0" w:color="auto"/>
            </w:tcBorders>
            <w:shd w:val="clear" w:color="auto" w:fill="auto"/>
          </w:tcPr>
          <w:p w14:paraId="0DE3E2F8"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1985" w:type="dxa"/>
            <w:tcBorders>
              <w:top w:val="single" w:sz="12" w:space="0" w:color="auto"/>
            </w:tcBorders>
            <w:shd w:val="clear" w:color="auto" w:fill="auto"/>
          </w:tcPr>
          <w:p w14:paraId="7A87066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3118" w:type="dxa"/>
            <w:tcBorders>
              <w:top w:val="single" w:sz="12" w:space="0" w:color="auto"/>
            </w:tcBorders>
            <w:shd w:val="clear" w:color="auto" w:fill="auto"/>
          </w:tcPr>
          <w:p w14:paraId="290D941B"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0721EA5" w14:textId="77777777" w:rsidTr="00F35AF3">
        <w:trPr>
          <w:trHeight w:val="240"/>
        </w:trPr>
        <w:tc>
          <w:tcPr>
            <w:tcW w:w="654" w:type="dxa"/>
            <w:shd w:val="clear" w:color="auto" w:fill="auto"/>
          </w:tcPr>
          <w:p w14:paraId="1E96299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w:t>
            </w:r>
          </w:p>
        </w:tc>
        <w:tc>
          <w:tcPr>
            <w:tcW w:w="7851" w:type="dxa"/>
            <w:gridSpan w:val="5"/>
            <w:shd w:val="clear" w:color="auto" w:fill="auto"/>
          </w:tcPr>
          <w:p w14:paraId="01C6BDF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Proporción de gastos de consumo por familia</w:t>
            </w:r>
          </w:p>
        </w:tc>
      </w:tr>
      <w:tr w:rsidR="00333AFD" w:rsidRPr="00333AFD" w14:paraId="62F44CD4" w14:textId="77777777" w:rsidTr="003D4091">
        <w:trPr>
          <w:trHeight w:val="240"/>
        </w:trPr>
        <w:tc>
          <w:tcPr>
            <w:tcW w:w="654" w:type="dxa"/>
            <w:vMerge w:val="restart"/>
            <w:shd w:val="clear" w:color="auto" w:fill="auto"/>
          </w:tcPr>
          <w:p w14:paraId="750E741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688602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78DDDB9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Alimentos </w:t>
            </w:r>
          </w:p>
        </w:tc>
        <w:tc>
          <w:tcPr>
            <w:tcW w:w="1985" w:type="dxa"/>
            <w:shd w:val="clear" w:color="auto" w:fill="auto"/>
          </w:tcPr>
          <w:p w14:paraId="723DE966" w14:textId="4C10E43D" w:rsidR="00333AFD" w:rsidRPr="00333AFD" w:rsidRDefault="00333AFD" w:rsidP="00F35AF3">
            <w:pPr>
              <w:pStyle w:val="SingleTxtG"/>
              <w:tabs>
                <w:tab w:val="clear" w:pos="1701"/>
                <w:tab w:val="clear" w:pos="2268"/>
                <w:tab w:val="clear" w:pos="2835"/>
              </w:tabs>
              <w:spacing w:before="40"/>
              <w:ind w:left="0" w:right="0"/>
              <w:jc w:val="right"/>
            </w:pPr>
            <w:r w:rsidRPr="00333AFD">
              <w:t>31,3</w:t>
            </w:r>
            <w:r w:rsidR="00F35AF3">
              <w:t xml:space="preserve"> </w:t>
            </w:r>
            <w:r w:rsidRPr="00333AFD">
              <w:t>%</w:t>
            </w:r>
          </w:p>
        </w:tc>
        <w:tc>
          <w:tcPr>
            <w:tcW w:w="3118" w:type="dxa"/>
            <w:vMerge w:val="restart"/>
            <w:shd w:val="clear" w:color="auto" w:fill="auto"/>
            <w:vAlign w:val="center"/>
          </w:tcPr>
          <w:p w14:paraId="4C2FDB1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PICES 2017, ZIMSTAT</w:t>
            </w:r>
          </w:p>
        </w:tc>
      </w:tr>
      <w:tr w:rsidR="00333AFD" w:rsidRPr="00333AFD" w14:paraId="02CCEAD0" w14:textId="77777777" w:rsidTr="003D4091">
        <w:trPr>
          <w:trHeight w:val="240"/>
        </w:trPr>
        <w:tc>
          <w:tcPr>
            <w:tcW w:w="654" w:type="dxa"/>
            <w:vMerge/>
            <w:shd w:val="clear" w:color="auto" w:fill="auto"/>
          </w:tcPr>
          <w:p w14:paraId="5134548E"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5F9CA8D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1807525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Vivienda</w:t>
            </w:r>
          </w:p>
        </w:tc>
        <w:tc>
          <w:tcPr>
            <w:tcW w:w="1985" w:type="dxa"/>
            <w:shd w:val="clear" w:color="auto" w:fill="auto"/>
          </w:tcPr>
          <w:p w14:paraId="6BEDEF6D" w14:textId="017AD104" w:rsidR="00333AFD" w:rsidRPr="00333AFD" w:rsidRDefault="00333AFD" w:rsidP="00F35AF3">
            <w:pPr>
              <w:pStyle w:val="SingleTxtG"/>
              <w:tabs>
                <w:tab w:val="clear" w:pos="1701"/>
                <w:tab w:val="clear" w:pos="2268"/>
                <w:tab w:val="clear" w:pos="2835"/>
              </w:tabs>
              <w:spacing w:before="40"/>
              <w:ind w:left="0" w:right="0"/>
              <w:jc w:val="right"/>
            </w:pPr>
            <w:r w:rsidRPr="00333AFD">
              <w:t>27,6</w:t>
            </w:r>
            <w:r w:rsidR="00F35AF3">
              <w:t xml:space="preserve"> </w:t>
            </w:r>
            <w:r w:rsidRPr="00333AFD">
              <w:t>%</w:t>
            </w:r>
          </w:p>
        </w:tc>
        <w:tc>
          <w:tcPr>
            <w:tcW w:w="3118" w:type="dxa"/>
            <w:vMerge/>
            <w:shd w:val="clear" w:color="auto" w:fill="auto"/>
          </w:tcPr>
          <w:p w14:paraId="2207080F"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BE9FB88" w14:textId="77777777" w:rsidTr="003D4091">
        <w:trPr>
          <w:trHeight w:val="240"/>
        </w:trPr>
        <w:tc>
          <w:tcPr>
            <w:tcW w:w="654" w:type="dxa"/>
            <w:vMerge/>
            <w:shd w:val="clear" w:color="auto" w:fill="auto"/>
          </w:tcPr>
          <w:p w14:paraId="0A58EC5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10701AC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310" w:type="dxa"/>
            <w:gridSpan w:val="2"/>
            <w:shd w:val="clear" w:color="auto" w:fill="auto"/>
          </w:tcPr>
          <w:p w14:paraId="37C02C3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Salud </w:t>
            </w:r>
          </w:p>
        </w:tc>
        <w:tc>
          <w:tcPr>
            <w:tcW w:w="1985" w:type="dxa"/>
            <w:shd w:val="clear" w:color="auto" w:fill="auto"/>
          </w:tcPr>
          <w:p w14:paraId="626CDBBC" w14:textId="4EA0E21E" w:rsidR="00333AFD" w:rsidRPr="00333AFD" w:rsidRDefault="00333AFD" w:rsidP="00F35AF3">
            <w:pPr>
              <w:pStyle w:val="SingleTxtG"/>
              <w:tabs>
                <w:tab w:val="clear" w:pos="1701"/>
                <w:tab w:val="clear" w:pos="2268"/>
                <w:tab w:val="clear" w:pos="2835"/>
              </w:tabs>
              <w:spacing w:before="40"/>
              <w:ind w:left="0" w:right="0"/>
              <w:jc w:val="right"/>
            </w:pPr>
            <w:r w:rsidRPr="00333AFD">
              <w:t>1,4</w:t>
            </w:r>
            <w:r w:rsidR="00F35AF3">
              <w:t xml:space="preserve"> </w:t>
            </w:r>
            <w:r w:rsidRPr="00333AFD">
              <w:t>%</w:t>
            </w:r>
          </w:p>
        </w:tc>
        <w:tc>
          <w:tcPr>
            <w:tcW w:w="3118" w:type="dxa"/>
            <w:vMerge/>
            <w:shd w:val="clear" w:color="auto" w:fill="auto"/>
          </w:tcPr>
          <w:p w14:paraId="0536A1CD"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5C95AE7C" w14:textId="77777777" w:rsidTr="003D4091">
        <w:trPr>
          <w:trHeight w:val="240"/>
        </w:trPr>
        <w:tc>
          <w:tcPr>
            <w:tcW w:w="654" w:type="dxa"/>
            <w:vMerge/>
            <w:shd w:val="clear" w:color="auto" w:fill="auto"/>
          </w:tcPr>
          <w:p w14:paraId="7A6363E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51FB6F8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310" w:type="dxa"/>
            <w:gridSpan w:val="2"/>
            <w:shd w:val="clear" w:color="auto" w:fill="auto"/>
          </w:tcPr>
          <w:p w14:paraId="35F352B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Educación</w:t>
            </w:r>
          </w:p>
        </w:tc>
        <w:tc>
          <w:tcPr>
            <w:tcW w:w="1985" w:type="dxa"/>
            <w:shd w:val="clear" w:color="auto" w:fill="auto"/>
          </w:tcPr>
          <w:p w14:paraId="52B8C577" w14:textId="2CCCFA08" w:rsidR="00333AFD" w:rsidRPr="00333AFD" w:rsidRDefault="00333AFD" w:rsidP="00F35AF3">
            <w:pPr>
              <w:pStyle w:val="SingleTxtG"/>
              <w:tabs>
                <w:tab w:val="clear" w:pos="1701"/>
                <w:tab w:val="clear" w:pos="2268"/>
                <w:tab w:val="clear" w:pos="2835"/>
              </w:tabs>
              <w:spacing w:before="40"/>
              <w:ind w:left="0" w:right="0"/>
              <w:jc w:val="right"/>
            </w:pPr>
            <w:r w:rsidRPr="00333AFD">
              <w:t>4,3</w:t>
            </w:r>
            <w:r w:rsidR="00F35AF3">
              <w:t xml:space="preserve"> </w:t>
            </w:r>
            <w:r w:rsidRPr="00333AFD">
              <w:t>%</w:t>
            </w:r>
          </w:p>
        </w:tc>
        <w:tc>
          <w:tcPr>
            <w:tcW w:w="3118" w:type="dxa"/>
            <w:vMerge/>
            <w:shd w:val="clear" w:color="auto" w:fill="auto"/>
          </w:tcPr>
          <w:p w14:paraId="157C4CA9"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FFC03F4" w14:textId="77777777" w:rsidTr="00F35AF3">
        <w:trPr>
          <w:trHeight w:val="240"/>
        </w:trPr>
        <w:tc>
          <w:tcPr>
            <w:tcW w:w="654" w:type="dxa"/>
            <w:shd w:val="clear" w:color="auto" w:fill="auto"/>
          </w:tcPr>
          <w:p w14:paraId="7553A2A3" w14:textId="77777777" w:rsidR="00333AFD" w:rsidRPr="00333AFD" w:rsidRDefault="00333AFD" w:rsidP="00333AFD">
            <w:pPr>
              <w:pStyle w:val="SingleTxtG"/>
              <w:tabs>
                <w:tab w:val="clear" w:pos="1701"/>
                <w:tab w:val="clear" w:pos="2268"/>
                <w:tab w:val="clear" w:pos="2835"/>
              </w:tabs>
              <w:spacing w:before="40"/>
              <w:ind w:left="0" w:right="0"/>
              <w:jc w:val="left"/>
            </w:pPr>
            <w:r w:rsidRPr="00333AFD">
              <w:lastRenderedPageBreak/>
              <w:t>2.</w:t>
            </w:r>
          </w:p>
        </w:tc>
        <w:tc>
          <w:tcPr>
            <w:tcW w:w="2748" w:type="dxa"/>
            <w:gridSpan w:val="3"/>
            <w:shd w:val="clear" w:color="auto" w:fill="auto"/>
          </w:tcPr>
          <w:p w14:paraId="24932E0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Proporción de la población por debajo del límite de la pobreza (pobreza individual)</w:t>
            </w:r>
          </w:p>
        </w:tc>
        <w:tc>
          <w:tcPr>
            <w:tcW w:w="1985" w:type="dxa"/>
            <w:shd w:val="clear" w:color="auto" w:fill="auto"/>
          </w:tcPr>
          <w:p w14:paraId="3D593163" w14:textId="247810EC" w:rsidR="00333AFD" w:rsidRPr="00333AFD" w:rsidRDefault="00333AFD" w:rsidP="00F35AF3">
            <w:pPr>
              <w:pStyle w:val="SingleTxtG"/>
              <w:tabs>
                <w:tab w:val="clear" w:pos="1701"/>
                <w:tab w:val="clear" w:pos="2268"/>
                <w:tab w:val="clear" w:pos="2835"/>
              </w:tabs>
              <w:spacing w:before="40"/>
              <w:ind w:left="0" w:right="0"/>
              <w:jc w:val="right"/>
            </w:pPr>
            <w:r w:rsidRPr="00333AFD">
              <w:t>70,5</w:t>
            </w:r>
            <w:r w:rsidR="00F35AF3">
              <w:t xml:space="preserve"> </w:t>
            </w:r>
            <w:r w:rsidRPr="00333AFD">
              <w:t>%</w:t>
            </w:r>
          </w:p>
        </w:tc>
        <w:tc>
          <w:tcPr>
            <w:tcW w:w="3118" w:type="dxa"/>
            <w:vMerge w:val="restart"/>
            <w:shd w:val="clear" w:color="auto" w:fill="auto"/>
            <w:vAlign w:val="center"/>
          </w:tcPr>
          <w:p w14:paraId="21C865F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Informe sobre la pobreza en Zimbabwe 2017, ZIMSTAT</w:t>
            </w:r>
          </w:p>
        </w:tc>
      </w:tr>
      <w:tr w:rsidR="00333AFD" w:rsidRPr="00333AFD" w14:paraId="391BA941" w14:textId="77777777" w:rsidTr="00F35AF3">
        <w:trPr>
          <w:trHeight w:val="240"/>
        </w:trPr>
        <w:tc>
          <w:tcPr>
            <w:tcW w:w="654" w:type="dxa"/>
            <w:shd w:val="clear" w:color="auto" w:fill="auto"/>
          </w:tcPr>
          <w:p w14:paraId="223077F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3.</w:t>
            </w:r>
          </w:p>
        </w:tc>
        <w:tc>
          <w:tcPr>
            <w:tcW w:w="2748" w:type="dxa"/>
            <w:gridSpan w:val="3"/>
            <w:shd w:val="clear" w:color="auto" w:fill="auto"/>
          </w:tcPr>
          <w:p w14:paraId="38770DC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Proporción de la población por debajo del nivel mínimo de la ingesta de alimentos</w:t>
            </w:r>
          </w:p>
        </w:tc>
        <w:tc>
          <w:tcPr>
            <w:tcW w:w="1985" w:type="dxa"/>
            <w:shd w:val="clear" w:color="auto" w:fill="auto"/>
          </w:tcPr>
          <w:p w14:paraId="4A587D55" w14:textId="54EEDD3C" w:rsidR="00333AFD" w:rsidRPr="00333AFD" w:rsidRDefault="00333AFD" w:rsidP="00F35AF3">
            <w:pPr>
              <w:pStyle w:val="SingleTxtG"/>
              <w:tabs>
                <w:tab w:val="clear" w:pos="1701"/>
                <w:tab w:val="clear" w:pos="2268"/>
                <w:tab w:val="clear" w:pos="2835"/>
              </w:tabs>
              <w:spacing w:before="40"/>
              <w:ind w:left="0" w:right="0"/>
              <w:jc w:val="right"/>
            </w:pPr>
            <w:r w:rsidRPr="00333AFD">
              <w:t>29,3</w:t>
            </w:r>
            <w:r w:rsidR="00F35AF3">
              <w:t xml:space="preserve"> </w:t>
            </w:r>
            <w:r w:rsidRPr="00333AFD">
              <w:t>%</w:t>
            </w:r>
          </w:p>
        </w:tc>
        <w:tc>
          <w:tcPr>
            <w:tcW w:w="3118" w:type="dxa"/>
            <w:vMerge/>
            <w:shd w:val="clear" w:color="auto" w:fill="auto"/>
          </w:tcPr>
          <w:p w14:paraId="3FCD1140"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EB9F923" w14:textId="77777777" w:rsidTr="00F35AF3">
        <w:trPr>
          <w:trHeight w:val="240"/>
        </w:trPr>
        <w:tc>
          <w:tcPr>
            <w:tcW w:w="654" w:type="dxa"/>
            <w:shd w:val="clear" w:color="auto" w:fill="auto"/>
          </w:tcPr>
          <w:p w14:paraId="7538F6C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4.</w:t>
            </w:r>
          </w:p>
        </w:tc>
        <w:tc>
          <w:tcPr>
            <w:tcW w:w="2748" w:type="dxa"/>
            <w:gridSpan w:val="3"/>
            <w:shd w:val="clear" w:color="auto" w:fill="auto"/>
          </w:tcPr>
          <w:p w14:paraId="255F49A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 xml:space="preserve">Coeficiente de Gini (relativo a la distribución de los ingresos o al gasto de consumo de los hogares) </w:t>
            </w:r>
          </w:p>
        </w:tc>
        <w:tc>
          <w:tcPr>
            <w:tcW w:w="1985" w:type="dxa"/>
            <w:shd w:val="clear" w:color="auto" w:fill="auto"/>
          </w:tcPr>
          <w:p w14:paraId="5398F869"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0,435</w:t>
            </w:r>
          </w:p>
        </w:tc>
        <w:tc>
          <w:tcPr>
            <w:tcW w:w="3118" w:type="dxa"/>
            <w:vMerge/>
            <w:shd w:val="clear" w:color="auto" w:fill="auto"/>
          </w:tcPr>
          <w:p w14:paraId="2E7EBA33"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5B11F08" w14:textId="77777777" w:rsidTr="00F35AF3">
        <w:trPr>
          <w:trHeight w:val="240"/>
        </w:trPr>
        <w:tc>
          <w:tcPr>
            <w:tcW w:w="654" w:type="dxa"/>
            <w:shd w:val="clear" w:color="auto" w:fill="auto"/>
          </w:tcPr>
          <w:p w14:paraId="4F979FE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5.</w:t>
            </w:r>
          </w:p>
        </w:tc>
        <w:tc>
          <w:tcPr>
            <w:tcW w:w="2748" w:type="dxa"/>
            <w:gridSpan w:val="3"/>
            <w:shd w:val="clear" w:color="auto" w:fill="auto"/>
          </w:tcPr>
          <w:p w14:paraId="06DE9294" w14:textId="3B48E1EA" w:rsidR="00333AFD" w:rsidRPr="00333AFD" w:rsidRDefault="00333AFD" w:rsidP="00333AFD">
            <w:pPr>
              <w:pStyle w:val="SingleTxtG"/>
              <w:tabs>
                <w:tab w:val="clear" w:pos="1701"/>
                <w:tab w:val="clear" w:pos="2268"/>
                <w:tab w:val="clear" w:pos="2835"/>
              </w:tabs>
              <w:spacing w:before="40"/>
              <w:ind w:left="0" w:right="0"/>
              <w:jc w:val="left"/>
            </w:pPr>
            <w:r w:rsidRPr="00333AFD">
              <w:t>Proporción de menores de 5</w:t>
            </w:r>
            <w:r w:rsidR="00697477">
              <w:t> </w:t>
            </w:r>
            <w:r w:rsidRPr="00333AFD">
              <w:t>años con insuficiencia ponderal</w:t>
            </w:r>
          </w:p>
        </w:tc>
        <w:tc>
          <w:tcPr>
            <w:tcW w:w="1985" w:type="dxa"/>
            <w:shd w:val="clear" w:color="auto" w:fill="auto"/>
          </w:tcPr>
          <w:p w14:paraId="23A9DE95" w14:textId="1E64BFDA" w:rsidR="00333AFD" w:rsidRPr="00333AFD" w:rsidRDefault="00333AFD" w:rsidP="00F35AF3">
            <w:pPr>
              <w:pStyle w:val="SingleTxtG"/>
              <w:tabs>
                <w:tab w:val="clear" w:pos="1701"/>
                <w:tab w:val="clear" w:pos="2268"/>
                <w:tab w:val="clear" w:pos="2835"/>
              </w:tabs>
              <w:spacing w:before="40"/>
              <w:ind w:left="0" w:right="0"/>
              <w:jc w:val="right"/>
            </w:pPr>
            <w:r w:rsidRPr="00333AFD">
              <w:t>10</w:t>
            </w:r>
            <w:r w:rsidR="00F35AF3">
              <w:t xml:space="preserve"> </w:t>
            </w:r>
            <w:r w:rsidRPr="00333AFD">
              <w:t>%</w:t>
            </w:r>
          </w:p>
        </w:tc>
        <w:tc>
          <w:tcPr>
            <w:tcW w:w="3118" w:type="dxa"/>
            <w:shd w:val="clear" w:color="auto" w:fill="auto"/>
          </w:tcPr>
          <w:p w14:paraId="46CCB10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MICS 2019, ZIMSTAT</w:t>
            </w:r>
          </w:p>
        </w:tc>
      </w:tr>
      <w:tr w:rsidR="00697477" w:rsidRPr="00333AFD" w14:paraId="15108733" w14:textId="77777777" w:rsidTr="001F2E3F">
        <w:trPr>
          <w:trHeight w:val="240"/>
        </w:trPr>
        <w:tc>
          <w:tcPr>
            <w:tcW w:w="654" w:type="dxa"/>
            <w:vMerge w:val="restart"/>
            <w:shd w:val="clear" w:color="auto" w:fill="auto"/>
          </w:tcPr>
          <w:p w14:paraId="6700518B" w14:textId="77777777" w:rsidR="00697477" w:rsidRPr="00333AFD" w:rsidRDefault="00697477" w:rsidP="00333AFD">
            <w:pPr>
              <w:pStyle w:val="SingleTxtG"/>
              <w:tabs>
                <w:tab w:val="clear" w:pos="1701"/>
                <w:tab w:val="clear" w:pos="2268"/>
                <w:tab w:val="clear" w:pos="2835"/>
              </w:tabs>
              <w:spacing w:before="40"/>
              <w:ind w:left="0" w:right="0"/>
              <w:jc w:val="left"/>
            </w:pPr>
            <w:r w:rsidRPr="00333AFD">
              <w:t>6.</w:t>
            </w:r>
          </w:p>
        </w:tc>
        <w:tc>
          <w:tcPr>
            <w:tcW w:w="7851" w:type="dxa"/>
            <w:gridSpan w:val="5"/>
            <w:shd w:val="clear" w:color="auto" w:fill="auto"/>
          </w:tcPr>
          <w:p w14:paraId="010E1A38" w14:textId="5A1EF2E2" w:rsidR="00697477" w:rsidRPr="00333AFD" w:rsidRDefault="00697477" w:rsidP="00333AFD">
            <w:pPr>
              <w:pStyle w:val="SingleTxtG"/>
              <w:tabs>
                <w:tab w:val="clear" w:pos="1701"/>
                <w:tab w:val="clear" w:pos="2268"/>
                <w:tab w:val="clear" w:pos="2835"/>
              </w:tabs>
              <w:spacing w:before="40"/>
              <w:ind w:left="0" w:right="0"/>
              <w:jc w:val="left"/>
            </w:pPr>
            <w:r w:rsidRPr="00333AFD">
              <w:t>Porcentaje de mujeres en edad de procrear que usan anticonceptivos o cuyas parejas usan anticonceptivos</w:t>
            </w:r>
          </w:p>
        </w:tc>
      </w:tr>
      <w:tr w:rsidR="00333AFD" w:rsidRPr="00333AFD" w14:paraId="0079D364" w14:textId="77777777" w:rsidTr="003D4091">
        <w:trPr>
          <w:trHeight w:val="240"/>
        </w:trPr>
        <w:tc>
          <w:tcPr>
            <w:tcW w:w="654" w:type="dxa"/>
            <w:vMerge/>
            <w:shd w:val="clear" w:color="auto" w:fill="auto"/>
          </w:tcPr>
          <w:p w14:paraId="361F737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6F9E5E1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298C41B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Cualquier método</w:t>
            </w:r>
          </w:p>
        </w:tc>
        <w:tc>
          <w:tcPr>
            <w:tcW w:w="1985" w:type="dxa"/>
            <w:shd w:val="clear" w:color="auto" w:fill="auto"/>
          </w:tcPr>
          <w:p w14:paraId="04C1ED84" w14:textId="76E36772" w:rsidR="00333AFD" w:rsidRPr="00333AFD" w:rsidRDefault="00333AFD" w:rsidP="00F35AF3">
            <w:pPr>
              <w:pStyle w:val="SingleTxtG"/>
              <w:tabs>
                <w:tab w:val="clear" w:pos="1701"/>
                <w:tab w:val="clear" w:pos="2268"/>
                <w:tab w:val="clear" w:pos="2835"/>
              </w:tabs>
              <w:spacing w:before="40"/>
              <w:ind w:left="0" w:right="0"/>
              <w:jc w:val="right"/>
            </w:pPr>
            <w:r w:rsidRPr="00333AFD">
              <w:t>48,6</w:t>
            </w:r>
            <w:r w:rsidR="00F35AF3">
              <w:t xml:space="preserve"> </w:t>
            </w:r>
            <w:r w:rsidRPr="00333AFD">
              <w:t>%</w:t>
            </w:r>
          </w:p>
        </w:tc>
        <w:tc>
          <w:tcPr>
            <w:tcW w:w="3118" w:type="dxa"/>
            <w:vMerge w:val="restart"/>
            <w:shd w:val="clear" w:color="auto" w:fill="auto"/>
            <w:vAlign w:val="center"/>
          </w:tcPr>
          <w:p w14:paraId="1EC180E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Demográfica y de Salud de Zimbabwe 2015, ZIMSTAT</w:t>
            </w:r>
          </w:p>
        </w:tc>
      </w:tr>
      <w:tr w:rsidR="00333AFD" w:rsidRPr="00333AFD" w14:paraId="6345AE44" w14:textId="77777777" w:rsidTr="003D4091">
        <w:trPr>
          <w:trHeight w:val="240"/>
        </w:trPr>
        <w:tc>
          <w:tcPr>
            <w:tcW w:w="654" w:type="dxa"/>
            <w:vMerge/>
            <w:shd w:val="clear" w:color="auto" w:fill="auto"/>
          </w:tcPr>
          <w:p w14:paraId="5CAF57C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DC74CD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71DB36A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Cualquier método moderno</w:t>
            </w:r>
          </w:p>
        </w:tc>
        <w:tc>
          <w:tcPr>
            <w:tcW w:w="1985" w:type="dxa"/>
            <w:shd w:val="clear" w:color="auto" w:fill="auto"/>
          </w:tcPr>
          <w:p w14:paraId="01CCBC7A" w14:textId="7E7C9986" w:rsidR="00333AFD" w:rsidRPr="00333AFD" w:rsidRDefault="00333AFD" w:rsidP="00F35AF3">
            <w:pPr>
              <w:pStyle w:val="SingleTxtG"/>
              <w:tabs>
                <w:tab w:val="clear" w:pos="1701"/>
                <w:tab w:val="clear" w:pos="2268"/>
                <w:tab w:val="clear" w:pos="2835"/>
              </w:tabs>
              <w:spacing w:before="40"/>
              <w:ind w:left="0" w:right="0"/>
              <w:jc w:val="right"/>
            </w:pPr>
            <w:r w:rsidRPr="00333AFD">
              <w:t>47,9</w:t>
            </w:r>
            <w:r w:rsidR="00F35AF3">
              <w:t xml:space="preserve"> </w:t>
            </w:r>
            <w:r w:rsidRPr="00333AFD">
              <w:t>%</w:t>
            </w:r>
          </w:p>
        </w:tc>
        <w:tc>
          <w:tcPr>
            <w:tcW w:w="3118" w:type="dxa"/>
            <w:vMerge/>
            <w:shd w:val="clear" w:color="auto" w:fill="auto"/>
          </w:tcPr>
          <w:p w14:paraId="26674819"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5E28A5E" w14:textId="77777777" w:rsidTr="00F35AF3">
        <w:trPr>
          <w:trHeight w:val="240"/>
        </w:trPr>
        <w:tc>
          <w:tcPr>
            <w:tcW w:w="654" w:type="dxa"/>
            <w:shd w:val="clear" w:color="auto" w:fill="auto"/>
          </w:tcPr>
          <w:p w14:paraId="033B469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7.</w:t>
            </w:r>
          </w:p>
        </w:tc>
        <w:tc>
          <w:tcPr>
            <w:tcW w:w="2748" w:type="dxa"/>
            <w:gridSpan w:val="3"/>
            <w:shd w:val="clear" w:color="auto" w:fill="auto"/>
          </w:tcPr>
          <w:p w14:paraId="1410BBB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Abortos médicos como proporción de los nacidos vivos</w:t>
            </w:r>
          </w:p>
        </w:tc>
        <w:tc>
          <w:tcPr>
            <w:tcW w:w="1985" w:type="dxa"/>
            <w:shd w:val="clear" w:color="auto" w:fill="auto"/>
          </w:tcPr>
          <w:p w14:paraId="60FD5A28"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shd w:val="clear" w:color="auto" w:fill="auto"/>
          </w:tcPr>
          <w:p w14:paraId="72788DB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w:t>
            </w:r>
          </w:p>
        </w:tc>
      </w:tr>
      <w:tr w:rsidR="00333AFD" w:rsidRPr="00333AFD" w14:paraId="0AA759D9" w14:textId="77777777" w:rsidTr="00F35AF3">
        <w:trPr>
          <w:trHeight w:val="240"/>
        </w:trPr>
        <w:tc>
          <w:tcPr>
            <w:tcW w:w="654" w:type="dxa"/>
            <w:shd w:val="clear" w:color="auto" w:fill="auto"/>
          </w:tcPr>
          <w:p w14:paraId="2EE2F19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8.</w:t>
            </w:r>
          </w:p>
        </w:tc>
        <w:tc>
          <w:tcPr>
            <w:tcW w:w="2748" w:type="dxa"/>
            <w:gridSpan w:val="3"/>
            <w:shd w:val="clear" w:color="auto" w:fill="auto"/>
          </w:tcPr>
          <w:p w14:paraId="535C207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Tasas de infección por el VIH/sida y las principales enfermedades transmisibles (adultos de 15 a 64 años)</w:t>
            </w:r>
          </w:p>
        </w:tc>
        <w:tc>
          <w:tcPr>
            <w:tcW w:w="1985" w:type="dxa"/>
            <w:shd w:val="clear" w:color="auto" w:fill="auto"/>
          </w:tcPr>
          <w:p w14:paraId="1055C4C1"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40 974 nuevos casos por año</w:t>
            </w:r>
          </w:p>
        </w:tc>
        <w:tc>
          <w:tcPr>
            <w:tcW w:w="3118" w:type="dxa"/>
            <w:shd w:val="clear" w:color="auto" w:fill="auto"/>
          </w:tcPr>
          <w:p w14:paraId="4569E5F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Ministerio de Salud y Atención a la Infancia, 2017</w:t>
            </w:r>
          </w:p>
        </w:tc>
      </w:tr>
      <w:tr w:rsidR="00697477" w:rsidRPr="00333AFD" w14:paraId="4937C3E0" w14:textId="77777777" w:rsidTr="00250BE4">
        <w:trPr>
          <w:trHeight w:val="240"/>
        </w:trPr>
        <w:tc>
          <w:tcPr>
            <w:tcW w:w="654" w:type="dxa"/>
            <w:vMerge w:val="restart"/>
            <w:shd w:val="clear" w:color="auto" w:fill="auto"/>
          </w:tcPr>
          <w:p w14:paraId="512E80A5" w14:textId="77777777" w:rsidR="00697477" w:rsidRPr="00333AFD" w:rsidRDefault="00697477" w:rsidP="00333AFD">
            <w:pPr>
              <w:pStyle w:val="SingleTxtG"/>
              <w:tabs>
                <w:tab w:val="clear" w:pos="1701"/>
                <w:tab w:val="clear" w:pos="2268"/>
                <w:tab w:val="clear" w:pos="2835"/>
              </w:tabs>
              <w:spacing w:before="40"/>
              <w:ind w:left="0" w:right="0"/>
              <w:jc w:val="left"/>
            </w:pPr>
            <w:r w:rsidRPr="00333AFD">
              <w:t>9.</w:t>
            </w:r>
          </w:p>
        </w:tc>
        <w:tc>
          <w:tcPr>
            <w:tcW w:w="7851" w:type="dxa"/>
            <w:gridSpan w:val="5"/>
            <w:shd w:val="clear" w:color="auto" w:fill="auto"/>
          </w:tcPr>
          <w:p w14:paraId="1E29EB62" w14:textId="565BB109" w:rsidR="00697477" w:rsidRPr="00333AFD" w:rsidRDefault="00697477" w:rsidP="00333AFD">
            <w:pPr>
              <w:pStyle w:val="SingleTxtG"/>
              <w:tabs>
                <w:tab w:val="clear" w:pos="1701"/>
                <w:tab w:val="clear" w:pos="2268"/>
                <w:tab w:val="clear" w:pos="2835"/>
              </w:tabs>
              <w:spacing w:before="40"/>
              <w:ind w:left="0" w:right="0"/>
              <w:jc w:val="left"/>
            </w:pPr>
            <w:r w:rsidRPr="00333AFD">
              <w:t>Prevalencia del VIH</w:t>
            </w:r>
          </w:p>
        </w:tc>
      </w:tr>
      <w:tr w:rsidR="00333AFD" w:rsidRPr="00333AFD" w14:paraId="6A50E0E5" w14:textId="77777777" w:rsidTr="003D4091">
        <w:trPr>
          <w:trHeight w:val="240"/>
        </w:trPr>
        <w:tc>
          <w:tcPr>
            <w:tcW w:w="654" w:type="dxa"/>
            <w:vMerge/>
            <w:shd w:val="clear" w:color="auto" w:fill="auto"/>
          </w:tcPr>
          <w:p w14:paraId="7B625578"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675C86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6F96730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Niños (de 0 a 14 años)</w:t>
            </w:r>
          </w:p>
        </w:tc>
        <w:tc>
          <w:tcPr>
            <w:tcW w:w="1985" w:type="dxa"/>
            <w:shd w:val="clear" w:color="auto" w:fill="auto"/>
          </w:tcPr>
          <w:p w14:paraId="79C7E2A7" w14:textId="536FAF5D" w:rsidR="00333AFD" w:rsidRPr="00333AFD" w:rsidRDefault="00333AFD" w:rsidP="00F35AF3">
            <w:pPr>
              <w:pStyle w:val="SingleTxtG"/>
              <w:tabs>
                <w:tab w:val="clear" w:pos="1701"/>
                <w:tab w:val="clear" w:pos="2268"/>
                <w:tab w:val="clear" w:pos="2835"/>
              </w:tabs>
              <w:spacing w:before="40"/>
              <w:ind w:left="0" w:right="0"/>
              <w:jc w:val="right"/>
            </w:pPr>
            <w:r w:rsidRPr="00333AFD">
              <w:t>13,3</w:t>
            </w:r>
            <w:r w:rsidR="00F35AF3">
              <w:t xml:space="preserve"> </w:t>
            </w:r>
            <w:r w:rsidRPr="00333AFD">
              <w:t>%</w:t>
            </w:r>
          </w:p>
        </w:tc>
        <w:tc>
          <w:tcPr>
            <w:tcW w:w="3118" w:type="dxa"/>
            <w:vMerge w:val="restart"/>
            <w:shd w:val="clear" w:color="auto" w:fill="auto"/>
            <w:vAlign w:val="center"/>
          </w:tcPr>
          <w:p w14:paraId="044F1E7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Ministerio de Salud y Atención a la Infancia, 2017</w:t>
            </w:r>
          </w:p>
        </w:tc>
      </w:tr>
      <w:tr w:rsidR="00333AFD" w:rsidRPr="00333AFD" w14:paraId="5F31D350" w14:textId="77777777" w:rsidTr="003D4091">
        <w:trPr>
          <w:trHeight w:val="240"/>
        </w:trPr>
        <w:tc>
          <w:tcPr>
            <w:tcW w:w="654" w:type="dxa"/>
            <w:vMerge/>
            <w:shd w:val="clear" w:color="auto" w:fill="auto"/>
          </w:tcPr>
          <w:p w14:paraId="3BD0A255"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DF07B5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1DB9422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Adultos (de 15 a 49 años)</w:t>
            </w:r>
          </w:p>
        </w:tc>
        <w:tc>
          <w:tcPr>
            <w:tcW w:w="1985" w:type="dxa"/>
            <w:shd w:val="clear" w:color="auto" w:fill="auto"/>
          </w:tcPr>
          <w:p w14:paraId="672BA1D1" w14:textId="740F6983" w:rsidR="00333AFD" w:rsidRPr="00333AFD" w:rsidRDefault="00333AFD" w:rsidP="00F35AF3">
            <w:pPr>
              <w:pStyle w:val="SingleTxtG"/>
              <w:tabs>
                <w:tab w:val="clear" w:pos="1701"/>
                <w:tab w:val="clear" w:pos="2268"/>
                <w:tab w:val="clear" w:pos="2835"/>
              </w:tabs>
              <w:spacing w:before="40"/>
              <w:ind w:left="0" w:right="0"/>
              <w:jc w:val="right"/>
            </w:pPr>
            <w:r w:rsidRPr="00333AFD">
              <w:t>14,6</w:t>
            </w:r>
            <w:r w:rsidR="00F35AF3">
              <w:t xml:space="preserve"> </w:t>
            </w:r>
            <w:r w:rsidRPr="00333AFD">
              <w:t>%</w:t>
            </w:r>
          </w:p>
        </w:tc>
        <w:tc>
          <w:tcPr>
            <w:tcW w:w="3118" w:type="dxa"/>
            <w:vMerge/>
            <w:shd w:val="clear" w:color="auto" w:fill="auto"/>
          </w:tcPr>
          <w:p w14:paraId="0FEBABFD"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697477" w:rsidRPr="00333AFD" w14:paraId="4CDC5F6F" w14:textId="77777777" w:rsidTr="008F509A">
        <w:trPr>
          <w:trHeight w:val="240"/>
        </w:trPr>
        <w:tc>
          <w:tcPr>
            <w:tcW w:w="654" w:type="dxa"/>
            <w:vMerge w:val="restart"/>
            <w:shd w:val="clear" w:color="auto" w:fill="auto"/>
          </w:tcPr>
          <w:p w14:paraId="15848C11" w14:textId="77777777" w:rsidR="00697477" w:rsidRPr="00333AFD" w:rsidRDefault="00697477" w:rsidP="00333AFD">
            <w:pPr>
              <w:pStyle w:val="SingleTxtG"/>
              <w:tabs>
                <w:tab w:val="clear" w:pos="1701"/>
                <w:tab w:val="clear" w:pos="2268"/>
                <w:tab w:val="clear" w:pos="2835"/>
              </w:tabs>
              <w:spacing w:before="40"/>
              <w:ind w:left="0" w:right="0"/>
              <w:jc w:val="left"/>
            </w:pPr>
            <w:r w:rsidRPr="00333AFD">
              <w:t>10.</w:t>
            </w:r>
          </w:p>
        </w:tc>
        <w:tc>
          <w:tcPr>
            <w:tcW w:w="7851" w:type="dxa"/>
            <w:gridSpan w:val="5"/>
            <w:shd w:val="clear" w:color="auto" w:fill="auto"/>
          </w:tcPr>
          <w:p w14:paraId="68241F94" w14:textId="69387394" w:rsidR="00697477" w:rsidRPr="00333AFD" w:rsidRDefault="00697477" w:rsidP="00333AFD">
            <w:pPr>
              <w:pStyle w:val="SingleTxtG"/>
              <w:tabs>
                <w:tab w:val="clear" w:pos="1701"/>
                <w:tab w:val="clear" w:pos="2268"/>
                <w:tab w:val="clear" w:pos="2835"/>
              </w:tabs>
              <w:spacing w:before="40"/>
              <w:ind w:left="0" w:right="0"/>
              <w:jc w:val="left"/>
            </w:pPr>
            <w:r w:rsidRPr="00333AFD">
              <w:t xml:space="preserve">Muertes </w:t>
            </w:r>
          </w:p>
        </w:tc>
      </w:tr>
      <w:tr w:rsidR="00333AFD" w:rsidRPr="00333AFD" w14:paraId="1903EC53" w14:textId="77777777" w:rsidTr="003D4091">
        <w:trPr>
          <w:trHeight w:val="240"/>
        </w:trPr>
        <w:tc>
          <w:tcPr>
            <w:tcW w:w="654" w:type="dxa"/>
            <w:vMerge/>
            <w:shd w:val="clear" w:color="auto" w:fill="auto"/>
          </w:tcPr>
          <w:p w14:paraId="3D460A0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2FB8D2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4763E0F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Accidentes de tráfico</w:t>
            </w:r>
          </w:p>
        </w:tc>
        <w:tc>
          <w:tcPr>
            <w:tcW w:w="1985" w:type="dxa"/>
            <w:shd w:val="clear" w:color="auto" w:fill="auto"/>
          </w:tcPr>
          <w:p w14:paraId="5DBB74D2"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1 918</w:t>
            </w:r>
          </w:p>
        </w:tc>
        <w:tc>
          <w:tcPr>
            <w:tcW w:w="3118" w:type="dxa"/>
            <w:shd w:val="clear" w:color="auto" w:fill="auto"/>
          </w:tcPr>
          <w:p w14:paraId="7B7D827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ZIMSTAT, 2018</w:t>
            </w:r>
          </w:p>
        </w:tc>
      </w:tr>
      <w:tr w:rsidR="00333AFD" w:rsidRPr="00333AFD" w14:paraId="35AFC455" w14:textId="77777777" w:rsidTr="003D4091">
        <w:trPr>
          <w:trHeight w:val="240"/>
        </w:trPr>
        <w:tc>
          <w:tcPr>
            <w:tcW w:w="654" w:type="dxa"/>
            <w:vMerge/>
            <w:shd w:val="clear" w:color="auto" w:fill="auto"/>
          </w:tcPr>
          <w:p w14:paraId="468DE9D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D4FE39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0CDA406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VIH/sida</w:t>
            </w:r>
          </w:p>
        </w:tc>
        <w:tc>
          <w:tcPr>
            <w:tcW w:w="1985" w:type="dxa"/>
            <w:shd w:val="clear" w:color="auto" w:fill="auto"/>
          </w:tcPr>
          <w:p w14:paraId="2BE5FD53"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23 107</w:t>
            </w:r>
          </w:p>
        </w:tc>
        <w:tc>
          <w:tcPr>
            <w:tcW w:w="3118" w:type="dxa"/>
            <w:vMerge w:val="restart"/>
            <w:shd w:val="clear" w:color="auto" w:fill="auto"/>
            <w:vAlign w:val="center"/>
          </w:tcPr>
          <w:p w14:paraId="3134125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Ministerio de Salud y Atención a la Infancia, 2018</w:t>
            </w:r>
          </w:p>
        </w:tc>
      </w:tr>
      <w:tr w:rsidR="00333AFD" w:rsidRPr="00333AFD" w14:paraId="55423BC5" w14:textId="77777777" w:rsidTr="003D4091">
        <w:trPr>
          <w:trHeight w:val="240"/>
        </w:trPr>
        <w:tc>
          <w:tcPr>
            <w:tcW w:w="654" w:type="dxa"/>
            <w:vMerge/>
            <w:shd w:val="clear" w:color="auto" w:fill="auto"/>
          </w:tcPr>
          <w:p w14:paraId="330BC3FA"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656A122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310" w:type="dxa"/>
            <w:gridSpan w:val="2"/>
            <w:shd w:val="clear" w:color="auto" w:fill="auto"/>
          </w:tcPr>
          <w:p w14:paraId="3147552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Infecciones respiratorias de las vías bajas</w:t>
            </w:r>
          </w:p>
        </w:tc>
        <w:tc>
          <w:tcPr>
            <w:tcW w:w="1985" w:type="dxa"/>
            <w:shd w:val="clear" w:color="auto" w:fill="auto"/>
          </w:tcPr>
          <w:p w14:paraId="189BBEF3"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605</w:t>
            </w:r>
          </w:p>
        </w:tc>
        <w:tc>
          <w:tcPr>
            <w:tcW w:w="3118" w:type="dxa"/>
            <w:vMerge/>
            <w:shd w:val="clear" w:color="auto" w:fill="auto"/>
          </w:tcPr>
          <w:p w14:paraId="29F91FB5"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219A3164" w14:textId="77777777" w:rsidTr="003D4091">
        <w:trPr>
          <w:trHeight w:val="240"/>
        </w:trPr>
        <w:tc>
          <w:tcPr>
            <w:tcW w:w="654" w:type="dxa"/>
            <w:vMerge/>
            <w:shd w:val="clear" w:color="auto" w:fill="auto"/>
          </w:tcPr>
          <w:p w14:paraId="68FBC65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1DF3CB6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310" w:type="dxa"/>
            <w:gridSpan w:val="2"/>
            <w:shd w:val="clear" w:color="auto" w:fill="auto"/>
          </w:tcPr>
          <w:p w14:paraId="2CCFB85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Tuberculosis</w:t>
            </w:r>
          </w:p>
        </w:tc>
        <w:tc>
          <w:tcPr>
            <w:tcW w:w="1985" w:type="dxa"/>
            <w:shd w:val="clear" w:color="auto" w:fill="auto"/>
          </w:tcPr>
          <w:p w14:paraId="37DFADBC"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2 484</w:t>
            </w:r>
          </w:p>
        </w:tc>
        <w:tc>
          <w:tcPr>
            <w:tcW w:w="3118" w:type="dxa"/>
            <w:vMerge/>
            <w:shd w:val="clear" w:color="auto" w:fill="auto"/>
          </w:tcPr>
          <w:p w14:paraId="1B18CDC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62751DB" w14:textId="77777777" w:rsidTr="003D4091">
        <w:trPr>
          <w:trHeight w:val="240"/>
        </w:trPr>
        <w:tc>
          <w:tcPr>
            <w:tcW w:w="654" w:type="dxa"/>
            <w:vMerge/>
            <w:shd w:val="clear" w:color="auto" w:fill="auto"/>
          </w:tcPr>
          <w:p w14:paraId="33659FB9"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5CAD403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w:t>
            </w:r>
          </w:p>
        </w:tc>
        <w:tc>
          <w:tcPr>
            <w:tcW w:w="2310" w:type="dxa"/>
            <w:gridSpan w:val="2"/>
            <w:shd w:val="clear" w:color="auto" w:fill="auto"/>
          </w:tcPr>
          <w:p w14:paraId="7D8661A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Cardiopatías isquémicas</w:t>
            </w:r>
          </w:p>
        </w:tc>
        <w:tc>
          <w:tcPr>
            <w:tcW w:w="1985" w:type="dxa"/>
            <w:shd w:val="clear" w:color="auto" w:fill="auto"/>
          </w:tcPr>
          <w:p w14:paraId="275D9A1D"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11</w:t>
            </w:r>
          </w:p>
        </w:tc>
        <w:tc>
          <w:tcPr>
            <w:tcW w:w="3118" w:type="dxa"/>
            <w:vMerge/>
            <w:shd w:val="clear" w:color="auto" w:fill="auto"/>
          </w:tcPr>
          <w:p w14:paraId="4CEE1EFB"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89090B6" w14:textId="77777777" w:rsidTr="003D4091">
        <w:trPr>
          <w:trHeight w:val="240"/>
        </w:trPr>
        <w:tc>
          <w:tcPr>
            <w:tcW w:w="654" w:type="dxa"/>
            <w:vMerge/>
            <w:shd w:val="clear" w:color="auto" w:fill="auto"/>
          </w:tcPr>
          <w:p w14:paraId="0D7C3420"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70E862E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f)</w:t>
            </w:r>
          </w:p>
        </w:tc>
        <w:tc>
          <w:tcPr>
            <w:tcW w:w="2310" w:type="dxa"/>
            <w:gridSpan w:val="2"/>
            <w:shd w:val="clear" w:color="auto" w:fill="auto"/>
          </w:tcPr>
          <w:p w14:paraId="1E260E8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Trastornos neonatales</w:t>
            </w:r>
          </w:p>
        </w:tc>
        <w:tc>
          <w:tcPr>
            <w:tcW w:w="1985" w:type="dxa"/>
            <w:shd w:val="clear" w:color="auto" w:fill="auto"/>
          </w:tcPr>
          <w:p w14:paraId="350750B1"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vMerge/>
            <w:shd w:val="clear" w:color="auto" w:fill="auto"/>
          </w:tcPr>
          <w:p w14:paraId="74AF6A5E"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A9EBC30" w14:textId="77777777" w:rsidTr="003D4091">
        <w:trPr>
          <w:trHeight w:val="240"/>
        </w:trPr>
        <w:tc>
          <w:tcPr>
            <w:tcW w:w="654" w:type="dxa"/>
            <w:vMerge/>
            <w:shd w:val="clear" w:color="auto" w:fill="auto"/>
          </w:tcPr>
          <w:p w14:paraId="2D0C53A3"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vMerge w:val="restart"/>
            <w:shd w:val="clear" w:color="auto" w:fill="auto"/>
          </w:tcPr>
          <w:p w14:paraId="4CF14C8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g)</w:t>
            </w:r>
          </w:p>
        </w:tc>
        <w:tc>
          <w:tcPr>
            <w:tcW w:w="2310" w:type="dxa"/>
            <w:gridSpan w:val="2"/>
            <w:shd w:val="clear" w:color="auto" w:fill="auto"/>
          </w:tcPr>
          <w:p w14:paraId="6012FA9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Enfermedades diarreicas</w:t>
            </w:r>
          </w:p>
        </w:tc>
        <w:tc>
          <w:tcPr>
            <w:tcW w:w="1985" w:type="dxa"/>
            <w:shd w:val="clear" w:color="auto" w:fill="auto"/>
          </w:tcPr>
          <w:p w14:paraId="532366BD" w14:textId="77777777" w:rsidR="00333AFD" w:rsidRPr="00333AFD" w:rsidRDefault="00333AFD" w:rsidP="00F35AF3">
            <w:pPr>
              <w:pStyle w:val="SingleTxtG"/>
              <w:tabs>
                <w:tab w:val="clear" w:pos="1701"/>
                <w:tab w:val="clear" w:pos="2268"/>
                <w:tab w:val="clear" w:pos="2835"/>
              </w:tabs>
              <w:spacing w:before="40"/>
              <w:ind w:left="0" w:right="0"/>
              <w:jc w:val="right"/>
            </w:pPr>
          </w:p>
        </w:tc>
        <w:tc>
          <w:tcPr>
            <w:tcW w:w="3118" w:type="dxa"/>
            <w:vMerge/>
            <w:shd w:val="clear" w:color="auto" w:fill="auto"/>
          </w:tcPr>
          <w:p w14:paraId="1029473D"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588086D" w14:textId="77777777" w:rsidTr="003D4091">
        <w:trPr>
          <w:trHeight w:val="240"/>
        </w:trPr>
        <w:tc>
          <w:tcPr>
            <w:tcW w:w="654" w:type="dxa"/>
            <w:vMerge/>
            <w:shd w:val="clear" w:color="auto" w:fill="auto"/>
          </w:tcPr>
          <w:p w14:paraId="56A64CC9"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vMerge/>
            <w:shd w:val="clear" w:color="auto" w:fill="auto"/>
          </w:tcPr>
          <w:p w14:paraId="44DCA292"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696" w:type="dxa"/>
            <w:shd w:val="clear" w:color="auto" w:fill="auto"/>
          </w:tcPr>
          <w:p w14:paraId="5F5595E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w:t>
            </w:r>
          </w:p>
        </w:tc>
        <w:tc>
          <w:tcPr>
            <w:tcW w:w="1614" w:type="dxa"/>
            <w:shd w:val="clear" w:color="auto" w:fill="auto"/>
          </w:tcPr>
          <w:p w14:paraId="71658B9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Diarrea</w:t>
            </w:r>
          </w:p>
        </w:tc>
        <w:tc>
          <w:tcPr>
            <w:tcW w:w="1985" w:type="dxa"/>
            <w:shd w:val="clear" w:color="auto" w:fill="auto"/>
          </w:tcPr>
          <w:p w14:paraId="5FA95900"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277</w:t>
            </w:r>
          </w:p>
        </w:tc>
        <w:tc>
          <w:tcPr>
            <w:tcW w:w="3118" w:type="dxa"/>
            <w:vMerge/>
            <w:shd w:val="clear" w:color="auto" w:fill="auto"/>
          </w:tcPr>
          <w:p w14:paraId="7EC84EE8"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4AE536C" w14:textId="77777777" w:rsidTr="003D4091">
        <w:trPr>
          <w:trHeight w:val="240"/>
        </w:trPr>
        <w:tc>
          <w:tcPr>
            <w:tcW w:w="654" w:type="dxa"/>
            <w:vMerge/>
            <w:shd w:val="clear" w:color="auto" w:fill="auto"/>
          </w:tcPr>
          <w:p w14:paraId="2EB8180A"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vMerge/>
            <w:shd w:val="clear" w:color="auto" w:fill="auto"/>
          </w:tcPr>
          <w:p w14:paraId="677EF453"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696" w:type="dxa"/>
            <w:shd w:val="clear" w:color="auto" w:fill="auto"/>
          </w:tcPr>
          <w:p w14:paraId="0C6FF2F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ii)</w:t>
            </w:r>
          </w:p>
        </w:tc>
        <w:tc>
          <w:tcPr>
            <w:tcW w:w="1614" w:type="dxa"/>
            <w:shd w:val="clear" w:color="auto" w:fill="auto"/>
          </w:tcPr>
          <w:p w14:paraId="3DC7B26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Fiebre tifoidea</w:t>
            </w:r>
          </w:p>
        </w:tc>
        <w:tc>
          <w:tcPr>
            <w:tcW w:w="1985" w:type="dxa"/>
            <w:shd w:val="clear" w:color="auto" w:fill="auto"/>
          </w:tcPr>
          <w:p w14:paraId="31143C17"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51</w:t>
            </w:r>
          </w:p>
        </w:tc>
        <w:tc>
          <w:tcPr>
            <w:tcW w:w="3118" w:type="dxa"/>
            <w:vMerge/>
            <w:shd w:val="clear" w:color="auto" w:fill="auto"/>
          </w:tcPr>
          <w:p w14:paraId="7051FEF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6454A07" w14:textId="77777777" w:rsidTr="003D4091">
        <w:trPr>
          <w:trHeight w:val="240"/>
        </w:trPr>
        <w:tc>
          <w:tcPr>
            <w:tcW w:w="654" w:type="dxa"/>
            <w:vMerge/>
            <w:shd w:val="clear" w:color="auto" w:fill="auto"/>
          </w:tcPr>
          <w:p w14:paraId="7EC3110D"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vMerge/>
            <w:shd w:val="clear" w:color="auto" w:fill="auto"/>
          </w:tcPr>
          <w:p w14:paraId="1C72101E"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696" w:type="dxa"/>
            <w:shd w:val="clear" w:color="auto" w:fill="auto"/>
          </w:tcPr>
          <w:p w14:paraId="5EE1140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iii)</w:t>
            </w:r>
          </w:p>
        </w:tc>
        <w:tc>
          <w:tcPr>
            <w:tcW w:w="1614" w:type="dxa"/>
            <w:shd w:val="clear" w:color="auto" w:fill="auto"/>
          </w:tcPr>
          <w:p w14:paraId="7BCB500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Disentería</w:t>
            </w:r>
          </w:p>
        </w:tc>
        <w:tc>
          <w:tcPr>
            <w:tcW w:w="1985" w:type="dxa"/>
            <w:shd w:val="clear" w:color="auto" w:fill="auto"/>
          </w:tcPr>
          <w:p w14:paraId="41C9E872"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171</w:t>
            </w:r>
          </w:p>
        </w:tc>
        <w:tc>
          <w:tcPr>
            <w:tcW w:w="3118" w:type="dxa"/>
            <w:vMerge/>
            <w:shd w:val="clear" w:color="auto" w:fill="auto"/>
          </w:tcPr>
          <w:p w14:paraId="79E73766"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1DA887A" w14:textId="77777777" w:rsidTr="003D4091">
        <w:trPr>
          <w:trHeight w:val="240"/>
        </w:trPr>
        <w:tc>
          <w:tcPr>
            <w:tcW w:w="654" w:type="dxa"/>
            <w:vMerge/>
            <w:shd w:val="clear" w:color="auto" w:fill="auto"/>
          </w:tcPr>
          <w:p w14:paraId="1B35BFB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7807B84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h)</w:t>
            </w:r>
          </w:p>
        </w:tc>
        <w:tc>
          <w:tcPr>
            <w:tcW w:w="2310" w:type="dxa"/>
            <w:gridSpan w:val="2"/>
            <w:shd w:val="clear" w:color="auto" w:fill="auto"/>
          </w:tcPr>
          <w:p w14:paraId="5B35408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Accidentes cerebrovasculares</w:t>
            </w:r>
          </w:p>
        </w:tc>
        <w:tc>
          <w:tcPr>
            <w:tcW w:w="1985" w:type="dxa"/>
            <w:shd w:val="clear" w:color="auto" w:fill="auto"/>
          </w:tcPr>
          <w:p w14:paraId="24F85E12"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293</w:t>
            </w:r>
          </w:p>
        </w:tc>
        <w:tc>
          <w:tcPr>
            <w:tcW w:w="3118" w:type="dxa"/>
            <w:vMerge/>
            <w:shd w:val="clear" w:color="auto" w:fill="auto"/>
          </w:tcPr>
          <w:p w14:paraId="673D9DC5"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77014CB6" w14:textId="77777777" w:rsidTr="003D4091">
        <w:trPr>
          <w:trHeight w:val="240"/>
        </w:trPr>
        <w:tc>
          <w:tcPr>
            <w:tcW w:w="654" w:type="dxa"/>
            <w:vMerge/>
            <w:shd w:val="clear" w:color="auto" w:fill="auto"/>
          </w:tcPr>
          <w:p w14:paraId="77B27819"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14B657B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w:t>
            </w:r>
          </w:p>
        </w:tc>
        <w:tc>
          <w:tcPr>
            <w:tcW w:w="2310" w:type="dxa"/>
            <w:gridSpan w:val="2"/>
            <w:shd w:val="clear" w:color="auto" w:fill="auto"/>
          </w:tcPr>
          <w:p w14:paraId="32509C7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Malnutrición</w:t>
            </w:r>
          </w:p>
        </w:tc>
        <w:tc>
          <w:tcPr>
            <w:tcW w:w="1985" w:type="dxa"/>
            <w:shd w:val="clear" w:color="auto" w:fill="auto"/>
          </w:tcPr>
          <w:p w14:paraId="59905567"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201</w:t>
            </w:r>
          </w:p>
        </w:tc>
        <w:tc>
          <w:tcPr>
            <w:tcW w:w="3118" w:type="dxa"/>
            <w:vMerge/>
            <w:shd w:val="clear" w:color="auto" w:fill="auto"/>
          </w:tcPr>
          <w:p w14:paraId="11294323"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8501CAA" w14:textId="77777777" w:rsidTr="003D4091">
        <w:trPr>
          <w:trHeight w:val="240"/>
        </w:trPr>
        <w:tc>
          <w:tcPr>
            <w:tcW w:w="654" w:type="dxa"/>
            <w:vMerge/>
            <w:shd w:val="clear" w:color="auto" w:fill="auto"/>
          </w:tcPr>
          <w:p w14:paraId="07E8C86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85CA24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j)</w:t>
            </w:r>
          </w:p>
        </w:tc>
        <w:tc>
          <w:tcPr>
            <w:tcW w:w="2310" w:type="dxa"/>
            <w:gridSpan w:val="2"/>
            <w:shd w:val="clear" w:color="auto" w:fill="auto"/>
          </w:tcPr>
          <w:p w14:paraId="64CA8AF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Diabetes</w:t>
            </w:r>
          </w:p>
        </w:tc>
        <w:tc>
          <w:tcPr>
            <w:tcW w:w="1985" w:type="dxa"/>
            <w:shd w:val="clear" w:color="auto" w:fill="auto"/>
          </w:tcPr>
          <w:p w14:paraId="4941BAEF"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150</w:t>
            </w:r>
          </w:p>
        </w:tc>
        <w:tc>
          <w:tcPr>
            <w:tcW w:w="3118" w:type="dxa"/>
            <w:vMerge/>
            <w:shd w:val="clear" w:color="auto" w:fill="auto"/>
          </w:tcPr>
          <w:p w14:paraId="79AD4C2C"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57C24C30" w14:textId="77777777" w:rsidTr="00F35AF3">
        <w:trPr>
          <w:trHeight w:val="240"/>
        </w:trPr>
        <w:tc>
          <w:tcPr>
            <w:tcW w:w="654" w:type="dxa"/>
            <w:shd w:val="clear" w:color="auto" w:fill="auto"/>
          </w:tcPr>
          <w:p w14:paraId="04684FC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11.</w:t>
            </w:r>
          </w:p>
        </w:tc>
        <w:tc>
          <w:tcPr>
            <w:tcW w:w="2748" w:type="dxa"/>
            <w:gridSpan w:val="3"/>
            <w:shd w:val="clear" w:color="auto" w:fill="auto"/>
          </w:tcPr>
          <w:p w14:paraId="30C9F4C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asistencia neta en la enseñanza primaria (niños de 6 a 12 años)</w:t>
            </w:r>
          </w:p>
        </w:tc>
        <w:tc>
          <w:tcPr>
            <w:tcW w:w="1985" w:type="dxa"/>
            <w:shd w:val="clear" w:color="auto" w:fill="auto"/>
          </w:tcPr>
          <w:p w14:paraId="4EBFCAC2" w14:textId="58E0030D" w:rsidR="00333AFD" w:rsidRPr="00333AFD" w:rsidRDefault="00333AFD" w:rsidP="00F35AF3">
            <w:pPr>
              <w:pStyle w:val="SingleTxtG"/>
              <w:tabs>
                <w:tab w:val="clear" w:pos="1701"/>
                <w:tab w:val="clear" w:pos="2268"/>
                <w:tab w:val="clear" w:pos="2835"/>
              </w:tabs>
              <w:spacing w:before="40"/>
              <w:ind w:left="0" w:right="0"/>
              <w:jc w:val="right"/>
            </w:pPr>
            <w:r w:rsidRPr="00333AFD">
              <w:t>91</w:t>
            </w:r>
            <w:r w:rsidR="00F35AF3">
              <w:t xml:space="preserve"> </w:t>
            </w:r>
            <w:r w:rsidRPr="00333AFD">
              <w:t>%</w:t>
            </w:r>
          </w:p>
        </w:tc>
        <w:tc>
          <w:tcPr>
            <w:tcW w:w="3118" w:type="dxa"/>
            <w:vMerge w:val="restart"/>
            <w:shd w:val="clear" w:color="auto" w:fill="auto"/>
            <w:vAlign w:val="center"/>
          </w:tcPr>
          <w:p w14:paraId="2ED2603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MICS 2019, ZIMSTAT</w:t>
            </w:r>
          </w:p>
        </w:tc>
      </w:tr>
      <w:tr w:rsidR="00333AFD" w:rsidRPr="00333AFD" w14:paraId="4278A2D0" w14:textId="77777777" w:rsidTr="00F35AF3">
        <w:trPr>
          <w:trHeight w:val="240"/>
        </w:trPr>
        <w:tc>
          <w:tcPr>
            <w:tcW w:w="654" w:type="dxa"/>
            <w:shd w:val="clear" w:color="auto" w:fill="auto"/>
          </w:tcPr>
          <w:p w14:paraId="53F1B35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12.</w:t>
            </w:r>
          </w:p>
        </w:tc>
        <w:tc>
          <w:tcPr>
            <w:tcW w:w="2748" w:type="dxa"/>
            <w:gridSpan w:val="3"/>
            <w:shd w:val="clear" w:color="auto" w:fill="auto"/>
          </w:tcPr>
          <w:p w14:paraId="7A79EBA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asistencia neta en la enseñanza secundaria inferior (niños de 13 a 16 años)</w:t>
            </w:r>
          </w:p>
        </w:tc>
        <w:tc>
          <w:tcPr>
            <w:tcW w:w="1985" w:type="dxa"/>
            <w:shd w:val="clear" w:color="auto" w:fill="auto"/>
          </w:tcPr>
          <w:p w14:paraId="3251E705" w14:textId="74A70448" w:rsidR="00333AFD" w:rsidRPr="00333AFD" w:rsidRDefault="00333AFD" w:rsidP="00F35AF3">
            <w:pPr>
              <w:pStyle w:val="SingleTxtG"/>
              <w:tabs>
                <w:tab w:val="clear" w:pos="1701"/>
                <w:tab w:val="clear" w:pos="2268"/>
                <w:tab w:val="clear" w:pos="2835"/>
              </w:tabs>
              <w:spacing w:before="40"/>
              <w:ind w:left="0" w:right="0"/>
              <w:jc w:val="right"/>
            </w:pPr>
            <w:r w:rsidRPr="00333AFD">
              <w:t>60</w:t>
            </w:r>
            <w:r w:rsidR="00F35AF3">
              <w:t xml:space="preserve"> </w:t>
            </w:r>
            <w:r w:rsidRPr="00333AFD">
              <w:t>%</w:t>
            </w:r>
          </w:p>
        </w:tc>
        <w:tc>
          <w:tcPr>
            <w:tcW w:w="3118" w:type="dxa"/>
            <w:vMerge/>
            <w:shd w:val="clear" w:color="auto" w:fill="auto"/>
          </w:tcPr>
          <w:p w14:paraId="0B1868C9"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E214332" w14:textId="77777777" w:rsidTr="00F35AF3">
        <w:trPr>
          <w:trHeight w:val="240"/>
        </w:trPr>
        <w:tc>
          <w:tcPr>
            <w:tcW w:w="654" w:type="dxa"/>
            <w:shd w:val="clear" w:color="auto" w:fill="auto"/>
          </w:tcPr>
          <w:p w14:paraId="290ADD7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13.</w:t>
            </w:r>
          </w:p>
        </w:tc>
        <w:tc>
          <w:tcPr>
            <w:tcW w:w="2748" w:type="dxa"/>
            <w:gridSpan w:val="3"/>
            <w:shd w:val="clear" w:color="auto" w:fill="auto"/>
          </w:tcPr>
          <w:p w14:paraId="20DE877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asistencia neta en la enseñanza secundaria superior (niños de 16 a 18 años)</w:t>
            </w:r>
          </w:p>
        </w:tc>
        <w:tc>
          <w:tcPr>
            <w:tcW w:w="1985" w:type="dxa"/>
            <w:shd w:val="clear" w:color="auto" w:fill="auto"/>
          </w:tcPr>
          <w:p w14:paraId="13FF3E97" w14:textId="0D398EC0" w:rsidR="00333AFD" w:rsidRPr="00333AFD" w:rsidRDefault="00333AFD" w:rsidP="00F35AF3">
            <w:pPr>
              <w:pStyle w:val="SingleTxtG"/>
              <w:tabs>
                <w:tab w:val="clear" w:pos="1701"/>
                <w:tab w:val="clear" w:pos="2268"/>
                <w:tab w:val="clear" w:pos="2835"/>
              </w:tabs>
              <w:spacing w:before="40"/>
              <w:ind w:left="0" w:right="0"/>
              <w:jc w:val="right"/>
            </w:pPr>
            <w:r w:rsidRPr="00333AFD">
              <w:t>9</w:t>
            </w:r>
            <w:r w:rsidR="00F35AF3">
              <w:t xml:space="preserve"> </w:t>
            </w:r>
            <w:r w:rsidRPr="00333AFD">
              <w:t>%</w:t>
            </w:r>
          </w:p>
        </w:tc>
        <w:tc>
          <w:tcPr>
            <w:tcW w:w="3118" w:type="dxa"/>
            <w:vMerge/>
            <w:shd w:val="clear" w:color="auto" w:fill="auto"/>
          </w:tcPr>
          <w:p w14:paraId="4210EB57"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CB33781" w14:textId="77777777" w:rsidTr="00F35AF3">
        <w:trPr>
          <w:trHeight w:val="240"/>
        </w:trPr>
        <w:tc>
          <w:tcPr>
            <w:tcW w:w="654" w:type="dxa"/>
            <w:shd w:val="clear" w:color="auto" w:fill="auto"/>
          </w:tcPr>
          <w:p w14:paraId="7D1B9FC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14.</w:t>
            </w:r>
          </w:p>
        </w:tc>
        <w:tc>
          <w:tcPr>
            <w:tcW w:w="2748" w:type="dxa"/>
            <w:gridSpan w:val="3"/>
            <w:shd w:val="clear" w:color="auto" w:fill="auto"/>
          </w:tcPr>
          <w:p w14:paraId="27CE054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deserción en la enseñanza primaria (niños de 6 a 12 años)</w:t>
            </w:r>
          </w:p>
        </w:tc>
        <w:tc>
          <w:tcPr>
            <w:tcW w:w="1985" w:type="dxa"/>
            <w:shd w:val="clear" w:color="auto" w:fill="auto"/>
          </w:tcPr>
          <w:p w14:paraId="25ADB9EE" w14:textId="76E3B657" w:rsidR="00333AFD" w:rsidRPr="00333AFD" w:rsidRDefault="00333AFD" w:rsidP="00F35AF3">
            <w:pPr>
              <w:pStyle w:val="SingleTxtG"/>
              <w:tabs>
                <w:tab w:val="clear" w:pos="1701"/>
                <w:tab w:val="clear" w:pos="2268"/>
                <w:tab w:val="clear" w:pos="2835"/>
              </w:tabs>
              <w:spacing w:before="40"/>
              <w:ind w:left="0" w:right="0"/>
              <w:jc w:val="right"/>
            </w:pPr>
            <w:r w:rsidRPr="00333AFD">
              <w:t>5</w:t>
            </w:r>
            <w:r w:rsidR="00F35AF3">
              <w:t xml:space="preserve"> </w:t>
            </w:r>
            <w:r w:rsidRPr="00333AFD">
              <w:t>%</w:t>
            </w:r>
          </w:p>
        </w:tc>
        <w:tc>
          <w:tcPr>
            <w:tcW w:w="3118" w:type="dxa"/>
            <w:vMerge/>
            <w:shd w:val="clear" w:color="auto" w:fill="auto"/>
          </w:tcPr>
          <w:p w14:paraId="14C2B555"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F1AE895" w14:textId="77777777" w:rsidTr="00F35AF3">
        <w:trPr>
          <w:trHeight w:val="240"/>
        </w:trPr>
        <w:tc>
          <w:tcPr>
            <w:tcW w:w="654" w:type="dxa"/>
            <w:shd w:val="clear" w:color="auto" w:fill="auto"/>
          </w:tcPr>
          <w:p w14:paraId="5264F72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15.</w:t>
            </w:r>
          </w:p>
        </w:tc>
        <w:tc>
          <w:tcPr>
            <w:tcW w:w="2748" w:type="dxa"/>
            <w:gridSpan w:val="3"/>
            <w:shd w:val="clear" w:color="auto" w:fill="auto"/>
          </w:tcPr>
          <w:p w14:paraId="0669675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Tasas de deserción escolar en la enseñanza secundaria inferior (niños de 13 a 16 años)</w:t>
            </w:r>
          </w:p>
        </w:tc>
        <w:tc>
          <w:tcPr>
            <w:tcW w:w="1985" w:type="dxa"/>
            <w:shd w:val="clear" w:color="auto" w:fill="auto"/>
          </w:tcPr>
          <w:p w14:paraId="14AEFB02" w14:textId="4DEB210A" w:rsidR="00333AFD" w:rsidRPr="00333AFD" w:rsidRDefault="00333AFD" w:rsidP="00F35AF3">
            <w:pPr>
              <w:pStyle w:val="SingleTxtG"/>
              <w:tabs>
                <w:tab w:val="clear" w:pos="1701"/>
                <w:tab w:val="clear" w:pos="2268"/>
                <w:tab w:val="clear" w:pos="2835"/>
              </w:tabs>
              <w:spacing w:before="40"/>
              <w:ind w:left="0" w:right="0"/>
              <w:jc w:val="right"/>
            </w:pPr>
            <w:r w:rsidRPr="00333AFD">
              <w:t>24</w:t>
            </w:r>
            <w:r w:rsidR="00F35AF3">
              <w:t xml:space="preserve"> </w:t>
            </w:r>
            <w:r w:rsidRPr="00333AFD">
              <w:t>%</w:t>
            </w:r>
          </w:p>
        </w:tc>
        <w:tc>
          <w:tcPr>
            <w:tcW w:w="3118" w:type="dxa"/>
            <w:vMerge/>
            <w:shd w:val="clear" w:color="auto" w:fill="auto"/>
          </w:tcPr>
          <w:p w14:paraId="17E03340"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13794C8A" w14:textId="77777777" w:rsidTr="00F35AF3">
        <w:trPr>
          <w:trHeight w:val="240"/>
        </w:trPr>
        <w:tc>
          <w:tcPr>
            <w:tcW w:w="654" w:type="dxa"/>
            <w:shd w:val="clear" w:color="auto" w:fill="auto"/>
          </w:tcPr>
          <w:p w14:paraId="165956CD"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16.</w:t>
            </w:r>
          </w:p>
        </w:tc>
        <w:tc>
          <w:tcPr>
            <w:tcW w:w="2748" w:type="dxa"/>
            <w:gridSpan w:val="3"/>
            <w:shd w:val="clear" w:color="auto" w:fill="auto"/>
          </w:tcPr>
          <w:p w14:paraId="7C63B29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Tasas de deserción escolar en la enseñanza secundaria superior (niños de 16 a 18 años)</w:t>
            </w:r>
          </w:p>
        </w:tc>
        <w:tc>
          <w:tcPr>
            <w:tcW w:w="1985" w:type="dxa"/>
            <w:shd w:val="clear" w:color="auto" w:fill="auto"/>
          </w:tcPr>
          <w:p w14:paraId="17C63214" w14:textId="23DAFEE5" w:rsidR="00333AFD" w:rsidRPr="00333AFD" w:rsidRDefault="00333AFD" w:rsidP="00F35AF3">
            <w:pPr>
              <w:pStyle w:val="SingleTxtG"/>
              <w:tabs>
                <w:tab w:val="clear" w:pos="1701"/>
                <w:tab w:val="clear" w:pos="2268"/>
                <w:tab w:val="clear" w:pos="2835"/>
              </w:tabs>
              <w:spacing w:before="40"/>
              <w:ind w:left="0" w:right="0"/>
              <w:jc w:val="right"/>
            </w:pPr>
            <w:r w:rsidRPr="00333AFD">
              <w:t>70</w:t>
            </w:r>
            <w:r w:rsidR="00F35AF3">
              <w:t xml:space="preserve"> </w:t>
            </w:r>
            <w:r w:rsidRPr="00333AFD">
              <w:t>%</w:t>
            </w:r>
          </w:p>
        </w:tc>
        <w:tc>
          <w:tcPr>
            <w:tcW w:w="3118" w:type="dxa"/>
            <w:vMerge/>
            <w:shd w:val="clear" w:color="auto" w:fill="auto"/>
          </w:tcPr>
          <w:p w14:paraId="297BF52B"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BD63A1C" w14:textId="77777777" w:rsidTr="00F35AF3">
        <w:trPr>
          <w:trHeight w:val="240"/>
        </w:trPr>
        <w:tc>
          <w:tcPr>
            <w:tcW w:w="654" w:type="dxa"/>
            <w:shd w:val="clear" w:color="auto" w:fill="auto"/>
          </w:tcPr>
          <w:p w14:paraId="2F79FC6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17.</w:t>
            </w:r>
          </w:p>
        </w:tc>
        <w:tc>
          <w:tcPr>
            <w:tcW w:w="7851" w:type="dxa"/>
            <w:gridSpan w:val="5"/>
            <w:shd w:val="clear" w:color="auto" w:fill="auto"/>
          </w:tcPr>
          <w:p w14:paraId="75D51D6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Coeficiente maestro-alumnos en las escuelas financiadas con fondos públicos</w:t>
            </w:r>
          </w:p>
        </w:tc>
      </w:tr>
      <w:tr w:rsidR="00333AFD" w:rsidRPr="00333AFD" w14:paraId="0992C9AE" w14:textId="77777777" w:rsidTr="003D4091">
        <w:trPr>
          <w:trHeight w:val="240"/>
        </w:trPr>
        <w:tc>
          <w:tcPr>
            <w:tcW w:w="654" w:type="dxa"/>
            <w:vMerge w:val="restart"/>
            <w:shd w:val="clear" w:color="auto" w:fill="auto"/>
          </w:tcPr>
          <w:p w14:paraId="34800C7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2F6B890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4B7489D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Centros de desarrollo en la primera infancia</w:t>
            </w:r>
          </w:p>
        </w:tc>
        <w:tc>
          <w:tcPr>
            <w:tcW w:w="1985" w:type="dxa"/>
            <w:shd w:val="clear" w:color="auto" w:fill="auto"/>
          </w:tcPr>
          <w:p w14:paraId="50D7DA36" w14:textId="51A141C3" w:rsidR="00333AFD" w:rsidRPr="00333AFD" w:rsidRDefault="00333AFD" w:rsidP="00F35AF3">
            <w:pPr>
              <w:pStyle w:val="SingleTxtG"/>
              <w:tabs>
                <w:tab w:val="clear" w:pos="1701"/>
                <w:tab w:val="clear" w:pos="2268"/>
                <w:tab w:val="clear" w:pos="2835"/>
              </w:tabs>
              <w:spacing w:before="40"/>
              <w:ind w:left="0" w:right="0"/>
              <w:jc w:val="right"/>
            </w:pPr>
            <w:r w:rsidRPr="00333AFD">
              <w:t>1 docente por cada 40</w:t>
            </w:r>
            <w:r w:rsidR="00697477">
              <w:t> </w:t>
            </w:r>
            <w:r w:rsidRPr="00333AFD">
              <w:t>alumnos</w:t>
            </w:r>
          </w:p>
        </w:tc>
        <w:tc>
          <w:tcPr>
            <w:tcW w:w="3118" w:type="dxa"/>
            <w:vMerge w:val="restart"/>
            <w:shd w:val="clear" w:color="auto" w:fill="auto"/>
            <w:vAlign w:val="center"/>
          </w:tcPr>
          <w:p w14:paraId="03DB27C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Informe anual de estadísticas de educación, 2019</w:t>
            </w:r>
          </w:p>
        </w:tc>
      </w:tr>
      <w:tr w:rsidR="00333AFD" w:rsidRPr="00333AFD" w14:paraId="43E85E8B" w14:textId="77777777" w:rsidTr="003D4091">
        <w:trPr>
          <w:trHeight w:val="240"/>
        </w:trPr>
        <w:tc>
          <w:tcPr>
            <w:tcW w:w="654" w:type="dxa"/>
            <w:vMerge/>
            <w:shd w:val="clear" w:color="auto" w:fill="auto"/>
          </w:tcPr>
          <w:p w14:paraId="5F4FC265"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11E180A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13111F9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Escuelas primarias</w:t>
            </w:r>
          </w:p>
        </w:tc>
        <w:tc>
          <w:tcPr>
            <w:tcW w:w="1985" w:type="dxa"/>
            <w:shd w:val="clear" w:color="auto" w:fill="auto"/>
          </w:tcPr>
          <w:p w14:paraId="12F6DCE6" w14:textId="5CDF6A6E" w:rsidR="00333AFD" w:rsidRPr="00333AFD" w:rsidRDefault="00333AFD" w:rsidP="00F35AF3">
            <w:pPr>
              <w:pStyle w:val="SingleTxtG"/>
              <w:tabs>
                <w:tab w:val="clear" w:pos="1701"/>
                <w:tab w:val="clear" w:pos="2268"/>
                <w:tab w:val="clear" w:pos="2835"/>
              </w:tabs>
              <w:spacing w:before="40"/>
              <w:ind w:left="0" w:right="0"/>
              <w:jc w:val="right"/>
            </w:pPr>
            <w:r w:rsidRPr="00333AFD">
              <w:t>1 docente por cada 37</w:t>
            </w:r>
            <w:r w:rsidR="00697477">
              <w:t> </w:t>
            </w:r>
            <w:r w:rsidRPr="00333AFD">
              <w:t>alumnos</w:t>
            </w:r>
          </w:p>
        </w:tc>
        <w:tc>
          <w:tcPr>
            <w:tcW w:w="3118" w:type="dxa"/>
            <w:vMerge/>
            <w:shd w:val="clear" w:color="auto" w:fill="auto"/>
          </w:tcPr>
          <w:p w14:paraId="238517A2"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8BA5A7C" w14:textId="77777777" w:rsidTr="003D4091">
        <w:trPr>
          <w:trHeight w:val="240"/>
        </w:trPr>
        <w:tc>
          <w:tcPr>
            <w:tcW w:w="654" w:type="dxa"/>
            <w:vMerge/>
            <w:shd w:val="clear" w:color="auto" w:fill="auto"/>
          </w:tcPr>
          <w:p w14:paraId="447FD948"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77BF706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310" w:type="dxa"/>
            <w:gridSpan w:val="2"/>
            <w:shd w:val="clear" w:color="auto" w:fill="auto"/>
          </w:tcPr>
          <w:p w14:paraId="06470F2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Escuelas secundarias</w:t>
            </w:r>
          </w:p>
        </w:tc>
        <w:tc>
          <w:tcPr>
            <w:tcW w:w="1985" w:type="dxa"/>
            <w:shd w:val="clear" w:color="auto" w:fill="auto"/>
          </w:tcPr>
          <w:p w14:paraId="6F1E3EBC" w14:textId="46CF2F16" w:rsidR="00333AFD" w:rsidRPr="00333AFD" w:rsidRDefault="00333AFD" w:rsidP="00F35AF3">
            <w:pPr>
              <w:pStyle w:val="SingleTxtG"/>
              <w:tabs>
                <w:tab w:val="clear" w:pos="1701"/>
                <w:tab w:val="clear" w:pos="2268"/>
                <w:tab w:val="clear" w:pos="2835"/>
              </w:tabs>
              <w:spacing w:before="40"/>
              <w:ind w:left="0" w:right="0"/>
              <w:jc w:val="right"/>
            </w:pPr>
            <w:r w:rsidRPr="00333AFD">
              <w:t>1 docente por cada 23</w:t>
            </w:r>
            <w:r w:rsidR="00697477">
              <w:t> </w:t>
            </w:r>
            <w:r w:rsidRPr="00333AFD">
              <w:t>alumnos</w:t>
            </w:r>
          </w:p>
        </w:tc>
        <w:tc>
          <w:tcPr>
            <w:tcW w:w="3118" w:type="dxa"/>
            <w:vMerge/>
            <w:shd w:val="clear" w:color="auto" w:fill="auto"/>
          </w:tcPr>
          <w:p w14:paraId="7659A92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697477" w:rsidRPr="00333AFD" w14:paraId="571B8924" w14:textId="77777777" w:rsidTr="00AB0038">
        <w:trPr>
          <w:trHeight w:val="240"/>
        </w:trPr>
        <w:tc>
          <w:tcPr>
            <w:tcW w:w="654" w:type="dxa"/>
            <w:vMerge w:val="restart"/>
            <w:shd w:val="clear" w:color="auto" w:fill="auto"/>
          </w:tcPr>
          <w:p w14:paraId="502E3EDB" w14:textId="77777777" w:rsidR="00697477" w:rsidRPr="00333AFD" w:rsidRDefault="00697477" w:rsidP="00333AFD">
            <w:pPr>
              <w:pStyle w:val="SingleTxtG"/>
              <w:tabs>
                <w:tab w:val="clear" w:pos="1701"/>
                <w:tab w:val="clear" w:pos="2268"/>
                <w:tab w:val="clear" w:pos="2835"/>
              </w:tabs>
              <w:spacing w:before="40"/>
              <w:ind w:left="0" w:right="0"/>
              <w:jc w:val="left"/>
            </w:pPr>
            <w:r w:rsidRPr="00333AFD">
              <w:t>18.</w:t>
            </w:r>
          </w:p>
        </w:tc>
        <w:tc>
          <w:tcPr>
            <w:tcW w:w="7851" w:type="dxa"/>
            <w:gridSpan w:val="5"/>
            <w:shd w:val="clear" w:color="auto" w:fill="auto"/>
          </w:tcPr>
          <w:p w14:paraId="1EB66A5F" w14:textId="13579A15" w:rsidR="00697477" w:rsidRPr="00333AFD" w:rsidRDefault="00697477" w:rsidP="00333AFD">
            <w:pPr>
              <w:pStyle w:val="SingleTxtG"/>
              <w:tabs>
                <w:tab w:val="clear" w:pos="1701"/>
                <w:tab w:val="clear" w:pos="2268"/>
                <w:tab w:val="clear" w:pos="2835"/>
              </w:tabs>
              <w:spacing w:before="40"/>
              <w:ind w:left="0" w:right="0"/>
              <w:jc w:val="left"/>
            </w:pPr>
            <w:r w:rsidRPr="00333AFD">
              <w:t>Tasas de mortalidad</w:t>
            </w:r>
          </w:p>
        </w:tc>
      </w:tr>
      <w:tr w:rsidR="00333AFD" w:rsidRPr="00333AFD" w14:paraId="5E9BA9AE" w14:textId="77777777" w:rsidTr="003D4091">
        <w:trPr>
          <w:trHeight w:val="240"/>
        </w:trPr>
        <w:tc>
          <w:tcPr>
            <w:tcW w:w="654" w:type="dxa"/>
            <w:vMerge/>
            <w:shd w:val="clear" w:color="auto" w:fill="auto"/>
          </w:tcPr>
          <w:p w14:paraId="5669009F"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1549A5B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4567EC32" w14:textId="357AF669" w:rsidR="00333AFD" w:rsidRPr="00333AFD" w:rsidRDefault="00333AFD" w:rsidP="00333AFD">
            <w:pPr>
              <w:pStyle w:val="SingleTxtG"/>
              <w:tabs>
                <w:tab w:val="clear" w:pos="1701"/>
                <w:tab w:val="clear" w:pos="2268"/>
                <w:tab w:val="clear" w:pos="2835"/>
              </w:tabs>
              <w:spacing w:before="40"/>
              <w:ind w:left="0" w:right="0"/>
              <w:jc w:val="left"/>
            </w:pPr>
            <w:r w:rsidRPr="00333AFD">
              <w:t>De niños menores de 1 año</w:t>
            </w:r>
          </w:p>
        </w:tc>
        <w:tc>
          <w:tcPr>
            <w:tcW w:w="1985" w:type="dxa"/>
            <w:shd w:val="clear" w:color="auto" w:fill="auto"/>
          </w:tcPr>
          <w:p w14:paraId="3EDD1E45"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47 muertes por cada 1.000 nacidos vivos</w:t>
            </w:r>
          </w:p>
        </w:tc>
        <w:tc>
          <w:tcPr>
            <w:tcW w:w="3118" w:type="dxa"/>
            <w:vMerge w:val="restart"/>
            <w:shd w:val="clear" w:color="auto" w:fill="auto"/>
            <w:vAlign w:val="center"/>
          </w:tcPr>
          <w:p w14:paraId="43DF0A51"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MICS 2019, ZIMSTAT</w:t>
            </w:r>
          </w:p>
        </w:tc>
      </w:tr>
      <w:tr w:rsidR="00333AFD" w:rsidRPr="00333AFD" w14:paraId="1D05425C" w14:textId="77777777" w:rsidTr="003D4091">
        <w:trPr>
          <w:trHeight w:val="240"/>
        </w:trPr>
        <w:tc>
          <w:tcPr>
            <w:tcW w:w="654" w:type="dxa"/>
            <w:vMerge/>
            <w:shd w:val="clear" w:color="auto" w:fill="auto"/>
          </w:tcPr>
          <w:p w14:paraId="14C95367"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A914C1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0320041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Materna</w:t>
            </w:r>
          </w:p>
        </w:tc>
        <w:tc>
          <w:tcPr>
            <w:tcW w:w="1985" w:type="dxa"/>
            <w:shd w:val="clear" w:color="auto" w:fill="auto"/>
          </w:tcPr>
          <w:p w14:paraId="7E4AA180"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462 muertes por cada 100.000 nacidos vivos</w:t>
            </w:r>
          </w:p>
        </w:tc>
        <w:tc>
          <w:tcPr>
            <w:tcW w:w="3118" w:type="dxa"/>
            <w:vMerge/>
            <w:shd w:val="clear" w:color="auto" w:fill="auto"/>
          </w:tcPr>
          <w:p w14:paraId="1022AAF5"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1553174" w14:textId="77777777" w:rsidTr="00F35AF3">
        <w:trPr>
          <w:trHeight w:val="240"/>
        </w:trPr>
        <w:tc>
          <w:tcPr>
            <w:tcW w:w="654" w:type="dxa"/>
            <w:shd w:val="clear" w:color="auto" w:fill="auto"/>
          </w:tcPr>
          <w:p w14:paraId="6DCF969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19.</w:t>
            </w:r>
          </w:p>
        </w:tc>
        <w:tc>
          <w:tcPr>
            <w:tcW w:w="2748" w:type="dxa"/>
            <w:gridSpan w:val="3"/>
            <w:shd w:val="clear" w:color="auto" w:fill="auto"/>
          </w:tcPr>
          <w:p w14:paraId="4FD1108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alfabetización (personas de 15 años o más)</w:t>
            </w:r>
          </w:p>
        </w:tc>
        <w:tc>
          <w:tcPr>
            <w:tcW w:w="1985" w:type="dxa"/>
            <w:shd w:val="clear" w:color="auto" w:fill="auto"/>
          </w:tcPr>
          <w:p w14:paraId="2273AD4A" w14:textId="0AB2A82B" w:rsidR="00333AFD" w:rsidRPr="00333AFD" w:rsidRDefault="00333AFD" w:rsidP="00F35AF3">
            <w:pPr>
              <w:pStyle w:val="SingleTxtG"/>
              <w:tabs>
                <w:tab w:val="clear" w:pos="1701"/>
                <w:tab w:val="clear" w:pos="2268"/>
                <w:tab w:val="clear" w:pos="2835"/>
              </w:tabs>
              <w:spacing w:before="40"/>
              <w:ind w:left="0" w:right="0"/>
              <w:jc w:val="right"/>
            </w:pPr>
            <w:r w:rsidRPr="00333AFD">
              <w:t>94</w:t>
            </w:r>
            <w:r w:rsidR="00F35AF3">
              <w:t xml:space="preserve"> </w:t>
            </w:r>
            <w:r w:rsidRPr="00333AFD">
              <w:t>%</w:t>
            </w:r>
          </w:p>
        </w:tc>
        <w:tc>
          <w:tcPr>
            <w:tcW w:w="3118" w:type="dxa"/>
            <w:shd w:val="clear" w:color="auto" w:fill="auto"/>
          </w:tcPr>
          <w:p w14:paraId="4ACBA3B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ICDS 2017, ZIMSTAT</w:t>
            </w:r>
          </w:p>
        </w:tc>
      </w:tr>
      <w:tr w:rsidR="00333AFD" w:rsidRPr="00333AFD" w14:paraId="6CB9C645" w14:textId="77777777" w:rsidTr="00F35AF3">
        <w:trPr>
          <w:trHeight w:val="240"/>
        </w:trPr>
        <w:tc>
          <w:tcPr>
            <w:tcW w:w="654" w:type="dxa"/>
            <w:shd w:val="clear" w:color="auto" w:fill="auto"/>
          </w:tcPr>
          <w:p w14:paraId="3C56CD9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20.</w:t>
            </w:r>
          </w:p>
        </w:tc>
        <w:tc>
          <w:tcPr>
            <w:tcW w:w="2748" w:type="dxa"/>
            <w:gridSpan w:val="3"/>
            <w:shd w:val="clear" w:color="auto" w:fill="auto"/>
          </w:tcPr>
          <w:p w14:paraId="6918DD6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desempleo (personas de 15 años o más)</w:t>
            </w:r>
          </w:p>
        </w:tc>
        <w:tc>
          <w:tcPr>
            <w:tcW w:w="1985" w:type="dxa"/>
            <w:shd w:val="clear" w:color="auto" w:fill="auto"/>
          </w:tcPr>
          <w:p w14:paraId="79F2F11D" w14:textId="6B0D9E0E" w:rsidR="00333AFD" w:rsidRPr="00333AFD" w:rsidRDefault="00333AFD" w:rsidP="00F35AF3">
            <w:pPr>
              <w:pStyle w:val="SingleTxtG"/>
              <w:tabs>
                <w:tab w:val="clear" w:pos="1701"/>
                <w:tab w:val="clear" w:pos="2268"/>
                <w:tab w:val="clear" w:pos="2835"/>
              </w:tabs>
              <w:spacing w:before="40"/>
              <w:ind w:left="0" w:right="0"/>
              <w:jc w:val="right"/>
            </w:pPr>
            <w:r w:rsidRPr="00333AFD">
              <w:t>18</w:t>
            </w:r>
            <w:r w:rsidR="00F35AF3">
              <w:t xml:space="preserve"> </w:t>
            </w:r>
            <w:r w:rsidRPr="00333AFD">
              <w:t>%</w:t>
            </w:r>
          </w:p>
        </w:tc>
        <w:tc>
          <w:tcPr>
            <w:tcW w:w="3118" w:type="dxa"/>
            <w:shd w:val="clear" w:color="auto" w:fill="auto"/>
          </w:tcPr>
          <w:p w14:paraId="7818DBE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población activa - tercer trimestre de 2021, ZIMSTAT</w:t>
            </w:r>
          </w:p>
        </w:tc>
      </w:tr>
      <w:tr w:rsidR="00697477" w:rsidRPr="00333AFD" w14:paraId="5DD3EE53" w14:textId="77777777" w:rsidTr="00A87657">
        <w:trPr>
          <w:trHeight w:val="240"/>
        </w:trPr>
        <w:tc>
          <w:tcPr>
            <w:tcW w:w="654" w:type="dxa"/>
            <w:vMerge w:val="restart"/>
            <w:shd w:val="clear" w:color="auto" w:fill="auto"/>
          </w:tcPr>
          <w:p w14:paraId="2DF847AB" w14:textId="77777777" w:rsidR="00697477" w:rsidRPr="00333AFD" w:rsidRDefault="00697477" w:rsidP="00333AFD">
            <w:pPr>
              <w:pStyle w:val="SingleTxtG"/>
              <w:tabs>
                <w:tab w:val="clear" w:pos="1701"/>
                <w:tab w:val="clear" w:pos="2268"/>
                <w:tab w:val="clear" w:pos="2835"/>
              </w:tabs>
              <w:spacing w:before="40"/>
              <w:ind w:left="0" w:right="0"/>
              <w:jc w:val="left"/>
            </w:pPr>
            <w:r w:rsidRPr="00333AFD">
              <w:t>21.</w:t>
            </w:r>
          </w:p>
        </w:tc>
        <w:tc>
          <w:tcPr>
            <w:tcW w:w="7851" w:type="dxa"/>
            <w:gridSpan w:val="5"/>
            <w:shd w:val="clear" w:color="auto" w:fill="auto"/>
          </w:tcPr>
          <w:p w14:paraId="0931FD6D" w14:textId="26673951" w:rsidR="00697477" w:rsidRPr="00333AFD" w:rsidRDefault="00697477" w:rsidP="00333AFD">
            <w:pPr>
              <w:pStyle w:val="SingleTxtG"/>
              <w:tabs>
                <w:tab w:val="clear" w:pos="1701"/>
                <w:tab w:val="clear" w:pos="2268"/>
                <w:tab w:val="clear" w:pos="2835"/>
              </w:tabs>
              <w:spacing w:before="40"/>
              <w:ind w:left="0" w:right="0"/>
              <w:jc w:val="left"/>
            </w:pPr>
            <w:r w:rsidRPr="00333AFD">
              <w:t>Empleo, por principales sectores de actividad económica</w:t>
            </w:r>
          </w:p>
        </w:tc>
      </w:tr>
      <w:tr w:rsidR="00333AFD" w:rsidRPr="00333AFD" w14:paraId="44936829" w14:textId="77777777" w:rsidTr="003D4091">
        <w:trPr>
          <w:trHeight w:val="240"/>
        </w:trPr>
        <w:tc>
          <w:tcPr>
            <w:tcW w:w="654" w:type="dxa"/>
            <w:vMerge/>
            <w:shd w:val="clear" w:color="auto" w:fill="auto"/>
          </w:tcPr>
          <w:p w14:paraId="266ADB0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6C61F64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053123D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Sector formal</w:t>
            </w:r>
          </w:p>
        </w:tc>
        <w:tc>
          <w:tcPr>
            <w:tcW w:w="1985" w:type="dxa"/>
            <w:shd w:val="clear" w:color="auto" w:fill="auto"/>
          </w:tcPr>
          <w:p w14:paraId="493884E9" w14:textId="29C98C55" w:rsidR="00333AFD" w:rsidRPr="00333AFD" w:rsidRDefault="00333AFD" w:rsidP="00F35AF3">
            <w:pPr>
              <w:pStyle w:val="SingleTxtG"/>
              <w:tabs>
                <w:tab w:val="clear" w:pos="1701"/>
                <w:tab w:val="clear" w:pos="2268"/>
                <w:tab w:val="clear" w:pos="2835"/>
              </w:tabs>
              <w:spacing w:before="40"/>
              <w:ind w:left="0" w:right="0"/>
              <w:jc w:val="right"/>
            </w:pPr>
            <w:r w:rsidRPr="00333AFD">
              <w:t>26,0</w:t>
            </w:r>
            <w:r w:rsidR="00F35AF3">
              <w:t xml:space="preserve"> </w:t>
            </w:r>
            <w:r w:rsidRPr="00333AFD">
              <w:t>%</w:t>
            </w:r>
          </w:p>
        </w:tc>
        <w:tc>
          <w:tcPr>
            <w:tcW w:w="3118" w:type="dxa"/>
            <w:vMerge w:val="restart"/>
            <w:shd w:val="clear" w:color="auto" w:fill="auto"/>
            <w:vAlign w:val="center"/>
          </w:tcPr>
          <w:p w14:paraId="184FB30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población activa, tercer trimestre de 2021, ZIMSTAT</w:t>
            </w:r>
          </w:p>
        </w:tc>
      </w:tr>
      <w:tr w:rsidR="00333AFD" w:rsidRPr="00333AFD" w14:paraId="24F04431" w14:textId="77777777" w:rsidTr="003D4091">
        <w:trPr>
          <w:trHeight w:val="240"/>
        </w:trPr>
        <w:tc>
          <w:tcPr>
            <w:tcW w:w="654" w:type="dxa"/>
            <w:vMerge/>
            <w:shd w:val="clear" w:color="auto" w:fill="auto"/>
          </w:tcPr>
          <w:p w14:paraId="660FC03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54DD73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1646660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Sector informal</w:t>
            </w:r>
          </w:p>
        </w:tc>
        <w:tc>
          <w:tcPr>
            <w:tcW w:w="1985" w:type="dxa"/>
            <w:shd w:val="clear" w:color="auto" w:fill="auto"/>
          </w:tcPr>
          <w:p w14:paraId="25C3BBA2" w14:textId="4F446F29" w:rsidR="00333AFD" w:rsidRPr="00333AFD" w:rsidRDefault="00333AFD" w:rsidP="00F35AF3">
            <w:pPr>
              <w:pStyle w:val="SingleTxtG"/>
              <w:tabs>
                <w:tab w:val="clear" w:pos="1701"/>
                <w:tab w:val="clear" w:pos="2268"/>
                <w:tab w:val="clear" w:pos="2835"/>
              </w:tabs>
              <w:spacing w:before="40"/>
              <w:ind w:left="0" w:right="0"/>
              <w:jc w:val="right"/>
            </w:pPr>
            <w:r w:rsidRPr="00333AFD">
              <w:t>45,6</w:t>
            </w:r>
            <w:r w:rsidR="00F35AF3">
              <w:t xml:space="preserve"> </w:t>
            </w:r>
            <w:r w:rsidRPr="00333AFD">
              <w:t>%</w:t>
            </w:r>
          </w:p>
        </w:tc>
        <w:tc>
          <w:tcPr>
            <w:tcW w:w="3118" w:type="dxa"/>
            <w:vMerge/>
            <w:shd w:val="clear" w:color="auto" w:fill="auto"/>
          </w:tcPr>
          <w:p w14:paraId="61020114"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7682696B" w14:textId="77777777" w:rsidTr="003D4091">
        <w:trPr>
          <w:trHeight w:val="240"/>
        </w:trPr>
        <w:tc>
          <w:tcPr>
            <w:tcW w:w="654" w:type="dxa"/>
            <w:vMerge/>
            <w:shd w:val="clear" w:color="auto" w:fill="auto"/>
          </w:tcPr>
          <w:p w14:paraId="3074E32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F3BBA8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310" w:type="dxa"/>
            <w:gridSpan w:val="2"/>
            <w:shd w:val="clear" w:color="auto" w:fill="auto"/>
          </w:tcPr>
          <w:p w14:paraId="016F484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Sector familiar (del mercado de trabajo)</w:t>
            </w:r>
          </w:p>
        </w:tc>
        <w:tc>
          <w:tcPr>
            <w:tcW w:w="1985" w:type="dxa"/>
            <w:shd w:val="clear" w:color="auto" w:fill="auto"/>
          </w:tcPr>
          <w:p w14:paraId="2533811D" w14:textId="5976A82E" w:rsidR="00333AFD" w:rsidRPr="00333AFD" w:rsidRDefault="00333AFD" w:rsidP="00F35AF3">
            <w:pPr>
              <w:pStyle w:val="SingleTxtG"/>
              <w:tabs>
                <w:tab w:val="clear" w:pos="1701"/>
                <w:tab w:val="clear" w:pos="2268"/>
                <w:tab w:val="clear" w:pos="2835"/>
              </w:tabs>
              <w:spacing w:before="40"/>
              <w:ind w:left="0" w:right="0"/>
              <w:jc w:val="right"/>
            </w:pPr>
            <w:r w:rsidRPr="00333AFD">
              <w:t>4,8</w:t>
            </w:r>
            <w:r w:rsidR="00F35AF3">
              <w:t xml:space="preserve"> </w:t>
            </w:r>
            <w:r w:rsidRPr="00333AFD">
              <w:t>%</w:t>
            </w:r>
          </w:p>
        </w:tc>
        <w:tc>
          <w:tcPr>
            <w:tcW w:w="3118" w:type="dxa"/>
            <w:vMerge/>
            <w:shd w:val="clear" w:color="auto" w:fill="auto"/>
          </w:tcPr>
          <w:p w14:paraId="43ED026A"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383A61AE" w14:textId="77777777" w:rsidTr="003D4091">
        <w:trPr>
          <w:trHeight w:val="240"/>
        </w:trPr>
        <w:tc>
          <w:tcPr>
            <w:tcW w:w="654" w:type="dxa"/>
            <w:vMerge/>
            <w:shd w:val="clear" w:color="auto" w:fill="auto"/>
          </w:tcPr>
          <w:p w14:paraId="04132C5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6E99438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310" w:type="dxa"/>
            <w:gridSpan w:val="2"/>
            <w:shd w:val="clear" w:color="auto" w:fill="auto"/>
          </w:tcPr>
          <w:p w14:paraId="08C13D4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Agricultura</w:t>
            </w:r>
          </w:p>
        </w:tc>
        <w:tc>
          <w:tcPr>
            <w:tcW w:w="1985" w:type="dxa"/>
            <w:shd w:val="clear" w:color="auto" w:fill="auto"/>
          </w:tcPr>
          <w:p w14:paraId="7859C574" w14:textId="103AFAD2" w:rsidR="00333AFD" w:rsidRPr="00333AFD" w:rsidRDefault="00333AFD" w:rsidP="00F35AF3">
            <w:pPr>
              <w:pStyle w:val="SingleTxtG"/>
              <w:tabs>
                <w:tab w:val="clear" w:pos="1701"/>
                <w:tab w:val="clear" w:pos="2268"/>
                <w:tab w:val="clear" w:pos="2835"/>
              </w:tabs>
              <w:spacing w:before="40"/>
              <w:ind w:left="0" w:right="0"/>
              <w:jc w:val="right"/>
            </w:pPr>
            <w:r w:rsidRPr="00333AFD">
              <w:t>23,6</w:t>
            </w:r>
            <w:r w:rsidR="00F35AF3">
              <w:t xml:space="preserve"> </w:t>
            </w:r>
            <w:r w:rsidRPr="00333AFD">
              <w:t>%</w:t>
            </w:r>
          </w:p>
        </w:tc>
        <w:tc>
          <w:tcPr>
            <w:tcW w:w="3118" w:type="dxa"/>
            <w:vMerge/>
            <w:shd w:val="clear" w:color="auto" w:fill="auto"/>
          </w:tcPr>
          <w:p w14:paraId="26F8F777"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697477" w:rsidRPr="00333AFD" w14:paraId="1D93EC11" w14:textId="77777777" w:rsidTr="0033031F">
        <w:trPr>
          <w:trHeight w:val="240"/>
        </w:trPr>
        <w:tc>
          <w:tcPr>
            <w:tcW w:w="654" w:type="dxa"/>
            <w:vMerge w:val="restart"/>
            <w:shd w:val="clear" w:color="auto" w:fill="auto"/>
          </w:tcPr>
          <w:p w14:paraId="32C214B2" w14:textId="77777777" w:rsidR="00697477" w:rsidRPr="00333AFD" w:rsidRDefault="00697477" w:rsidP="00333AFD">
            <w:pPr>
              <w:pStyle w:val="SingleTxtG"/>
              <w:tabs>
                <w:tab w:val="clear" w:pos="1701"/>
                <w:tab w:val="clear" w:pos="2268"/>
                <w:tab w:val="clear" w:pos="2835"/>
              </w:tabs>
              <w:spacing w:before="40"/>
              <w:ind w:left="0" w:right="0"/>
              <w:jc w:val="left"/>
            </w:pPr>
            <w:r w:rsidRPr="00333AFD">
              <w:lastRenderedPageBreak/>
              <w:t>22.</w:t>
            </w:r>
          </w:p>
        </w:tc>
        <w:tc>
          <w:tcPr>
            <w:tcW w:w="7851" w:type="dxa"/>
            <w:gridSpan w:val="5"/>
            <w:shd w:val="clear" w:color="auto" w:fill="auto"/>
          </w:tcPr>
          <w:p w14:paraId="65A2473D" w14:textId="6875C5CB" w:rsidR="00697477" w:rsidRPr="00333AFD" w:rsidRDefault="00697477" w:rsidP="00333AFD">
            <w:pPr>
              <w:pStyle w:val="SingleTxtG"/>
              <w:tabs>
                <w:tab w:val="clear" w:pos="1701"/>
                <w:tab w:val="clear" w:pos="2268"/>
                <w:tab w:val="clear" w:pos="2835"/>
              </w:tabs>
              <w:spacing w:before="40"/>
              <w:ind w:left="0" w:right="0"/>
              <w:jc w:val="left"/>
            </w:pPr>
            <w:r w:rsidRPr="00333AFD">
              <w:t>Tasas de participación en el mercado de trabajo</w:t>
            </w:r>
          </w:p>
        </w:tc>
      </w:tr>
      <w:tr w:rsidR="00333AFD" w:rsidRPr="00333AFD" w14:paraId="1180F1AF" w14:textId="77777777" w:rsidTr="003D4091">
        <w:trPr>
          <w:trHeight w:val="240"/>
        </w:trPr>
        <w:tc>
          <w:tcPr>
            <w:tcW w:w="654" w:type="dxa"/>
            <w:vMerge/>
            <w:shd w:val="clear" w:color="auto" w:fill="auto"/>
          </w:tcPr>
          <w:p w14:paraId="4ED41A2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39FBF2B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119AC77F"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participación en la fuerza de trabajo (personas de 15 años o más)</w:t>
            </w:r>
          </w:p>
        </w:tc>
        <w:tc>
          <w:tcPr>
            <w:tcW w:w="1985" w:type="dxa"/>
            <w:shd w:val="clear" w:color="auto" w:fill="auto"/>
          </w:tcPr>
          <w:p w14:paraId="79E42062" w14:textId="171CB95C" w:rsidR="00333AFD" w:rsidRPr="00333AFD" w:rsidRDefault="00333AFD" w:rsidP="00F35AF3">
            <w:pPr>
              <w:pStyle w:val="SingleTxtG"/>
              <w:tabs>
                <w:tab w:val="clear" w:pos="1701"/>
                <w:tab w:val="clear" w:pos="2268"/>
                <w:tab w:val="clear" w:pos="2835"/>
              </w:tabs>
              <w:spacing w:before="40"/>
              <w:ind w:left="0" w:right="0"/>
              <w:jc w:val="right"/>
            </w:pPr>
            <w:r w:rsidRPr="00333AFD">
              <w:t>45,5</w:t>
            </w:r>
            <w:r w:rsidR="00F35AF3">
              <w:t xml:space="preserve"> </w:t>
            </w:r>
            <w:r w:rsidRPr="00333AFD">
              <w:t>%</w:t>
            </w:r>
          </w:p>
        </w:tc>
        <w:tc>
          <w:tcPr>
            <w:tcW w:w="3118" w:type="dxa"/>
            <w:vMerge w:val="restart"/>
            <w:shd w:val="clear" w:color="auto" w:fill="auto"/>
            <w:vAlign w:val="center"/>
          </w:tcPr>
          <w:p w14:paraId="3FBB5A38" w14:textId="3164792C" w:rsidR="00333AFD" w:rsidRPr="00333AFD" w:rsidRDefault="00333AFD" w:rsidP="00697477">
            <w:pPr>
              <w:pStyle w:val="SingleTxtG"/>
              <w:tabs>
                <w:tab w:val="clear" w:pos="1701"/>
                <w:tab w:val="clear" w:pos="2268"/>
                <w:tab w:val="clear" w:pos="2835"/>
              </w:tabs>
              <w:spacing w:before="40"/>
              <w:ind w:left="0" w:right="0"/>
              <w:jc w:val="left"/>
            </w:pPr>
            <w:r w:rsidRPr="00333AFD">
              <w:t xml:space="preserve">Encuesta de población activa </w:t>
            </w:r>
            <w:r w:rsidR="00697477" w:rsidRPr="00697477">
              <w:t>−</w:t>
            </w:r>
            <w:r w:rsidRPr="00333AFD">
              <w:t xml:space="preserve"> tercer trimestre de 2021, ZIMSTAT</w:t>
            </w:r>
          </w:p>
        </w:tc>
      </w:tr>
      <w:tr w:rsidR="00333AFD" w:rsidRPr="00333AFD" w14:paraId="00527C24" w14:textId="77777777" w:rsidTr="003D4091">
        <w:trPr>
          <w:trHeight w:val="240"/>
        </w:trPr>
        <w:tc>
          <w:tcPr>
            <w:tcW w:w="654" w:type="dxa"/>
            <w:vMerge/>
            <w:shd w:val="clear" w:color="auto" w:fill="auto"/>
          </w:tcPr>
          <w:p w14:paraId="1AC48A2A"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0F51A9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5609E89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participación de la juventud en la fuerza de trabajo (15 a 34 años)</w:t>
            </w:r>
          </w:p>
        </w:tc>
        <w:tc>
          <w:tcPr>
            <w:tcW w:w="1985" w:type="dxa"/>
            <w:shd w:val="clear" w:color="auto" w:fill="auto"/>
          </w:tcPr>
          <w:p w14:paraId="552C2173" w14:textId="473289DE" w:rsidR="00333AFD" w:rsidRPr="00333AFD" w:rsidRDefault="00333AFD" w:rsidP="00F35AF3">
            <w:pPr>
              <w:pStyle w:val="SingleTxtG"/>
              <w:tabs>
                <w:tab w:val="clear" w:pos="1701"/>
                <w:tab w:val="clear" w:pos="2268"/>
                <w:tab w:val="clear" w:pos="2835"/>
              </w:tabs>
              <w:spacing w:before="40"/>
              <w:ind w:left="0" w:right="0"/>
              <w:jc w:val="right"/>
            </w:pPr>
            <w:r w:rsidRPr="00333AFD">
              <w:t>42,9</w:t>
            </w:r>
            <w:r w:rsidR="00F35AF3">
              <w:t xml:space="preserve"> </w:t>
            </w:r>
            <w:r w:rsidRPr="00333AFD">
              <w:t>%</w:t>
            </w:r>
          </w:p>
        </w:tc>
        <w:tc>
          <w:tcPr>
            <w:tcW w:w="3118" w:type="dxa"/>
            <w:vMerge/>
            <w:shd w:val="clear" w:color="auto" w:fill="auto"/>
          </w:tcPr>
          <w:p w14:paraId="190C1A1D"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0A0DE96E" w14:textId="77777777" w:rsidTr="003D4091">
        <w:trPr>
          <w:trHeight w:val="240"/>
        </w:trPr>
        <w:tc>
          <w:tcPr>
            <w:tcW w:w="654" w:type="dxa"/>
            <w:vMerge/>
            <w:shd w:val="clear" w:color="auto" w:fill="auto"/>
          </w:tcPr>
          <w:p w14:paraId="77712DFE"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BFE5CF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310" w:type="dxa"/>
            <w:gridSpan w:val="2"/>
            <w:shd w:val="clear" w:color="auto" w:fill="auto"/>
          </w:tcPr>
          <w:p w14:paraId="784142F9" w14:textId="6471414A" w:rsidR="00333AFD" w:rsidRPr="00333AFD" w:rsidRDefault="00333AFD" w:rsidP="00333AFD">
            <w:pPr>
              <w:pStyle w:val="SingleTxtG"/>
              <w:tabs>
                <w:tab w:val="clear" w:pos="1701"/>
                <w:tab w:val="clear" w:pos="2268"/>
                <w:tab w:val="clear" w:pos="2835"/>
              </w:tabs>
              <w:spacing w:before="40"/>
              <w:ind w:left="0" w:right="0"/>
              <w:jc w:val="left"/>
            </w:pPr>
            <w:r w:rsidRPr="00333AFD">
              <w:t>Coeficiente empleo-población (personas de 15</w:t>
            </w:r>
            <w:r w:rsidR="00697477">
              <w:t> </w:t>
            </w:r>
            <w:r w:rsidRPr="00333AFD">
              <w:t>años o más)</w:t>
            </w:r>
          </w:p>
        </w:tc>
        <w:tc>
          <w:tcPr>
            <w:tcW w:w="1985" w:type="dxa"/>
            <w:shd w:val="clear" w:color="auto" w:fill="auto"/>
          </w:tcPr>
          <w:p w14:paraId="7AB34317" w14:textId="77459A24" w:rsidR="00333AFD" w:rsidRPr="00333AFD" w:rsidRDefault="00333AFD" w:rsidP="00F35AF3">
            <w:pPr>
              <w:pStyle w:val="SingleTxtG"/>
              <w:tabs>
                <w:tab w:val="clear" w:pos="1701"/>
                <w:tab w:val="clear" w:pos="2268"/>
                <w:tab w:val="clear" w:pos="2835"/>
              </w:tabs>
              <w:spacing w:before="40"/>
              <w:ind w:left="0" w:right="0"/>
              <w:jc w:val="right"/>
            </w:pPr>
            <w:r w:rsidRPr="00333AFD">
              <w:t>37,3</w:t>
            </w:r>
            <w:r w:rsidR="00F35AF3">
              <w:t xml:space="preserve"> </w:t>
            </w:r>
            <w:r w:rsidRPr="00333AFD">
              <w:t>%</w:t>
            </w:r>
          </w:p>
        </w:tc>
        <w:tc>
          <w:tcPr>
            <w:tcW w:w="3118" w:type="dxa"/>
            <w:vMerge/>
            <w:shd w:val="clear" w:color="auto" w:fill="auto"/>
          </w:tcPr>
          <w:p w14:paraId="4A21B447"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019C121" w14:textId="77777777" w:rsidTr="003D4091">
        <w:trPr>
          <w:trHeight w:val="240"/>
        </w:trPr>
        <w:tc>
          <w:tcPr>
            <w:tcW w:w="654" w:type="dxa"/>
            <w:vMerge/>
            <w:shd w:val="clear" w:color="auto" w:fill="auto"/>
          </w:tcPr>
          <w:p w14:paraId="52C0C813"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8C853B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310" w:type="dxa"/>
            <w:gridSpan w:val="2"/>
            <w:shd w:val="clear" w:color="auto" w:fill="auto"/>
          </w:tcPr>
          <w:p w14:paraId="483FC8D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Coeficiente empleo-población en la juventud (15 a 34 años)</w:t>
            </w:r>
          </w:p>
        </w:tc>
        <w:tc>
          <w:tcPr>
            <w:tcW w:w="1985" w:type="dxa"/>
            <w:shd w:val="clear" w:color="auto" w:fill="auto"/>
          </w:tcPr>
          <w:p w14:paraId="52093055" w14:textId="571EFDE2" w:rsidR="00333AFD" w:rsidRPr="00333AFD" w:rsidRDefault="00333AFD" w:rsidP="00F35AF3">
            <w:pPr>
              <w:pStyle w:val="SingleTxtG"/>
              <w:tabs>
                <w:tab w:val="clear" w:pos="1701"/>
                <w:tab w:val="clear" w:pos="2268"/>
                <w:tab w:val="clear" w:pos="2835"/>
              </w:tabs>
              <w:spacing w:before="40"/>
              <w:ind w:left="0" w:right="0"/>
              <w:jc w:val="right"/>
            </w:pPr>
            <w:r w:rsidRPr="00333AFD">
              <w:t>32,5</w:t>
            </w:r>
            <w:r w:rsidR="00F35AF3">
              <w:t xml:space="preserve"> </w:t>
            </w:r>
            <w:r w:rsidRPr="00333AFD">
              <w:t>%</w:t>
            </w:r>
          </w:p>
        </w:tc>
        <w:tc>
          <w:tcPr>
            <w:tcW w:w="3118" w:type="dxa"/>
            <w:vMerge/>
            <w:shd w:val="clear" w:color="auto" w:fill="auto"/>
          </w:tcPr>
          <w:p w14:paraId="458FFE40"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45CE1E81" w14:textId="77777777" w:rsidTr="00F35AF3">
        <w:trPr>
          <w:trHeight w:val="240"/>
        </w:trPr>
        <w:tc>
          <w:tcPr>
            <w:tcW w:w="654" w:type="dxa"/>
            <w:shd w:val="clear" w:color="auto" w:fill="auto"/>
          </w:tcPr>
          <w:p w14:paraId="3712EDB3"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23.</w:t>
            </w:r>
          </w:p>
        </w:tc>
        <w:tc>
          <w:tcPr>
            <w:tcW w:w="2748" w:type="dxa"/>
            <w:gridSpan w:val="3"/>
            <w:shd w:val="clear" w:color="auto" w:fill="auto"/>
          </w:tcPr>
          <w:p w14:paraId="6C35B647"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población activa, tercer trimestre de 2021, ZIMSTAT</w:t>
            </w:r>
          </w:p>
        </w:tc>
        <w:tc>
          <w:tcPr>
            <w:tcW w:w="1985" w:type="dxa"/>
            <w:shd w:val="clear" w:color="auto" w:fill="auto"/>
          </w:tcPr>
          <w:p w14:paraId="639EC238"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Encuesta de población activa, tercer trimestre de 2021, ZIMSTAT</w:t>
            </w:r>
          </w:p>
        </w:tc>
        <w:tc>
          <w:tcPr>
            <w:tcW w:w="3118" w:type="dxa"/>
            <w:shd w:val="clear" w:color="auto" w:fill="auto"/>
          </w:tcPr>
          <w:p w14:paraId="5C8DC51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Encuesta de población activa, tercer trimestre de 2021, ZIMSTAT</w:t>
            </w:r>
          </w:p>
        </w:tc>
      </w:tr>
      <w:tr w:rsidR="00333AFD" w:rsidRPr="00333AFD" w14:paraId="31AC4F67" w14:textId="77777777" w:rsidTr="00F35AF3">
        <w:trPr>
          <w:trHeight w:val="240"/>
        </w:trPr>
        <w:tc>
          <w:tcPr>
            <w:tcW w:w="654" w:type="dxa"/>
            <w:shd w:val="clear" w:color="auto" w:fill="auto"/>
          </w:tcPr>
          <w:p w14:paraId="0F7501F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24.</w:t>
            </w:r>
          </w:p>
        </w:tc>
        <w:tc>
          <w:tcPr>
            <w:tcW w:w="2748" w:type="dxa"/>
            <w:gridSpan w:val="3"/>
            <w:shd w:val="clear" w:color="auto" w:fill="auto"/>
          </w:tcPr>
          <w:p w14:paraId="16D96F66"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Ingreso per cápita (dólares de los Estados Unidos)</w:t>
            </w:r>
          </w:p>
        </w:tc>
        <w:tc>
          <w:tcPr>
            <w:tcW w:w="1985" w:type="dxa"/>
            <w:shd w:val="clear" w:color="auto" w:fill="auto"/>
          </w:tcPr>
          <w:p w14:paraId="2E93498A"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1 629</w:t>
            </w:r>
          </w:p>
        </w:tc>
        <w:tc>
          <w:tcPr>
            <w:tcW w:w="3118" w:type="dxa"/>
            <w:shd w:val="clear" w:color="auto" w:fill="auto"/>
          </w:tcPr>
          <w:p w14:paraId="6378F06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ZIMSTAT, 2018</w:t>
            </w:r>
          </w:p>
        </w:tc>
      </w:tr>
      <w:tr w:rsidR="00333AFD" w:rsidRPr="00333AFD" w14:paraId="38AAA1B7" w14:textId="77777777" w:rsidTr="00F35AF3">
        <w:trPr>
          <w:trHeight w:val="240"/>
        </w:trPr>
        <w:tc>
          <w:tcPr>
            <w:tcW w:w="654" w:type="dxa"/>
            <w:shd w:val="clear" w:color="auto" w:fill="auto"/>
          </w:tcPr>
          <w:p w14:paraId="3A6EF90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25.</w:t>
            </w:r>
          </w:p>
        </w:tc>
        <w:tc>
          <w:tcPr>
            <w:tcW w:w="2748" w:type="dxa"/>
            <w:gridSpan w:val="3"/>
            <w:shd w:val="clear" w:color="auto" w:fill="auto"/>
          </w:tcPr>
          <w:p w14:paraId="4E54A73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Producto interno bruto (PIB, dólares de los Estados Unidos);</w:t>
            </w:r>
          </w:p>
        </w:tc>
        <w:tc>
          <w:tcPr>
            <w:tcW w:w="1985" w:type="dxa"/>
            <w:shd w:val="clear" w:color="auto" w:fill="auto"/>
          </w:tcPr>
          <w:p w14:paraId="209F8D66"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24 312</w:t>
            </w:r>
          </w:p>
        </w:tc>
        <w:tc>
          <w:tcPr>
            <w:tcW w:w="3118" w:type="dxa"/>
            <w:shd w:val="clear" w:color="auto" w:fill="auto"/>
          </w:tcPr>
          <w:p w14:paraId="2400402C"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ZIMSTAT, 2018</w:t>
            </w:r>
          </w:p>
        </w:tc>
      </w:tr>
      <w:tr w:rsidR="00333AFD" w:rsidRPr="00333AFD" w14:paraId="50815876" w14:textId="77777777" w:rsidTr="00F35AF3">
        <w:trPr>
          <w:trHeight w:val="240"/>
        </w:trPr>
        <w:tc>
          <w:tcPr>
            <w:tcW w:w="654" w:type="dxa"/>
            <w:shd w:val="clear" w:color="auto" w:fill="auto"/>
          </w:tcPr>
          <w:p w14:paraId="050AB92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26.</w:t>
            </w:r>
          </w:p>
        </w:tc>
        <w:tc>
          <w:tcPr>
            <w:tcW w:w="2748" w:type="dxa"/>
            <w:gridSpan w:val="3"/>
            <w:shd w:val="clear" w:color="auto" w:fill="auto"/>
          </w:tcPr>
          <w:p w14:paraId="076D040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Tasa de crecimiento anual</w:t>
            </w:r>
          </w:p>
        </w:tc>
        <w:tc>
          <w:tcPr>
            <w:tcW w:w="1985" w:type="dxa"/>
            <w:shd w:val="clear" w:color="auto" w:fill="auto"/>
          </w:tcPr>
          <w:p w14:paraId="7C413120" w14:textId="40F8DAA4" w:rsidR="00333AFD" w:rsidRPr="00333AFD" w:rsidRDefault="00333AFD" w:rsidP="00F35AF3">
            <w:pPr>
              <w:pStyle w:val="SingleTxtG"/>
              <w:tabs>
                <w:tab w:val="clear" w:pos="1701"/>
                <w:tab w:val="clear" w:pos="2268"/>
                <w:tab w:val="clear" w:pos="2835"/>
              </w:tabs>
              <w:spacing w:before="40"/>
              <w:ind w:left="0" w:right="0"/>
              <w:jc w:val="right"/>
            </w:pPr>
            <w:r w:rsidRPr="00333AFD">
              <w:t>4,8</w:t>
            </w:r>
            <w:r w:rsidR="00F35AF3">
              <w:t xml:space="preserve"> </w:t>
            </w:r>
            <w:r w:rsidRPr="00333AFD">
              <w:t>%</w:t>
            </w:r>
          </w:p>
        </w:tc>
        <w:tc>
          <w:tcPr>
            <w:tcW w:w="3118" w:type="dxa"/>
            <w:shd w:val="clear" w:color="auto" w:fill="auto"/>
          </w:tcPr>
          <w:p w14:paraId="6C0680A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ZIMSTAT, 2018</w:t>
            </w:r>
          </w:p>
        </w:tc>
      </w:tr>
      <w:tr w:rsidR="00333AFD" w:rsidRPr="00333AFD" w14:paraId="263A9A6E" w14:textId="77777777" w:rsidTr="00F35AF3">
        <w:trPr>
          <w:trHeight w:val="240"/>
        </w:trPr>
        <w:tc>
          <w:tcPr>
            <w:tcW w:w="654" w:type="dxa"/>
            <w:shd w:val="clear" w:color="auto" w:fill="auto"/>
          </w:tcPr>
          <w:p w14:paraId="0D2B74B9"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27.</w:t>
            </w:r>
          </w:p>
        </w:tc>
        <w:tc>
          <w:tcPr>
            <w:tcW w:w="2748" w:type="dxa"/>
            <w:gridSpan w:val="3"/>
            <w:shd w:val="clear" w:color="auto" w:fill="auto"/>
          </w:tcPr>
          <w:p w14:paraId="5729861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Ingreso nacional bruto (INB, dólares de los Estados Unidos)</w:t>
            </w:r>
          </w:p>
        </w:tc>
        <w:tc>
          <w:tcPr>
            <w:tcW w:w="1985" w:type="dxa"/>
            <w:shd w:val="clear" w:color="auto" w:fill="auto"/>
          </w:tcPr>
          <w:p w14:paraId="6F0B0D7A"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22 707</w:t>
            </w:r>
          </w:p>
        </w:tc>
        <w:tc>
          <w:tcPr>
            <w:tcW w:w="3118" w:type="dxa"/>
            <w:shd w:val="clear" w:color="auto" w:fill="auto"/>
          </w:tcPr>
          <w:p w14:paraId="161106B2"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ZIMSTAT, 2018</w:t>
            </w:r>
          </w:p>
        </w:tc>
      </w:tr>
      <w:tr w:rsidR="00333AFD" w:rsidRPr="00333AFD" w14:paraId="63EED8FD" w14:textId="77777777" w:rsidTr="00F35AF3">
        <w:trPr>
          <w:trHeight w:val="240"/>
        </w:trPr>
        <w:tc>
          <w:tcPr>
            <w:tcW w:w="654" w:type="dxa"/>
            <w:shd w:val="clear" w:color="auto" w:fill="auto"/>
          </w:tcPr>
          <w:p w14:paraId="3143378B" w14:textId="77777777" w:rsidR="00333AFD" w:rsidRPr="00333AFD" w:rsidRDefault="00333AFD" w:rsidP="00333AFD">
            <w:pPr>
              <w:pStyle w:val="SingleTxtG"/>
              <w:tabs>
                <w:tab w:val="clear" w:pos="1701"/>
                <w:tab w:val="clear" w:pos="2268"/>
                <w:tab w:val="clear" w:pos="2835"/>
              </w:tabs>
              <w:spacing w:before="40"/>
              <w:ind w:left="0" w:right="0"/>
              <w:jc w:val="left"/>
            </w:pPr>
            <w:r w:rsidRPr="00333AFD">
              <w:t>28.</w:t>
            </w:r>
          </w:p>
        </w:tc>
        <w:tc>
          <w:tcPr>
            <w:tcW w:w="2748" w:type="dxa"/>
            <w:gridSpan w:val="3"/>
            <w:shd w:val="clear" w:color="auto" w:fill="auto"/>
          </w:tcPr>
          <w:p w14:paraId="7AB69134" w14:textId="77777777" w:rsidR="00333AFD" w:rsidRPr="00333AFD" w:rsidRDefault="00333AFD" w:rsidP="00333AFD">
            <w:pPr>
              <w:pStyle w:val="SingleTxtG"/>
              <w:tabs>
                <w:tab w:val="clear" w:pos="1701"/>
                <w:tab w:val="clear" w:pos="2268"/>
                <w:tab w:val="clear" w:pos="2835"/>
              </w:tabs>
              <w:spacing w:before="40"/>
              <w:ind w:left="0" w:right="0"/>
              <w:jc w:val="left"/>
            </w:pPr>
            <w:r w:rsidRPr="00333AFD">
              <w:t>Índice de precios al consumidor (IPC, tasa de inflación)</w:t>
            </w:r>
          </w:p>
        </w:tc>
        <w:tc>
          <w:tcPr>
            <w:tcW w:w="1985" w:type="dxa"/>
            <w:shd w:val="clear" w:color="auto" w:fill="auto"/>
          </w:tcPr>
          <w:p w14:paraId="48ED838F" w14:textId="691313B6" w:rsidR="00333AFD" w:rsidRPr="00333AFD" w:rsidRDefault="00333AFD" w:rsidP="00F35AF3">
            <w:pPr>
              <w:pStyle w:val="SingleTxtG"/>
              <w:tabs>
                <w:tab w:val="clear" w:pos="1701"/>
                <w:tab w:val="clear" w:pos="2268"/>
                <w:tab w:val="clear" w:pos="2835"/>
              </w:tabs>
              <w:spacing w:before="40"/>
              <w:ind w:left="0" w:right="0"/>
              <w:jc w:val="right"/>
            </w:pPr>
            <w:r w:rsidRPr="00333AFD">
              <w:t>175,7</w:t>
            </w:r>
            <w:r w:rsidR="00F35AF3">
              <w:t xml:space="preserve"> </w:t>
            </w:r>
            <w:r w:rsidRPr="00333AFD">
              <w:t>%</w:t>
            </w:r>
          </w:p>
        </w:tc>
        <w:tc>
          <w:tcPr>
            <w:tcW w:w="3118" w:type="dxa"/>
            <w:shd w:val="clear" w:color="auto" w:fill="auto"/>
          </w:tcPr>
          <w:p w14:paraId="5ADCCE9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ZIMSTAT, junio de 2019</w:t>
            </w:r>
          </w:p>
        </w:tc>
      </w:tr>
      <w:tr w:rsidR="0046258C" w:rsidRPr="00333AFD" w14:paraId="50761A4C" w14:textId="77777777" w:rsidTr="004350E6">
        <w:trPr>
          <w:trHeight w:val="240"/>
        </w:trPr>
        <w:tc>
          <w:tcPr>
            <w:tcW w:w="654" w:type="dxa"/>
            <w:vMerge w:val="restart"/>
            <w:shd w:val="clear" w:color="auto" w:fill="auto"/>
          </w:tcPr>
          <w:p w14:paraId="5D074317" w14:textId="77777777" w:rsidR="0046258C" w:rsidRPr="00333AFD" w:rsidRDefault="0046258C" w:rsidP="00333AFD">
            <w:pPr>
              <w:pStyle w:val="SingleTxtG"/>
              <w:tabs>
                <w:tab w:val="clear" w:pos="1701"/>
                <w:tab w:val="clear" w:pos="2268"/>
                <w:tab w:val="clear" w:pos="2835"/>
              </w:tabs>
              <w:spacing w:before="40"/>
              <w:ind w:left="0" w:right="0"/>
              <w:jc w:val="left"/>
            </w:pPr>
            <w:r w:rsidRPr="00333AFD">
              <w:t>29.</w:t>
            </w:r>
          </w:p>
        </w:tc>
        <w:tc>
          <w:tcPr>
            <w:tcW w:w="7851" w:type="dxa"/>
            <w:gridSpan w:val="5"/>
            <w:shd w:val="clear" w:color="auto" w:fill="auto"/>
          </w:tcPr>
          <w:p w14:paraId="42D3BFE9" w14:textId="54A8E829" w:rsidR="0046258C" w:rsidRPr="00333AFD" w:rsidRDefault="0046258C" w:rsidP="00333AFD">
            <w:pPr>
              <w:pStyle w:val="SingleTxtG"/>
              <w:tabs>
                <w:tab w:val="clear" w:pos="1701"/>
                <w:tab w:val="clear" w:pos="2268"/>
                <w:tab w:val="clear" w:pos="2835"/>
              </w:tabs>
              <w:spacing w:before="40"/>
              <w:ind w:left="0" w:right="0"/>
              <w:jc w:val="left"/>
            </w:pPr>
            <w:r w:rsidRPr="00333AFD">
              <w:t>Gasto social en proporción al gasto público total y al PIB</w:t>
            </w:r>
          </w:p>
        </w:tc>
      </w:tr>
      <w:tr w:rsidR="00333AFD" w:rsidRPr="00333AFD" w14:paraId="3C99882C" w14:textId="77777777" w:rsidTr="003D4091">
        <w:trPr>
          <w:trHeight w:val="240"/>
        </w:trPr>
        <w:tc>
          <w:tcPr>
            <w:tcW w:w="654" w:type="dxa"/>
            <w:vMerge/>
            <w:shd w:val="clear" w:color="auto" w:fill="auto"/>
          </w:tcPr>
          <w:p w14:paraId="5DDBA87B"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EDB4C7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a)</w:t>
            </w:r>
          </w:p>
        </w:tc>
        <w:tc>
          <w:tcPr>
            <w:tcW w:w="2310" w:type="dxa"/>
            <w:gridSpan w:val="2"/>
            <w:shd w:val="clear" w:color="auto" w:fill="auto"/>
          </w:tcPr>
          <w:p w14:paraId="4E11BD56" w14:textId="6EDF5EA2" w:rsidR="00333AFD" w:rsidRPr="00333AFD" w:rsidRDefault="00333AFD" w:rsidP="00333AFD">
            <w:pPr>
              <w:pStyle w:val="SingleTxtG"/>
              <w:tabs>
                <w:tab w:val="clear" w:pos="1701"/>
                <w:tab w:val="clear" w:pos="2268"/>
                <w:tab w:val="clear" w:pos="2835"/>
              </w:tabs>
              <w:spacing w:before="40"/>
              <w:ind w:left="0" w:right="0"/>
              <w:jc w:val="left"/>
            </w:pPr>
            <w:r w:rsidRPr="00333AFD">
              <w:t>Alimentos</w:t>
            </w:r>
          </w:p>
        </w:tc>
        <w:tc>
          <w:tcPr>
            <w:tcW w:w="1985" w:type="dxa"/>
            <w:shd w:val="clear" w:color="auto" w:fill="auto"/>
          </w:tcPr>
          <w:p w14:paraId="19995DFE"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vMerge w:val="restart"/>
            <w:shd w:val="clear" w:color="auto" w:fill="auto"/>
            <w:vAlign w:val="center"/>
          </w:tcPr>
          <w:p w14:paraId="2BB7934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w:t>
            </w:r>
          </w:p>
        </w:tc>
      </w:tr>
      <w:tr w:rsidR="00333AFD" w:rsidRPr="00333AFD" w14:paraId="36C1BD77" w14:textId="77777777" w:rsidTr="003D4091">
        <w:trPr>
          <w:trHeight w:val="240"/>
        </w:trPr>
        <w:tc>
          <w:tcPr>
            <w:tcW w:w="654" w:type="dxa"/>
            <w:vMerge/>
            <w:shd w:val="clear" w:color="auto" w:fill="auto"/>
          </w:tcPr>
          <w:p w14:paraId="6909CC1C"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37E83CFE" w14:textId="77777777" w:rsidR="00333AFD" w:rsidRPr="00333AFD" w:rsidRDefault="00333AFD" w:rsidP="00333AFD">
            <w:pPr>
              <w:pStyle w:val="SingleTxtG"/>
              <w:tabs>
                <w:tab w:val="clear" w:pos="1701"/>
                <w:tab w:val="clear" w:pos="2268"/>
                <w:tab w:val="clear" w:pos="2835"/>
              </w:tabs>
              <w:spacing w:before="40"/>
              <w:ind w:left="0" w:right="0"/>
              <w:jc w:val="left"/>
            </w:pPr>
            <w:r w:rsidRPr="00333AFD">
              <w:t>b)</w:t>
            </w:r>
          </w:p>
        </w:tc>
        <w:tc>
          <w:tcPr>
            <w:tcW w:w="2310" w:type="dxa"/>
            <w:gridSpan w:val="2"/>
            <w:shd w:val="clear" w:color="auto" w:fill="auto"/>
          </w:tcPr>
          <w:p w14:paraId="6378A88C" w14:textId="0A3E62B8" w:rsidR="00333AFD" w:rsidRPr="00333AFD" w:rsidRDefault="00333AFD" w:rsidP="00333AFD">
            <w:pPr>
              <w:pStyle w:val="SingleTxtG"/>
              <w:tabs>
                <w:tab w:val="clear" w:pos="1701"/>
                <w:tab w:val="clear" w:pos="2268"/>
                <w:tab w:val="clear" w:pos="2835"/>
              </w:tabs>
              <w:spacing w:before="40"/>
              <w:ind w:left="0" w:right="0"/>
              <w:jc w:val="left"/>
            </w:pPr>
            <w:r w:rsidRPr="00333AFD">
              <w:t>Vivienda</w:t>
            </w:r>
          </w:p>
        </w:tc>
        <w:tc>
          <w:tcPr>
            <w:tcW w:w="1985" w:type="dxa"/>
            <w:shd w:val="clear" w:color="auto" w:fill="auto"/>
          </w:tcPr>
          <w:p w14:paraId="26E6FF9E"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vMerge/>
            <w:shd w:val="clear" w:color="auto" w:fill="auto"/>
          </w:tcPr>
          <w:p w14:paraId="06E91470"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FC7E6C9" w14:textId="77777777" w:rsidTr="003D4091">
        <w:trPr>
          <w:trHeight w:val="240"/>
        </w:trPr>
        <w:tc>
          <w:tcPr>
            <w:tcW w:w="654" w:type="dxa"/>
            <w:vMerge/>
            <w:shd w:val="clear" w:color="auto" w:fill="auto"/>
          </w:tcPr>
          <w:p w14:paraId="418E6196"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0E428BCA" w14:textId="77777777" w:rsidR="00333AFD" w:rsidRPr="00333AFD" w:rsidRDefault="00333AFD" w:rsidP="00333AFD">
            <w:pPr>
              <w:pStyle w:val="SingleTxtG"/>
              <w:tabs>
                <w:tab w:val="clear" w:pos="1701"/>
                <w:tab w:val="clear" w:pos="2268"/>
                <w:tab w:val="clear" w:pos="2835"/>
              </w:tabs>
              <w:spacing w:before="40"/>
              <w:ind w:left="0" w:right="0"/>
              <w:jc w:val="left"/>
            </w:pPr>
            <w:r w:rsidRPr="00333AFD">
              <w:t>c)</w:t>
            </w:r>
          </w:p>
        </w:tc>
        <w:tc>
          <w:tcPr>
            <w:tcW w:w="2310" w:type="dxa"/>
            <w:gridSpan w:val="2"/>
            <w:shd w:val="clear" w:color="auto" w:fill="auto"/>
          </w:tcPr>
          <w:p w14:paraId="29F9851F" w14:textId="165DD5AF" w:rsidR="00333AFD" w:rsidRPr="00333AFD" w:rsidRDefault="00333AFD" w:rsidP="00333AFD">
            <w:pPr>
              <w:pStyle w:val="SingleTxtG"/>
              <w:tabs>
                <w:tab w:val="clear" w:pos="1701"/>
                <w:tab w:val="clear" w:pos="2268"/>
                <w:tab w:val="clear" w:pos="2835"/>
              </w:tabs>
              <w:spacing w:before="40"/>
              <w:ind w:left="0" w:right="0"/>
              <w:jc w:val="left"/>
            </w:pPr>
            <w:r w:rsidRPr="00333AFD">
              <w:t>Salud</w:t>
            </w:r>
          </w:p>
        </w:tc>
        <w:tc>
          <w:tcPr>
            <w:tcW w:w="1985" w:type="dxa"/>
            <w:shd w:val="clear" w:color="auto" w:fill="auto"/>
          </w:tcPr>
          <w:p w14:paraId="6474CDB3"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vMerge/>
            <w:shd w:val="clear" w:color="auto" w:fill="auto"/>
          </w:tcPr>
          <w:p w14:paraId="70044B41"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6D8BF585" w14:textId="77777777" w:rsidTr="003D4091">
        <w:trPr>
          <w:trHeight w:val="240"/>
        </w:trPr>
        <w:tc>
          <w:tcPr>
            <w:tcW w:w="654" w:type="dxa"/>
            <w:vMerge/>
            <w:shd w:val="clear" w:color="auto" w:fill="auto"/>
          </w:tcPr>
          <w:p w14:paraId="62ED95B1"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shd w:val="clear" w:color="auto" w:fill="auto"/>
          </w:tcPr>
          <w:p w14:paraId="4F949E10" w14:textId="77777777" w:rsidR="00333AFD" w:rsidRPr="00333AFD" w:rsidRDefault="00333AFD" w:rsidP="00333AFD">
            <w:pPr>
              <w:pStyle w:val="SingleTxtG"/>
              <w:tabs>
                <w:tab w:val="clear" w:pos="1701"/>
                <w:tab w:val="clear" w:pos="2268"/>
                <w:tab w:val="clear" w:pos="2835"/>
              </w:tabs>
              <w:spacing w:before="40"/>
              <w:ind w:left="0" w:right="0"/>
              <w:jc w:val="left"/>
            </w:pPr>
            <w:r w:rsidRPr="00333AFD">
              <w:t>d)</w:t>
            </w:r>
          </w:p>
        </w:tc>
        <w:tc>
          <w:tcPr>
            <w:tcW w:w="2310" w:type="dxa"/>
            <w:gridSpan w:val="2"/>
            <w:shd w:val="clear" w:color="auto" w:fill="auto"/>
          </w:tcPr>
          <w:p w14:paraId="1380A1D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Educación</w:t>
            </w:r>
          </w:p>
        </w:tc>
        <w:tc>
          <w:tcPr>
            <w:tcW w:w="1985" w:type="dxa"/>
            <w:shd w:val="clear" w:color="auto" w:fill="auto"/>
          </w:tcPr>
          <w:p w14:paraId="48CD2FEF"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vMerge/>
            <w:shd w:val="clear" w:color="auto" w:fill="auto"/>
          </w:tcPr>
          <w:p w14:paraId="02B4CF93" w14:textId="77777777" w:rsidR="00333AFD" w:rsidRPr="00333AFD" w:rsidRDefault="00333AFD" w:rsidP="00333AFD">
            <w:pPr>
              <w:pStyle w:val="SingleTxtG"/>
              <w:tabs>
                <w:tab w:val="clear" w:pos="1701"/>
                <w:tab w:val="clear" w:pos="2268"/>
                <w:tab w:val="clear" w:pos="2835"/>
              </w:tabs>
              <w:spacing w:before="40"/>
              <w:ind w:left="0" w:right="0"/>
              <w:jc w:val="left"/>
            </w:pPr>
          </w:p>
        </w:tc>
      </w:tr>
      <w:tr w:rsidR="00333AFD" w:rsidRPr="00333AFD" w14:paraId="51FD948E" w14:textId="77777777" w:rsidTr="003D4091">
        <w:trPr>
          <w:trHeight w:val="240"/>
        </w:trPr>
        <w:tc>
          <w:tcPr>
            <w:tcW w:w="654" w:type="dxa"/>
            <w:vMerge/>
            <w:tcBorders>
              <w:bottom w:val="single" w:sz="12" w:space="0" w:color="auto"/>
            </w:tcBorders>
            <w:shd w:val="clear" w:color="auto" w:fill="auto"/>
          </w:tcPr>
          <w:p w14:paraId="2D56D539" w14:textId="77777777" w:rsidR="00333AFD" w:rsidRPr="00333AFD" w:rsidRDefault="00333AFD" w:rsidP="00333AFD">
            <w:pPr>
              <w:pStyle w:val="SingleTxtG"/>
              <w:tabs>
                <w:tab w:val="clear" w:pos="1701"/>
                <w:tab w:val="clear" w:pos="2268"/>
                <w:tab w:val="clear" w:pos="2835"/>
              </w:tabs>
              <w:spacing w:before="40"/>
              <w:ind w:left="0" w:right="0"/>
              <w:jc w:val="left"/>
            </w:pPr>
          </w:p>
        </w:tc>
        <w:tc>
          <w:tcPr>
            <w:tcW w:w="438" w:type="dxa"/>
            <w:tcBorders>
              <w:bottom w:val="single" w:sz="12" w:space="0" w:color="auto"/>
            </w:tcBorders>
            <w:shd w:val="clear" w:color="auto" w:fill="auto"/>
          </w:tcPr>
          <w:p w14:paraId="773EB775" w14:textId="77777777" w:rsidR="00333AFD" w:rsidRPr="00333AFD" w:rsidRDefault="00333AFD" w:rsidP="00333AFD">
            <w:pPr>
              <w:pStyle w:val="SingleTxtG"/>
              <w:tabs>
                <w:tab w:val="clear" w:pos="1701"/>
                <w:tab w:val="clear" w:pos="2268"/>
                <w:tab w:val="clear" w:pos="2835"/>
              </w:tabs>
              <w:spacing w:before="40"/>
              <w:ind w:left="0" w:right="0"/>
              <w:jc w:val="left"/>
            </w:pPr>
            <w:r w:rsidRPr="00333AFD">
              <w:t>e)</w:t>
            </w:r>
          </w:p>
        </w:tc>
        <w:tc>
          <w:tcPr>
            <w:tcW w:w="2310" w:type="dxa"/>
            <w:gridSpan w:val="2"/>
            <w:tcBorders>
              <w:bottom w:val="single" w:sz="12" w:space="0" w:color="auto"/>
            </w:tcBorders>
            <w:shd w:val="clear" w:color="auto" w:fill="auto"/>
          </w:tcPr>
          <w:p w14:paraId="3C10F5D8" w14:textId="77777777" w:rsidR="00333AFD" w:rsidRPr="00333AFD" w:rsidRDefault="00333AFD" w:rsidP="00333AFD">
            <w:pPr>
              <w:pStyle w:val="SingleTxtG"/>
              <w:tabs>
                <w:tab w:val="clear" w:pos="1701"/>
                <w:tab w:val="clear" w:pos="2268"/>
                <w:tab w:val="clear" w:pos="2835"/>
              </w:tabs>
              <w:spacing w:before="40"/>
              <w:ind w:left="0" w:right="0"/>
              <w:jc w:val="left"/>
            </w:pPr>
            <w:r w:rsidRPr="00333AFD">
              <w:t>Social</w:t>
            </w:r>
          </w:p>
        </w:tc>
        <w:tc>
          <w:tcPr>
            <w:tcW w:w="1985" w:type="dxa"/>
            <w:tcBorders>
              <w:bottom w:val="single" w:sz="12" w:space="0" w:color="auto"/>
            </w:tcBorders>
            <w:shd w:val="clear" w:color="auto" w:fill="auto"/>
          </w:tcPr>
          <w:p w14:paraId="71B44080" w14:textId="77777777" w:rsidR="00333AFD" w:rsidRPr="00333AFD" w:rsidRDefault="00333AFD" w:rsidP="00F35AF3">
            <w:pPr>
              <w:pStyle w:val="SingleTxtG"/>
              <w:tabs>
                <w:tab w:val="clear" w:pos="1701"/>
                <w:tab w:val="clear" w:pos="2268"/>
                <w:tab w:val="clear" w:pos="2835"/>
              </w:tabs>
              <w:spacing w:before="40"/>
              <w:ind w:left="0" w:right="0"/>
              <w:jc w:val="right"/>
            </w:pPr>
            <w:r w:rsidRPr="00333AFD">
              <w:t>-</w:t>
            </w:r>
          </w:p>
        </w:tc>
        <w:tc>
          <w:tcPr>
            <w:tcW w:w="3118" w:type="dxa"/>
            <w:vMerge/>
            <w:tcBorders>
              <w:bottom w:val="single" w:sz="12" w:space="0" w:color="auto"/>
            </w:tcBorders>
            <w:shd w:val="clear" w:color="auto" w:fill="auto"/>
          </w:tcPr>
          <w:p w14:paraId="2B1B50F5" w14:textId="77777777" w:rsidR="00333AFD" w:rsidRPr="00333AFD" w:rsidRDefault="00333AFD" w:rsidP="00333AFD">
            <w:pPr>
              <w:pStyle w:val="SingleTxtG"/>
              <w:tabs>
                <w:tab w:val="clear" w:pos="1701"/>
                <w:tab w:val="clear" w:pos="2268"/>
                <w:tab w:val="clear" w:pos="2835"/>
              </w:tabs>
              <w:spacing w:before="40"/>
              <w:ind w:left="0" w:right="0"/>
              <w:jc w:val="left"/>
            </w:pPr>
          </w:p>
        </w:tc>
      </w:tr>
    </w:tbl>
    <w:p w14:paraId="09C37867" w14:textId="65099B2A" w:rsidR="00333AFD" w:rsidRPr="00333AFD" w:rsidRDefault="00F35AF3" w:rsidP="00F35AF3">
      <w:pPr>
        <w:pStyle w:val="H23G"/>
      </w:pPr>
      <w:r w:rsidRPr="00F35AF3">
        <w:rPr>
          <w:b w:val="0"/>
          <w:bCs/>
        </w:rPr>
        <w:tab/>
      </w:r>
      <w:r w:rsidRPr="00F35AF3">
        <w:rPr>
          <w:b w:val="0"/>
          <w:bCs/>
        </w:rPr>
        <w:tab/>
      </w:r>
      <w:r w:rsidR="00333AFD" w:rsidRPr="00F35AF3">
        <w:rPr>
          <w:b w:val="0"/>
          <w:bCs/>
        </w:rPr>
        <w:t>Cuadro 3</w:t>
      </w:r>
      <w:r w:rsidRPr="00F35AF3">
        <w:rPr>
          <w:b w:val="0"/>
          <w:bCs/>
        </w:rPr>
        <w:br/>
      </w:r>
      <w:r w:rsidR="00333AFD" w:rsidRPr="00333AFD">
        <w:t>Indicadores sociales, económicos y culturales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53"/>
        <w:gridCol w:w="340"/>
        <w:gridCol w:w="3095"/>
        <w:gridCol w:w="741"/>
        <w:gridCol w:w="919"/>
        <w:gridCol w:w="919"/>
        <w:gridCol w:w="919"/>
        <w:gridCol w:w="919"/>
      </w:tblGrid>
      <w:tr w:rsidR="00F35AF3" w:rsidRPr="00F35AF3" w14:paraId="17342403" w14:textId="77777777" w:rsidTr="003D4091">
        <w:trPr>
          <w:trHeight w:val="240"/>
          <w:tblHeader/>
        </w:trPr>
        <w:tc>
          <w:tcPr>
            <w:tcW w:w="653" w:type="dxa"/>
            <w:vMerge w:val="restart"/>
            <w:tcBorders>
              <w:top w:val="single" w:sz="4" w:space="0" w:color="auto"/>
              <w:bottom w:val="single" w:sz="4" w:space="0" w:color="auto"/>
            </w:tcBorders>
            <w:shd w:val="clear" w:color="auto" w:fill="auto"/>
            <w:vAlign w:val="bottom"/>
          </w:tcPr>
          <w:p w14:paraId="2AEEBE91" w14:textId="63A6342F"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F35AF3">
              <w:rPr>
                <w:i/>
                <w:iCs/>
                <w:sz w:val="16"/>
              </w:rPr>
              <w:t>ero</w:t>
            </w:r>
          </w:p>
        </w:tc>
        <w:tc>
          <w:tcPr>
            <w:tcW w:w="3435" w:type="dxa"/>
            <w:gridSpan w:val="2"/>
            <w:vMerge w:val="restart"/>
            <w:tcBorders>
              <w:top w:val="single" w:sz="4" w:space="0" w:color="auto"/>
              <w:bottom w:val="single" w:sz="4" w:space="0" w:color="auto"/>
            </w:tcBorders>
            <w:shd w:val="clear" w:color="auto" w:fill="auto"/>
            <w:vAlign w:val="bottom"/>
          </w:tcPr>
          <w:p w14:paraId="24118E87"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iCs/>
                <w:sz w:val="16"/>
              </w:rPr>
            </w:pPr>
            <w:r w:rsidRPr="00333AFD">
              <w:rPr>
                <w:i/>
                <w:iCs/>
                <w:sz w:val="16"/>
              </w:rPr>
              <w:t>Indicadores sociales, económicos y culturales</w:t>
            </w:r>
          </w:p>
        </w:tc>
        <w:tc>
          <w:tcPr>
            <w:tcW w:w="4417" w:type="dxa"/>
            <w:gridSpan w:val="5"/>
            <w:tcBorders>
              <w:top w:val="single" w:sz="4" w:space="0" w:color="auto"/>
              <w:bottom w:val="single" w:sz="4" w:space="0" w:color="auto"/>
            </w:tcBorders>
            <w:shd w:val="clear" w:color="auto" w:fill="auto"/>
            <w:vAlign w:val="bottom"/>
          </w:tcPr>
          <w:p w14:paraId="5095A051"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Año</w:t>
            </w:r>
          </w:p>
        </w:tc>
      </w:tr>
      <w:tr w:rsidR="00F35AF3" w:rsidRPr="00333AFD" w14:paraId="085D54F0" w14:textId="77777777" w:rsidTr="003D4091">
        <w:trPr>
          <w:trHeight w:val="240"/>
        </w:trPr>
        <w:tc>
          <w:tcPr>
            <w:tcW w:w="653" w:type="dxa"/>
            <w:vMerge/>
            <w:tcBorders>
              <w:top w:val="single" w:sz="4" w:space="0" w:color="auto"/>
              <w:bottom w:val="single" w:sz="12" w:space="0" w:color="auto"/>
            </w:tcBorders>
            <w:shd w:val="clear" w:color="auto" w:fill="auto"/>
            <w:vAlign w:val="bottom"/>
          </w:tcPr>
          <w:p w14:paraId="46563FBC"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p>
        </w:tc>
        <w:tc>
          <w:tcPr>
            <w:tcW w:w="3435" w:type="dxa"/>
            <w:gridSpan w:val="2"/>
            <w:vMerge/>
            <w:tcBorders>
              <w:top w:val="single" w:sz="4" w:space="0" w:color="auto"/>
              <w:bottom w:val="single" w:sz="12" w:space="0" w:color="auto"/>
            </w:tcBorders>
            <w:shd w:val="clear" w:color="auto" w:fill="auto"/>
            <w:vAlign w:val="bottom"/>
          </w:tcPr>
          <w:p w14:paraId="75D7F56C" w14:textId="77777777" w:rsidR="00333AFD" w:rsidRPr="00333AFD" w:rsidRDefault="00333AFD" w:rsidP="00F35AF3">
            <w:pPr>
              <w:pStyle w:val="SingleTxtG"/>
              <w:tabs>
                <w:tab w:val="clear" w:pos="1701"/>
                <w:tab w:val="clear" w:pos="2268"/>
                <w:tab w:val="clear" w:pos="2835"/>
              </w:tabs>
              <w:spacing w:before="40" w:after="40" w:line="220" w:lineRule="exact"/>
              <w:ind w:left="113" w:right="0"/>
              <w:jc w:val="left"/>
              <w:rPr>
                <w:sz w:val="18"/>
              </w:rPr>
            </w:pPr>
          </w:p>
        </w:tc>
        <w:tc>
          <w:tcPr>
            <w:tcW w:w="741" w:type="dxa"/>
            <w:tcBorders>
              <w:top w:val="single" w:sz="4" w:space="0" w:color="auto"/>
              <w:bottom w:val="single" w:sz="12" w:space="0" w:color="auto"/>
            </w:tcBorders>
            <w:shd w:val="clear" w:color="auto" w:fill="auto"/>
            <w:vAlign w:val="bottom"/>
          </w:tcPr>
          <w:p w14:paraId="78EF202D" w14:textId="77777777" w:rsidR="00333AFD" w:rsidRPr="00333AFD" w:rsidRDefault="00333AFD" w:rsidP="00F35AF3">
            <w:pPr>
              <w:pStyle w:val="SingleTxtG"/>
              <w:tabs>
                <w:tab w:val="clear" w:pos="1701"/>
                <w:tab w:val="clear" w:pos="2268"/>
                <w:tab w:val="clear" w:pos="2835"/>
              </w:tabs>
              <w:spacing w:before="80" w:after="80" w:line="200" w:lineRule="exact"/>
              <w:ind w:left="57" w:right="28"/>
              <w:jc w:val="right"/>
              <w:rPr>
                <w:i/>
                <w:iCs/>
                <w:sz w:val="16"/>
              </w:rPr>
            </w:pPr>
            <w:r w:rsidRPr="00333AFD">
              <w:rPr>
                <w:i/>
                <w:iCs/>
                <w:sz w:val="16"/>
              </w:rPr>
              <w:t>2013</w:t>
            </w:r>
          </w:p>
        </w:tc>
        <w:tc>
          <w:tcPr>
            <w:tcW w:w="919" w:type="dxa"/>
            <w:tcBorders>
              <w:top w:val="single" w:sz="4" w:space="0" w:color="auto"/>
              <w:bottom w:val="single" w:sz="12" w:space="0" w:color="auto"/>
            </w:tcBorders>
            <w:shd w:val="clear" w:color="auto" w:fill="auto"/>
            <w:vAlign w:val="bottom"/>
          </w:tcPr>
          <w:p w14:paraId="08B24694" w14:textId="77777777" w:rsidR="00333AFD" w:rsidRPr="00333AFD" w:rsidRDefault="00333AFD" w:rsidP="00F35AF3">
            <w:pPr>
              <w:pStyle w:val="SingleTxtG"/>
              <w:tabs>
                <w:tab w:val="clear" w:pos="1701"/>
                <w:tab w:val="clear" w:pos="2268"/>
                <w:tab w:val="clear" w:pos="2835"/>
              </w:tabs>
              <w:spacing w:before="80" w:after="80" w:line="200" w:lineRule="exact"/>
              <w:ind w:left="57" w:right="28"/>
              <w:jc w:val="right"/>
              <w:rPr>
                <w:i/>
                <w:iCs/>
                <w:sz w:val="16"/>
              </w:rPr>
            </w:pPr>
            <w:r w:rsidRPr="00333AFD">
              <w:rPr>
                <w:i/>
                <w:iCs/>
                <w:sz w:val="16"/>
              </w:rPr>
              <w:t>2014</w:t>
            </w:r>
          </w:p>
        </w:tc>
        <w:tc>
          <w:tcPr>
            <w:tcW w:w="919" w:type="dxa"/>
            <w:tcBorders>
              <w:top w:val="single" w:sz="4" w:space="0" w:color="auto"/>
              <w:bottom w:val="single" w:sz="12" w:space="0" w:color="auto"/>
            </w:tcBorders>
            <w:shd w:val="clear" w:color="auto" w:fill="auto"/>
            <w:vAlign w:val="bottom"/>
          </w:tcPr>
          <w:p w14:paraId="3A4A425B" w14:textId="77777777" w:rsidR="00333AFD" w:rsidRPr="00333AFD" w:rsidRDefault="00333AFD" w:rsidP="00F35AF3">
            <w:pPr>
              <w:pStyle w:val="SingleTxtG"/>
              <w:tabs>
                <w:tab w:val="clear" w:pos="1701"/>
                <w:tab w:val="clear" w:pos="2268"/>
                <w:tab w:val="clear" w:pos="2835"/>
              </w:tabs>
              <w:spacing w:before="80" w:after="80" w:line="200" w:lineRule="exact"/>
              <w:ind w:left="57" w:right="28"/>
              <w:jc w:val="right"/>
              <w:rPr>
                <w:i/>
                <w:iCs/>
                <w:sz w:val="16"/>
              </w:rPr>
            </w:pPr>
            <w:r w:rsidRPr="00333AFD">
              <w:rPr>
                <w:i/>
                <w:iCs/>
                <w:sz w:val="16"/>
              </w:rPr>
              <w:t>2015</w:t>
            </w:r>
          </w:p>
        </w:tc>
        <w:tc>
          <w:tcPr>
            <w:tcW w:w="919" w:type="dxa"/>
            <w:tcBorders>
              <w:top w:val="single" w:sz="4" w:space="0" w:color="auto"/>
              <w:bottom w:val="single" w:sz="12" w:space="0" w:color="auto"/>
            </w:tcBorders>
            <w:shd w:val="clear" w:color="auto" w:fill="auto"/>
            <w:vAlign w:val="bottom"/>
          </w:tcPr>
          <w:p w14:paraId="4DE06570" w14:textId="77777777" w:rsidR="00333AFD" w:rsidRPr="00333AFD" w:rsidRDefault="00333AFD" w:rsidP="00F35AF3">
            <w:pPr>
              <w:pStyle w:val="SingleTxtG"/>
              <w:tabs>
                <w:tab w:val="clear" w:pos="1701"/>
                <w:tab w:val="clear" w:pos="2268"/>
                <w:tab w:val="clear" w:pos="2835"/>
              </w:tabs>
              <w:spacing w:before="80" w:after="80" w:line="200" w:lineRule="exact"/>
              <w:ind w:left="57" w:right="28"/>
              <w:jc w:val="right"/>
              <w:rPr>
                <w:i/>
                <w:iCs/>
                <w:sz w:val="16"/>
              </w:rPr>
            </w:pPr>
            <w:r w:rsidRPr="00333AFD">
              <w:rPr>
                <w:i/>
                <w:iCs/>
                <w:sz w:val="16"/>
              </w:rPr>
              <w:t>2016</w:t>
            </w:r>
          </w:p>
        </w:tc>
        <w:tc>
          <w:tcPr>
            <w:tcW w:w="919" w:type="dxa"/>
            <w:tcBorders>
              <w:top w:val="single" w:sz="4" w:space="0" w:color="auto"/>
              <w:bottom w:val="single" w:sz="12" w:space="0" w:color="auto"/>
            </w:tcBorders>
            <w:shd w:val="clear" w:color="auto" w:fill="auto"/>
            <w:vAlign w:val="bottom"/>
          </w:tcPr>
          <w:p w14:paraId="34A0655C" w14:textId="77777777" w:rsidR="00333AFD" w:rsidRPr="00333AFD" w:rsidRDefault="00333AFD" w:rsidP="00F35AF3">
            <w:pPr>
              <w:pStyle w:val="SingleTxtG"/>
              <w:tabs>
                <w:tab w:val="clear" w:pos="1701"/>
                <w:tab w:val="clear" w:pos="2268"/>
                <w:tab w:val="clear" w:pos="2835"/>
              </w:tabs>
              <w:spacing w:before="80" w:after="80" w:line="200" w:lineRule="exact"/>
              <w:ind w:left="57" w:right="28"/>
              <w:jc w:val="right"/>
              <w:rPr>
                <w:i/>
                <w:iCs/>
                <w:sz w:val="16"/>
              </w:rPr>
            </w:pPr>
            <w:r w:rsidRPr="00333AFD">
              <w:rPr>
                <w:i/>
                <w:iCs/>
                <w:sz w:val="16"/>
              </w:rPr>
              <w:t>2017</w:t>
            </w:r>
          </w:p>
        </w:tc>
      </w:tr>
      <w:tr w:rsidR="00F35AF3" w:rsidRPr="00333AFD" w14:paraId="4430E48E" w14:textId="77777777" w:rsidTr="003D4091">
        <w:trPr>
          <w:trHeight w:val="240"/>
        </w:trPr>
        <w:tc>
          <w:tcPr>
            <w:tcW w:w="653" w:type="dxa"/>
            <w:tcBorders>
              <w:top w:val="single" w:sz="12" w:space="0" w:color="auto"/>
            </w:tcBorders>
            <w:shd w:val="clear" w:color="auto" w:fill="auto"/>
          </w:tcPr>
          <w:p w14:paraId="7F903ED8"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1.</w:t>
            </w:r>
          </w:p>
        </w:tc>
        <w:tc>
          <w:tcPr>
            <w:tcW w:w="3435" w:type="dxa"/>
            <w:gridSpan w:val="2"/>
            <w:tcBorders>
              <w:top w:val="single" w:sz="12" w:space="0" w:color="auto"/>
            </w:tcBorders>
            <w:shd w:val="clear" w:color="auto" w:fill="auto"/>
            <w:vAlign w:val="bottom"/>
          </w:tcPr>
          <w:p w14:paraId="5BC7E57E"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Proporción de la población por debajo del límite de la pobreza (véase el cuadro 2)</w:t>
            </w:r>
          </w:p>
        </w:tc>
        <w:tc>
          <w:tcPr>
            <w:tcW w:w="741" w:type="dxa"/>
            <w:tcBorders>
              <w:top w:val="single" w:sz="12" w:space="0" w:color="auto"/>
            </w:tcBorders>
            <w:shd w:val="clear" w:color="auto" w:fill="auto"/>
            <w:vAlign w:val="bottom"/>
          </w:tcPr>
          <w:p w14:paraId="1EBC0AE3"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tcBorders>
              <w:top w:val="single" w:sz="12" w:space="0" w:color="auto"/>
            </w:tcBorders>
            <w:shd w:val="clear" w:color="auto" w:fill="auto"/>
            <w:vAlign w:val="bottom"/>
          </w:tcPr>
          <w:p w14:paraId="2EFA6076"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tcBorders>
              <w:top w:val="single" w:sz="12" w:space="0" w:color="auto"/>
            </w:tcBorders>
            <w:shd w:val="clear" w:color="auto" w:fill="auto"/>
            <w:vAlign w:val="bottom"/>
          </w:tcPr>
          <w:p w14:paraId="565358F8"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tcBorders>
              <w:top w:val="single" w:sz="12" w:space="0" w:color="auto"/>
            </w:tcBorders>
            <w:shd w:val="clear" w:color="auto" w:fill="auto"/>
            <w:vAlign w:val="bottom"/>
          </w:tcPr>
          <w:p w14:paraId="56891495"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tcBorders>
              <w:top w:val="single" w:sz="12" w:space="0" w:color="auto"/>
            </w:tcBorders>
            <w:shd w:val="clear" w:color="auto" w:fill="auto"/>
            <w:vAlign w:val="bottom"/>
          </w:tcPr>
          <w:p w14:paraId="63E786F2"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r>
      <w:tr w:rsidR="00F35AF3" w:rsidRPr="00333AFD" w14:paraId="202529A6" w14:textId="77777777" w:rsidTr="003D4091">
        <w:trPr>
          <w:trHeight w:val="240"/>
        </w:trPr>
        <w:tc>
          <w:tcPr>
            <w:tcW w:w="653" w:type="dxa"/>
            <w:shd w:val="clear" w:color="auto" w:fill="auto"/>
          </w:tcPr>
          <w:p w14:paraId="22BCF1FB"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2.</w:t>
            </w:r>
          </w:p>
        </w:tc>
        <w:tc>
          <w:tcPr>
            <w:tcW w:w="3435" w:type="dxa"/>
            <w:gridSpan w:val="2"/>
            <w:shd w:val="clear" w:color="auto" w:fill="auto"/>
            <w:vAlign w:val="bottom"/>
          </w:tcPr>
          <w:p w14:paraId="459BEE38"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Proporción de la población por debajo del nivel mínimo de la ingesta de alimentos (véase el cuadro 2)</w:t>
            </w:r>
          </w:p>
        </w:tc>
        <w:tc>
          <w:tcPr>
            <w:tcW w:w="741" w:type="dxa"/>
            <w:shd w:val="clear" w:color="auto" w:fill="auto"/>
            <w:vAlign w:val="bottom"/>
          </w:tcPr>
          <w:p w14:paraId="0A0EB17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shd w:val="clear" w:color="auto" w:fill="auto"/>
            <w:vAlign w:val="bottom"/>
          </w:tcPr>
          <w:p w14:paraId="70BBC566"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shd w:val="clear" w:color="auto" w:fill="auto"/>
            <w:vAlign w:val="bottom"/>
          </w:tcPr>
          <w:p w14:paraId="6E90D4B6"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shd w:val="clear" w:color="auto" w:fill="auto"/>
            <w:vAlign w:val="bottom"/>
          </w:tcPr>
          <w:p w14:paraId="453D314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c>
          <w:tcPr>
            <w:tcW w:w="919" w:type="dxa"/>
            <w:shd w:val="clear" w:color="auto" w:fill="auto"/>
            <w:vAlign w:val="bottom"/>
          </w:tcPr>
          <w:p w14:paraId="5798E8B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w:t>
            </w:r>
          </w:p>
        </w:tc>
      </w:tr>
      <w:tr w:rsidR="00F35AF3" w:rsidRPr="00333AFD" w14:paraId="2DE048F8" w14:textId="77777777" w:rsidTr="003D4091">
        <w:trPr>
          <w:trHeight w:val="240"/>
        </w:trPr>
        <w:tc>
          <w:tcPr>
            <w:tcW w:w="653" w:type="dxa"/>
            <w:shd w:val="clear" w:color="auto" w:fill="auto"/>
          </w:tcPr>
          <w:p w14:paraId="4CBB855E"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3.</w:t>
            </w:r>
          </w:p>
        </w:tc>
        <w:tc>
          <w:tcPr>
            <w:tcW w:w="3435" w:type="dxa"/>
            <w:gridSpan w:val="2"/>
            <w:shd w:val="clear" w:color="auto" w:fill="auto"/>
            <w:vAlign w:val="bottom"/>
          </w:tcPr>
          <w:p w14:paraId="50F84C9A"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Ingreso per cápita</w:t>
            </w:r>
          </w:p>
        </w:tc>
        <w:tc>
          <w:tcPr>
            <w:tcW w:w="741" w:type="dxa"/>
            <w:shd w:val="clear" w:color="auto" w:fill="auto"/>
            <w:vAlign w:val="bottom"/>
          </w:tcPr>
          <w:p w14:paraId="609F878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1 422</w:t>
            </w:r>
          </w:p>
        </w:tc>
        <w:tc>
          <w:tcPr>
            <w:tcW w:w="919" w:type="dxa"/>
            <w:shd w:val="clear" w:color="auto" w:fill="auto"/>
            <w:vAlign w:val="bottom"/>
          </w:tcPr>
          <w:p w14:paraId="631F7992"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1 415</w:t>
            </w:r>
          </w:p>
        </w:tc>
        <w:tc>
          <w:tcPr>
            <w:tcW w:w="919" w:type="dxa"/>
            <w:shd w:val="clear" w:color="auto" w:fill="auto"/>
            <w:vAlign w:val="bottom"/>
          </w:tcPr>
          <w:p w14:paraId="4987B7F8"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1 432</w:t>
            </w:r>
          </w:p>
        </w:tc>
        <w:tc>
          <w:tcPr>
            <w:tcW w:w="919" w:type="dxa"/>
            <w:shd w:val="clear" w:color="auto" w:fill="auto"/>
            <w:vAlign w:val="bottom"/>
          </w:tcPr>
          <w:p w14:paraId="76A98E7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1 441</w:t>
            </w:r>
          </w:p>
        </w:tc>
        <w:tc>
          <w:tcPr>
            <w:tcW w:w="919" w:type="dxa"/>
            <w:shd w:val="clear" w:color="auto" w:fill="auto"/>
            <w:vAlign w:val="bottom"/>
          </w:tcPr>
          <w:p w14:paraId="61CA6DB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1 532</w:t>
            </w:r>
          </w:p>
        </w:tc>
      </w:tr>
      <w:tr w:rsidR="00F35AF3" w:rsidRPr="00333AFD" w14:paraId="6D6F15EE" w14:textId="77777777" w:rsidTr="003D4091">
        <w:trPr>
          <w:trHeight w:val="240"/>
        </w:trPr>
        <w:tc>
          <w:tcPr>
            <w:tcW w:w="653" w:type="dxa"/>
            <w:shd w:val="clear" w:color="auto" w:fill="auto"/>
          </w:tcPr>
          <w:p w14:paraId="105C281D"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lastRenderedPageBreak/>
              <w:t>4.</w:t>
            </w:r>
          </w:p>
        </w:tc>
        <w:tc>
          <w:tcPr>
            <w:tcW w:w="3435" w:type="dxa"/>
            <w:gridSpan w:val="2"/>
            <w:shd w:val="clear" w:color="auto" w:fill="auto"/>
            <w:vAlign w:val="bottom"/>
          </w:tcPr>
          <w:p w14:paraId="3A7BA818"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Producto interno bruto (PIB, miles de millones de dólares de Zimbabwe)</w:t>
            </w:r>
          </w:p>
        </w:tc>
        <w:tc>
          <w:tcPr>
            <w:tcW w:w="741" w:type="dxa"/>
            <w:shd w:val="clear" w:color="auto" w:fill="auto"/>
            <w:vAlign w:val="bottom"/>
          </w:tcPr>
          <w:p w14:paraId="34EC661A"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19,1</w:t>
            </w:r>
          </w:p>
        </w:tc>
        <w:tc>
          <w:tcPr>
            <w:tcW w:w="919" w:type="dxa"/>
            <w:shd w:val="clear" w:color="auto" w:fill="auto"/>
            <w:vAlign w:val="bottom"/>
          </w:tcPr>
          <w:p w14:paraId="6C15D4E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19,5</w:t>
            </w:r>
          </w:p>
        </w:tc>
        <w:tc>
          <w:tcPr>
            <w:tcW w:w="919" w:type="dxa"/>
            <w:shd w:val="clear" w:color="auto" w:fill="auto"/>
            <w:vAlign w:val="bottom"/>
          </w:tcPr>
          <w:p w14:paraId="1C966E0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20,0</w:t>
            </w:r>
          </w:p>
        </w:tc>
        <w:tc>
          <w:tcPr>
            <w:tcW w:w="919" w:type="dxa"/>
            <w:shd w:val="clear" w:color="auto" w:fill="auto"/>
            <w:vAlign w:val="bottom"/>
          </w:tcPr>
          <w:p w14:paraId="5206D10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20,5</w:t>
            </w:r>
          </w:p>
        </w:tc>
        <w:tc>
          <w:tcPr>
            <w:tcW w:w="919" w:type="dxa"/>
            <w:shd w:val="clear" w:color="auto" w:fill="auto"/>
            <w:vAlign w:val="bottom"/>
          </w:tcPr>
          <w:p w14:paraId="6A8E3AB5"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22,4</w:t>
            </w:r>
          </w:p>
        </w:tc>
      </w:tr>
      <w:tr w:rsidR="00F35AF3" w:rsidRPr="00333AFD" w14:paraId="04952F1F" w14:textId="77777777" w:rsidTr="003D4091">
        <w:trPr>
          <w:trHeight w:val="240"/>
        </w:trPr>
        <w:tc>
          <w:tcPr>
            <w:tcW w:w="653" w:type="dxa"/>
            <w:shd w:val="clear" w:color="auto" w:fill="auto"/>
          </w:tcPr>
          <w:p w14:paraId="59A9460B"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5.</w:t>
            </w:r>
          </w:p>
        </w:tc>
        <w:tc>
          <w:tcPr>
            <w:tcW w:w="3435" w:type="dxa"/>
            <w:gridSpan w:val="2"/>
            <w:shd w:val="clear" w:color="auto" w:fill="auto"/>
            <w:vAlign w:val="bottom"/>
          </w:tcPr>
          <w:p w14:paraId="4DF0F421"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Tasa de crecimiento anual</w:t>
            </w:r>
          </w:p>
        </w:tc>
        <w:tc>
          <w:tcPr>
            <w:tcW w:w="741" w:type="dxa"/>
            <w:shd w:val="clear" w:color="auto" w:fill="auto"/>
            <w:vAlign w:val="bottom"/>
          </w:tcPr>
          <w:p w14:paraId="2FD2718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2,8</w:t>
            </w:r>
          </w:p>
        </w:tc>
        <w:tc>
          <w:tcPr>
            <w:tcW w:w="919" w:type="dxa"/>
            <w:shd w:val="clear" w:color="auto" w:fill="auto"/>
            <w:vAlign w:val="bottom"/>
          </w:tcPr>
          <w:p w14:paraId="375B06B7"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2,4</w:t>
            </w:r>
          </w:p>
        </w:tc>
        <w:tc>
          <w:tcPr>
            <w:tcW w:w="919" w:type="dxa"/>
            <w:shd w:val="clear" w:color="auto" w:fill="auto"/>
            <w:vAlign w:val="bottom"/>
          </w:tcPr>
          <w:p w14:paraId="3A1D61D0"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1,8</w:t>
            </w:r>
          </w:p>
        </w:tc>
        <w:tc>
          <w:tcPr>
            <w:tcW w:w="919" w:type="dxa"/>
            <w:shd w:val="clear" w:color="auto" w:fill="auto"/>
            <w:vAlign w:val="bottom"/>
          </w:tcPr>
          <w:p w14:paraId="143E3F68"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0,8</w:t>
            </w:r>
          </w:p>
        </w:tc>
        <w:tc>
          <w:tcPr>
            <w:tcW w:w="919" w:type="dxa"/>
            <w:shd w:val="clear" w:color="auto" w:fill="auto"/>
            <w:vAlign w:val="bottom"/>
          </w:tcPr>
          <w:p w14:paraId="33134044"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4,7</w:t>
            </w:r>
          </w:p>
        </w:tc>
      </w:tr>
      <w:tr w:rsidR="00F35AF3" w:rsidRPr="00333AFD" w14:paraId="315663FD" w14:textId="77777777" w:rsidTr="003D4091">
        <w:trPr>
          <w:trHeight w:val="240"/>
        </w:trPr>
        <w:tc>
          <w:tcPr>
            <w:tcW w:w="653" w:type="dxa"/>
            <w:shd w:val="clear" w:color="auto" w:fill="auto"/>
          </w:tcPr>
          <w:p w14:paraId="6A3D7780"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6.</w:t>
            </w:r>
          </w:p>
        </w:tc>
        <w:tc>
          <w:tcPr>
            <w:tcW w:w="3435" w:type="dxa"/>
            <w:gridSpan w:val="2"/>
            <w:shd w:val="clear" w:color="auto" w:fill="auto"/>
            <w:vAlign w:val="bottom"/>
          </w:tcPr>
          <w:p w14:paraId="531E4F07"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Ingreso nacional bruto (INB)</w:t>
            </w:r>
          </w:p>
        </w:tc>
        <w:tc>
          <w:tcPr>
            <w:tcW w:w="741" w:type="dxa"/>
            <w:shd w:val="clear" w:color="auto" w:fill="auto"/>
            <w:vAlign w:val="bottom"/>
          </w:tcPr>
          <w:p w14:paraId="4CCA9E1A"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14,8</w:t>
            </w:r>
          </w:p>
        </w:tc>
        <w:tc>
          <w:tcPr>
            <w:tcW w:w="919" w:type="dxa"/>
            <w:shd w:val="clear" w:color="auto" w:fill="auto"/>
            <w:vAlign w:val="bottom"/>
          </w:tcPr>
          <w:p w14:paraId="14202E2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15,2</w:t>
            </w:r>
          </w:p>
        </w:tc>
        <w:tc>
          <w:tcPr>
            <w:tcW w:w="919" w:type="dxa"/>
            <w:shd w:val="clear" w:color="auto" w:fill="auto"/>
            <w:vAlign w:val="bottom"/>
          </w:tcPr>
          <w:p w14:paraId="319663EF"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15,2</w:t>
            </w:r>
          </w:p>
        </w:tc>
        <w:tc>
          <w:tcPr>
            <w:tcW w:w="919" w:type="dxa"/>
            <w:shd w:val="clear" w:color="auto" w:fill="auto"/>
            <w:vAlign w:val="bottom"/>
          </w:tcPr>
          <w:p w14:paraId="7184874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15,6</w:t>
            </w:r>
          </w:p>
        </w:tc>
        <w:tc>
          <w:tcPr>
            <w:tcW w:w="919" w:type="dxa"/>
            <w:shd w:val="clear" w:color="auto" w:fill="auto"/>
            <w:vAlign w:val="bottom"/>
          </w:tcPr>
          <w:p w14:paraId="0446F5F5"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16,3</w:t>
            </w:r>
          </w:p>
        </w:tc>
      </w:tr>
      <w:tr w:rsidR="00F35AF3" w:rsidRPr="00333AFD" w14:paraId="1E8D7814" w14:textId="77777777" w:rsidTr="003D4091">
        <w:trPr>
          <w:trHeight w:val="240"/>
        </w:trPr>
        <w:tc>
          <w:tcPr>
            <w:tcW w:w="653" w:type="dxa"/>
            <w:shd w:val="clear" w:color="auto" w:fill="auto"/>
          </w:tcPr>
          <w:p w14:paraId="5A46AC49"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7.</w:t>
            </w:r>
          </w:p>
        </w:tc>
        <w:tc>
          <w:tcPr>
            <w:tcW w:w="3435" w:type="dxa"/>
            <w:gridSpan w:val="2"/>
            <w:shd w:val="clear" w:color="auto" w:fill="auto"/>
            <w:vAlign w:val="bottom"/>
          </w:tcPr>
          <w:p w14:paraId="644C6261"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Índice de precios al consumidor</w:t>
            </w:r>
          </w:p>
        </w:tc>
        <w:tc>
          <w:tcPr>
            <w:tcW w:w="741" w:type="dxa"/>
            <w:shd w:val="clear" w:color="auto" w:fill="auto"/>
            <w:vAlign w:val="bottom"/>
          </w:tcPr>
          <w:p w14:paraId="616718B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1,6</w:t>
            </w:r>
          </w:p>
        </w:tc>
        <w:tc>
          <w:tcPr>
            <w:tcW w:w="919" w:type="dxa"/>
            <w:shd w:val="clear" w:color="auto" w:fill="auto"/>
            <w:vAlign w:val="bottom"/>
          </w:tcPr>
          <w:p w14:paraId="4B2C6A37"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-0,2</w:t>
            </w:r>
          </w:p>
        </w:tc>
        <w:tc>
          <w:tcPr>
            <w:tcW w:w="919" w:type="dxa"/>
            <w:shd w:val="clear" w:color="auto" w:fill="auto"/>
            <w:vAlign w:val="bottom"/>
          </w:tcPr>
          <w:p w14:paraId="01F3A73C"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-2,4</w:t>
            </w:r>
          </w:p>
        </w:tc>
        <w:tc>
          <w:tcPr>
            <w:tcW w:w="919" w:type="dxa"/>
            <w:shd w:val="clear" w:color="auto" w:fill="auto"/>
            <w:vAlign w:val="bottom"/>
          </w:tcPr>
          <w:p w14:paraId="7B6367CF"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-1,6</w:t>
            </w:r>
          </w:p>
        </w:tc>
        <w:tc>
          <w:tcPr>
            <w:tcW w:w="919" w:type="dxa"/>
            <w:shd w:val="clear" w:color="auto" w:fill="auto"/>
            <w:vAlign w:val="bottom"/>
          </w:tcPr>
          <w:p w14:paraId="2F926730"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0,9</w:t>
            </w:r>
          </w:p>
        </w:tc>
      </w:tr>
      <w:tr w:rsidR="00F35AF3" w:rsidRPr="00333AFD" w14:paraId="01329A3B" w14:textId="77777777" w:rsidTr="003D4091">
        <w:trPr>
          <w:trHeight w:val="240"/>
        </w:trPr>
        <w:tc>
          <w:tcPr>
            <w:tcW w:w="653" w:type="dxa"/>
            <w:shd w:val="clear" w:color="auto" w:fill="auto"/>
          </w:tcPr>
          <w:p w14:paraId="3444505D"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8.</w:t>
            </w:r>
          </w:p>
        </w:tc>
        <w:tc>
          <w:tcPr>
            <w:tcW w:w="3435" w:type="dxa"/>
            <w:gridSpan w:val="2"/>
            <w:shd w:val="clear" w:color="auto" w:fill="auto"/>
            <w:vAlign w:val="bottom"/>
          </w:tcPr>
          <w:p w14:paraId="3BCBC2FF"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Proporción del gasto público total y del PIB</w:t>
            </w:r>
          </w:p>
        </w:tc>
        <w:tc>
          <w:tcPr>
            <w:tcW w:w="741" w:type="dxa"/>
            <w:shd w:val="clear" w:color="auto" w:fill="auto"/>
            <w:vAlign w:val="bottom"/>
          </w:tcPr>
          <w:p w14:paraId="130487D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20,9</w:t>
            </w:r>
          </w:p>
        </w:tc>
        <w:tc>
          <w:tcPr>
            <w:tcW w:w="919" w:type="dxa"/>
            <w:shd w:val="clear" w:color="auto" w:fill="auto"/>
            <w:vAlign w:val="bottom"/>
          </w:tcPr>
          <w:p w14:paraId="2FDCA085"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20,1</w:t>
            </w:r>
          </w:p>
        </w:tc>
        <w:tc>
          <w:tcPr>
            <w:tcW w:w="919" w:type="dxa"/>
            <w:shd w:val="clear" w:color="auto" w:fill="auto"/>
            <w:vAlign w:val="bottom"/>
          </w:tcPr>
          <w:p w14:paraId="3E06DE7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19,7</w:t>
            </w:r>
          </w:p>
        </w:tc>
        <w:tc>
          <w:tcPr>
            <w:tcW w:w="919" w:type="dxa"/>
            <w:shd w:val="clear" w:color="auto" w:fill="auto"/>
            <w:vAlign w:val="bottom"/>
          </w:tcPr>
          <w:p w14:paraId="289248E3"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24,0</w:t>
            </w:r>
          </w:p>
        </w:tc>
        <w:tc>
          <w:tcPr>
            <w:tcW w:w="919" w:type="dxa"/>
            <w:shd w:val="clear" w:color="auto" w:fill="auto"/>
            <w:vAlign w:val="bottom"/>
          </w:tcPr>
          <w:p w14:paraId="0F030063"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28,5</w:t>
            </w:r>
          </w:p>
        </w:tc>
      </w:tr>
      <w:tr w:rsidR="00F35AF3" w:rsidRPr="00333AFD" w14:paraId="3CF8A9B8" w14:textId="77777777" w:rsidTr="003D4091">
        <w:trPr>
          <w:trHeight w:val="240"/>
        </w:trPr>
        <w:tc>
          <w:tcPr>
            <w:tcW w:w="653" w:type="dxa"/>
            <w:vMerge w:val="restart"/>
            <w:shd w:val="clear" w:color="auto" w:fill="auto"/>
          </w:tcPr>
          <w:p w14:paraId="0D5368C2"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9.</w:t>
            </w:r>
          </w:p>
        </w:tc>
        <w:tc>
          <w:tcPr>
            <w:tcW w:w="3435" w:type="dxa"/>
            <w:gridSpan w:val="2"/>
            <w:shd w:val="clear" w:color="auto" w:fill="auto"/>
            <w:vAlign w:val="bottom"/>
          </w:tcPr>
          <w:p w14:paraId="53E68B1B"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Gasto social (excluidos los salarios) en:</w:t>
            </w:r>
          </w:p>
        </w:tc>
        <w:tc>
          <w:tcPr>
            <w:tcW w:w="4417" w:type="dxa"/>
            <w:gridSpan w:val="5"/>
            <w:shd w:val="clear" w:color="auto" w:fill="auto"/>
            <w:vAlign w:val="bottom"/>
          </w:tcPr>
          <w:p w14:paraId="4E736BBA"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p>
        </w:tc>
      </w:tr>
      <w:tr w:rsidR="00F35AF3" w:rsidRPr="00333AFD" w14:paraId="5D1BFD19" w14:textId="77777777" w:rsidTr="003D4091">
        <w:trPr>
          <w:trHeight w:val="240"/>
        </w:trPr>
        <w:tc>
          <w:tcPr>
            <w:tcW w:w="653" w:type="dxa"/>
            <w:vMerge/>
            <w:shd w:val="clear" w:color="auto" w:fill="auto"/>
          </w:tcPr>
          <w:p w14:paraId="2A93C7F2"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p>
        </w:tc>
        <w:tc>
          <w:tcPr>
            <w:tcW w:w="340" w:type="dxa"/>
            <w:shd w:val="clear" w:color="auto" w:fill="auto"/>
          </w:tcPr>
          <w:p w14:paraId="026A4910"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a)</w:t>
            </w:r>
          </w:p>
        </w:tc>
        <w:tc>
          <w:tcPr>
            <w:tcW w:w="3095" w:type="dxa"/>
            <w:shd w:val="clear" w:color="auto" w:fill="auto"/>
            <w:vAlign w:val="bottom"/>
          </w:tcPr>
          <w:p w14:paraId="42819C7D"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Salud (millones de dólares de los Estados Unidos)</w:t>
            </w:r>
          </w:p>
        </w:tc>
        <w:tc>
          <w:tcPr>
            <w:tcW w:w="741" w:type="dxa"/>
            <w:shd w:val="clear" w:color="auto" w:fill="auto"/>
            <w:vAlign w:val="bottom"/>
          </w:tcPr>
          <w:p w14:paraId="015D51AA"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34,8</w:t>
            </w:r>
          </w:p>
        </w:tc>
        <w:tc>
          <w:tcPr>
            <w:tcW w:w="919" w:type="dxa"/>
            <w:shd w:val="clear" w:color="auto" w:fill="auto"/>
            <w:vAlign w:val="bottom"/>
          </w:tcPr>
          <w:p w14:paraId="7412A09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19,02</w:t>
            </w:r>
          </w:p>
        </w:tc>
        <w:tc>
          <w:tcPr>
            <w:tcW w:w="919" w:type="dxa"/>
            <w:shd w:val="clear" w:color="auto" w:fill="auto"/>
            <w:vAlign w:val="bottom"/>
          </w:tcPr>
          <w:p w14:paraId="09A8167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27,9</w:t>
            </w:r>
          </w:p>
        </w:tc>
        <w:tc>
          <w:tcPr>
            <w:tcW w:w="919" w:type="dxa"/>
            <w:shd w:val="clear" w:color="auto" w:fill="auto"/>
            <w:vAlign w:val="bottom"/>
          </w:tcPr>
          <w:p w14:paraId="1073264F"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1,8</w:t>
            </w:r>
          </w:p>
        </w:tc>
        <w:tc>
          <w:tcPr>
            <w:tcW w:w="919" w:type="dxa"/>
            <w:shd w:val="clear" w:color="auto" w:fill="auto"/>
            <w:vAlign w:val="bottom"/>
          </w:tcPr>
          <w:p w14:paraId="2C914BF7"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12,7</w:t>
            </w:r>
          </w:p>
        </w:tc>
      </w:tr>
      <w:tr w:rsidR="00F35AF3" w:rsidRPr="00333AFD" w14:paraId="193FEA30" w14:textId="77777777" w:rsidTr="003D4091">
        <w:trPr>
          <w:trHeight w:val="240"/>
        </w:trPr>
        <w:tc>
          <w:tcPr>
            <w:tcW w:w="653" w:type="dxa"/>
            <w:vMerge/>
            <w:shd w:val="clear" w:color="auto" w:fill="auto"/>
          </w:tcPr>
          <w:p w14:paraId="15C99508"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p>
        </w:tc>
        <w:tc>
          <w:tcPr>
            <w:tcW w:w="340" w:type="dxa"/>
            <w:shd w:val="clear" w:color="auto" w:fill="auto"/>
          </w:tcPr>
          <w:p w14:paraId="71670B6D"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b)</w:t>
            </w:r>
          </w:p>
        </w:tc>
        <w:tc>
          <w:tcPr>
            <w:tcW w:w="3095" w:type="dxa"/>
            <w:shd w:val="clear" w:color="auto" w:fill="auto"/>
            <w:vAlign w:val="bottom"/>
          </w:tcPr>
          <w:p w14:paraId="192E454B"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Educación (millones de dólares de los Estados Unidos)</w:t>
            </w:r>
          </w:p>
        </w:tc>
        <w:tc>
          <w:tcPr>
            <w:tcW w:w="741" w:type="dxa"/>
            <w:shd w:val="clear" w:color="auto" w:fill="auto"/>
            <w:vAlign w:val="bottom"/>
          </w:tcPr>
          <w:p w14:paraId="1F2508E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17,8</w:t>
            </w:r>
          </w:p>
        </w:tc>
        <w:tc>
          <w:tcPr>
            <w:tcW w:w="919" w:type="dxa"/>
            <w:shd w:val="clear" w:color="auto" w:fill="auto"/>
            <w:vAlign w:val="bottom"/>
          </w:tcPr>
          <w:p w14:paraId="6AD3DB76"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3,7</w:t>
            </w:r>
          </w:p>
        </w:tc>
        <w:tc>
          <w:tcPr>
            <w:tcW w:w="919" w:type="dxa"/>
            <w:shd w:val="clear" w:color="auto" w:fill="auto"/>
            <w:vAlign w:val="bottom"/>
          </w:tcPr>
          <w:p w14:paraId="5C9731A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3,6</w:t>
            </w:r>
          </w:p>
        </w:tc>
        <w:tc>
          <w:tcPr>
            <w:tcW w:w="919" w:type="dxa"/>
            <w:shd w:val="clear" w:color="auto" w:fill="auto"/>
            <w:vAlign w:val="bottom"/>
          </w:tcPr>
          <w:p w14:paraId="2F57DFC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1,2</w:t>
            </w:r>
          </w:p>
        </w:tc>
        <w:tc>
          <w:tcPr>
            <w:tcW w:w="919" w:type="dxa"/>
            <w:shd w:val="clear" w:color="auto" w:fill="auto"/>
            <w:vAlign w:val="bottom"/>
          </w:tcPr>
          <w:p w14:paraId="592FC907"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1,8</w:t>
            </w:r>
          </w:p>
        </w:tc>
      </w:tr>
      <w:tr w:rsidR="00F35AF3" w:rsidRPr="00333AFD" w14:paraId="310FABEC" w14:textId="77777777" w:rsidTr="003D4091">
        <w:trPr>
          <w:trHeight w:val="240"/>
        </w:trPr>
        <w:tc>
          <w:tcPr>
            <w:tcW w:w="653" w:type="dxa"/>
            <w:vMerge/>
            <w:shd w:val="clear" w:color="auto" w:fill="auto"/>
          </w:tcPr>
          <w:p w14:paraId="4407E258"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p>
        </w:tc>
        <w:tc>
          <w:tcPr>
            <w:tcW w:w="340" w:type="dxa"/>
            <w:shd w:val="clear" w:color="auto" w:fill="auto"/>
          </w:tcPr>
          <w:p w14:paraId="7D831891"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c)</w:t>
            </w:r>
          </w:p>
        </w:tc>
        <w:tc>
          <w:tcPr>
            <w:tcW w:w="3095" w:type="dxa"/>
            <w:shd w:val="clear" w:color="auto" w:fill="auto"/>
            <w:vAlign w:val="bottom"/>
          </w:tcPr>
          <w:p w14:paraId="29526146"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Protección social (millones de dólares de los Estados Unidos)</w:t>
            </w:r>
          </w:p>
        </w:tc>
        <w:tc>
          <w:tcPr>
            <w:tcW w:w="741" w:type="dxa"/>
            <w:shd w:val="clear" w:color="auto" w:fill="auto"/>
            <w:vAlign w:val="bottom"/>
          </w:tcPr>
          <w:p w14:paraId="586A71C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13,3</w:t>
            </w:r>
          </w:p>
        </w:tc>
        <w:tc>
          <w:tcPr>
            <w:tcW w:w="919" w:type="dxa"/>
            <w:shd w:val="clear" w:color="auto" w:fill="auto"/>
            <w:vAlign w:val="bottom"/>
          </w:tcPr>
          <w:p w14:paraId="069CA83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6,4</w:t>
            </w:r>
          </w:p>
        </w:tc>
        <w:tc>
          <w:tcPr>
            <w:tcW w:w="919" w:type="dxa"/>
            <w:shd w:val="clear" w:color="auto" w:fill="auto"/>
            <w:vAlign w:val="bottom"/>
          </w:tcPr>
          <w:p w14:paraId="42EEA258"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11,2</w:t>
            </w:r>
          </w:p>
        </w:tc>
        <w:tc>
          <w:tcPr>
            <w:tcW w:w="919" w:type="dxa"/>
            <w:shd w:val="clear" w:color="auto" w:fill="auto"/>
            <w:vAlign w:val="bottom"/>
          </w:tcPr>
          <w:p w14:paraId="57D6EBA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5,6</w:t>
            </w:r>
          </w:p>
        </w:tc>
        <w:tc>
          <w:tcPr>
            <w:tcW w:w="919" w:type="dxa"/>
            <w:shd w:val="clear" w:color="auto" w:fill="auto"/>
            <w:vAlign w:val="bottom"/>
          </w:tcPr>
          <w:p w14:paraId="6B1C204A"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7,5</w:t>
            </w:r>
          </w:p>
        </w:tc>
      </w:tr>
      <w:tr w:rsidR="00F35AF3" w:rsidRPr="00333AFD" w14:paraId="441B133B" w14:textId="77777777" w:rsidTr="003D4091">
        <w:trPr>
          <w:trHeight w:val="240"/>
        </w:trPr>
        <w:tc>
          <w:tcPr>
            <w:tcW w:w="653" w:type="dxa"/>
            <w:shd w:val="clear" w:color="auto" w:fill="auto"/>
          </w:tcPr>
          <w:p w14:paraId="41434C15"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10.</w:t>
            </w:r>
          </w:p>
        </w:tc>
        <w:tc>
          <w:tcPr>
            <w:tcW w:w="3435" w:type="dxa"/>
            <w:gridSpan w:val="2"/>
            <w:shd w:val="clear" w:color="auto" w:fill="auto"/>
            <w:vAlign w:val="bottom"/>
          </w:tcPr>
          <w:p w14:paraId="4DCAA92E"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Deuda pública externa e interna</w:t>
            </w:r>
          </w:p>
        </w:tc>
        <w:tc>
          <w:tcPr>
            <w:tcW w:w="741" w:type="dxa"/>
            <w:shd w:val="clear" w:color="auto" w:fill="auto"/>
            <w:vAlign w:val="bottom"/>
          </w:tcPr>
          <w:p w14:paraId="72C92499"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6,5</w:t>
            </w:r>
          </w:p>
        </w:tc>
        <w:tc>
          <w:tcPr>
            <w:tcW w:w="919" w:type="dxa"/>
            <w:shd w:val="clear" w:color="auto" w:fill="auto"/>
            <w:vAlign w:val="bottom"/>
          </w:tcPr>
          <w:p w14:paraId="298DE816"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8,1</w:t>
            </w:r>
          </w:p>
        </w:tc>
        <w:tc>
          <w:tcPr>
            <w:tcW w:w="919" w:type="dxa"/>
            <w:shd w:val="clear" w:color="auto" w:fill="auto"/>
            <w:vAlign w:val="bottom"/>
          </w:tcPr>
          <w:p w14:paraId="440D5A0D"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9,2</w:t>
            </w:r>
          </w:p>
        </w:tc>
        <w:tc>
          <w:tcPr>
            <w:tcW w:w="919" w:type="dxa"/>
            <w:shd w:val="clear" w:color="auto" w:fill="auto"/>
            <w:vAlign w:val="bottom"/>
          </w:tcPr>
          <w:p w14:paraId="4F44783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11,1</w:t>
            </w:r>
          </w:p>
        </w:tc>
        <w:tc>
          <w:tcPr>
            <w:tcW w:w="919" w:type="dxa"/>
            <w:shd w:val="clear" w:color="auto" w:fill="auto"/>
            <w:vAlign w:val="bottom"/>
          </w:tcPr>
          <w:p w14:paraId="10C3D6F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14,3</w:t>
            </w:r>
          </w:p>
        </w:tc>
      </w:tr>
      <w:tr w:rsidR="00F35AF3" w:rsidRPr="00333AFD" w14:paraId="75515673" w14:textId="77777777" w:rsidTr="003D4091">
        <w:trPr>
          <w:trHeight w:val="240"/>
        </w:trPr>
        <w:tc>
          <w:tcPr>
            <w:tcW w:w="653" w:type="dxa"/>
            <w:shd w:val="clear" w:color="auto" w:fill="auto"/>
          </w:tcPr>
          <w:p w14:paraId="5DBD932D"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11.</w:t>
            </w:r>
          </w:p>
        </w:tc>
        <w:tc>
          <w:tcPr>
            <w:tcW w:w="3435" w:type="dxa"/>
            <w:gridSpan w:val="2"/>
            <w:shd w:val="clear" w:color="auto" w:fill="auto"/>
            <w:vAlign w:val="bottom"/>
          </w:tcPr>
          <w:p w14:paraId="4CC40FE5"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Deuda externa (miles de millones de dólares de los Estados Unidos)</w:t>
            </w:r>
          </w:p>
        </w:tc>
        <w:tc>
          <w:tcPr>
            <w:tcW w:w="741" w:type="dxa"/>
            <w:shd w:val="clear" w:color="auto" w:fill="auto"/>
            <w:vAlign w:val="bottom"/>
          </w:tcPr>
          <w:p w14:paraId="18A2A946"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7,0</w:t>
            </w:r>
          </w:p>
        </w:tc>
        <w:tc>
          <w:tcPr>
            <w:tcW w:w="919" w:type="dxa"/>
            <w:shd w:val="clear" w:color="auto" w:fill="auto"/>
            <w:vAlign w:val="bottom"/>
          </w:tcPr>
          <w:p w14:paraId="3344972E"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6,7</w:t>
            </w:r>
          </w:p>
        </w:tc>
        <w:tc>
          <w:tcPr>
            <w:tcW w:w="919" w:type="dxa"/>
            <w:shd w:val="clear" w:color="auto" w:fill="auto"/>
            <w:vAlign w:val="bottom"/>
          </w:tcPr>
          <w:p w14:paraId="696894C1"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7,0</w:t>
            </w:r>
          </w:p>
        </w:tc>
        <w:tc>
          <w:tcPr>
            <w:tcW w:w="919" w:type="dxa"/>
            <w:shd w:val="clear" w:color="auto" w:fill="auto"/>
            <w:vAlign w:val="bottom"/>
          </w:tcPr>
          <w:p w14:paraId="6C1F902B"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7,2</w:t>
            </w:r>
          </w:p>
        </w:tc>
        <w:tc>
          <w:tcPr>
            <w:tcW w:w="919" w:type="dxa"/>
            <w:shd w:val="clear" w:color="auto" w:fill="auto"/>
            <w:vAlign w:val="bottom"/>
          </w:tcPr>
          <w:p w14:paraId="11EABC95"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7,5</w:t>
            </w:r>
          </w:p>
        </w:tc>
      </w:tr>
      <w:tr w:rsidR="00F35AF3" w:rsidRPr="00333AFD" w14:paraId="48683D5F" w14:textId="77777777" w:rsidTr="003D4091">
        <w:trPr>
          <w:trHeight w:val="240"/>
        </w:trPr>
        <w:tc>
          <w:tcPr>
            <w:tcW w:w="653" w:type="dxa"/>
            <w:tcBorders>
              <w:bottom w:val="single" w:sz="12" w:space="0" w:color="auto"/>
            </w:tcBorders>
            <w:shd w:val="clear" w:color="auto" w:fill="auto"/>
          </w:tcPr>
          <w:p w14:paraId="4C6E6E11" w14:textId="77777777" w:rsidR="00333AFD" w:rsidRPr="00333AFD" w:rsidRDefault="00333AFD" w:rsidP="00F35AF3">
            <w:pPr>
              <w:pStyle w:val="SingleTxtG"/>
              <w:tabs>
                <w:tab w:val="clear" w:pos="1701"/>
                <w:tab w:val="clear" w:pos="2268"/>
                <w:tab w:val="clear" w:pos="2835"/>
              </w:tabs>
              <w:spacing w:before="40" w:after="40" w:line="220" w:lineRule="exact"/>
              <w:ind w:left="0" w:right="0"/>
              <w:jc w:val="left"/>
              <w:rPr>
                <w:sz w:val="18"/>
              </w:rPr>
            </w:pPr>
            <w:r w:rsidRPr="00333AFD">
              <w:rPr>
                <w:sz w:val="18"/>
              </w:rPr>
              <w:t>12.</w:t>
            </w:r>
          </w:p>
        </w:tc>
        <w:tc>
          <w:tcPr>
            <w:tcW w:w="3435" w:type="dxa"/>
            <w:gridSpan w:val="2"/>
            <w:tcBorders>
              <w:bottom w:val="single" w:sz="12" w:space="0" w:color="auto"/>
            </w:tcBorders>
            <w:shd w:val="clear" w:color="auto" w:fill="auto"/>
            <w:vAlign w:val="bottom"/>
          </w:tcPr>
          <w:p w14:paraId="4381586B" w14:textId="77777777" w:rsidR="00333AFD" w:rsidRPr="00333AFD" w:rsidRDefault="00333AFD" w:rsidP="003D4091">
            <w:pPr>
              <w:pStyle w:val="SingleTxtG"/>
              <w:tabs>
                <w:tab w:val="clear" w:pos="1701"/>
                <w:tab w:val="clear" w:pos="2268"/>
                <w:tab w:val="clear" w:pos="2835"/>
              </w:tabs>
              <w:spacing w:before="40" w:after="40" w:line="220" w:lineRule="exact"/>
              <w:ind w:left="0" w:right="0"/>
              <w:jc w:val="left"/>
              <w:rPr>
                <w:sz w:val="18"/>
              </w:rPr>
            </w:pPr>
            <w:r w:rsidRPr="00333AFD">
              <w:rPr>
                <w:sz w:val="18"/>
              </w:rPr>
              <w:t>Interna (miles de millones de dólares de los Estados Unidos)</w:t>
            </w:r>
          </w:p>
        </w:tc>
        <w:tc>
          <w:tcPr>
            <w:tcW w:w="741" w:type="dxa"/>
            <w:tcBorders>
              <w:bottom w:val="single" w:sz="12" w:space="0" w:color="auto"/>
            </w:tcBorders>
            <w:shd w:val="clear" w:color="auto" w:fill="auto"/>
            <w:vAlign w:val="bottom"/>
          </w:tcPr>
          <w:p w14:paraId="5429DD55"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0,3</w:t>
            </w:r>
          </w:p>
        </w:tc>
        <w:tc>
          <w:tcPr>
            <w:tcW w:w="919" w:type="dxa"/>
            <w:tcBorders>
              <w:bottom w:val="single" w:sz="12" w:space="0" w:color="auto"/>
            </w:tcBorders>
            <w:shd w:val="clear" w:color="auto" w:fill="auto"/>
            <w:vAlign w:val="bottom"/>
          </w:tcPr>
          <w:p w14:paraId="651CE543"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1,4</w:t>
            </w:r>
          </w:p>
        </w:tc>
        <w:tc>
          <w:tcPr>
            <w:tcW w:w="919" w:type="dxa"/>
            <w:tcBorders>
              <w:bottom w:val="single" w:sz="12" w:space="0" w:color="auto"/>
            </w:tcBorders>
            <w:shd w:val="clear" w:color="auto" w:fill="auto"/>
            <w:vAlign w:val="bottom"/>
          </w:tcPr>
          <w:p w14:paraId="20941DF3"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2,0</w:t>
            </w:r>
          </w:p>
        </w:tc>
        <w:tc>
          <w:tcPr>
            <w:tcW w:w="919" w:type="dxa"/>
            <w:tcBorders>
              <w:bottom w:val="single" w:sz="12" w:space="0" w:color="auto"/>
            </w:tcBorders>
            <w:shd w:val="clear" w:color="auto" w:fill="auto"/>
            <w:vAlign w:val="bottom"/>
          </w:tcPr>
          <w:p w14:paraId="6D4DA840"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3,4</w:t>
            </w:r>
          </w:p>
        </w:tc>
        <w:tc>
          <w:tcPr>
            <w:tcW w:w="919" w:type="dxa"/>
            <w:tcBorders>
              <w:bottom w:val="single" w:sz="12" w:space="0" w:color="auto"/>
            </w:tcBorders>
            <w:shd w:val="clear" w:color="auto" w:fill="auto"/>
            <w:vAlign w:val="bottom"/>
          </w:tcPr>
          <w:p w14:paraId="573C8933" w14:textId="77777777" w:rsidR="00333AFD" w:rsidRPr="00333AFD" w:rsidRDefault="00333AFD" w:rsidP="00F35AF3">
            <w:pPr>
              <w:pStyle w:val="SingleTxtG"/>
              <w:tabs>
                <w:tab w:val="clear" w:pos="1701"/>
                <w:tab w:val="clear" w:pos="2268"/>
                <w:tab w:val="clear" w:pos="2835"/>
              </w:tabs>
              <w:spacing w:before="40" w:after="40" w:line="220" w:lineRule="exact"/>
              <w:ind w:left="57" w:right="28"/>
              <w:jc w:val="right"/>
              <w:rPr>
                <w:sz w:val="18"/>
              </w:rPr>
            </w:pPr>
            <w:r w:rsidRPr="00333AFD">
              <w:rPr>
                <w:sz w:val="18"/>
              </w:rPr>
              <w:t>6,2</w:t>
            </w:r>
          </w:p>
        </w:tc>
      </w:tr>
    </w:tbl>
    <w:p w14:paraId="6207492A" w14:textId="77777777" w:rsidR="00333AFD" w:rsidRPr="00333AFD" w:rsidRDefault="00333AFD" w:rsidP="00F35AF3">
      <w:pPr>
        <w:pStyle w:val="SingleTxtG"/>
        <w:spacing w:before="240"/>
      </w:pPr>
      <w:r w:rsidRPr="00333AFD">
        <w:t>20.</w:t>
      </w:r>
      <w:r w:rsidRPr="00333AFD">
        <w:tab/>
        <w:t>Los niveles de pobreza siguen siendo elevados, como indica la Encuesta de Pobreza, Ingresos, Consumo y Gasto (PICES), aunque la pobreza extrema se redujo del 47 % en 1995 al 29,3 % en 2017.</w:t>
      </w:r>
    </w:p>
    <w:p w14:paraId="1B78EC38" w14:textId="66A9CE31" w:rsidR="00333AFD" w:rsidRPr="00333AFD" w:rsidRDefault="00F35AF3" w:rsidP="00F35AF3">
      <w:pPr>
        <w:pStyle w:val="H23G"/>
      </w:pPr>
      <w:r w:rsidRPr="00F35AF3">
        <w:rPr>
          <w:b w:val="0"/>
          <w:bCs/>
        </w:rPr>
        <w:tab/>
      </w:r>
      <w:r w:rsidRPr="00F35AF3">
        <w:rPr>
          <w:b w:val="0"/>
          <w:bCs/>
        </w:rPr>
        <w:tab/>
      </w:r>
      <w:r w:rsidR="00333AFD" w:rsidRPr="00F35AF3">
        <w:rPr>
          <w:b w:val="0"/>
          <w:bCs/>
        </w:rPr>
        <w:t>Cuadro 4</w:t>
      </w:r>
      <w:r w:rsidRPr="00F35AF3">
        <w:rPr>
          <w:b w:val="0"/>
          <w:bCs/>
        </w:rPr>
        <w:br/>
      </w:r>
      <w:r w:rsidR="00333AFD" w:rsidRPr="00333AFD">
        <w:t xml:space="preserve">Tendencias de la prevalencia de la pobreza individual </w:t>
      </w:r>
    </w:p>
    <w:p w14:paraId="090AD2ED" w14:textId="77777777" w:rsidR="00333AFD" w:rsidRPr="00333AFD" w:rsidRDefault="00333AFD" w:rsidP="00333AFD">
      <w:pPr>
        <w:pStyle w:val="SingleTxtG"/>
      </w:pPr>
      <w:r w:rsidRPr="00333AFD">
        <w:rPr>
          <w:noProof/>
        </w:rPr>
        <w:drawing>
          <wp:inline distT="0" distB="0" distL="0" distR="0" wp14:anchorId="04119D34" wp14:editId="17ABA9AC">
            <wp:extent cx="4662152" cy="2539905"/>
            <wp:effectExtent l="0" t="0" r="5715" b="0"/>
            <wp:docPr id="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8"/>
                    <a:srcRect/>
                    <a:stretch>
                      <a:fillRect/>
                    </a:stretch>
                  </pic:blipFill>
                  <pic:spPr bwMode="auto">
                    <a:xfrm>
                      <a:off x="0" y="0"/>
                      <a:ext cx="4805018" cy="2617738"/>
                    </a:xfrm>
                    <a:prstGeom prst="rect">
                      <a:avLst/>
                    </a:prstGeom>
                    <a:noFill/>
                    <a:ln w="9525">
                      <a:noFill/>
                      <a:miter lim="800000"/>
                      <a:headEnd/>
                      <a:tailEnd/>
                    </a:ln>
                  </pic:spPr>
                </pic:pic>
              </a:graphicData>
            </a:graphic>
          </wp:inline>
        </w:drawing>
      </w:r>
    </w:p>
    <w:p w14:paraId="7F4A7282" w14:textId="77777777" w:rsidR="00333AFD" w:rsidRPr="00333AFD" w:rsidRDefault="00333AFD" w:rsidP="003D4091">
      <w:pPr>
        <w:pStyle w:val="SingleTxtG"/>
        <w:spacing w:before="240"/>
      </w:pPr>
      <w:r w:rsidRPr="00333AFD">
        <w:t>21.</w:t>
      </w:r>
      <w:r w:rsidRPr="00333AFD">
        <w:tab/>
        <w:t>La situación empeoró en 2018 y 2019, cuando la economía se vio afectada negativamente por las malas cosechas agrícolas, así como por los efectos del ciclón Idai.</w:t>
      </w:r>
    </w:p>
    <w:p w14:paraId="6617F011" w14:textId="1B58253D" w:rsidR="00333AFD" w:rsidRPr="00333AFD" w:rsidRDefault="00F35AF3" w:rsidP="00F35AF3">
      <w:pPr>
        <w:pStyle w:val="H23G"/>
      </w:pPr>
      <w:bookmarkStart w:id="11" w:name="_Toc87853281"/>
      <w:r>
        <w:tab/>
      </w:r>
      <w:r w:rsidR="00333AFD" w:rsidRPr="00333AFD">
        <w:tab/>
        <w:t xml:space="preserve">Iniciativas en curso para lograr la recuperación económica </w:t>
      </w:r>
      <w:bookmarkEnd w:id="11"/>
    </w:p>
    <w:p w14:paraId="3F61AC58" w14:textId="704E7025" w:rsidR="00333AFD" w:rsidRPr="00333AFD" w:rsidRDefault="00333AFD" w:rsidP="00333AFD">
      <w:pPr>
        <w:pStyle w:val="SingleTxtG"/>
      </w:pPr>
      <w:r w:rsidRPr="00333AFD">
        <w:t>22.</w:t>
      </w:r>
      <w:r w:rsidRPr="00333AFD">
        <w:tab/>
        <w:t>Consciente de los bajos niveles de los indicadores sociales, en 2018 el Gobierno puso en marcha el Programa de Transición para la Estabilidad (octubre de 2018 a diciembre de</w:t>
      </w:r>
      <w:r w:rsidR="00845E41">
        <w:t> </w:t>
      </w:r>
      <w:r w:rsidRPr="00333AFD">
        <w:t>2020) con miras a reconstruir y transformar la economía para alcanzar la categoría de país de renta media alta antes de 2030.</w:t>
      </w:r>
    </w:p>
    <w:p w14:paraId="211D8297" w14:textId="6CB8E1A6" w:rsidR="00333AFD" w:rsidRPr="00333AFD" w:rsidRDefault="00333AFD" w:rsidP="00333AFD">
      <w:pPr>
        <w:pStyle w:val="SingleTxtG"/>
      </w:pPr>
      <w:r w:rsidRPr="00333AFD">
        <w:lastRenderedPageBreak/>
        <w:t>23.</w:t>
      </w:r>
      <w:r w:rsidRPr="00333AFD">
        <w:tab/>
        <w:t>Los objetivos del Programa de Transición para la Estabilidad son afianzar la macroeconomía y crear las condiciones y el entorno necesarios para el crecimiento impulsado por el sector privado. Esto permitirá que la economía crezca de forma sostenible, creando puestos de trabajo en el proceso y aumentando el ingreso per cápita por lo menos a 3.500</w:t>
      </w:r>
      <w:r w:rsidR="004B1EF3">
        <w:t> </w:t>
      </w:r>
      <w:r w:rsidRPr="00333AFD">
        <w:t>dólares de los Estados Unidos antes de 2030, de conformidad con la visión del país.</w:t>
      </w:r>
    </w:p>
    <w:p w14:paraId="04278D70" w14:textId="77777777" w:rsidR="00333AFD" w:rsidRPr="00333AFD" w:rsidRDefault="00333AFD" w:rsidP="00333AFD">
      <w:pPr>
        <w:pStyle w:val="SingleTxtG"/>
      </w:pPr>
      <w:r w:rsidRPr="00333AFD">
        <w:t>24.</w:t>
      </w:r>
      <w:r w:rsidRPr="00333AFD">
        <w:tab/>
        <w:t xml:space="preserve">Esto implica también una mayor democratización del país, la mejora del entorno empresarial, la normalización de las relaciones internacionales para facilitar la inversión, la rehabilitación y el desarrollo de la infraestructura, la reforma de las empresas públicas y la lucha contra la corrupción y el blanqueo de dinero. </w:t>
      </w:r>
    </w:p>
    <w:p w14:paraId="7C69A619" w14:textId="1F995D2B" w:rsidR="00333AFD" w:rsidRPr="00333AFD" w:rsidRDefault="00F35AF3" w:rsidP="00F35AF3">
      <w:pPr>
        <w:pStyle w:val="H23G"/>
      </w:pPr>
      <w:bookmarkStart w:id="12" w:name="_Toc87853282"/>
      <w:r>
        <w:tab/>
      </w:r>
      <w:r w:rsidR="00333AFD" w:rsidRPr="00333AFD">
        <w:tab/>
        <w:t>Progresos de las reformas del Programa de Transición para la Estabilidad</w:t>
      </w:r>
      <w:bookmarkEnd w:id="12"/>
    </w:p>
    <w:p w14:paraId="7C1617EC" w14:textId="77777777" w:rsidR="00333AFD" w:rsidRPr="00333AFD" w:rsidRDefault="00333AFD" w:rsidP="00333AFD">
      <w:pPr>
        <w:pStyle w:val="SingleTxtG"/>
      </w:pPr>
      <w:r w:rsidRPr="00333AFD">
        <w:t>25.</w:t>
      </w:r>
      <w:r w:rsidRPr="00333AFD">
        <w:tab/>
        <w:t>La implementación de las reformas previstas en el Programa de Transición para la Estabilidad sigue su curso, con hitos notables en materia de consolidación fiscal, restablecimiento de la política monetaria, liberalización del mercado de divisas, reformas estructurales y de la gobernanza, reafirmación de los compromisos, promoción de las inversiones y apoyo al sector productivo. Estas reformas conforman una base sólida para la recuperación económica en 2020 y más allá.</w:t>
      </w:r>
    </w:p>
    <w:p w14:paraId="76A0A8E6" w14:textId="77777777" w:rsidR="00333AFD" w:rsidRPr="00333AFD" w:rsidRDefault="00333AFD" w:rsidP="00333AFD">
      <w:pPr>
        <w:pStyle w:val="SingleTxtG"/>
      </w:pPr>
      <w:r w:rsidRPr="00333AFD">
        <w:t>26.</w:t>
      </w:r>
      <w:r w:rsidRPr="00333AFD">
        <w:tab/>
        <w:t>Aprovechando los progresos alcanzados en materia de estabilización, el Presupuesto Nacional para 2020 pretende consolidar y abandonar gradualmente las medidas de austeridad en favor de los objetivos de crecimiento, productividad y prosperidad. Esto significa llevar la economía a niveles más altos que hagan hincapié en la mejora de la producción y la productividad, la creación de puestos de trabajo, el fortalecimiento de la competitividad y la participación y el empoderamiento inclusivos.</w:t>
      </w:r>
    </w:p>
    <w:p w14:paraId="0C7C7C9D" w14:textId="0BB5A1A2" w:rsidR="00333AFD" w:rsidRPr="00333AFD" w:rsidRDefault="00F35AF3" w:rsidP="00F35AF3">
      <w:pPr>
        <w:pStyle w:val="H23G"/>
      </w:pPr>
      <w:bookmarkStart w:id="13" w:name="_Toc87853283"/>
      <w:r>
        <w:tab/>
      </w:r>
      <w:r w:rsidR="00333AFD" w:rsidRPr="00333AFD">
        <w:tab/>
        <w:t>Estrategia Nacional de Desarrollo</w:t>
      </w:r>
      <w:bookmarkEnd w:id="13"/>
    </w:p>
    <w:p w14:paraId="1EC54CA8" w14:textId="77777777" w:rsidR="00333AFD" w:rsidRPr="00333AFD" w:rsidRDefault="00333AFD" w:rsidP="00333AFD">
      <w:pPr>
        <w:pStyle w:val="SingleTxtG"/>
      </w:pPr>
      <w:r w:rsidRPr="00333AFD">
        <w:t>27.</w:t>
      </w:r>
      <w:r w:rsidRPr="00333AFD">
        <w:tab/>
        <w:t xml:space="preserve">El siguiente paso de Zimbabwe hacia la Visión 2030 es la Estrategia Quinquenal de Desarrollo Nacional 2021-2025. La Estrategia es la sucesora del Programa de Transición para la Estabilidad y se sustenta en 5 Presupuestos Nacionales anuales (2021-2025) que se repartirán entre 14 esferas prioritarias. Contiene estrategias, programas y proyectos destinados a erradicar la pobreza y promover los medios de vida de los pobres de modo que sean sostenibles, el empoderamiento de las mujeres y los jóvenes, y el apoyo a las personas con discapacidad, de conformidad con la Visión 2030; al mismo tiempo aborda las aspiraciones globales de los Objetivos de Desarrollo Sostenible (ODS) y la Agenda 2063 de África. La Estrategia se centra en las iniciativas audaces, es decir, las que cambiarán el </w:t>
      </w:r>
      <w:r w:rsidRPr="00333AFD">
        <w:rPr>
          <w:i/>
          <w:iCs/>
        </w:rPr>
        <w:t>statu quo</w:t>
      </w:r>
      <w:r w:rsidRPr="00333AFD">
        <w:t>. Se basa en los logros conseguidos en el marco del Programa de Transición para la Estabilidad, además de abordar sus desafíos y asuntos pendientes, en particular la consolidación de la estabilidad macroeconómica.</w:t>
      </w:r>
    </w:p>
    <w:p w14:paraId="121A96A9" w14:textId="77777777" w:rsidR="00333AFD" w:rsidRPr="00333AFD" w:rsidRDefault="00333AFD" w:rsidP="00333AFD">
      <w:pPr>
        <w:pStyle w:val="SingleTxtG"/>
      </w:pPr>
      <w:r w:rsidRPr="00333AFD">
        <w:t>28.</w:t>
      </w:r>
      <w:r w:rsidRPr="00333AFD">
        <w:tab/>
        <w:t>El Gobierno también ha elaborado un sólido sistema de seguimiento y evaluación que sirve de base a la Estrategia. Para ello, utilizará la gestión integrada basada en los resultados, que inculca una cultura de alto rendimiento, la prestación de servicios de calidad, la medición, la claridad de objetivos, la mejora continua y la rendición de cuentas en todo el sector público.</w:t>
      </w:r>
    </w:p>
    <w:p w14:paraId="21128BC4" w14:textId="77777777" w:rsidR="00333AFD" w:rsidRPr="00333AFD" w:rsidRDefault="00333AFD" w:rsidP="00333AFD">
      <w:pPr>
        <w:pStyle w:val="SingleTxtG"/>
      </w:pPr>
      <w:r w:rsidRPr="00333AFD">
        <w:t>29.</w:t>
      </w:r>
      <w:r w:rsidRPr="00333AFD">
        <w:tab/>
        <w:t>Las prioridades de la Estrategia son, entre otras, el crecimiento económico y la estabilidad; la seguridad alimentaria y nutricional; la transformación estructural y la cadena de valor; la infraestructura, los servicios públicos y la economía digital; el suministro de viviendas; la gobernanza; la protección social; la construcción de la imagen, la colaboración actual y futura con la comunidad internacional; la protección del medio ambiente, la resiliencia climática y los recursos naturales; la gestión; la juventud, el deporte y la cultura; la salud y el bienestar; el desarrollo del capital humano; y la descentralización.</w:t>
      </w:r>
    </w:p>
    <w:p w14:paraId="5F88A4C9" w14:textId="77777777" w:rsidR="00333AFD" w:rsidRPr="00333AFD" w:rsidRDefault="00333AFD" w:rsidP="00F35AF3">
      <w:pPr>
        <w:pStyle w:val="HChG"/>
      </w:pPr>
      <w:bookmarkStart w:id="14" w:name="_Toc87853284"/>
      <w:r w:rsidRPr="00333AFD">
        <w:tab/>
        <w:t>II.</w:t>
      </w:r>
      <w:r w:rsidRPr="00333AFD">
        <w:tab/>
        <w:t>Estructura constitucional, política y jurídica del Estado</w:t>
      </w:r>
      <w:bookmarkEnd w:id="14"/>
    </w:p>
    <w:p w14:paraId="182690E8" w14:textId="37C941E6" w:rsidR="00333AFD" w:rsidRPr="00333AFD" w:rsidRDefault="00F35AF3" w:rsidP="00F35AF3">
      <w:pPr>
        <w:pStyle w:val="H23G"/>
      </w:pPr>
      <w:bookmarkStart w:id="15" w:name="_Toc87853285"/>
      <w:r>
        <w:tab/>
      </w:r>
      <w:r w:rsidR="00333AFD" w:rsidRPr="00333AFD">
        <w:tab/>
        <w:t>Estructura política</w:t>
      </w:r>
      <w:bookmarkEnd w:id="15"/>
    </w:p>
    <w:p w14:paraId="1A91DE9D" w14:textId="04840D21" w:rsidR="00333AFD" w:rsidRPr="00333AFD" w:rsidRDefault="00333AFD" w:rsidP="00333AFD">
      <w:pPr>
        <w:pStyle w:val="SingleTxtG"/>
      </w:pPr>
      <w:r w:rsidRPr="00333AFD">
        <w:t>30.</w:t>
      </w:r>
      <w:r w:rsidRPr="00333AFD">
        <w:tab/>
        <w:t xml:space="preserve">En Zimbabwe, el Jefe de Estado y de Gobierno es el Presidente, que es elegido para un mandato de cinco años y no puede ostentar más de dos mandatos. El Presidente tiene dos Vicepresidentes como suplentes. El Parlamento está compuesto por la Asamblea Nacional y </w:t>
      </w:r>
      <w:r w:rsidRPr="00333AFD">
        <w:lastRenderedPageBreak/>
        <w:t>el Senado. La Asamblea Nacional normalmente tiene 210 miembros, todos ellos elegidos directamente. Sin embargo, para los dos primeros períodos parlamentarios elegidos tras la promulgación de la Constitución de 2013, la Asamblea Nacional cuenta con 270 escaños, pues hay 60 escaños adicionales reservados para 6 mujeres de cada una de las 8 provincias y las 2 ciudades con rango provincial elegidas mediante un sistema de representación proporcional. El Senado está compuesto de 80 miembros: 60 (6 de cada una de las 8</w:t>
      </w:r>
      <w:r w:rsidR="00810EA1">
        <w:t> </w:t>
      </w:r>
      <w:r w:rsidRPr="00333AFD">
        <w:t xml:space="preserve">provincias y las 2 ciudades con rango provincial) elegidos por un sistema de listas de partidos de representación proporcional, en las que hombres y mujeres figuran alternadamente; 16 jefes tradicionales elegidos por las asambleas provinciales de jefes de las 8 provincias; 2 escaños para el Presidente y el Vicepresidente del Consejo Nacional de Jefes (el órgano administrativo de los jefes tradicionales); y 2 representantes de las personas con discapacidad. Todos los miembros del Parlamento tienen un mandato de cinco años. Además, la ciudadanía también tiene derecho a elegir a sus concejales para que la representen directamente en los asuntos del gobierno local y, en el caso de los residentes de zonas rurales, a los líderes tradicionales. </w:t>
      </w:r>
    </w:p>
    <w:p w14:paraId="6915E7B4" w14:textId="3EF1D658" w:rsidR="00333AFD" w:rsidRPr="00333AFD" w:rsidRDefault="00F35AF3" w:rsidP="00F35AF3">
      <w:pPr>
        <w:pStyle w:val="H23G"/>
      </w:pPr>
      <w:bookmarkStart w:id="16" w:name="_Toc87853286"/>
      <w:r>
        <w:tab/>
      </w:r>
      <w:r w:rsidR="00333AFD" w:rsidRPr="00333AFD">
        <w:tab/>
        <w:t>Tipo de gobierno</w:t>
      </w:r>
      <w:bookmarkEnd w:id="16"/>
    </w:p>
    <w:p w14:paraId="0866C6DA" w14:textId="77777777" w:rsidR="00333AFD" w:rsidRPr="00333AFD" w:rsidRDefault="00333AFD" w:rsidP="00333AFD">
      <w:pPr>
        <w:pStyle w:val="SingleTxtG"/>
      </w:pPr>
      <w:r w:rsidRPr="00333AFD">
        <w:t>31.</w:t>
      </w:r>
      <w:r w:rsidRPr="00333AFD">
        <w:tab/>
        <w:t xml:space="preserve">Según el artículo 1 de la Constitución, Zimbabwe es una república unitaria, democrática y soberana. </w:t>
      </w:r>
    </w:p>
    <w:p w14:paraId="69E7403B" w14:textId="5EB8B3E0" w:rsidR="00333AFD" w:rsidRPr="00333AFD" w:rsidRDefault="00F35AF3" w:rsidP="00F35AF3">
      <w:pPr>
        <w:pStyle w:val="H23G"/>
      </w:pPr>
      <w:bookmarkStart w:id="17" w:name="_Toc87853287"/>
      <w:r>
        <w:tab/>
      </w:r>
      <w:r w:rsidR="00333AFD" w:rsidRPr="00333AFD">
        <w:tab/>
        <w:t>Sistema electoral</w:t>
      </w:r>
      <w:bookmarkEnd w:id="17"/>
    </w:p>
    <w:p w14:paraId="6798099F" w14:textId="77777777" w:rsidR="00333AFD" w:rsidRPr="00333AFD" w:rsidRDefault="00333AFD" w:rsidP="00333AFD">
      <w:pPr>
        <w:pStyle w:val="SingleTxtG"/>
      </w:pPr>
      <w:r w:rsidRPr="00333AFD">
        <w:t>32.</w:t>
      </w:r>
      <w:r w:rsidRPr="00333AFD">
        <w:tab/>
        <w:t>El sistema electoral de Zimbabwe es un sistema mixto compuesto de los sistemas de mayoría uninominal, de pluralidad uninominal, conocido popularmente como sistema de mayoría relativa, y de representación proporcional. El artículo 143 de la Constitución estipula la periodicidad de las elecciones presidenciales, parlamentarias y de autoridades locales. El Parlamento es elegido para un mandato de cinco años, que se inicia en la fecha en que el Presidente electo asume sus funciones. El artículo 144 establece que se pueden convocar elecciones generales mediante una proclamación del Presidente o a través de resoluciones parlamentarias de disolución en virtud de los artículos 109 y 143 3) de la Constitución.</w:t>
      </w:r>
    </w:p>
    <w:p w14:paraId="4EB61212" w14:textId="77777777" w:rsidR="00333AFD" w:rsidRPr="00333AFD" w:rsidRDefault="00333AFD" w:rsidP="00333AFD">
      <w:pPr>
        <w:pStyle w:val="SingleTxtG"/>
      </w:pPr>
      <w:r w:rsidRPr="00333AFD">
        <w:t>33.</w:t>
      </w:r>
      <w:r w:rsidRPr="00333AFD">
        <w:tab/>
        <w:t>La Comisión Electoral de Zimbabwe, un organismo independiente creado en virtud del artículo 238 de la Constitución, gestiona y controla todas las elecciones y procesos en el país a todos los niveles. La función principal de la Comisión es garantizar que las elecciones y los referendos se realicen de forma eficaz, libre, imparcial, transparente y conforme a la ley.</w:t>
      </w:r>
    </w:p>
    <w:p w14:paraId="39E0194D" w14:textId="77777777" w:rsidR="00333AFD" w:rsidRPr="00333AFD" w:rsidRDefault="00333AFD" w:rsidP="00333AFD">
      <w:pPr>
        <w:pStyle w:val="SingleTxtG"/>
      </w:pPr>
      <w:r w:rsidRPr="00333AFD">
        <w:t>34.</w:t>
      </w:r>
      <w:r w:rsidRPr="00333AFD">
        <w:tab/>
        <w:t>Los siguientes son los instrumentos jurídicos que rigen las elecciones:</w:t>
      </w:r>
    </w:p>
    <w:p w14:paraId="653773DD" w14:textId="77777777" w:rsidR="00333AFD" w:rsidRPr="00333AFD" w:rsidRDefault="00333AFD" w:rsidP="00333AFD">
      <w:pPr>
        <w:pStyle w:val="SingleTxtG"/>
      </w:pPr>
      <w:r w:rsidRPr="00333AFD">
        <w:tab/>
        <w:t>a)</w:t>
      </w:r>
      <w:r w:rsidRPr="00333AFD">
        <w:tab/>
        <w:t>Constitución de Zimbabwe;</w:t>
      </w:r>
    </w:p>
    <w:p w14:paraId="1B64DDC6" w14:textId="77777777" w:rsidR="00333AFD" w:rsidRPr="00333AFD" w:rsidRDefault="00333AFD" w:rsidP="00333AFD">
      <w:pPr>
        <w:pStyle w:val="SingleTxtG"/>
      </w:pPr>
      <w:r w:rsidRPr="00333AFD">
        <w:tab/>
        <w:t>b)</w:t>
      </w:r>
      <w:r w:rsidRPr="00333AFD">
        <w:tab/>
        <w:t>Ley Electoral [capítulo 2:13];</w:t>
      </w:r>
    </w:p>
    <w:p w14:paraId="079CAB68" w14:textId="77777777" w:rsidR="00333AFD" w:rsidRPr="00333AFD" w:rsidRDefault="00333AFD" w:rsidP="00333AFD">
      <w:pPr>
        <w:pStyle w:val="SingleTxtG"/>
      </w:pPr>
      <w:r w:rsidRPr="00333AFD">
        <w:tab/>
        <w:t>c)</w:t>
      </w:r>
      <w:r w:rsidRPr="00333AFD">
        <w:tab/>
        <w:t xml:space="preserve">Ley de la Comisión Electoral de Zimbabwe [capítulo 2:12]; </w:t>
      </w:r>
    </w:p>
    <w:p w14:paraId="20686A48" w14:textId="77777777" w:rsidR="00333AFD" w:rsidRPr="00333AFD" w:rsidRDefault="00333AFD" w:rsidP="00333AFD">
      <w:pPr>
        <w:pStyle w:val="SingleTxtG"/>
      </w:pPr>
      <w:r w:rsidRPr="00333AFD">
        <w:tab/>
        <w:t>d)</w:t>
      </w:r>
      <w:r w:rsidRPr="00333AFD">
        <w:tab/>
        <w:t>Ley de Referendos [capítulo 2:10].</w:t>
      </w:r>
    </w:p>
    <w:p w14:paraId="60C21A28" w14:textId="6ED98445" w:rsidR="00333AFD" w:rsidRPr="00333AFD" w:rsidRDefault="00F35AF3" w:rsidP="00F35AF3">
      <w:pPr>
        <w:pStyle w:val="H23G"/>
      </w:pPr>
      <w:bookmarkStart w:id="18" w:name="_Toc87853288"/>
      <w:r>
        <w:tab/>
      </w:r>
      <w:r w:rsidR="00333AFD" w:rsidRPr="00333AFD">
        <w:tab/>
        <w:t>El poder ejecutivo</w:t>
      </w:r>
      <w:bookmarkEnd w:id="18"/>
    </w:p>
    <w:p w14:paraId="11724DBF" w14:textId="77777777" w:rsidR="00333AFD" w:rsidRPr="00333AFD" w:rsidRDefault="00333AFD" w:rsidP="00333AFD">
      <w:pPr>
        <w:pStyle w:val="SingleTxtG"/>
      </w:pPr>
      <w:r w:rsidRPr="00333AFD">
        <w:t>35.</w:t>
      </w:r>
      <w:r w:rsidRPr="00333AFD">
        <w:tab/>
        <w:t>La autoridad ejecutiva dimana del pueblo de Zimbabwe y debe ejercerse de conformidad con la Constitución. El Presidente es el Jefe del poder ejecutivo y ejerce la autoridad, con sujeción a la Constitución, a través del Gabinete. En el ejercicio de sus funciones ejecutivas, el Presidente debe actuar asesorado por el Gabinete, salvo cuando actúe en los términos del artículo 110 2). Además, para que se ajuste a la legislación, una decisión presidencial debe estar por escrito.</w:t>
      </w:r>
    </w:p>
    <w:p w14:paraId="691D4A5D" w14:textId="77777777" w:rsidR="00333AFD" w:rsidRPr="00333AFD" w:rsidRDefault="00333AFD" w:rsidP="00333AFD">
      <w:pPr>
        <w:pStyle w:val="SingleTxtG"/>
      </w:pPr>
      <w:r w:rsidRPr="00333AFD">
        <w:t>36.</w:t>
      </w:r>
      <w:r w:rsidRPr="00333AFD">
        <w:tab/>
        <w:t>El Presidente ejerce su autoridad de conformidad con la Constitución y toda ley del Parlamento u otra legislación pertinentes, incluidas las necesarias para ejercer las funciones de Jefe de Estado. Las funciones ejecutivas del Presidente son las siguientes:</w:t>
      </w:r>
    </w:p>
    <w:p w14:paraId="23BAB18C" w14:textId="48BA8A85" w:rsidR="00333AFD" w:rsidRPr="00333AFD" w:rsidRDefault="00333AFD" w:rsidP="00333AFD">
      <w:pPr>
        <w:pStyle w:val="SingleTxtG"/>
      </w:pPr>
      <w:r w:rsidRPr="00333AFD">
        <w:tab/>
        <w:t>a)</w:t>
      </w:r>
      <w:r w:rsidRPr="00333AFD">
        <w:tab/>
      </w:r>
      <w:r w:rsidR="00810EA1" w:rsidRPr="00333AFD">
        <w:t xml:space="preserve">Sancionar </w:t>
      </w:r>
      <w:r w:rsidRPr="00333AFD">
        <w:t>y firmar proyectos de ley;</w:t>
      </w:r>
    </w:p>
    <w:p w14:paraId="4C3A0094" w14:textId="19A54D7E" w:rsidR="00333AFD" w:rsidRPr="00333AFD" w:rsidRDefault="00333AFD" w:rsidP="00333AFD">
      <w:pPr>
        <w:pStyle w:val="SingleTxtG"/>
      </w:pPr>
      <w:r w:rsidRPr="00333AFD">
        <w:tab/>
        <w:t>b)</w:t>
      </w:r>
      <w:r w:rsidRPr="00333AFD">
        <w:tab/>
      </w:r>
      <w:r w:rsidR="00810EA1" w:rsidRPr="00333AFD">
        <w:t xml:space="preserve">Remitir </w:t>
      </w:r>
      <w:r w:rsidRPr="00333AFD">
        <w:t>los proyectos de ley al Tribunal Constitucional para que emita un dictamen u orientación sobre su constitucionalidad;</w:t>
      </w:r>
    </w:p>
    <w:p w14:paraId="68351ADC" w14:textId="4912F399" w:rsidR="00333AFD" w:rsidRPr="00333AFD" w:rsidRDefault="00333AFD" w:rsidP="00333AFD">
      <w:pPr>
        <w:pStyle w:val="SingleTxtG"/>
      </w:pPr>
      <w:r w:rsidRPr="00333AFD">
        <w:lastRenderedPageBreak/>
        <w:tab/>
        <w:t>c)</w:t>
      </w:r>
      <w:r w:rsidRPr="00333AFD">
        <w:tab/>
      </w:r>
      <w:r w:rsidR="00810EA1" w:rsidRPr="00333AFD">
        <w:t xml:space="preserve">Convocar </w:t>
      </w:r>
      <w:r w:rsidRPr="00333AFD">
        <w:t>a la Asamblea Nacional, el Senado o el Parlamento a una</w:t>
      </w:r>
    </w:p>
    <w:p w14:paraId="585455BE" w14:textId="517532FE" w:rsidR="00333AFD" w:rsidRPr="00333AFD" w:rsidRDefault="00333AFD" w:rsidP="00333AFD">
      <w:pPr>
        <w:pStyle w:val="SingleTxtG"/>
      </w:pPr>
      <w:r w:rsidRPr="00333AFD">
        <w:tab/>
        <w:t>d)</w:t>
      </w:r>
      <w:r w:rsidRPr="00333AFD">
        <w:tab/>
      </w:r>
      <w:r w:rsidR="00810EA1">
        <w:t>s</w:t>
      </w:r>
      <w:r w:rsidR="00810EA1" w:rsidRPr="00333AFD">
        <w:t xml:space="preserve">esión </w:t>
      </w:r>
      <w:r w:rsidRPr="00333AFD">
        <w:t>extraordinaria para tratar asuntos especiales;</w:t>
      </w:r>
    </w:p>
    <w:p w14:paraId="366A4279" w14:textId="6E868430" w:rsidR="00333AFD" w:rsidRPr="00333AFD" w:rsidRDefault="00333AFD" w:rsidP="00333AFD">
      <w:pPr>
        <w:pStyle w:val="SingleTxtG"/>
      </w:pPr>
      <w:r w:rsidRPr="00333AFD">
        <w:tab/>
        <w:t>e)</w:t>
      </w:r>
      <w:r w:rsidRPr="00333AFD">
        <w:tab/>
      </w:r>
      <w:r w:rsidR="00810EA1" w:rsidRPr="00333AFD">
        <w:t xml:space="preserve">Realizar </w:t>
      </w:r>
      <w:r w:rsidRPr="00333AFD">
        <w:t>los nombramientos que la Constitución o la legislación le exigen;</w:t>
      </w:r>
    </w:p>
    <w:p w14:paraId="2584FDBE" w14:textId="01B38ED9" w:rsidR="00333AFD" w:rsidRPr="00333AFD" w:rsidRDefault="00333AFD" w:rsidP="00333AFD">
      <w:pPr>
        <w:pStyle w:val="SingleTxtG"/>
      </w:pPr>
      <w:r w:rsidRPr="00333AFD">
        <w:tab/>
        <w:t>f)</w:t>
      </w:r>
      <w:r w:rsidRPr="00333AFD">
        <w:tab/>
      </w:r>
      <w:r w:rsidR="00810EA1" w:rsidRPr="00333AFD">
        <w:t xml:space="preserve">Convocar </w:t>
      </w:r>
      <w:r w:rsidRPr="00333AFD">
        <w:t>elecciones con arreglo a la Constitución;</w:t>
      </w:r>
    </w:p>
    <w:p w14:paraId="7A071712" w14:textId="06A9B545" w:rsidR="00333AFD" w:rsidRPr="00333AFD" w:rsidRDefault="00333AFD" w:rsidP="00333AFD">
      <w:pPr>
        <w:pStyle w:val="SingleTxtG"/>
      </w:pPr>
      <w:r w:rsidRPr="00333AFD">
        <w:tab/>
        <w:t>g)</w:t>
      </w:r>
      <w:r w:rsidRPr="00333AFD">
        <w:tab/>
      </w:r>
      <w:r w:rsidR="00810EA1" w:rsidRPr="00333AFD">
        <w:t xml:space="preserve">Convocar </w:t>
      </w:r>
      <w:r w:rsidRPr="00333AFD">
        <w:t>referendos sobre cualquier asunto de conformidad con la ley;</w:t>
      </w:r>
    </w:p>
    <w:p w14:paraId="7D0CFE74" w14:textId="6C91FF8C" w:rsidR="00333AFD" w:rsidRPr="00333AFD" w:rsidRDefault="00333AFD" w:rsidP="00333AFD">
      <w:pPr>
        <w:pStyle w:val="SingleTxtG"/>
      </w:pPr>
      <w:r w:rsidRPr="00333AFD">
        <w:tab/>
        <w:t>h)</w:t>
      </w:r>
      <w:r w:rsidRPr="00333AFD">
        <w:tab/>
      </w:r>
      <w:r w:rsidR="00810EA1" w:rsidRPr="00333AFD">
        <w:t xml:space="preserve">Desplegar </w:t>
      </w:r>
      <w:r w:rsidRPr="00333AFD">
        <w:t>las Fuerzas de Defensa;</w:t>
      </w:r>
    </w:p>
    <w:p w14:paraId="768A9E26" w14:textId="49FDE406" w:rsidR="00333AFD" w:rsidRPr="00333AFD" w:rsidRDefault="00333AFD" w:rsidP="00333AFD">
      <w:pPr>
        <w:pStyle w:val="SingleTxtG"/>
      </w:pPr>
      <w:r w:rsidRPr="00333AFD">
        <w:tab/>
        <w:t>i)</w:t>
      </w:r>
      <w:r w:rsidRPr="00333AFD">
        <w:tab/>
      </w:r>
      <w:r w:rsidR="00810EA1" w:rsidRPr="00333AFD">
        <w:t xml:space="preserve">Conceder </w:t>
      </w:r>
      <w:r w:rsidRPr="00333AFD">
        <w:t>condecoraciones y premios;</w:t>
      </w:r>
    </w:p>
    <w:p w14:paraId="3EE21B4E" w14:textId="225491AB" w:rsidR="00333AFD" w:rsidRPr="00333AFD" w:rsidRDefault="00333AFD" w:rsidP="00333AFD">
      <w:pPr>
        <w:pStyle w:val="SingleTxtG"/>
      </w:pPr>
      <w:r w:rsidRPr="00333AFD">
        <w:tab/>
        <w:t>j)</w:t>
      </w:r>
      <w:r w:rsidRPr="00333AFD">
        <w:tab/>
      </w:r>
      <w:r w:rsidR="00810EA1" w:rsidRPr="00333AFD">
        <w:t xml:space="preserve">Nombrar </w:t>
      </w:r>
      <w:r w:rsidRPr="00333AFD">
        <w:t>embajadores, plenipotenciarios y representantes diplomáticos</w:t>
      </w:r>
    </w:p>
    <w:p w14:paraId="033E50C9" w14:textId="21650984" w:rsidR="00333AFD" w:rsidRPr="00333AFD" w:rsidRDefault="00333AFD" w:rsidP="00333AFD">
      <w:pPr>
        <w:pStyle w:val="SingleTxtG"/>
      </w:pPr>
      <w:r w:rsidRPr="00333AFD">
        <w:tab/>
        <w:t>k)</w:t>
      </w:r>
      <w:r w:rsidRPr="00333AFD">
        <w:tab/>
        <w:t>y consulares;</w:t>
      </w:r>
    </w:p>
    <w:p w14:paraId="08ADF382" w14:textId="536B7785" w:rsidR="00333AFD" w:rsidRPr="00333AFD" w:rsidRDefault="00333AFD" w:rsidP="00333AFD">
      <w:pPr>
        <w:pStyle w:val="SingleTxtG"/>
      </w:pPr>
      <w:r w:rsidRPr="00333AFD">
        <w:tab/>
        <w:t>l)</w:t>
      </w:r>
      <w:r w:rsidRPr="00333AFD">
        <w:tab/>
      </w:r>
      <w:r w:rsidR="00810EA1" w:rsidRPr="00333AFD">
        <w:t xml:space="preserve">Recibir </w:t>
      </w:r>
      <w:r w:rsidRPr="00333AFD">
        <w:t xml:space="preserve">y reconocer a representantes diplomáticos y consulares extranjeros; </w:t>
      </w:r>
    </w:p>
    <w:p w14:paraId="14637675" w14:textId="714EB991" w:rsidR="00333AFD" w:rsidRPr="00333AFD" w:rsidRDefault="00333AFD" w:rsidP="00333AFD">
      <w:pPr>
        <w:pStyle w:val="SingleTxtG"/>
      </w:pPr>
      <w:r w:rsidRPr="00333AFD">
        <w:tab/>
        <w:t>m)</w:t>
      </w:r>
      <w:r w:rsidRPr="00333AFD">
        <w:tab/>
      </w:r>
      <w:r w:rsidR="00810EA1" w:rsidRPr="00333AFD">
        <w:t xml:space="preserve">Celebrar </w:t>
      </w:r>
      <w:r w:rsidRPr="00333AFD">
        <w:t>o aplicar convenios, tratados y acuerdos con Estados y Gobiernos extranjeros y organizaciones internacionales.</w:t>
      </w:r>
    </w:p>
    <w:p w14:paraId="46C421C3" w14:textId="77777777" w:rsidR="00333AFD" w:rsidRPr="00333AFD" w:rsidRDefault="00333AFD" w:rsidP="00333AFD">
      <w:pPr>
        <w:pStyle w:val="SingleTxtG"/>
      </w:pPr>
      <w:r w:rsidRPr="00333AFD">
        <w:t>37.</w:t>
      </w:r>
      <w:r w:rsidRPr="00333AFD">
        <w:tab/>
        <w:t>El artículo 105 de la Constitución establece que el Gabinete está formado por el Presidente, como Jefe del Gabinete, los Vicepresidentes y los Ministros que el Presidente decida incorporar al Gabinete. Este se ocupa de:</w:t>
      </w:r>
    </w:p>
    <w:p w14:paraId="6D501A6E" w14:textId="4FA16E15" w:rsidR="00333AFD" w:rsidRPr="00333AFD" w:rsidRDefault="00333AFD" w:rsidP="00333AFD">
      <w:pPr>
        <w:pStyle w:val="SingleTxtG"/>
      </w:pPr>
      <w:r w:rsidRPr="00333AFD">
        <w:tab/>
        <w:t>a)</w:t>
      </w:r>
      <w:r w:rsidRPr="00333AFD">
        <w:tab/>
      </w:r>
      <w:r w:rsidR="00810EA1" w:rsidRPr="00333AFD">
        <w:t xml:space="preserve">Dirigir </w:t>
      </w:r>
      <w:r w:rsidRPr="00333AFD">
        <w:t>las operaciones del Gobierno;</w:t>
      </w:r>
    </w:p>
    <w:p w14:paraId="3512D55D" w14:textId="169E042E" w:rsidR="00333AFD" w:rsidRPr="00333AFD" w:rsidRDefault="00333AFD" w:rsidP="00333AFD">
      <w:pPr>
        <w:pStyle w:val="SingleTxtG"/>
      </w:pPr>
      <w:r w:rsidRPr="00333AFD">
        <w:tab/>
        <w:t>b)</w:t>
      </w:r>
      <w:r w:rsidRPr="00333AFD">
        <w:tab/>
      </w:r>
      <w:r w:rsidR="00810EA1" w:rsidRPr="00333AFD">
        <w:t xml:space="preserve">Dirigir </w:t>
      </w:r>
      <w:r w:rsidRPr="00333AFD">
        <w:t>los asuntos del Gobierno en el Parlamento;</w:t>
      </w:r>
    </w:p>
    <w:p w14:paraId="2E901DBD" w14:textId="77F4C808" w:rsidR="00333AFD" w:rsidRPr="00333AFD" w:rsidRDefault="00333AFD" w:rsidP="00333AFD">
      <w:pPr>
        <w:pStyle w:val="SingleTxtG"/>
      </w:pPr>
      <w:r w:rsidRPr="00333AFD">
        <w:tab/>
        <w:t>c)</w:t>
      </w:r>
      <w:r w:rsidRPr="00333AFD">
        <w:tab/>
      </w:r>
      <w:r w:rsidR="00810EA1" w:rsidRPr="00333AFD">
        <w:t>Preparar</w:t>
      </w:r>
      <w:r w:rsidRPr="00333AFD">
        <w:t>, iniciar y aplicar la legislación nacional;</w:t>
      </w:r>
    </w:p>
    <w:p w14:paraId="69D1A40A" w14:textId="54AFEF80" w:rsidR="00333AFD" w:rsidRPr="00333AFD" w:rsidRDefault="00333AFD" w:rsidP="00333AFD">
      <w:pPr>
        <w:pStyle w:val="SingleTxtG"/>
      </w:pPr>
      <w:r w:rsidRPr="00333AFD">
        <w:tab/>
        <w:t>d)</w:t>
      </w:r>
      <w:r w:rsidRPr="00333AFD">
        <w:tab/>
      </w:r>
      <w:r w:rsidR="00810EA1" w:rsidRPr="00333AFD">
        <w:t xml:space="preserve">Formular </w:t>
      </w:r>
      <w:r w:rsidRPr="00333AFD">
        <w:t>y aplicar las políticas nacionales;</w:t>
      </w:r>
    </w:p>
    <w:p w14:paraId="2A8EFF4E" w14:textId="133E3625" w:rsidR="00333AFD" w:rsidRPr="00333AFD" w:rsidRDefault="00333AFD" w:rsidP="00333AFD">
      <w:pPr>
        <w:pStyle w:val="SingleTxtG"/>
      </w:pPr>
      <w:r w:rsidRPr="00333AFD">
        <w:tab/>
        <w:t>e)</w:t>
      </w:r>
      <w:r w:rsidRPr="00333AFD">
        <w:tab/>
      </w:r>
      <w:r w:rsidR="00810EA1" w:rsidRPr="00333AFD">
        <w:t xml:space="preserve">Asesorar </w:t>
      </w:r>
      <w:r w:rsidRPr="00333AFD">
        <w:t>al Presidente.</w:t>
      </w:r>
    </w:p>
    <w:p w14:paraId="4AE52DD9" w14:textId="77777777" w:rsidR="00333AFD" w:rsidRPr="00333AFD" w:rsidRDefault="00333AFD" w:rsidP="00333AFD">
      <w:pPr>
        <w:pStyle w:val="SingleTxtG"/>
      </w:pPr>
      <w:r w:rsidRPr="00333AFD">
        <w:t>38.</w:t>
      </w:r>
      <w:r w:rsidRPr="00333AFD">
        <w:tab/>
        <w:t>En particular, los Vicepresidentes asisten al Presidente en el desempeño de sus funciones y cumplen cualquier otra función, incluida la administración de cualquier ministerio, departamento o ley del Parlamento, que el Presidente les asigne.</w:t>
      </w:r>
    </w:p>
    <w:p w14:paraId="4C2BF739" w14:textId="52DFD86C" w:rsidR="00333AFD" w:rsidRPr="00333AFD" w:rsidRDefault="00F35AF3" w:rsidP="00F35AF3">
      <w:pPr>
        <w:pStyle w:val="H23G"/>
      </w:pPr>
      <w:r w:rsidRPr="00F35AF3">
        <w:rPr>
          <w:b w:val="0"/>
          <w:bCs/>
        </w:rPr>
        <w:tab/>
      </w:r>
      <w:r w:rsidRPr="00F35AF3">
        <w:rPr>
          <w:b w:val="0"/>
          <w:bCs/>
        </w:rPr>
        <w:tab/>
      </w:r>
      <w:r w:rsidR="00333AFD" w:rsidRPr="00F35AF3">
        <w:rPr>
          <w:b w:val="0"/>
          <w:bCs/>
        </w:rPr>
        <w:t>Figura 2</w:t>
      </w:r>
      <w:r w:rsidRPr="00F35AF3">
        <w:rPr>
          <w:b w:val="0"/>
          <w:bCs/>
        </w:rPr>
        <w:br/>
      </w:r>
      <w:r w:rsidR="00333AFD" w:rsidRPr="00333AFD">
        <w:t>Organigrama del poder ejecutivo</w:t>
      </w:r>
    </w:p>
    <w:p w14:paraId="4DB8174E" w14:textId="77777777" w:rsidR="00333AFD" w:rsidRPr="00333AFD" w:rsidRDefault="00333AFD" w:rsidP="00333AFD">
      <w:pPr>
        <w:pStyle w:val="SingleTxtG"/>
        <w:rPr>
          <w:b/>
          <w:bCs/>
        </w:rPr>
      </w:pPr>
      <w:r w:rsidRPr="00333AFD">
        <w:rPr>
          <w:b/>
          <w:noProof/>
        </w:rPr>
        <w:drawing>
          <wp:inline distT="0" distB="0" distL="0" distR="0" wp14:anchorId="524E6F33" wp14:editId="38242761">
            <wp:extent cx="4670738" cy="3091466"/>
            <wp:effectExtent l="0" t="57150" r="0" b="109220"/>
            <wp:docPr id="8"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A62DDC2" w14:textId="707E7994" w:rsidR="00333AFD" w:rsidRPr="00333AFD" w:rsidRDefault="00F35AF3" w:rsidP="00F35AF3">
      <w:pPr>
        <w:pStyle w:val="H23G"/>
      </w:pPr>
      <w:bookmarkStart w:id="19" w:name="_Toc87853289"/>
      <w:r>
        <w:lastRenderedPageBreak/>
        <w:tab/>
      </w:r>
      <w:r w:rsidR="00333AFD" w:rsidRPr="00333AFD">
        <w:tab/>
        <w:t>El poder legislativo</w:t>
      </w:r>
      <w:bookmarkEnd w:id="19"/>
    </w:p>
    <w:p w14:paraId="2DE22DD3" w14:textId="77777777" w:rsidR="00333AFD" w:rsidRPr="00333AFD" w:rsidRDefault="00333AFD" w:rsidP="00810014">
      <w:pPr>
        <w:pStyle w:val="SingleTxtG"/>
        <w:spacing w:after="130"/>
      </w:pPr>
      <w:r w:rsidRPr="00333AFD">
        <w:t>39.</w:t>
      </w:r>
      <w:r w:rsidRPr="00333AFD">
        <w:tab/>
        <w:t>En virtud del artículo 116 de la Constitución, el poder legislativo de Zimbabwe está formado por el Parlamento y el Presidente. La autoridad legislativa dimana del pueblo de Zimbabwe y es conferida al poder legislativo, y ejercida por este, de conformidad con la Constitución. El Parlamento está compuesto por el Senado y la Asamblea Nacional. La función del Parlamento es proteger la Constitución y promover la gobernanza democrática en Zimbabwe, y velar por el cumplimiento de las disposiciones de la Constitución y por que el Estado y todas las instituciones y organismos gubernamentales, a todos los niveles, actúen basándose en la Constitución y en aras del interés nacional. Además, el artículo 119 3) dispone la autoridad de fiscalización del Parlamento sobre todas las instituciones y organismos del Estado y el Gobierno, a todos los niveles.</w:t>
      </w:r>
    </w:p>
    <w:p w14:paraId="5904C307" w14:textId="77777777" w:rsidR="00333AFD" w:rsidRPr="00333AFD" w:rsidRDefault="00333AFD" w:rsidP="00810014">
      <w:pPr>
        <w:pStyle w:val="SingleTxtG"/>
        <w:spacing w:after="130"/>
      </w:pPr>
      <w:r w:rsidRPr="00333AFD">
        <w:t>40.</w:t>
      </w:r>
      <w:r w:rsidRPr="00333AFD">
        <w:tab/>
        <w:t>El poder legislativo tiene las siguientes facultades:</w:t>
      </w:r>
    </w:p>
    <w:p w14:paraId="26BAD968" w14:textId="688E1545" w:rsidR="00333AFD" w:rsidRPr="00333AFD" w:rsidRDefault="00333AFD" w:rsidP="00810014">
      <w:pPr>
        <w:pStyle w:val="SingleTxtG"/>
        <w:spacing w:after="130"/>
      </w:pPr>
      <w:r w:rsidRPr="00333AFD">
        <w:tab/>
        <w:t>a)</w:t>
      </w:r>
      <w:r w:rsidRPr="00333AFD">
        <w:tab/>
      </w:r>
      <w:r w:rsidR="00810EA1" w:rsidRPr="00333AFD">
        <w:t xml:space="preserve">Enmendar </w:t>
      </w:r>
      <w:r w:rsidRPr="00333AFD">
        <w:t>la Constitución de conformidad con el artículo 328;</w:t>
      </w:r>
    </w:p>
    <w:p w14:paraId="693339E7" w14:textId="0C7DBAF0" w:rsidR="00333AFD" w:rsidRPr="00333AFD" w:rsidRDefault="00333AFD" w:rsidP="00810014">
      <w:pPr>
        <w:pStyle w:val="SingleTxtG"/>
        <w:spacing w:after="130"/>
      </w:pPr>
      <w:r w:rsidRPr="00333AFD">
        <w:tab/>
        <w:t>b)</w:t>
      </w:r>
      <w:r w:rsidRPr="00333AFD">
        <w:tab/>
      </w:r>
      <w:r w:rsidR="00810EA1" w:rsidRPr="00333AFD">
        <w:t xml:space="preserve">Legislar </w:t>
      </w:r>
      <w:r w:rsidRPr="00333AFD">
        <w:t xml:space="preserve">en favor de la paz, el orden y la buena gobernanza de Zimbabwe; </w:t>
      </w:r>
    </w:p>
    <w:p w14:paraId="6D414BED" w14:textId="1DFC01B5" w:rsidR="00333AFD" w:rsidRPr="00333AFD" w:rsidRDefault="00333AFD" w:rsidP="00810014">
      <w:pPr>
        <w:pStyle w:val="SingleTxtG"/>
        <w:spacing w:after="130"/>
        <w:rPr>
          <w:b/>
        </w:rPr>
      </w:pPr>
      <w:r w:rsidRPr="00333AFD">
        <w:tab/>
        <w:t>c)</w:t>
      </w:r>
      <w:r w:rsidRPr="00333AFD">
        <w:tab/>
      </w:r>
      <w:r w:rsidR="00810EA1" w:rsidRPr="00333AFD">
        <w:t xml:space="preserve">Conferir </w:t>
      </w:r>
      <w:r w:rsidRPr="00333AFD">
        <w:t>poderes legislativos subordinados a otro órgano o autoridad de conformidad con el artículo 134.</w:t>
      </w:r>
    </w:p>
    <w:p w14:paraId="7D0AAA58" w14:textId="77777777" w:rsidR="00333AFD" w:rsidRPr="00333AFD" w:rsidRDefault="00333AFD" w:rsidP="00810014">
      <w:pPr>
        <w:pStyle w:val="SingleTxtG"/>
        <w:spacing w:after="130"/>
      </w:pPr>
      <w:r w:rsidRPr="00333AFD">
        <w:t>41.</w:t>
      </w:r>
      <w:r w:rsidRPr="00333AFD">
        <w:tab/>
        <w:t>La composición del Senado es la siguiente:</w:t>
      </w:r>
    </w:p>
    <w:p w14:paraId="1D35FDDD" w14:textId="74CDDEAB" w:rsidR="00333AFD" w:rsidRPr="00333AFD" w:rsidRDefault="00333AFD" w:rsidP="00810014">
      <w:pPr>
        <w:pStyle w:val="SingleTxtG"/>
        <w:spacing w:after="130"/>
      </w:pPr>
      <w:r w:rsidRPr="00333AFD">
        <w:tab/>
        <w:t>a)</w:t>
      </w:r>
      <w:r w:rsidRPr="00333AFD">
        <w:tab/>
      </w:r>
      <w:r w:rsidR="00810EA1" w:rsidRPr="00333AFD">
        <w:t xml:space="preserve">El </w:t>
      </w:r>
      <w:r w:rsidRPr="00333AFD">
        <w:t>Presidente del Senado;</w:t>
      </w:r>
    </w:p>
    <w:p w14:paraId="3B58BF8F" w14:textId="04E41883" w:rsidR="00333AFD" w:rsidRPr="00333AFD" w:rsidRDefault="00333AFD" w:rsidP="00810014">
      <w:pPr>
        <w:pStyle w:val="SingleTxtG"/>
        <w:spacing w:after="130"/>
      </w:pPr>
      <w:r w:rsidRPr="00333AFD">
        <w:tab/>
        <w:t>b)</w:t>
      </w:r>
      <w:r w:rsidRPr="00333AFD">
        <w:tab/>
      </w:r>
      <w:r w:rsidR="00810EA1" w:rsidRPr="00333AFD">
        <w:t xml:space="preserve">El </w:t>
      </w:r>
      <w:r w:rsidRPr="00333AFD">
        <w:t>Vicepresidente del Senado;</w:t>
      </w:r>
    </w:p>
    <w:p w14:paraId="56B9943C" w14:textId="66A87D71" w:rsidR="00333AFD" w:rsidRPr="00333AFD" w:rsidRDefault="00333AFD" w:rsidP="00810014">
      <w:pPr>
        <w:pStyle w:val="SingleTxtG"/>
        <w:spacing w:after="130"/>
      </w:pPr>
      <w:r w:rsidRPr="00333AFD">
        <w:tab/>
        <w:t>c)</w:t>
      </w:r>
      <w:r w:rsidRPr="00333AFD">
        <w:tab/>
      </w:r>
      <w:r w:rsidR="00810EA1" w:rsidRPr="00333AFD">
        <w:t xml:space="preserve">El </w:t>
      </w:r>
      <w:r w:rsidRPr="00333AFD">
        <w:t>Presidente del Consejo Nacional de Jefes y su adjunto;</w:t>
      </w:r>
    </w:p>
    <w:p w14:paraId="28789FFC" w14:textId="3822DCFC" w:rsidR="00333AFD" w:rsidRPr="00333AFD" w:rsidRDefault="00333AFD" w:rsidP="00810014">
      <w:pPr>
        <w:pStyle w:val="SingleTxtG"/>
        <w:spacing w:after="130"/>
      </w:pPr>
      <w:r w:rsidRPr="00333AFD">
        <w:tab/>
        <w:t>d)</w:t>
      </w:r>
      <w:r w:rsidRPr="00333AFD">
        <w:tab/>
      </w:r>
      <w:r w:rsidR="00810EA1">
        <w:t>2</w:t>
      </w:r>
      <w:r w:rsidRPr="00333AFD">
        <w:t xml:space="preserve"> representantes del sector de la discapacidad;</w:t>
      </w:r>
    </w:p>
    <w:p w14:paraId="369E4663" w14:textId="77777777" w:rsidR="00333AFD" w:rsidRPr="00333AFD" w:rsidRDefault="00333AFD" w:rsidP="00810014">
      <w:pPr>
        <w:pStyle w:val="SingleTxtG"/>
        <w:spacing w:after="130"/>
      </w:pPr>
      <w:r w:rsidRPr="00333AFD">
        <w:tab/>
        <w:t>e)</w:t>
      </w:r>
      <w:r w:rsidRPr="00333AFD">
        <w:tab/>
        <w:t xml:space="preserve">60 miembros (representación proporcional); </w:t>
      </w:r>
    </w:p>
    <w:p w14:paraId="70FF1483" w14:textId="77777777" w:rsidR="00333AFD" w:rsidRPr="00333AFD" w:rsidRDefault="00333AFD" w:rsidP="00810014">
      <w:pPr>
        <w:pStyle w:val="SingleTxtG"/>
        <w:spacing w:after="130"/>
      </w:pPr>
      <w:r w:rsidRPr="00333AFD">
        <w:tab/>
        <w:t>f)</w:t>
      </w:r>
      <w:r w:rsidRPr="00333AFD">
        <w:tab/>
        <w:t>16 Jefes (de las 10 provincias).</w:t>
      </w:r>
    </w:p>
    <w:p w14:paraId="04C2C98C" w14:textId="77777777" w:rsidR="00333AFD" w:rsidRPr="00333AFD" w:rsidRDefault="00333AFD" w:rsidP="00810014">
      <w:pPr>
        <w:pStyle w:val="SingleTxtG"/>
        <w:spacing w:after="130"/>
      </w:pPr>
      <w:r w:rsidRPr="00333AFD">
        <w:t>42.</w:t>
      </w:r>
      <w:r w:rsidRPr="00333AFD">
        <w:tab/>
        <w:t>La Asamblea Nacional está compuesta por 270 miembros, a saber:</w:t>
      </w:r>
    </w:p>
    <w:p w14:paraId="3FBABF53" w14:textId="77777777" w:rsidR="00333AFD" w:rsidRPr="00333AFD" w:rsidRDefault="00333AFD" w:rsidP="00810014">
      <w:pPr>
        <w:pStyle w:val="SingleTxtG"/>
        <w:spacing w:after="130"/>
      </w:pPr>
      <w:r w:rsidRPr="00333AFD">
        <w:tab/>
        <w:t>a)</w:t>
      </w:r>
      <w:r w:rsidRPr="00333AFD">
        <w:tab/>
        <w:t>210 miembros elegidos por votación secreta en las 210 circunscripciones de Zimbabwe;</w:t>
      </w:r>
    </w:p>
    <w:p w14:paraId="7A4AA738" w14:textId="77777777" w:rsidR="00333AFD" w:rsidRPr="00333AFD" w:rsidRDefault="00333AFD" w:rsidP="00810014">
      <w:pPr>
        <w:pStyle w:val="SingleTxtG"/>
        <w:spacing w:after="130"/>
      </w:pPr>
      <w:r w:rsidRPr="00333AFD">
        <w:tab/>
        <w:t>b)</w:t>
      </w:r>
      <w:r w:rsidRPr="00333AFD">
        <w:tab/>
        <w:t>60 mujeres elegidas mediante el sistema de representación proporcional de los partidos;</w:t>
      </w:r>
    </w:p>
    <w:p w14:paraId="1CFE07E8" w14:textId="3AEB0BB9" w:rsidR="00333AFD" w:rsidRPr="00333AFD" w:rsidRDefault="00333AFD" w:rsidP="00810014">
      <w:pPr>
        <w:pStyle w:val="SingleTxtG"/>
        <w:spacing w:after="130"/>
      </w:pPr>
      <w:r w:rsidRPr="00333AFD">
        <w:tab/>
        <w:t>c)</w:t>
      </w:r>
      <w:r w:rsidRPr="00333AFD">
        <w:tab/>
      </w:r>
      <w:r w:rsidR="00810EA1" w:rsidRPr="00333AFD">
        <w:t xml:space="preserve">El </w:t>
      </w:r>
      <w:r w:rsidRPr="00333AFD">
        <w:t xml:space="preserve">Presidente de la Asamblea Nacional, que ejerce la </w:t>
      </w:r>
      <w:r w:rsidR="00810EA1" w:rsidRPr="00333AFD">
        <w:t>Presidencia</w:t>
      </w:r>
      <w:r w:rsidRPr="00333AFD">
        <w:t xml:space="preserve">; </w:t>
      </w:r>
    </w:p>
    <w:p w14:paraId="58820CCC" w14:textId="34B83584" w:rsidR="00333AFD" w:rsidRPr="00333AFD" w:rsidRDefault="00333AFD" w:rsidP="00810014">
      <w:pPr>
        <w:pStyle w:val="SingleTxtG"/>
        <w:spacing w:after="130"/>
      </w:pPr>
      <w:r w:rsidRPr="00333AFD">
        <w:tab/>
        <w:t>d)</w:t>
      </w:r>
      <w:r w:rsidRPr="00333AFD">
        <w:tab/>
      </w:r>
      <w:r w:rsidR="00810EA1" w:rsidRPr="00333AFD">
        <w:t xml:space="preserve">El </w:t>
      </w:r>
      <w:r w:rsidRPr="00333AFD">
        <w:t>Vicepresidente de la Asamblea Nacional.</w:t>
      </w:r>
    </w:p>
    <w:p w14:paraId="1031CCD2" w14:textId="3F0B1482" w:rsidR="00333AFD" w:rsidRPr="00333AFD" w:rsidRDefault="00F35AF3" w:rsidP="00F35AF3">
      <w:pPr>
        <w:pStyle w:val="H23G"/>
      </w:pPr>
      <w:bookmarkStart w:id="20" w:name="_Toc87853290"/>
      <w:r>
        <w:tab/>
      </w:r>
      <w:r w:rsidR="00333AFD" w:rsidRPr="00333AFD">
        <w:tab/>
        <w:t>El poder judicial</w:t>
      </w:r>
      <w:bookmarkEnd w:id="20"/>
    </w:p>
    <w:p w14:paraId="618B5E8B" w14:textId="77777777" w:rsidR="00333AFD" w:rsidRPr="00333AFD" w:rsidRDefault="00333AFD" w:rsidP="00810014">
      <w:pPr>
        <w:pStyle w:val="SingleTxtG"/>
        <w:spacing w:after="130"/>
      </w:pPr>
      <w:r w:rsidRPr="00333AFD">
        <w:t>43.</w:t>
      </w:r>
      <w:r w:rsidRPr="00333AFD">
        <w:tab/>
        <w:t>El poder judicial de Zimbabwe está formado por:</w:t>
      </w:r>
    </w:p>
    <w:p w14:paraId="3AB6D490" w14:textId="638C33E9" w:rsidR="00333AFD" w:rsidRPr="00333AFD" w:rsidRDefault="00333AFD" w:rsidP="00810014">
      <w:pPr>
        <w:pStyle w:val="SingleTxtG"/>
        <w:spacing w:after="130"/>
      </w:pPr>
      <w:r w:rsidRPr="00333AFD">
        <w:tab/>
        <w:t>a)</w:t>
      </w:r>
      <w:r w:rsidRPr="00333AFD">
        <w:tab/>
      </w:r>
      <w:r w:rsidR="00C167B2" w:rsidRPr="00333AFD">
        <w:t xml:space="preserve">El </w:t>
      </w:r>
      <w:r w:rsidRPr="00333AFD">
        <w:t>Presidente, el Vicepresidente y los demás jueces del Tribunal Constitucional;</w:t>
      </w:r>
    </w:p>
    <w:p w14:paraId="13055887" w14:textId="115E5D31" w:rsidR="00333AFD" w:rsidRPr="00333AFD" w:rsidRDefault="00333AFD" w:rsidP="00810014">
      <w:pPr>
        <w:pStyle w:val="SingleTxtG"/>
        <w:spacing w:after="130"/>
      </w:pPr>
      <w:r w:rsidRPr="00333AFD">
        <w:tab/>
        <w:t>b)</w:t>
      </w:r>
      <w:r w:rsidRPr="00333AFD">
        <w:tab/>
      </w:r>
      <w:r w:rsidR="00C167B2" w:rsidRPr="00333AFD">
        <w:t xml:space="preserve">Los </w:t>
      </w:r>
      <w:r w:rsidRPr="00333AFD">
        <w:t>jueces del Tribunal Supremo;</w:t>
      </w:r>
    </w:p>
    <w:p w14:paraId="4F220012" w14:textId="1CEF4BE3" w:rsidR="00333AFD" w:rsidRPr="00333AFD" w:rsidRDefault="00333AFD" w:rsidP="00810014">
      <w:pPr>
        <w:pStyle w:val="SingleTxtG"/>
        <w:spacing w:after="130"/>
      </w:pPr>
      <w:r w:rsidRPr="00333AFD">
        <w:tab/>
        <w:t>c)</w:t>
      </w:r>
      <w:r w:rsidRPr="00333AFD">
        <w:tab/>
      </w:r>
      <w:r w:rsidR="00C167B2" w:rsidRPr="00333AFD">
        <w:t xml:space="preserve">El </w:t>
      </w:r>
      <w:r w:rsidRPr="00333AFD">
        <w:t>Presidente del Tribunal Superior y los demás jueces de dicho tribunal;</w:t>
      </w:r>
    </w:p>
    <w:p w14:paraId="666981E3" w14:textId="45AA9E26" w:rsidR="00333AFD" w:rsidRPr="00333AFD" w:rsidRDefault="00333AFD" w:rsidP="00810014">
      <w:pPr>
        <w:pStyle w:val="SingleTxtG"/>
        <w:spacing w:after="130"/>
      </w:pPr>
      <w:r w:rsidRPr="00333AFD">
        <w:tab/>
        <w:t>d)</w:t>
      </w:r>
      <w:r w:rsidRPr="00333AFD">
        <w:tab/>
      </w:r>
      <w:r w:rsidR="00C167B2" w:rsidRPr="00333AFD">
        <w:t xml:space="preserve">El </w:t>
      </w:r>
      <w:r w:rsidRPr="00333AFD">
        <w:t>Presidente del Tribunal del Trabajo y los demás jueces de dicho tribunal;</w:t>
      </w:r>
    </w:p>
    <w:p w14:paraId="78A8C903" w14:textId="3C79601D" w:rsidR="00333AFD" w:rsidRPr="00333AFD" w:rsidRDefault="00333AFD" w:rsidP="00810014">
      <w:pPr>
        <w:pStyle w:val="SingleTxtG"/>
        <w:spacing w:after="130"/>
      </w:pPr>
      <w:r w:rsidRPr="00333AFD">
        <w:tab/>
        <w:t>e)</w:t>
      </w:r>
      <w:r w:rsidRPr="00333AFD">
        <w:tab/>
      </w:r>
      <w:r w:rsidR="00C167B2" w:rsidRPr="00333AFD">
        <w:t xml:space="preserve">El </w:t>
      </w:r>
      <w:r w:rsidRPr="00333AFD">
        <w:t xml:space="preserve">Presidente del Tribunal Administrativo y los demás jueces de dicho tribunal; </w:t>
      </w:r>
    </w:p>
    <w:p w14:paraId="7E347956" w14:textId="3634B010" w:rsidR="00333AFD" w:rsidRPr="00333AFD" w:rsidRDefault="00333AFD" w:rsidP="00810014">
      <w:pPr>
        <w:pStyle w:val="SingleTxtG"/>
        <w:spacing w:after="130"/>
      </w:pPr>
      <w:r w:rsidRPr="00333AFD">
        <w:tab/>
        <w:t>f)</w:t>
      </w:r>
      <w:r w:rsidRPr="00333AFD">
        <w:tab/>
      </w:r>
      <w:r w:rsidR="00C167B2" w:rsidRPr="00333AFD">
        <w:t xml:space="preserve">Las </w:t>
      </w:r>
      <w:r w:rsidRPr="00333AFD">
        <w:t>personas que presiden los tribunales de primera instancia, los tribunales de derecho consuetudinario y otros tribunales establecidos por una ley del Parlamento o en virtud de esta.</w:t>
      </w:r>
    </w:p>
    <w:p w14:paraId="3E1FE52F" w14:textId="77777777" w:rsidR="00333AFD" w:rsidRPr="00333AFD" w:rsidRDefault="00333AFD" w:rsidP="00810014">
      <w:pPr>
        <w:pStyle w:val="SingleTxtG"/>
        <w:spacing w:after="130"/>
      </w:pPr>
      <w:r w:rsidRPr="00333AFD">
        <w:t>44.</w:t>
      </w:r>
      <w:r w:rsidRPr="00333AFD">
        <w:tab/>
        <w:t>La autoridad judicial recae en los siguientes tribunales:</w:t>
      </w:r>
    </w:p>
    <w:p w14:paraId="68A8092C" w14:textId="7818AE2F" w:rsidR="00333AFD" w:rsidRPr="00333AFD" w:rsidRDefault="00333AFD" w:rsidP="00810014">
      <w:pPr>
        <w:pStyle w:val="SingleTxtG"/>
        <w:spacing w:after="130"/>
      </w:pPr>
      <w:r w:rsidRPr="00333AFD">
        <w:tab/>
        <w:t>a)</w:t>
      </w:r>
      <w:r w:rsidRPr="00333AFD">
        <w:tab/>
      </w:r>
      <w:r w:rsidR="00C167B2" w:rsidRPr="00333AFD">
        <w:t xml:space="preserve">El </w:t>
      </w:r>
      <w:r w:rsidRPr="00333AFD">
        <w:t xml:space="preserve">Tribunal Constitucional; </w:t>
      </w:r>
    </w:p>
    <w:p w14:paraId="1174D9AB" w14:textId="3D1DBD7A" w:rsidR="00333AFD" w:rsidRPr="00333AFD" w:rsidRDefault="00333AFD" w:rsidP="00810014">
      <w:pPr>
        <w:pStyle w:val="SingleTxtG"/>
        <w:spacing w:after="130"/>
      </w:pPr>
      <w:r w:rsidRPr="00333AFD">
        <w:lastRenderedPageBreak/>
        <w:tab/>
        <w:t>b)</w:t>
      </w:r>
      <w:r w:rsidRPr="00333AFD">
        <w:tab/>
      </w:r>
      <w:r w:rsidR="00C167B2" w:rsidRPr="00333AFD">
        <w:t xml:space="preserve">El </w:t>
      </w:r>
      <w:r w:rsidRPr="00333AFD">
        <w:t xml:space="preserve">Tribunal Supremo; </w:t>
      </w:r>
    </w:p>
    <w:p w14:paraId="4ACF3230" w14:textId="075C6090" w:rsidR="00333AFD" w:rsidRPr="00333AFD" w:rsidRDefault="00333AFD" w:rsidP="00810014">
      <w:pPr>
        <w:pStyle w:val="SingleTxtG"/>
        <w:spacing w:after="130"/>
      </w:pPr>
      <w:r w:rsidRPr="00333AFD">
        <w:tab/>
        <w:t>c)</w:t>
      </w:r>
      <w:r w:rsidRPr="00333AFD">
        <w:tab/>
      </w:r>
      <w:r w:rsidR="00C167B2" w:rsidRPr="00333AFD">
        <w:t xml:space="preserve">El </w:t>
      </w:r>
      <w:r w:rsidRPr="00333AFD">
        <w:t xml:space="preserve">Tribunal Superior; </w:t>
      </w:r>
    </w:p>
    <w:p w14:paraId="09C536B4" w14:textId="283F9A2B" w:rsidR="00333AFD" w:rsidRPr="00333AFD" w:rsidRDefault="00333AFD" w:rsidP="00810014">
      <w:pPr>
        <w:pStyle w:val="SingleTxtG"/>
        <w:spacing w:after="130"/>
      </w:pPr>
      <w:r w:rsidRPr="00333AFD">
        <w:tab/>
        <w:t>d)</w:t>
      </w:r>
      <w:r w:rsidRPr="00333AFD">
        <w:tab/>
      </w:r>
      <w:r w:rsidR="00C167B2" w:rsidRPr="00333AFD">
        <w:t xml:space="preserve">El </w:t>
      </w:r>
      <w:r w:rsidRPr="00333AFD">
        <w:t>Tribunal del Trabajo;</w:t>
      </w:r>
    </w:p>
    <w:p w14:paraId="6DD05401" w14:textId="3FA8CEC9" w:rsidR="00333AFD" w:rsidRPr="00333AFD" w:rsidRDefault="00333AFD" w:rsidP="00810014">
      <w:pPr>
        <w:pStyle w:val="SingleTxtG"/>
        <w:spacing w:after="130"/>
      </w:pPr>
      <w:r w:rsidRPr="00333AFD">
        <w:tab/>
        <w:t>e)</w:t>
      </w:r>
      <w:r w:rsidRPr="00333AFD">
        <w:tab/>
      </w:r>
      <w:r w:rsidR="00C167B2" w:rsidRPr="00333AFD">
        <w:t xml:space="preserve">El </w:t>
      </w:r>
      <w:r w:rsidRPr="00333AFD">
        <w:t>Tribunal Administrativo;</w:t>
      </w:r>
    </w:p>
    <w:p w14:paraId="6C33A88A" w14:textId="27CC6483" w:rsidR="00333AFD" w:rsidRPr="00333AFD" w:rsidRDefault="00333AFD" w:rsidP="00810014">
      <w:pPr>
        <w:pStyle w:val="SingleTxtG"/>
        <w:spacing w:after="130"/>
      </w:pPr>
      <w:r w:rsidRPr="00333AFD">
        <w:tab/>
        <w:t>f)</w:t>
      </w:r>
      <w:r w:rsidRPr="00333AFD">
        <w:tab/>
      </w:r>
      <w:r w:rsidR="00C167B2" w:rsidRPr="00333AFD">
        <w:t xml:space="preserve">Los </w:t>
      </w:r>
      <w:r w:rsidRPr="00333AFD">
        <w:t xml:space="preserve">tribunales de primera instancia; </w:t>
      </w:r>
    </w:p>
    <w:p w14:paraId="14D5B1D8" w14:textId="04223E32" w:rsidR="00333AFD" w:rsidRPr="00333AFD" w:rsidRDefault="00333AFD" w:rsidP="00810014">
      <w:pPr>
        <w:pStyle w:val="SingleTxtG"/>
        <w:spacing w:after="130"/>
      </w:pPr>
      <w:r w:rsidRPr="00333AFD">
        <w:tab/>
        <w:t>g)</w:t>
      </w:r>
      <w:r w:rsidRPr="00333AFD">
        <w:tab/>
      </w:r>
      <w:r w:rsidR="00C167B2" w:rsidRPr="00333AFD">
        <w:t xml:space="preserve">Los </w:t>
      </w:r>
      <w:r w:rsidRPr="00333AFD">
        <w:t>tribunales de derecho consuetudinario;</w:t>
      </w:r>
    </w:p>
    <w:p w14:paraId="65145ABF" w14:textId="3A1C183C" w:rsidR="00333AFD" w:rsidRPr="00333AFD" w:rsidRDefault="00333AFD" w:rsidP="00810014">
      <w:pPr>
        <w:pStyle w:val="SingleTxtG"/>
        <w:spacing w:after="130"/>
      </w:pPr>
      <w:r w:rsidRPr="00333AFD">
        <w:tab/>
        <w:t>h)</w:t>
      </w:r>
      <w:r w:rsidRPr="00333AFD">
        <w:tab/>
      </w:r>
      <w:r w:rsidR="00C167B2" w:rsidRPr="00333AFD">
        <w:t xml:space="preserve">Otros </w:t>
      </w:r>
      <w:r w:rsidRPr="00333AFD">
        <w:t xml:space="preserve">tribunales establecidos por una ley del Parlamento o en virtud de esta. </w:t>
      </w:r>
    </w:p>
    <w:p w14:paraId="58EA42D4" w14:textId="71E85E5F" w:rsidR="00333AFD" w:rsidRPr="00333AFD" w:rsidRDefault="00333AFD" w:rsidP="00810014">
      <w:pPr>
        <w:pStyle w:val="SingleTxtG"/>
        <w:spacing w:after="130"/>
      </w:pPr>
      <w:r w:rsidRPr="00333AFD">
        <w:t>45.</w:t>
      </w:r>
      <w:r w:rsidRPr="00333AFD">
        <w:tab/>
        <w:t>El poder judicial es independiente y está sujeto únicamente a la Constitución y la ley, las que debe aplicar de manera imparcial y sin temores, favoritismos ni prejuicios. El artículo</w:t>
      </w:r>
      <w:r w:rsidR="00C167B2">
        <w:t> </w:t>
      </w:r>
      <w:r w:rsidRPr="00333AFD">
        <w:t>165 1) de la Constitución establece que, en el ejercicio de la autoridad judicial, los miembros del poder judicial deben guiarse por los siguientes principios:</w:t>
      </w:r>
    </w:p>
    <w:p w14:paraId="2E129902" w14:textId="77777777" w:rsidR="00333AFD" w:rsidRPr="00333AFD" w:rsidRDefault="00333AFD" w:rsidP="00810014">
      <w:pPr>
        <w:pStyle w:val="SingleTxtG"/>
        <w:spacing w:after="130"/>
      </w:pPr>
      <w:r w:rsidRPr="00333AFD">
        <w:tab/>
        <w:t>a)</w:t>
      </w:r>
      <w:r w:rsidRPr="00333AFD">
        <w:tab/>
        <w:t>Debe hacerse justicia para todos, independientemente de su condición;</w:t>
      </w:r>
    </w:p>
    <w:p w14:paraId="1A849AF9" w14:textId="77777777" w:rsidR="00333AFD" w:rsidRPr="00333AFD" w:rsidRDefault="00333AFD" w:rsidP="00810014">
      <w:pPr>
        <w:pStyle w:val="SingleTxtG"/>
        <w:spacing w:after="130"/>
      </w:pPr>
      <w:r w:rsidRPr="00333AFD">
        <w:tab/>
        <w:t>b)</w:t>
      </w:r>
      <w:r w:rsidRPr="00333AFD">
        <w:tab/>
        <w:t xml:space="preserve">La justicia no debe demorarse, y para ello los miembros del poder judicial deben desempeñar sus funciones judiciales con eficacia y prontitud razonable; </w:t>
      </w:r>
    </w:p>
    <w:p w14:paraId="6C3A139A" w14:textId="77777777" w:rsidR="00333AFD" w:rsidRPr="00333AFD" w:rsidRDefault="00333AFD" w:rsidP="00810014">
      <w:pPr>
        <w:pStyle w:val="SingleTxtG"/>
        <w:spacing w:after="130"/>
      </w:pPr>
      <w:r w:rsidRPr="00333AFD">
        <w:tab/>
        <w:t>c)</w:t>
      </w:r>
      <w:r w:rsidRPr="00333AFD">
        <w:tab/>
        <w:t>El papel de los tribunales es primordial para salvaguardar los derechos humanos y las libertades fundamentales, y el estado de derecho.</w:t>
      </w:r>
    </w:p>
    <w:p w14:paraId="0B0EF049" w14:textId="77777777" w:rsidR="00333AFD" w:rsidRPr="00333AFD" w:rsidRDefault="00333AFD" w:rsidP="00810014">
      <w:pPr>
        <w:pStyle w:val="SingleTxtG"/>
        <w:spacing w:after="130"/>
      </w:pPr>
      <w:r w:rsidRPr="00333AFD">
        <w:t>46.</w:t>
      </w:r>
      <w:r w:rsidRPr="00333AFD">
        <w:tab/>
        <w:t>Además, los miembros del poder judicial, individual y colectivamente, deben respetar y honrar su cargo judicial como depositarios de la confianza pública y esforzarse por aumentar su independencia a fin de mantener la confianza de la opinión pública en el sistema judicial. Por lo tanto, al adoptar una decisión judicial, los miembros del poder judicial deben hacerlo libremente y sin injerencias o influencias indebidas.</w:t>
      </w:r>
    </w:p>
    <w:p w14:paraId="5724E561" w14:textId="77777777" w:rsidR="00333AFD" w:rsidRPr="00333AFD" w:rsidRDefault="00333AFD" w:rsidP="00810014">
      <w:pPr>
        <w:pStyle w:val="SingleTxtG"/>
        <w:spacing w:after="130"/>
      </w:pPr>
      <w:r w:rsidRPr="00333AFD">
        <w:t>47.</w:t>
      </w:r>
      <w:r w:rsidRPr="00333AFD">
        <w:tab/>
        <w:t>Para promover y facilitar la independencia y la rendición de cuentas del poder judicial y la eficiencia, la eficacia y la transparencia de la administración de justicia en Zimbabwe, en virtud de la Ley de la Carrera Judicial [capítulo 7:18] se creó el Consejo Superior de la Magistratura, que se encarga de la contratación, la disciplina y las condiciones de servicio de las personas empleadas en el poder judicial.</w:t>
      </w:r>
    </w:p>
    <w:p w14:paraId="3D80914E" w14:textId="77777777" w:rsidR="00333AFD" w:rsidRPr="00333AFD" w:rsidRDefault="00333AFD" w:rsidP="00810014">
      <w:pPr>
        <w:pStyle w:val="SingleTxtG"/>
        <w:spacing w:after="130"/>
      </w:pPr>
      <w:r w:rsidRPr="00333AFD">
        <w:t>48.</w:t>
      </w:r>
      <w:r w:rsidRPr="00333AFD">
        <w:tab/>
        <w:t>A continuación se muestra la estructura de los tribunales y el Consejo Superior de la Magistratura de Zimbabwe.</w:t>
      </w:r>
    </w:p>
    <w:p w14:paraId="7BDA469E" w14:textId="35D3E55B" w:rsidR="00333AFD" w:rsidRPr="00333AFD" w:rsidRDefault="00F35AF3" w:rsidP="00F35AF3">
      <w:pPr>
        <w:pStyle w:val="H23G"/>
      </w:pPr>
      <w:r w:rsidRPr="00F35AF3">
        <w:rPr>
          <w:b w:val="0"/>
          <w:bCs/>
        </w:rPr>
        <w:lastRenderedPageBreak/>
        <w:tab/>
      </w:r>
      <w:r w:rsidRPr="00F35AF3">
        <w:rPr>
          <w:b w:val="0"/>
          <w:bCs/>
        </w:rPr>
        <w:tab/>
      </w:r>
      <w:r w:rsidR="00333AFD" w:rsidRPr="00F35AF3">
        <w:rPr>
          <w:b w:val="0"/>
          <w:bCs/>
        </w:rPr>
        <w:t>Figura 3</w:t>
      </w:r>
      <w:r w:rsidRPr="00F35AF3">
        <w:rPr>
          <w:b w:val="0"/>
          <w:bCs/>
        </w:rPr>
        <w:br/>
      </w:r>
      <w:r w:rsidR="00333AFD" w:rsidRPr="00333AFD">
        <w:t>Estructura de los tribunales de Zimbabwe</w:t>
      </w:r>
    </w:p>
    <w:p w14:paraId="7FD4287C" w14:textId="77777777" w:rsidR="00333AFD" w:rsidRPr="00333AFD" w:rsidRDefault="00333AFD" w:rsidP="00333AFD">
      <w:pPr>
        <w:pStyle w:val="SingleTxtG"/>
      </w:pPr>
      <w:r w:rsidRPr="00333AFD">
        <w:rPr>
          <w:noProof/>
        </w:rPr>
        <w:drawing>
          <wp:inline distT="0" distB="0" distL="0" distR="0" wp14:anchorId="54AC161D" wp14:editId="0E20A2E3">
            <wp:extent cx="4666445" cy="6293128"/>
            <wp:effectExtent l="0" t="0" r="190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66445" cy="6293128"/>
                    </a:xfrm>
                    <a:prstGeom prst="rect">
                      <a:avLst/>
                    </a:prstGeom>
                  </pic:spPr>
                </pic:pic>
              </a:graphicData>
            </a:graphic>
          </wp:inline>
        </w:drawing>
      </w:r>
    </w:p>
    <w:p w14:paraId="7CF6EFED" w14:textId="79F351DB" w:rsidR="00333AFD" w:rsidRPr="00333AFD" w:rsidRDefault="00333AFD" w:rsidP="003D4091">
      <w:pPr>
        <w:pStyle w:val="H23G"/>
        <w:ind w:left="0" w:firstLine="0"/>
      </w:pPr>
      <w:r w:rsidRPr="00F35AF3">
        <w:rPr>
          <w:b w:val="0"/>
          <w:bCs/>
        </w:rPr>
        <w:lastRenderedPageBreak/>
        <w:t>Figura 4</w:t>
      </w:r>
      <w:r w:rsidR="00F35AF3" w:rsidRPr="00F35AF3">
        <w:rPr>
          <w:b w:val="0"/>
          <w:bCs/>
        </w:rPr>
        <w:br/>
      </w:r>
      <w:r w:rsidRPr="00333AFD">
        <w:t>Estructura del Consejo Superior de la Magistratura</w:t>
      </w:r>
    </w:p>
    <w:p w14:paraId="285F423F" w14:textId="77777777" w:rsidR="00333AFD" w:rsidRPr="00333AFD" w:rsidRDefault="00333AFD" w:rsidP="003D4091">
      <w:pPr>
        <w:pStyle w:val="SingleTxtG"/>
        <w:ind w:left="0"/>
      </w:pPr>
      <w:r w:rsidRPr="00333AFD">
        <w:rPr>
          <w:noProof/>
        </w:rPr>
        <w:drawing>
          <wp:inline distT="0" distB="0" distL="0" distR="0" wp14:anchorId="6F7DA068" wp14:editId="1E0E7F4D">
            <wp:extent cx="6091707" cy="2727629"/>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6196773" cy="2774673"/>
                    </a:xfrm>
                    <a:prstGeom prst="rect">
                      <a:avLst/>
                    </a:prstGeom>
                    <a:noFill/>
                    <a:ln w="9525">
                      <a:noFill/>
                      <a:miter lim="800000"/>
                      <a:headEnd/>
                      <a:tailEnd/>
                    </a:ln>
                  </pic:spPr>
                </pic:pic>
              </a:graphicData>
            </a:graphic>
          </wp:inline>
        </w:drawing>
      </w:r>
    </w:p>
    <w:p w14:paraId="697D3B22" w14:textId="77777777" w:rsidR="00333AFD" w:rsidRPr="00333AFD" w:rsidRDefault="00333AFD" w:rsidP="00F35AF3">
      <w:pPr>
        <w:pStyle w:val="H23G"/>
      </w:pPr>
      <w:bookmarkStart w:id="21" w:name="_Toc87853291"/>
      <w:r w:rsidRPr="00333AFD">
        <w:tab/>
      </w:r>
      <w:r w:rsidRPr="00333AFD">
        <w:tab/>
        <w:t>Principios del reconocimiento de las organizaciones no gubernamentales</w:t>
      </w:r>
      <w:bookmarkEnd w:id="21"/>
    </w:p>
    <w:p w14:paraId="045275CD" w14:textId="77777777" w:rsidR="00333AFD" w:rsidRPr="00333AFD" w:rsidRDefault="00333AFD" w:rsidP="00333AFD">
      <w:pPr>
        <w:pStyle w:val="SingleTxtG"/>
      </w:pPr>
      <w:r w:rsidRPr="00333AFD">
        <w:t>49.</w:t>
      </w:r>
      <w:r w:rsidRPr="00333AFD">
        <w:tab/>
        <w:t>Las organizaciones no gubernamentales se registran en virtud de la Ley de Organizaciones Voluntarias Privadas [capítulo 17:05] y la Ley de Registros de Escrituras [capítulo 20:05], mientras que algunas son reconocidas como asociaciones voluntarias en virtud del derecho anglosajón. Hay 1.498 organizaciones voluntarias privadas registradas que están exentas de pagar los aranceles de importación sobre los productos básicos utilizados para mejorar la ejecución de su mandato. De estas organizaciones registradas, 91 promueven los derechos de las personas con discapacidad y 263 la protección de la infancia.</w:t>
      </w:r>
    </w:p>
    <w:p w14:paraId="6A7DE2E8" w14:textId="2E012B7C" w:rsidR="00333AFD" w:rsidRPr="00333AFD" w:rsidRDefault="00F35AF3" w:rsidP="00F35AF3">
      <w:pPr>
        <w:pStyle w:val="H23G"/>
      </w:pPr>
      <w:bookmarkStart w:id="22" w:name="_Toc87853292"/>
      <w:r>
        <w:tab/>
      </w:r>
      <w:r w:rsidR="00333AFD" w:rsidRPr="00333AFD">
        <w:tab/>
        <w:t>Administración de justicia</w:t>
      </w:r>
      <w:bookmarkEnd w:id="22"/>
    </w:p>
    <w:p w14:paraId="7A76C947" w14:textId="77777777" w:rsidR="00333AFD" w:rsidRPr="00333AFD" w:rsidRDefault="00333AFD" w:rsidP="00333AFD">
      <w:pPr>
        <w:pStyle w:val="SingleTxtG"/>
      </w:pPr>
      <w:r w:rsidRPr="00333AFD">
        <w:t>50.</w:t>
      </w:r>
      <w:r w:rsidRPr="00333AFD">
        <w:tab/>
        <w:t>La siguiente información muestra datos desglosados sobre las personas que cumplen penas privativas de libertad:</w:t>
      </w:r>
    </w:p>
    <w:p w14:paraId="3A149152" w14:textId="018E0CCE" w:rsidR="00333AFD" w:rsidRPr="00333AFD" w:rsidRDefault="00333AFD" w:rsidP="00333AFD">
      <w:pPr>
        <w:pStyle w:val="SingleTxtG"/>
      </w:pPr>
      <w:r w:rsidRPr="00333AFD">
        <w:tab/>
        <w:t>a)</w:t>
      </w:r>
      <w:r w:rsidRPr="00333AFD">
        <w:tab/>
        <w:t>El 11 de noviembre de 2019, la población penitenciaria, era de 19.971</w:t>
      </w:r>
      <w:r w:rsidR="004E0BD7">
        <w:t> </w:t>
      </w:r>
      <w:r w:rsidRPr="00333AFD">
        <w:t>personas; de ese total, el número de personas condenadas ascendía a 16.856, mientras que el de personas en prisión preventiva era de 3.115;</w:t>
      </w:r>
    </w:p>
    <w:p w14:paraId="4217B940" w14:textId="7D863E86" w:rsidR="00333AFD" w:rsidRPr="00333AFD" w:rsidRDefault="00333AFD" w:rsidP="00333AFD">
      <w:pPr>
        <w:pStyle w:val="SingleTxtG"/>
      </w:pPr>
      <w:r w:rsidRPr="00333AFD">
        <w:tab/>
        <w:t>b)</w:t>
      </w:r>
      <w:r w:rsidRPr="00333AFD">
        <w:tab/>
        <w:t>La población penitenciaria desglosada por sexo indicaba que el total de la población masculina era de 19.523 personas, mientras que la femenina era de 448. Del total de la población femenina, 313 cumplían penas privativas de libertad, mientras que 135</w:t>
      </w:r>
      <w:r w:rsidR="004E0BD7">
        <w:t> </w:t>
      </w:r>
      <w:r w:rsidRPr="00333AFD">
        <w:t xml:space="preserve">estaban en prisión preventiva, y 27 estaban amamantando a su hijo o hija; </w:t>
      </w:r>
    </w:p>
    <w:p w14:paraId="232AAA83" w14:textId="77777777" w:rsidR="00333AFD" w:rsidRPr="00333AFD" w:rsidRDefault="00333AFD" w:rsidP="00333AFD">
      <w:pPr>
        <w:pStyle w:val="SingleTxtG"/>
      </w:pPr>
      <w:r w:rsidRPr="00333AFD">
        <w:tab/>
        <w:t>c)</w:t>
      </w:r>
      <w:r w:rsidRPr="00333AFD">
        <w:tab/>
        <w:t>Del total de la población penitenciaria, 89 hombres habían sido condenados a muerte, mientras que 136 cumplían la pena de prisión perpetua;</w:t>
      </w:r>
    </w:p>
    <w:p w14:paraId="36DC2A66" w14:textId="77777777" w:rsidR="00333AFD" w:rsidRPr="00333AFD" w:rsidRDefault="00333AFD" w:rsidP="00333AFD">
      <w:pPr>
        <w:pStyle w:val="SingleTxtG"/>
      </w:pPr>
      <w:r w:rsidRPr="00333AFD">
        <w:tab/>
        <w:t>d)</w:t>
      </w:r>
      <w:r w:rsidRPr="00333AFD">
        <w:tab/>
        <w:t>Del total de la población penitenciaria, 112 reclusos tenían una discapacidad (106 condenados y 6 en prisión preventiva); no había mujeres en esta categoría. Todos los reclusos con discapacidad se beneficiaron de indultos presidenciales en 2020 y 2021, independientemente de la gravedad del delito cometido y de la duración de sus condenas;</w:t>
      </w:r>
    </w:p>
    <w:p w14:paraId="3753577B" w14:textId="4C183942" w:rsidR="00333AFD" w:rsidRPr="00333AFD" w:rsidRDefault="00333AFD" w:rsidP="00333AFD">
      <w:pPr>
        <w:pStyle w:val="SingleTxtG"/>
      </w:pPr>
      <w:r w:rsidRPr="00333AFD">
        <w:tab/>
        <w:t>e)</w:t>
      </w:r>
      <w:r w:rsidRPr="00333AFD">
        <w:tab/>
        <w:t>Del total de la población penitenciaria, 359 tenían trastornos mentales, 326</w:t>
      </w:r>
      <w:r w:rsidR="004E0BD7">
        <w:t> </w:t>
      </w:r>
      <w:r w:rsidRPr="00333AFD">
        <w:t>hombres y 33 mujeres.</w:t>
      </w:r>
    </w:p>
    <w:p w14:paraId="7C6ACB3E" w14:textId="52054E71" w:rsidR="00333AFD" w:rsidRPr="00333AFD" w:rsidRDefault="00F35AF3" w:rsidP="00F35AF3">
      <w:pPr>
        <w:pStyle w:val="HChG"/>
      </w:pPr>
      <w:bookmarkStart w:id="23" w:name="_Toc87853293"/>
      <w:r>
        <w:lastRenderedPageBreak/>
        <w:tab/>
      </w:r>
      <w:r w:rsidR="00333AFD" w:rsidRPr="00333AFD">
        <w:tab/>
        <w:t>Parte 2</w:t>
      </w:r>
      <w:r>
        <w:br/>
      </w:r>
      <w:r w:rsidR="00333AFD" w:rsidRPr="00333AFD">
        <w:t>Marco general de protección y promoción de los derechos humanos</w:t>
      </w:r>
      <w:bookmarkEnd w:id="23"/>
    </w:p>
    <w:p w14:paraId="280407C8" w14:textId="77777777" w:rsidR="00333AFD" w:rsidRPr="00333AFD" w:rsidRDefault="00333AFD" w:rsidP="00F35AF3">
      <w:pPr>
        <w:pStyle w:val="HChG"/>
      </w:pPr>
      <w:bookmarkStart w:id="24" w:name="_Toc87853294"/>
      <w:r w:rsidRPr="00333AFD">
        <w:tab/>
        <w:t>I.</w:t>
      </w:r>
      <w:r w:rsidRPr="00333AFD">
        <w:tab/>
        <w:t>Aceptación de las normas internacionales de derechos humanos</w:t>
      </w:r>
      <w:bookmarkEnd w:id="24"/>
    </w:p>
    <w:p w14:paraId="3DAB39AE" w14:textId="77777777" w:rsidR="00333AFD" w:rsidRPr="00333AFD" w:rsidRDefault="00333AFD" w:rsidP="00333AFD">
      <w:pPr>
        <w:pStyle w:val="SingleTxtG"/>
      </w:pPr>
      <w:r w:rsidRPr="00333AFD">
        <w:t>51.</w:t>
      </w:r>
      <w:r w:rsidRPr="00333AFD">
        <w:tab/>
        <w:t>A continuación se presenta un resumen de los tratados internacionales en los que Zimbabwe es parte.</w:t>
      </w:r>
    </w:p>
    <w:p w14:paraId="1AAF00DB" w14:textId="625DF877" w:rsidR="00333AFD" w:rsidRPr="00333AFD" w:rsidRDefault="00F35AF3" w:rsidP="00F35AF3">
      <w:pPr>
        <w:pStyle w:val="H23G"/>
      </w:pPr>
      <w:r w:rsidRPr="00F35AF3">
        <w:rPr>
          <w:b w:val="0"/>
          <w:bCs/>
        </w:rPr>
        <w:tab/>
      </w:r>
      <w:r w:rsidRPr="00F35AF3">
        <w:rPr>
          <w:b w:val="0"/>
          <w:bCs/>
        </w:rPr>
        <w:tab/>
      </w:r>
      <w:r w:rsidR="00333AFD" w:rsidRPr="00F35AF3">
        <w:rPr>
          <w:b w:val="0"/>
          <w:bCs/>
        </w:rPr>
        <w:t>Cuadro 5</w:t>
      </w:r>
      <w:r w:rsidRPr="00F35AF3">
        <w:rPr>
          <w:b w:val="0"/>
          <w:bCs/>
        </w:rPr>
        <w:br/>
      </w:r>
      <w:r w:rsidR="00333AFD" w:rsidRPr="00333AFD">
        <w:t>Tratados y protocolos facultativos internacionales básicos de derechos humanos</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54"/>
        <w:gridCol w:w="4821"/>
        <w:gridCol w:w="1885"/>
        <w:gridCol w:w="1145"/>
      </w:tblGrid>
      <w:tr w:rsidR="00F35AF3" w:rsidRPr="00F35AF3" w14:paraId="40B4FFF3" w14:textId="77777777" w:rsidTr="00F35AF3">
        <w:trPr>
          <w:trHeight w:val="240"/>
          <w:tblHeader/>
        </w:trPr>
        <w:tc>
          <w:tcPr>
            <w:tcW w:w="567" w:type="dxa"/>
            <w:tcBorders>
              <w:top w:val="single" w:sz="4" w:space="0" w:color="auto"/>
              <w:bottom w:val="single" w:sz="12" w:space="0" w:color="auto"/>
            </w:tcBorders>
            <w:shd w:val="clear" w:color="auto" w:fill="auto"/>
            <w:vAlign w:val="bottom"/>
          </w:tcPr>
          <w:p w14:paraId="46C0863C" w14:textId="3D216D5C"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F35AF3">
              <w:rPr>
                <w:i/>
                <w:iCs/>
                <w:sz w:val="16"/>
              </w:rPr>
              <w:t>ero</w:t>
            </w:r>
          </w:p>
        </w:tc>
        <w:tc>
          <w:tcPr>
            <w:tcW w:w="4178" w:type="dxa"/>
            <w:tcBorders>
              <w:top w:val="single" w:sz="4" w:space="0" w:color="auto"/>
              <w:bottom w:val="single" w:sz="12" w:space="0" w:color="auto"/>
            </w:tcBorders>
            <w:shd w:val="clear" w:color="auto" w:fill="auto"/>
            <w:vAlign w:val="bottom"/>
          </w:tcPr>
          <w:p w14:paraId="62EA79DF"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Tratado</w:t>
            </w:r>
          </w:p>
        </w:tc>
        <w:tc>
          <w:tcPr>
            <w:tcW w:w="1634" w:type="dxa"/>
            <w:tcBorders>
              <w:top w:val="single" w:sz="4" w:space="0" w:color="auto"/>
              <w:bottom w:val="single" w:sz="12" w:space="0" w:color="auto"/>
            </w:tcBorders>
            <w:shd w:val="clear" w:color="auto" w:fill="auto"/>
            <w:vAlign w:val="bottom"/>
          </w:tcPr>
          <w:p w14:paraId="58524431"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Situación</w:t>
            </w:r>
          </w:p>
        </w:tc>
        <w:tc>
          <w:tcPr>
            <w:tcW w:w="992" w:type="dxa"/>
            <w:tcBorders>
              <w:top w:val="single" w:sz="4" w:space="0" w:color="auto"/>
              <w:bottom w:val="single" w:sz="12" w:space="0" w:color="auto"/>
            </w:tcBorders>
            <w:shd w:val="clear" w:color="auto" w:fill="auto"/>
            <w:vAlign w:val="bottom"/>
          </w:tcPr>
          <w:p w14:paraId="670EE005" w14:textId="466D462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Reservas/</w:t>
            </w:r>
            <w:r w:rsidR="00F35AF3">
              <w:rPr>
                <w:i/>
                <w:iCs/>
                <w:sz w:val="16"/>
              </w:rPr>
              <w:br/>
            </w:r>
            <w:r w:rsidRPr="00333AFD">
              <w:rPr>
                <w:i/>
                <w:iCs/>
                <w:sz w:val="16"/>
              </w:rPr>
              <w:t>excepciones</w:t>
            </w:r>
          </w:p>
        </w:tc>
      </w:tr>
      <w:tr w:rsidR="00F35AF3" w:rsidRPr="00333AFD" w14:paraId="3445B370" w14:textId="77777777" w:rsidTr="00F35AF3">
        <w:trPr>
          <w:trHeight w:hRule="exact" w:val="113"/>
          <w:tblHeader/>
        </w:trPr>
        <w:tc>
          <w:tcPr>
            <w:tcW w:w="567" w:type="dxa"/>
            <w:tcBorders>
              <w:top w:val="single" w:sz="12" w:space="0" w:color="auto"/>
            </w:tcBorders>
            <w:shd w:val="clear" w:color="auto" w:fill="auto"/>
          </w:tcPr>
          <w:p w14:paraId="7ACBE8D6"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4178" w:type="dxa"/>
            <w:tcBorders>
              <w:top w:val="single" w:sz="12" w:space="0" w:color="auto"/>
            </w:tcBorders>
            <w:shd w:val="clear" w:color="auto" w:fill="auto"/>
          </w:tcPr>
          <w:p w14:paraId="7BB05898"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1634" w:type="dxa"/>
            <w:tcBorders>
              <w:top w:val="single" w:sz="12" w:space="0" w:color="auto"/>
            </w:tcBorders>
            <w:shd w:val="clear" w:color="auto" w:fill="auto"/>
          </w:tcPr>
          <w:p w14:paraId="3743ACFD"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992" w:type="dxa"/>
            <w:tcBorders>
              <w:top w:val="single" w:sz="12" w:space="0" w:color="auto"/>
            </w:tcBorders>
            <w:shd w:val="clear" w:color="auto" w:fill="auto"/>
          </w:tcPr>
          <w:p w14:paraId="3A5043CC" w14:textId="77777777" w:rsidR="00333AFD" w:rsidRPr="00333AFD" w:rsidRDefault="00333AFD" w:rsidP="00F35AF3">
            <w:pPr>
              <w:pStyle w:val="SingleTxtG"/>
              <w:tabs>
                <w:tab w:val="clear" w:pos="1701"/>
                <w:tab w:val="clear" w:pos="2268"/>
                <w:tab w:val="clear" w:pos="2835"/>
              </w:tabs>
              <w:spacing w:before="40"/>
              <w:ind w:left="0" w:right="0"/>
              <w:jc w:val="left"/>
            </w:pPr>
          </w:p>
        </w:tc>
      </w:tr>
      <w:tr w:rsidR="00F35AF3" w:rsidRPr="00333AFD" w14:paraId="03229E1F" w14:textId="77777777" w:rsidTr="00F35AF3">
        <w:trPr>
          <w:trHeight w:val="240"/>
        </w:trPr>
        <w:tc>
          <w:tcPr>
            <w:tcW w:w="567" w:type="dxa"/>
            <w:shd w:val="clear" w:color="auto" w:fill="auto"/>
          </w:tcPr>
          <w:p w14:paraId="7101B0B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w:t>
            </w:r>
          </w:p>
        </w:tc>
        <w:tc>
          <w:tcPr>
            <w:tcW w:w="4178" w:type="dxa"/>
            <w:shd w:val="clear" w:color="auto" w:fill="auto"/>
          </w:tcPr>
          <w:p w14:paraId="68E5654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Pacto Internacional de Derechos Económicos, Sociales y Culturales</w:t>
            </w:r>
          </w:p>
        </w:tc>
        <w:tc>
          <w:tcPr>
            <w:tcW w:w="1634" w:type="dxa"/>
            <w:shd w:val="clear" w:color="auto" w:fill="auto"/>
          </w:tcPr>
          <w:p w14:paraId="436C088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13 de mayo de 1991</w:t>
            </w:r>
          </w:p>
        </w:tc>
        <w:tc>
          <w:tcPr>
            <w:tcW w:w="992" w:type="dxa"/>
            <w:shd w:val="clear" w:color="auto" w:fill="auto"/>
          </w:tcPr>
          <w:p w14:paraId="228FD67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1CA32763" w14:textId="77777777" w:rsidTr="00F35AF3">
        <w:trPr>
          <w:trHeight w:val="240"/>
        </w:trPr>
        <w:tc>
          <w:tcPr>
            <w:tcW w:w="567" w:type="dxa"/>
            <w:shd w:val="clear" w:color="auto" w:fill="auto"/>
          </w:tcPr>
          <w:p w14:paraId="6218C26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w:t>
            </w:r>
          </w:p>
        </w:tc>
        <w:tc>
          <w:tcPr>
            <w:tcW w:w="4178" w:type="dxa"/>
            <w:shd w:val="clear" w:color="auto" w:fill="auto"/>
          </w:tcPr>
          <w:p w14:paraId="6AE703F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Pacto Internacional de Derechos Civiles y Políticos</w:t>
            </w:r>
          </w:p>
        </w:tc>
        <w:tc>
          <w:tcPr>
            <w:tcW w:w="1634" w:type="dxa"/>
            <w:shd w:val="clear" w:color="auto" w:fill="auto"/>
          </w:tcPr>
          <w:p w14:paraId="3B9133E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13 de mayo de 1991</w:t>
            </w:r>
          </w:p>
        </w:tc>
        <w:tc>
          <w:tcPr>
            <w:tcW w:w="992" w:type="dxa"/>
            <w:shd w:val="clear" w:color="auto" w:fill="auto"/>
          </w:tcPr>
          <w:p w14:paraId="4C816F9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7645F1CD" w14:textId="77777777" w:rsidTr="00F35AF3">
        <w:trPr>
          <w:trHeight w:val="240"/>
        </w:trPr>
        <w:tc>
          <w:tcPr>
            <w:tcW w:w="567" w:type="dxa"/>
            <w:shd w:val="clear" w:color="auto" w:fill="auto"/>
          </w:tcPr>
          <w:p w14:paraId="3A2ABC8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3.</w:t>
            </w:r>
          </w:p>
        </w:tc>
        <w:tc>
          <w:tcPr>
            <w:tcW w:w="4178" w:type="dxa"/>
            <w:shd w:val="clear" w:color="auto" w:fill="auto"/>
          </w:tcPr>
          <w:p w14:paraId="148F96C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 xml:space="preserve">Convención Internacional sobre la Eliminación de todas las Formas de Discriminación Racial </w:t>
            </w:r>
          </w:p>
        </w:tc>
        <w:tc>
          <w:tcPr>
            <w:tcW w:w="1634" w:type="dxa"/>
            <w:shd w:val="clear" w:color="auto" w:fill="auto"/>
          </w:tcPr>
          <w:p w14:paraId="639752C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10 de abril de 1991</w:t>
            </w:r>
          </w:p>
        </w:tc>
        <w:tc>
          <w:tcPr>
            <w:tcW w:w="992" w:type="dxa"/>
            <w:shd w:val="clear" w:color="auto" w:fill="auto"/>
          </w:tcPr>
          <w:p w14:paraId="3F4FDFB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444FD57E" w14:textId="77777777" w:rsidTr="00F35AF3">
        <w:trPr>
          <w:trHeight w:val="240"/>
        </w:trPr>
        <w:tc>
          <w:tcPr>
            <w:tcW w:w="567" w:type="dxa"/>
            <w:shd w:val="clear" w:color="auto" w:fill="auto"/>
          </w:tcPr>
          <w:p w14:paraId="745A378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4.</w:t>
            </w:r>
          </w:p>
        </w:tc>
        <w:tc>
          <w:tcPr>
            <w:tcW w:w="4178" w:type="dxa"/>
            <w:shd w:val="clear" w:color="auto" w:fill="auto"/>
          </w:tcPr>
          <w:p w14:paraId="4410881D"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Convención sobre la Eliminación de Todas las Formas de Discriminación contra la Mujer</w:t>
            </w:r>
          </w:p>
        </w:tc>
        <w:tc>
          <w:tcPr>
            <w:tcW w:w="1634" w:type="dxa"/>
            <w:shd w:val="clear" w:color="auto" w:fill="auto"/>
          </w:tcPr>
          <w:p w14:paraId="49428D3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13 de mayo de 1991</w:t>
            </w:r>
          </w:p>
        </w:tc>
        <w:tc>
          <w:tcPr>
            <w:tcW w:w="992" w:type="dxa"/>
            <w:shd w:val="clear" w:color="auto" w:fill="auto"/>
          </w:tcPr>
          <w:p w14:paraId="192F3D5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5F4394D0" w14:textId="77777777" w:rsidTr="00F35AF3">
        <w:trPr>
          <w:trHeight w:val="240"/>
        </w:trPr>
        <w:tc>
          <w:tcPr>
            <w:tcW w:w="567" w:type="dxa"/>
            <w:shd w:val="clear" w:color="auto" w:fill="auto"/>
          </w:tcPr>
          <w:p w14:paraId="45BE1BC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5.</w:t>
            </w:r>
          </w:p>
        </w:tc>
        <w:tc>
          <w:tcPr>
            <w:tcW w:w="4178" w:type="dxa"/>
            <w:shd w:val="clear" w:color="auto" w:fill="auto"/>
          </w:tcPr>
          <w:p w14:paraId="293CE62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Convención sobre los Derechos del Niño</w:t>
            </w:r>
          </w:p>
        </w:tc>
        <w:tc>
          <w:tcPr>
            <w:tcW w:w="1634" w:type="dxa"/>
            <w:shd w:val="clear" w:color="auto" w:fill="auto"/>
          </w:tcPr>
          <w:p w14:paraId="2055605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8 de marzo de 1990</w:t>
            </w:r>
          </w:p>
        </w:tc>
        <w:tc>
          <w:tcPr>
            <w:tcW w:w="992" w:type="dxa"/>
            <w:shd w:val="clear" w:color="auto" w:fill="auto"/>
          </w:tcPr>
          <w:p w14:paraId="065E007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37FCBC1B" w14:textId="77777777" w:rsidTr="00F35AF3">
        <w:trPr>
          <w:trHeight w:val="240"/>
        </w:trPr>
        <w:tc>
          <w:tcPr>
            <w:tcW w:w="567" w:type="dxa"/>
            <w:shd w:val="clear" w:color="auto" w:fill="auto"/>
          </w:tcPr>
          <w:p w14:paraId="3EB0DE6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6.</w:t>
            </w:r>
          </w:p>
        </w:tc>
        <w:tc>
          <w:tcPr>
            <w:tcW w:w="4178" w:type="dxa"/>
            <w:shd w:val="clear" w:color="auto" w:fill="auto"/>
          </w:tcPr>
          <w:p w14:paraId="225021E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Protocolo Facultativo de la Convención sobre los Derechos del Niño relativo a la participación de niños en los conflictos armados</w:t>
            </w:r>
          </w:p>
        </w:tc>
        <w:tc>
          <w:tcPr>
            <w:tcW w:w="1634" w:type="dxa"/>
            <w:shd w:val="clear" w:color="auto" w:fill="auto"/>
          </w:tcPr>
          <w:p w14:paraId="77308B2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22 de mayo de 2013</w:t>
            </w:r>
          </w:p>
        </w:tc>
        <w:tc>
          <w:tcPr>
            <w:tcW w:w="992" w:type="dxa"/>
            <w:shd w:val="clear" w:color="auto" w:fill="auto"/>
          </w:tcPr>
          <w:p w14:paraId="1C565B6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0C60E2FA" w14:textId="77777777" w:rsidTr="00F35AF3">
        <w:trPr>
          <w:trHeight w:val="240"/>
        </w:trPr>
        <w:tc>
          <w:tcPr>
            <w:tcW w:w="567" w:type="dxa"/>
            <w:shd w:val="clear" w:color="auto" w:fill="auto"/>
          </w:tcPr>
          <w:p w14:paraId="75C93B2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7.</w:t>
            </w:r>
          </w:p>
        </w:tc>
        <w:tc>
          <w:tcPr>
            <w:tcW w:w="4178" w:type="dxa"/>
            <w:shd w:val="clear" w:color="auto" w:fill="auto"/>
          </w:tcPr>
          <w:p w14:paraId="43EF8E8D" w14:textId="77777777" w:rsidR="00333AFD" w:rsidRPr="00333AFD" w:rsidRDefault="00333AFD" w:rsidP="00F35AF3">
            <w:pPr>
              <w:pStyle w:val="SingleTxtG"/>
              <w:tabs>
                <w:tab w:val="clear" w:pos="1701"/>
                <w:tab w:val="clear" w:pos="2268"/>
                <w:tab w:val="clear" w:pos="2835"/>
              </w:tabs>
              <w:spacing w:before="40"/>
              <w:ind w:left="0" w:right="0"/>
              <w:jc w:val="left"/>
            </w:pPr>
            <w:r w:rsidRPr="00333AFD">
              <w:t>Protocolo Facultativo de la Convención sobre los Derechos del Niño relativo a la venta de niños, la prostitución infantil y la utilización de niños en la pornografía</w:t>
            </w:r>
          </w:p>
        </w:tc>
        <w:tc>
          <w:tcPr>
            <w:tcW w:w="1634" w:type="dxa"/>
            <w:shd w:val="clear" w:color="auto" w:fill="auto"/>
          </w:tcPr>
          <w:p w14:paraId="583C9E6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14 de febrero de 2012</w:t>
            </w:r>
          </w:p>
        </w:tc>
        <w:tc>
          <w:tcPr>
            <w:tcW w:w="992" w:type="dxa"/>
            <w:shd w:val="clear" w:color="auto" w:fill="auto"/>
          </w:tcPr>
          <w:p w14:paraId="28958D7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7ED8A9EB" w14:textId="77777777" w:rsidTr="00F35AF3">
        <w:trPr>
          <w:trHeight w:val="240"/>
        </w:trPr>
        <w:tc>
          <w:tcPr>
            <w:tcW w:w="567" w:type="dxa"/>
            <w:shd w:val="clear" w:color="auto" w:fill="auto"/>
          </w:tcPr>
          <w:p w14:paraId="7BF0550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8.</w:t>
            </w:r>
          </w:p>
        </w:tc>
        <w:tc>
          <w:tcPr>
            <w:tcW w:w="4178" w:type="dxa"/>
            <w:shd w:val="clear" w:color="auto" w:fill="auto"/>
          </w:tcPr>
          <w:p w14:paraId="4DF9EC7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Convención sobre los Derechos de las Personas con Discapacidad</w:t>
            </w:r>
          </w:p>
        </w:tc>
        <w:tc>
          <w:tcPr>
            <w:tcW w:w="1634" w:type="dxa"/>
            <w:shd w:val="clear" w:color="auto" w:fill="auto"/>
          </w:tcPr>
          <w:p w14:paraId="07F0863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23 de septiembre de 2013</w:t>
            </w:r>
          </w:p>
        </w:tc>
        <w:tc>
          <w:tcPr>
            <w:tcW w:w="992" w:type="dxa"/>
            <w:shd w:val="clear" w:color="auto" w:fill="auto"/>
          </w:tcPr>
          <w:p w14:paraId="315AAE2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7D603920" w14:textId="77777777" w:rsidTr="00F35AF3">
        <w:trPr>
          <w:trHeight w:val="240"/>
        </w:trPr>
        <w:tc>
          <w:tcPr>
            <w:tcW w:w="567" w:type="dxa"/>
            <w:tcBorders>
              <w:bottom w:val="single" w:sz="12" w:space="0" w:color="auto"/>
            </w:tcBorders>
            <w:shd w:val="clear" w:color="auto" w:fill="auto"/>
          </w:tcPr>
          <w:p w14:paraId="58FB97B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9.</w:t>
            </w:r>
          </w:p>
        </w:tc>
        <w:tc>
          <w:tcPr>
            <w:tcW w:w="4178" w:type="dxa"/>
            <w:tcBorders>
              <w:bottom w:val="single" w:sz="12" w:space="0" w:color="auto"/>
            </w:tcBorders>
            <w:shd w:val="clear" w:color="auto" w:fill="auto"/>
          </w:tcPr>
          <w:p w14:paraId="46F7ADA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Protocolo Facultativo de la Convención sobre los Derechos de las Personas con Discapacidad</w:t>
            </w:r>
          </w:p>
        </w:tc>
        <w:tc>
          <w:tcPr>
            <w:tcW w:w="1634" w:type="dxa"/>
            <w:tcBorders>
              <w:bottom w:val="single" w:sz="12" w:space="0" w:color="auto"/>
            </w:tcBorders>
            <w:shd w:val="clear" w:color="auto" w:fill="auto"/>
          </w:tcPr>
          <w:p w14:paraId="26CCE02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23 de septiembre de 2013</w:t>
            </w:r>
          </w:p>
        </w:tc>
        <w:tc>
          <w:tcPr>
            <w:tcW w:w="992" w:type="dxa"/>
            <w:tcBorders>
              <w:bottom w:val="single" w:sz="12" w:space="0" w:color="auto"/>
            </w:tcBorders>
            <w:shd w:val="clear" w:color="auto" w:fill="auto"/>
          </w:tcPr>
          <w:p w14:paraId="1CBF991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bl>
    <w:p w14:paraId="18837E74" w14:textId="6F90831A" w:rsidR="00333AFD" w:rsidRPr="00333AFD" w:rsidRDefault="00F35AF3" w:rsidP="00F35AF3">
      <w:pPr>
        <w:pStyle w:val="H23G"/>
      </w:pPr>
      <w:r w:rsidRPr="00F35AF3">
        <w:rPr>
          <w:b w:val="0"/>
          <w:bCs/>
        </w:rPr>
        <w:tab/>
      </w:r>
      <w:r w:rsidRPr="00F35AF3">
        <w:rPr>
          <w:b w:val="0"/>
          <w:bCs/>
        </w:rPr>
        <w:tab/>
      </w:r>
      <w:r w:rsidR="00333AFD" w:rsidRPr="00F35AF3">
        <w:rPr>
          <w:b w:val="0"/>
          <w:bCs/>
        </w:rPr>
        <w:t>Cuadro 6</w:t>
      </w:r>
      <w:r w:rsidRPr="00F35AF3">
        <w:rPr>
          <w:b w:val="0"/>
          <w:bCs/>
        </w:rPr>
        <w:br/>
      </w:r>
      <w:r w:rsidR="00333AFD" w:rsidRPr="00333AFD">
        <w:t>Otros instrumentos de derechos humanos de las Naciones Unidas</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55"/>
        <w:gridCol w:w="4744"/>
        <w:gridCol w:w="1972"/>
        <w:gridCol w:w="1134"/>
      </w:tblGrid>
      <w:tr w:rsidR="00F35AF3" w:rsidRPr="00F35AF3" w14:paraId="48101443" w14:textId="77777777" w:rsidTr="004E0BD7">
        <w:trPr>
          <w:trHeight w:val="240"/>
          <w:tblHeader/>
        </w:trPr>
        <w:tc>
          <w:tcPr>
            <w:tcW w:w="655" w:type="dxa"/>
            <w:tcBorders>
              <w:top w:val="single" w:sz="4" w:space="0" w:color="auto"/>
              <w:bottom w:val="single" w:sz="12" w:space="0" w:color="auto"/>
            </w:tcBorders>
            <w:shd w:val="clear" w:color="auto" w:fill="auto"/>
            <w:vAlign w:val="bottom"/>
          </w:tcPr>
          <w:p w14:paraId="0796DAB9" w14:textId="4D25B55F"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F35AF3">
              <w:rPr>
                <w:i/>
                <w:iCs/>
                <w:sz w:val="16"/>
              </w:rPr>
              <w:t>ero</w:t>
            </w:r>
          </w:p>
        </w:tc>
        <w:tc>
          <w:tcPr>
            <w:tcW w:w="4744" w:type="dxa"/>
            <w:tcBorders>
              <w:top w:val="single" w:sz="4" w:space="0" w:color="auto"/>
              <w:bottom w:val="single" w:sz="12" w:space="0" w:color="auto"/>
            </w:tcBorders>
            <w:shd w:val="clear" w:color="auto" w:fill="auto"/>
            <w:vAlign w:val="bottom"/>
          </w:tcPr>
          <w:p w14:paraId="41518F9F"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Tratado</w:t>
            </w:r>
          </w:p>
        </w:tc>
        <w:tc>
          <w:tcPr>
            <w:tcW w:w="1972" w:type="dxa"/>
            <w:tcBorders>
              <w:top w:val="single" w:sz="4" w:space="0" w:color="auto"/>
              <w:bottom w:val="single" w:sz="12" w:space="0" w:color="auto"/>
            </w:tcBorders>
            <w:shd w:val="clear" w:color="auto" w:fill="auto"/>
            <w:vAlign w:val="bottom"/>
          </w:tcPr>
          <w:p w14:paraId="70FFAB3D"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Situación</w:t>
            </w:r>
          </w:p>
        </w:tc>
        <w:tc>
          <w:tcPr>
            <w:tcW w:w="1134" w:type="dxa"/>
            <w:tcBorders>
              <w:top w:val="single" w:sz="4" w:space="0" w:color="auto"/>
              <w:bottom w:val="single" w:sz="12" w:space="0" w:color="auto"/>
            </w:tcBorders>
            <w:shd w:val="clear" w:color="auto" w:fill="auto"/>
            <w:vAlign w:val="bottom"/>
          </w:tcPr>
          <w:p w14:paraId="1B593341" w14:textId="2551584B"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Reservas/</w:t>
            </w:r>
            <w:r w:rsidR="00F35AF3">
              <w:rPr>
                <w:i/>
                <w:iCs/>
                <w:sz w:val="16"/>
              </w:rPr>
              <w:br/>
            </w:r>
            <w:r w:rsidRPr="00333AFD">
              <w:rPr>
                <w:i/>
                <w:iCs/>
                <w:sz w:val="16"/>
              </w:rPr>
              <w:t>excepciones</w:t>
            </w:r>
          </w:p>
        </w:tc>
      </w:tr>
      <w:tr w:rsidR="00F35AF3" w:rsidRPr="00333AFD" w14:paraId="1B29CB1F" w14:textId="77777777" w:rsidTr="004E0BD7">
        <w:trPr>
          <w:trHeight w:hRule="exact" w:val="113"/>
          <w:tblHeader/>
        </w:trPr>
        <w:tc>
          <w:tcPr>
            <w:tcW w:w="655" w:type="dxa"/>
            <w:tcBorders>
              <w:top w:val="single" w:sz="12" w:space="0" w:color="auto"/>
            </w:tcBorders>
            <w:shd w:val="clear" w:color="auto" w:fill="auto"/>
          </w:tcPr>
          <w:p w14:paraId="2BE62B67"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4744" w:type="dxa"/>
            <w:tcBorders>
              <w:top w:val="single" w:sz="12" w:space="0" w:color="auto"/>
            </w:tcBorders>
            <w:shd w:val="clear" w:color="auto" w:fill="auto"/>
          </w:tcPr>
          <w:p w14:paraId="381BD8D3"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1972" w:type="dxa"/>
            <w:tcBorders>
              <w:top w:val="single" w:sz="12" w:space="0" w:color="auto"/>
            </w:tcBorders>
            <w:shd w:val="clear" w:color="auto" w:fill="auto"/>
          </w:tcPr>
          <w:p w14:paraId="1F59D84B"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1134" w:type="dxa"/>
            <w:tcBorders>
              <w:top w:val="single" w:sz="12" w:space="0" w:color="auto"/>
            </w:tcBorders>
            <w:shd w:val="clear" w:color="auto" w:fill="auto"/>
          </w:tcPr>
          <w:p w14:paraId="54CB6D37" w14:textId="77777777" w:rsidR="00333AFD" w:rsidRPr="00333AFD" w:rsidRDefault="00333AFD" w:rsidP="00F35AF3">
            <w:pPr>
              <w:pStyle w:val="SingleTxtG"/>
              <w:tabs>
                <w:tab w:val="clear" w:pos="1701"/>
                <w:tab w:val="clear" w:pos="2268"/>
                <w:tab w:val="clear" w:pos="2835"/>
              </w:tabs>
              <w:spacing w:before="40"/>
              <w:ind w:left="0" w:right="0"/>
              <w:jc w:val="left"/>
            </w:pPr>
          </w:p>
        </w:tc>
      </w:tr>
      <w:tr w:rsidR="00F35AF3" w:rsidRPr="00333AFD" w14:paraId="65C09B94" w14:textId="77777777" w:rsidTr="00F35AF3">
        <w:trPr>
          <w:trHeight w:val="240"/>
        </w:trPr>
        <w:tc>
          <w:tcPr>
            <w:tcW w:w="655" w:type="dxa"/>
            <w:shd w:val="clear" w:color="auto" w:fill="auto"/>
          </w:tcPr>
          <w:p w14:paraId="2D622C9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w:t>
            </w:r>
          </w:p>
        </w:tc>
        <w:tc>
          <w:tcPr>
            <w:tcW w:w="4744" w:type="dxa"/>
            <w:shd w:val="clear" w:color="auto" w:fill="auto"/>
          </w:tcPr>
          <w:p w14:paraId="2A549B6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Convención para la Prevención y la Sanción del Delito de Genocidio, 1948</w:t>
            </w:r>
          </w:p>
        </w:tc>
        <w:tc>
          <w:tcPr>
            <w:tcW w:w="1972" w:type="dxa"/>
            <w:shd w:val="clear" w:color="auto" w:fill="auto"/>
          </w:tcPr>
          <w:p w14:paraId="0AD9B6E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Adhesión, 13 de mayo de 1991</w:t>
            </w:r>
          </w:p>
        </w:tc>
        <w:tc>
          <w:tcPr>
            <w:tcW w:w="1134" w:type="dxa"/>
            <w:shd w:val="clear" w:color="auto" w:fill="auto"/>
          </w:tcPr>
          <w:p w14:paraId="5D4972A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6DAB3033" w14:textId="77777777" w:rsidTr="00F35AF3">
        <w:trPr>
          <w:trHeight w:val="240"/>
        </w:trPr>
        <w:tc>
          <w:tcPr>
            <w:tcW w:w="655" w:type="dxa"/>
            <w:shd w:val="clear" w:color="auto" w:fill="auto"/>
          </w:tcPr>
          <w:p w14:paraId="291D62F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w:t>
            </w:r>
          </w:p>
        </w:tc>
        <w:tc>
          <w:tcPr>
            <w:tcW w:w="4744" w:type="dxa"/>
            <w:shd w:val="clear" w:color="auto" w:fill="auto"/>
          </w:tcPr>
          <w:p w14:paraId="676A94A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Convención sobre el Estatuto de los Refugiados de 1951 y su Protocolo de 1967</w:t>
            </w:r>
          </w:p>
        </w:tc>
        <w:tc>
          <w:tcPr>
            <w:tcW w:w="1972" w:type="dxa"/>
            <w:shd w:val="clear" w:color="auto" w:fill="auto"/>
          </w:tcPr>
          <w:p w14:paraId="7ED53B8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Adhesión, 25 de agosto de 1981</w:t>
            </w:r>
          </w:p>
        </w:tc>
        <w:tc>
          <w:tcPr>
            <w:tcW w:w="1134" w:type="dxa"/>
            <w:shd w:val="clear" w:color="auto" w:fill="auto"/>
          </w:tcPr>
          <w:p w14:paraId="5559B61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Reservas a los arts. 17, 23, 24 y 26</w:t>
            </w:r>
          </w:p>
        </w:tc>
      </w:tr>
      <w:tr w:rsidR="00F35AF3" w:rsidRPr="00333AFD" w14:paraId="41D7B3B5" w14:textId="77777777" w:rsidTr="00F35AF3">
        <w:trPr>
          <w:trHeight w:val="240"/>
        </w:trPr>
        <w:tc>
          <w:tcPr>
            <w:tcW w:w="655" w:type="dxa"/>
            <w:shd w:val="clear" w:color="auto" w:fill="auto"/>
          </w:tcPr>
          <w:p w14:paraId="5B64F5E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3.</w:t>
            </w:r>
          </w:p>
        </w:tc>
        <w:tc>
          <w:tcPr>
            <w:tcW w:w="4744" w:type="dxa"/>
            <w:shd w:val="clear" w:color="auto" w:fill="auto"/>
          </w:tcPr>
          <w:p w14:paraId="4B3BB0C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Convención sobre el Estatuto de los Apátridas 1954</w:t>
            </w:r>
          </w:p>
        </w:tc>
        <w:tc>
          <w:tcPr>
            <w:tcW w:w="1972" w:type="dxa"/>
            <w:shd w:val="clear" w:color="auto" w:fill="auto"/>
          </w:tcPr>
          <w:p w14:paraId="4BF8E1A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Adhesión, 1998</w:t>
            </w:r>
          </w:p>
        </w:tc>
        <w:tc>
          <w:tcPr>
            <w:tcW w:w="1134" w:type="dxa"/>
            <w:shd w:val="clear" w:color="auto" w:fill="auto"/>
          </w:tcPr>
          <w:p w14:paraId="25F4F7E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54303497" w14:textId="77777777" w:rsidTr="00F35AF3">
        <w:trPr>
          <w:trHeight w:val="240"/>
        </w:trPr>
        <w:tc>
          <w:tcPr>
            <w:tcW w:w="655" w:type="dxa"/>
            <w:shd w:val="clear" w:color="auto" w:fill="auto"/>
          </w:tcPr>
          <w:p w14:paraId="0B160F95" w14:textId="77777777" w:rsidR="00333AFD" w:rsidRPr="00333AFD" w:rsidRDefault="00333AFD" w:rsidP="00F35AF3">
            <w:pPr>
              <w:pStyle w:val="SingleTxtG"/>
              <w:tabs>
                <w:tab w:val="clear" w:pos="1701"/>
                <w:tab w:val="clear" w:pos="2268"/>
                <w:tab w:val="clear" w:pos="2835"/>
              </w:tabs>
              <w:spacing w:before="40"/>
              <w:ind w:left="0" w:right="0"/>
              <w:jc w:val="left"/>
            </w:pPr>
            <w:r w:rsidRPr="00333AFD">
              <w:lastRenderedPageBreak/>
              <w:t>4.</w:t>
            </w:r>
          </w:p>
        </w:tc>
        <w:tc>
          <w:tcPr>
            <w:tcW w:w="4744" w:type="dxa"/>
            <w:shd w:val="clear" w:color="auto" w:fill="auto"/>
          </w:tcPr>
          <w:p w14:paraId="68607F0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 xml:space="preserve">Convención de las Naciones Unidas contra la Delincuencia Organizada Transnacional, 2000 </w:t>
            </w:r>
          </w:p>
        </w:tc>
        <w:tc>
          <w:tcPr>
            <w:tcW w:w="1972" w:type="dxa"/>
            <w:shd w:val="clear" w:color="auto" w:fill="auto"/>
          </w:tcPr>
          <w:p w14:paraId="58F5F65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12 de diciembre de 2007</w:t>
            </w:r>
          </w:p>
        </w:tc>
        <w:tc>
          <w:tcPr>
            <w:tcW w:w="1134" w:type="dxa"/>
            <w:shd w:val="clear" w:color="auto" w:fill="auto"/>
          </w:tcPr>
          <w:p w14:paraId="6EF8A71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0317755A" w14:textId="77777777" w:rsidTr="00F35AF3">
        <w:trPr>
          <w:trHeight w:val="240"/>
        </w:trPr>
        <w:tc>
          <w:tcPr>
            <w:tcW w:w="655" w:type="dxa"/>
            <w:shd w:val="clear" w:color="auto" w:fill="auto"/>
          </w:tcPr>
          <w:p w14:paraId="585E671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5.</w:t>
            </w:r>
          </w:p>
        </w:tc>
        <w:tc>
          <w:tcPr>
            <w:tcW w:w="4744" w:type="dxa"/>
            <w:shd w:val="clear" w:color="auto" w:fill="auto"/>
          </w:tcPr>
          <w:p w14:paraId="38A595D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Protocolo para Prevenir, Reprimir y Sancionar la Trata de Personas, Especialmente Mujeres y Niños, que complementa la Convención de las Naciones Unidas contra la Delincuencia Organizada Transnacional</w:t>
            </w:r>
          </w:p>
        </w:tc>
        <w:tc>
          <w:tcPr>
            <w:tcW w:w="1972" w:type="dxa"/>
            <w:shd w:val="clear" w:color="auto" w:fill="auto"/>
          </w:tcPr>
          <w:p w14:paraId="4372A46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Adhesión, 13 de diciembre de 2013</w:t>
            </w:r>
          </w:p>
        </w:tc>
        <w:tc>
          <w:tcPr>
            <w:tcW w:w="1134" w:type="dxa"/>
            <w:shd w:val="clear" w:color="auto" w:fill="auto"/>
          </w:tcPr>
          <w:p w14:paraId="20193BC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042CB346" w14:textId="77777777" w:rsidTr="00F35AF3">
        <w:trPr>
          <w:trHeight w:val="240"/>
        </w:trPr>
        <w:tc>
          <w:tcPr>
            <w:tcW w:w="655" w:type="dxa"/>
            <w:shd w:val="clear" w:color="auto" w:fill="auto"/>
          </w:tcPr>
          <w:p w14:paraId="35FD9D5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6.</w:t>
            </w:r>
          </w:p>
        </w:tc>
        <w:tc>
          <w:tcPr>
            <w:tcW w:w="4744" w:type="dxa"/>
            <w:shd w:val="clear" w:color="auto" w:fill="auto"/>
          </w:tcPr>
          <w:p w14:paraId="5D88F8E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 xml:space="preserve">Tratado de Marrakech para Facilitar el Acceso a las Obras Publicadas a las Personas Ciegas, con Discapacidad Visual o con Otras Dificultades para Acceder al Texto Impreso. </w:t>
            </w:r>
          </w:p>
        </w:tc>
        <w:tc>
          <w:tcPr>
            <w:tcW w:w="1972" w:type="dxa"/>
            <w:shd w:val="clear" w:color="auto" w:fill="auto"/>
          </w:tcPr>
          <w:p w14:paraId="6AC29E65" w14:textId="7B79A361" w:rsidR="00333AFD" w:rsidRPr="00333AFD" w:rsidRDefault="00333AFD" w:rsidP="00F35AF3">
            <w:pPr>
              <w:pStyle w:val="SingleTxtG"/>
              <w:tabs>
                <w:tab w:val="clear" w:pos="1701"/>
                <w:tab w:val="clear" w:pos="2268"/>
                <w:tab w:val="clear" w:pos="2835"/>
              </w:tabs>
              <w:spacing w:before="40"/>
              <w:ind w:left="0" w:right="0"/>
              <w:jc w:val="left"/>
            </w:pPr>
            <w:r w:rsidRPr="00333AFD">
              <w:t>Adhesión, octubre de</w:t>
            </w:r>
            <w:r w:rsidR="004E0BD7">
              <w:t> </w:t>
            </w:r>
            <w:r w:rsidRPr="00333AFD">
              <w:t>2018</w:t>
            </w:r>
          </w:p>
        </w:tc>
        <w:tc>
          <w:tcPr>
            <w:tcW w:w="1134" w:type="dxa"/>
            <w:shd w:val="clear" w:color="auto" w:fill="auto"/>
          </w:tcPr>
          <w:p w14:paraId="4743840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r w:rsidR="00F35AF3" w:rsidRPr="00333AFD" w14:paraId="5B59AC91" w14:textId="77777777" w:rsidTr="00F35AF3">
        <w:trPr>
          <w:trHeight w:val="240"/>
        </w:trPr>
        <w:tc>
          <w:tcPr>
            <w:tcW w:w="655" w:type="dxa"/>
            <w:tcBorders>
              <w:bottom w:val="single" w:sz="12" w:space="0" w:color="auto"/>
            </w:tcBorders>
            <w:shd w:val="clear" w:color="auto" w:fill="auto"/>
          </w:tcPr>
          <w:p w14:paraId="41E636C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7.</w:t>
            </w:r>
          </w:p>
        </w:tc>
        <w:tc>
          <w:tcPr>
            <w:tcW w:w="4744" w:type="dxa"/>
            <w:tcBorders>
              <w:bottom w:val="single" w:sz="12" w:space="0" w:color="auto"/>
            </w:tcBorders>
            <w:shd w:val="clear" w:color="auto" w:fill="auto"/>
          </w:tcPr>
          <w:p w14:paraId="37D072E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Declaración de Beijing (1995)</w:t>
            </w:r>
          </w:p>
        </w:tc>
        <w:tc>
          <w:tcPr>
            <w:tcW w:w="1972" w:type="dxa"/>
            <w:tcBorders>
              <w:bottom w:val="single" w:sz="12" w:space="0" w:color="auto"/>
            </w:tcBorders>
            <w:shd w:val="clear" w:color="auto" w:fill="auto"/>
          </w:tcPr>
          <w:p w14:paraId="52D485A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Aprobación, 15 de septiembre de 1995</w:t>
            </w:r>
          </w:p>
        </w:tc>
        <w:tc>
          <w:tcPr>
            <w:tcW w:w="1134" w:type="dxa"/>
            <w:tcBorders>
              <w:bottom w:val="single" w:sz="12" w:space="0" w:color="auto"/>
            </w:tcBorders>
            <w:shd w:val="clear" w:color="auto" w:fill="auto"/>
          </w:tcPr>
          <w:p w14:paraId="3E18E01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Ninguna</w:t>
            </w:r>
          </w:p>
        </w:tc>
      </w:tr>
    </w:tbl>
    <w:p w14:paraId="5E0BBB95" w14:textId="1948130E" w:rsidR="00333AFD" w:rsidRPr="00333AFD" w:rsidRDefault="00F35AF3" w:rsidP="00F35AF3">
      <w:pPr>
        <w:pStyle w:val="H23G"/>
      </w:pPr>
      <w:r w:rsidRPr="00F35AF3">
        <w:rPr>
          <w:b w:val="0"/>
          <w:bCs/>
        </w:rPr>
        <w:tab/>
      </w:r>
      <w:r w:rsidRPr="00F35AF3">
        <w:rPr>
          <w:b w:val="0"/>
          <w:bCs/>
        </w:rPr>
        <w:tab/>
      </w:r>
      <w:r w:rsidR="00333AFD" w:rsidRPr="00F35AF3">
        <w:rPr>
          <w:b w:val="0"/>
          <w:bCs/>
        </w:rPr>
        <w:t>Cuadro 7</w:t>
      </w:r>
      <w:r w:rsidRPr="00F35AF3">
        <w:rPr>
          <w:b w:val="0"/>
          <w:bCs/>
        </w:rPr>
        <w:br/>
      </w:r>
      <w:r w:rsidR="00333AFD" w:rsidRPr="00333AFD">
        <w:t xml:space="preserve">Ratificación de los Convenios de la Organización Internacional del Trabajo (OIT) </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706"/>
        <w:gridCol w:w="4681"/>
        <w:gridCol w:w="1984"/>
        <w:gridCol w:w="1134"/>
      </w:tblGrid>
      <w:tr w:rsidR="00F35AF3" w:rsidRPr="00F35AF3" w14:paraId="1A2F947F" w14:textId="77777777" w:rsidTr="00F7746E">
        <w:trPr>
          <w:trHeight w:val="240"/>
          <w:tblHeader/>
        </w:trPr>
        <w:tc>
          <w:tcPr>
            <w:tcW w:w="706" w:type="dxa"/>
            <w:tcBorders>
              <w:top w:val="single" w:sz="4" w:space="0" w:color="auto"/>
              <w:bottom w:val="single" w:sz="12" w:space="0" w:color="auto"/>
            </w:tcBorders>
            <w:shd w:val="clear" w:color="auto" w:fill="auto"/>
            <w:vAlign w:val="bottom"/>
          </w:tcPr>
          <w:p w14:paraId="03283998" w14:textId="62EE6DA4"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F7746E">
              <w:rPr>
                <w:i/>
                <w:iCs/>
                <w:sz w:val="16"/>
              </w:rPr>
              <w:t>ero</w:t>
            </w:r>
          </w:p>
        </w:tc>
        <w:tc>
          <w:tcPr>
            <w:tcW w:w="4681" w:type="dxa"/>
            <w:tcBorders>
              <w:top w:val="single" w:sz="4" w:space="0" w:color="auto"/>
              <w:bottom w:val="single" w:sz="12" w:space="0" w:color="auto"/>
            </w:tcBorders>
            <w:shd w:val="clear" w:color="auto" w:fill="auto"/>
            <w:vAlign w:val="bottom"/>
          </w:tcPr>
          <w:p w14:paraId="3936365D"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Tratado</w:t>
            </w:r>
          </w:p>
        </w:tc>
        <w:tc>
          <w:tcPr>
            <w:tcW w:w="1984" w:type="dxa"/>
            <w:tcBorders>
              <w:top w:val="single" w:sz="4" w:space="0" w:color="auto"/>
              <w:bottom w:val="single" w:sz="12" w:space="0" w:color="auto"/>
            </w:tcBorders>
            <w:shd w:val="clear" w:color="auto" w:fill="auto"/>
            <w:vAlign w:val="bottom"/>
          </w:tcPr>
          <w:p w14:paraId="6FD065D3" w14:textId="77777777"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Situación</w:t>
            </w:r>
          </w:p>
        </w:tc>
        <w:tc>
          <w:tcPr>
            <w:tcW w:w="1134" w:type="dxa"/>
            <w:tcBorders>
              <w:top w:val="single" w:sz="4" w:space="0" w:color="auto"/>
              <w:bottom w:val="single" w:sz="12" w:space="0" w:color="auto"/>
            </w:tcBorders>
            <w:shd w:val="clear" w:color="auto" w:fill="auto"/>
            <w:vAlign w:val="bottom"/>
          </w:tcPr>
          <w:p w14:paraId="28DF50E8" w14:textId="6748F61E" w:rsidR="00333AFD" w:rsidRPr="00333AFD" w:rsidRDefault="00333AFD" w:rsidP="00F35AF3">
            <w:pPr>
              <w:pStyle w:val="SingleTxtG"/>
              <w:tabs>
                <w:tab w:val="clear" w:pos="1701"/>
                <w:tab w:val="clear" w:pos="2268"/>
                <w:tab w:val="clear" w:pos="2835"/>
              </w:tabs>
              <w:spacing w:before="80" w:after="80" w:line="200" w:lineRule="exact"/>
              <w:ind w:left="0" w:right="0"/>
              <w:jc w:val="left"/>
              <w:rPr>
                <w:i/>
                <w:sz w:val="16"/>
              </w:rPr>
            </w:pPr>
            <w:r w:rsidRPr="00333AFD">
              <w:rPr>
                <w:i/>
                <w:iCs/>
                <w:sz w:val="16"/>
              </w:rPr>
              <w:t>Reservas/</w:t>
            </w:r>
            <w:r w:rsidR="00F35AF3">
              <w:rPr>
                <w:i/>
                <w:iCs/>
                <w:sz w:val="16"/>
              </w:rPr>
              <w:br/>
            </w:r>
            <w:r w:rsidRPr="00333AFD">
              <w:rPr>
                <w:i/>
                <w:iCs/>
                <w:sz w:val="16"/>
              </w:rPr>
              <w:t>excepciones</w:t>
            </w:r>
          </w:p>
        </w:tc>
      </w:tr>
      <w:tr w:rsidR="00F35AF3" w:rsidRPr="00333AFD" w14:paraId="1ED389B4" w14:textId="77777777" w:rsidTr="00D63E71">
        <w:trPr>
          <w:trHeight w:hRule="exact" w:val="113"/>
          <w:tblHeader/>
        </w:trPr>
        <w:tc>
          <w:tcPr>
            <w:tcW w:w="706" w:type="dxa"/>
            <w:tcBorders>
              <w:top w:val="single" w:sz="12" w:space="0" w:color="auto"/>
            </w:tcBorders>
            <w:shd w:val="clear" w:color="auto" w:fill="auto"/>
          </w:tcPr>
          <w:p w14:paraId="2E60992A"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4681" w:type="dxa"/>
            <w:tcBorders>
              <w:top w:val="single" w:sz="12" w:space="0" w:color="auto"/>
            </w:tcBorders>
            <w:shd w:val="clear" w:color="auto" w:fill="auto"/>
          </w:tcPr>
          <w:p w14:paraId="4AE0AF9B"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1984" w:type="dxa"/>
            <w:tcBorders>
              <w:top w:val="single" w:sz="12" w:space="0" w:color="auto"/>
            </w:tcBorders>
            <w:shd w:val="clear" w:color="auto" w:fill="auto"/>
          </w:tcPr>
          <w:p w14:paraId="28BDB4DC" w14:textId="77777777" w:rsidR="00333AFD" w:rsidRPr="00333AFD" w:rsidRDefault="00333AFD" w:rsidP="00F35AF3">
            <w:pPr>
              <w:pStyle w:val="SingleTxtG"/>
              <w:tabs>
                <w:tab w:val="clear" w:pos="1701"/>
                <w:tab w:val="clear" w:pos="2268"/>
                <w:tab w:val="clear" w:pos="2835"/>
              </w:tabs>
              <w:spacing w:before="40"/>
              <w:ind w:left="0" w:right="0"/>
              <w:jc w:val="left"/>
            </w:pPr>
          </w:p>
        </w:tc>
        <w:tc>
          <w:tcPr>
            <w:tcW w:w="1134" w:type="dxa"/>
            <w:tcBorders>
              <w:top w:val="single" w:sz="12" w:space="0" w:color="auto"/>
            </w:tcBorders>
            <w:shd w:val="clear" w:color="auto" w:fill="auto"/>
          </w:tcPr>
          <w:p w14:paraId="10D036D0" w14:textId="77777777" w:rsidR="00333AFD" w:rsidRPr="00333AFD" w:rsidRDefault="00333AFD" w:rsidP="00F35AF3">
            <w:pPr>
              <w:pStyle w:val="SingleTxtG"/>
              <w:tabs>
                <w:tab w:val="clear" w:pos="1701"/>
                <w:tab w:val="clear" w:pos="2268"/>
                <w:tab w:val="clear" w:pos="2835"/>
              </w:tabs>
              <w:spacing w:before="40"/>
              <w:ind w:left="0" w:right="0"/>
              <w:jc w:val="left"/>
            </w:pPr>
          </w:p>
        </w:tc>
      </w:tr>
      <w:tr w:rsidR="00F35AF3" w:rsidRPr="00333AFD" w14:paraId="094B1A53" w14:textId="77777777" w:rsidTr="00F7746E">
        <w:trPr>
          <w:trHeight w:val="240"/>
        </w:trPr>
        <w:tc>
          <w:tcPr>
            <w:tcW w:w="706" w:type="dxa"/>
            <w:shd w:val="clear" w:color="auto" w:fill="auto"/>
          </w:tcPr>
          <w:p w14:paraId="3456847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w:t>
            </w:r>
          </w:p>
        </w:tc>
        <w:tc>
          <w:tcPr>
            <w:tcW w:w="4681" w:type="dxa"/>
            <w:shd w:val="clear" w:color="auto" w:fill="auto"/>
          </w:tcPr>
          <w:p w14:paraId="7624033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 xml:space="preserve">Convenio sobre el Descanso Semanal (Industria), 1921 (núm. 14) </w:t>
            </w:r>
          </w:p>
        </w:tc>
        <w:tc>
          <w:tcPr>
            <w:tcW w:w="1984" w:type="dxa"/>
            <w:shd w:val="clear" w:color="auto" w:fill="auto"/>
          </w:tcPr>
          <w:p w14:paraId="5E9D6F1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6 de junio de 1980</w:t>
            </w:r>
          </w:p>
        </w:tc>
        <w:tc>
          <w:tcPr>
            <w:tcW w:w="1134" w:type="dxa"/>
            <w:shd w:val="clear" w:color="auto" w:fill="auto"/>
          </w:tcPr>
          <w:p w14:paraId="58BA974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00FC9422" w14:textId="77777777" w:rsidTr="00F7746E">
        <w:trPr>
          <w:trHeight w:val="240"/>
        </w:trPr>
        <w:tc>
          <w:tcPr>
            <w:tcW w:w="706" w:type="dxa"/>
            <w:shd w:val="clear" w:color="auto" w:fill="auto"/>
          </w:tcPr>
          <w:p w14:paraId="213DA23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w:t>
            </w:r>
          </w:p>
        </w:tc>
        <w:tc>
          <w:tcPr>
            <w:tcW w:w="4681" w:type="dxa"/>
            <w:shd w:val="clear" w:color="auto" w:fill="auto"/>
          </w:tcPr>
          <w:p w14:paraId="5484FD6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Igualdad de Trato (Accidentes del Trabajo), 1925 (núm. 19)</w:t>
            </w:r>
          </w:p>
        </w:tc>
        <w:tc>
          <w:tcPr>
            <w:tcW w:w="1984" w:type="dxa"/>
            <w:shd w:val="clear" w:color="auto" w:fill="auto"/>
          </w:tcPr>
          <w:p w14:paraId="0CFB62E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6 de junio de 1980</w:t>
            </w:r>
          </w:p>
        </w:tc>
        <w:tc>
          <w:tcPr>
            <w:tcW w:w="1134" w:type="dxa"/>
            <w:shd w:val="clear" w:color="auto" w:fill="auto"/>
          </w:tcPr>
          <w:p w14:paraId="230E91D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4693495C" w14:textId="77777777" w:rsidTr="00F7746E">
        <w:trPr>
          <w:trHeight w:val="240"/>
        </w:trPr>
        <w:tc>
          <w:tcPr>
            <w:tcW w:w="706" w:type="dxa"/>
            <w:shd w:val="clear" w:color="auto" w:fill="auto"/>
          </w:tcPr>
          <w:p w14:paraId="74CB9F5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3.</w:t>
            </w:r>
          </w:p>
        </w:tc>
        <w:tc>
          <w:tcPr>
            <w:tcW w:w="4681" w:type="dxa"/>
            <w:shd w:val="clear" w:color="auto" w:fill="auto"/>
          </w:tcPr>
          <w:p w14:paraId="42AC8EE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los Métodos para la Fijación de Salarios Mínimos, 1928 (núm. 26)</w:t>
            </w:r>
          </w:p>
        </w:tc>
        <w:tc>
          <w:tcPr>
            <w:tcW w:w="1984" w:type="dxa"/>
            <w:shd w:val="clear" w:color="auto" w:fill="auto"/>
          </w:tcPr>
          <w:p w14:paraId="70F3A94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16 de septiembre de 1993</w:t>
            </w:r>
          </w:p>
        </w:tc>
        <w:tc>
          <w:tcPr>
            <w:tcW w:w="1134" w:type="dxa"/>
            <w:shd w:val="clear" w:color="auto" w:fill="auto"/>
          </w:tcPr>
          <w:p w14:paraId="4EB310A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5609FE7F" w14:textId="77777777" w:rsidTr="00F7746E">
        <w:trPr>
          <w:trHeight w:val="240"/>
        </w:trPr>
        <w:tc>
          <w:tcPr>
            <w:tcW w:w="706" w:type="dxa"/>
            <w:shd w:val="clear" w:color="auto" w:fill="auto"/>
          </w:tcPr>
          <w:p w14:paraId="1B72351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4.</w:t>
            </w:r>
          </w:p>
        </w:tc>
        <w:tc>
          <w:tcPr>
            <w:tcW w:w="4681" w:type="dxa"/>
            <w:shd w:val="clear" w:color="auto" w:fill="auto"/>
          </w:tcPr>
          <w:p w14:paraId="076AEDE7" w14:textId="207381E9" w:rsidR="00333AFD" w:rsidRPr="00333AFD" w:rsidRDefault="00333AFD" w:rsidP="00F35AF3">
            <w:pPr>
              <w:pStyle w:val="SingleTxtG"/>
              <w:tabs>
                <w:tab w:val="clear" w:pos="1701"/>
                <w:tab w:val="clear" w:pos="2268"/>
                <w:tab w:val="clear" w:pos="2835"/>
              </w:tabs>
              <w:spacing w:before="40"/>
              <w:ind w:left="0" w:right="0"/>
              <w:jc w:val="left"/>
            </w:pPr>
            <w:r w:rsidRPr="00333AFD">
              <w:t xml:space="preserve">Convenio sobre el </w:t>
            </w:r>
            <w:r w:rsidR="004E0BD7" w:rsidRPr="00333AFD">
              <w:t>Trabajo Forzoso</w:t>
            </w:r>
            <w:r w:rsidRPr="00333AFD">
              <w:t>, 1930 (núm. 29)</w:t>
            </w:r>
          </w:p>
        </w:tc>
        <w:tc>
          <w:tcPr>
            <w:tcW w:w="1984" w:type="dxa"/>
            <w:shd w:val="clear" w:color="auto" w:fill="auto"/>
          </w:tcPr>
          <w:p w14:paraId="2C355BC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160EEF9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28B65AB0" w14:textId="77777777" w:rsidTr="00F7746E">
        <w:trPr>
          <w:trHeight w:val="240"/>
        </w:trPr>
        <w:tc>
          <w:tcPr>
            <w:tcW w:w="706" w:type="dxa"/>
            <w:shd w:val="clear" w:color="auto" w:fill="auto"/>
          </w:tcPr>
          <w:p w14:paraId="5875200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5.</w:t>
            </w:r>
          </w:p>
        </w:tc>
        <w:tc>
          <w:tcPr>
            <w:tcW w:w="4681" w:type="dxa"/>
            <w:shd w:val="clear" w:color="auto" w:fill="auto"/>
          </w:tcPr>
          <w:p w14:paraId="205AC134" w14:textId="0DB65AD1" w:rsidR="00333AFD" w:rsidRPr="00333AFD" w:rsidRDefault="00333AFD" w:rsidP="00F35AF3">
            <w:pPr>
              <w:pStyle w:val="SingleTxtG"/>
              <w:tabs>
                <w:tab w:val="clear" w:pos="1701"/>
                <w:tab w:val="clear" w:pos="2268"/>
                <w:tab w:val="clear" w:pos="2835"/>
              </w:tabs>
              <w:spacing w:before="40"/>
              <w:ind w:left="0" w:right="0"/>
              <w:jc w:val="left"/>
            </w:pPr>
            <w:r w:rsidRPr="00333AFD">
              <w:t>Convenio sobre la Inspección del Trabajo, 1947 (núm.</w:t>
            </w:r>
            <w:r w:rsidR="004E0BD7">
              <w:t> </w:t>
            </w:r>
            <w:r w:rsidRPr="00333AFD">
              <w:t>81)</w:t>
            </w:r>
          </w:p>
        </w:tc>
        <w:tc>
          <w:tcPr>
            <w:tcW w:w="1984" w:type="dxa"/>
            <w:shd w:val="clear" w:color="auto" w:fill="auto"/>
          </w:tcPr>
          <w:p w14:paraId="54B2A9C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16 de septiembre de 1993</w:t>
            </w:r>
          </w:p>
        </w:tc>
        <w:tc>
          <w:tcPr>
            <w:tcW w:w="1134" w:type="dxa"/>
            <w:shd w:val="clear" w:color="auto" w:fill="auto"/>
          </w:tcPr>
          <w:p w14:paraId="65271DFD"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6191093E" w14:textId="77777777" w:rsidTr="00F7746E">
        <w:trPr>
          <w:trHeight w:val="240"/>
        </w:trPr>
        <w:tc>
          <w:tcPr>
            <w:tcW w:w="706" w:type="dxa"/>
            <w:shd w:val="clear" w:color="auto" w:fill="auto"/>
          </w:tcPr>
          <w:p w14:paraId="76C1DB5D" w14:textId="77777777" w:rsidR="00333AFD" w:rsidRPr="00333AFD" w:rsidRDefault="00333AFD" w:rsidP="00F35AF3">
            <w:pPr>
              <w:pStyle w:val="SingleTxtG"/>
              <w:tabs>
                <w:tab w:val="clear" w:pos="1701"/>
                <w:tab w:val="clear" w:pos="2268"/>
                <w:tab w:val="clear" w:pos="2835"/>
              </w:tabs>
              <w:spacing w:before="40"/>
              <w:ind w:left="0" w:right="0"/>
              <w:jc w:val="left"/>
            </w:pPr>
            <w:r w:rsidRPr="00333AFD">
              <w:t>6.</w:t>
            </w:r>
          </w:p>
        </w:tc>
        <w:tc>
          <w:tcPr>
            <w:tcW w:w="4681" w:type="dxa"/>
            <w:shd w:val="clear" w:color="auto" w:fill="auto"/>
          </w:tcPr>
          <w:p w14:paraId="06097F4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Libertad Sindical y la Protección del Derecho de Sindicación, 1948 (núm. 87)</w:t>
            </w:r>
          </w:p>
        </w:tc>
        <w:tc>
          <w:tcPr>
            <w:tcW w:w="1984" w:type="dxa"/>
            <w:shd w:val="clear" w:color="auto" w:fill="auto"/>
          </w:tcPr>
          <w:p w14:paraId="3565012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9 de abril de 2003</w:t>
            </w:r>
          </w:p>
        </w:tc>
        <w:tc>
          <w:tcPr>
            <w:tcW w:w="1134" w:type="dxa"/>
            <w:shd w:val="clear" w:color="auto" w:fill="auto"/>
          </w:tcPr>
          <w:p w14:paraId="7EE991F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39423506" w14:textId="77777777" w:rsidTr="00F7746E">
        <w:trPr>
          <w:trHeight w:val="240"/>
        </w:trPr>
        <w:tc>
          <w:tcPr>
            <w:tcW w:w="706" w:type="dxa"/>
            <w:shd w:val="clear" w:color="auto" w:fill="auto"/>
          </w:tcPr>
          <w:p w14:paraId="141C740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7.</w:t>
            </w:r>
          </w:p>
        </w:tc>
        <w:tc>
          <w:tcPr>
            <w:tcW w:w="4681" w:type="dxa"/>
            <w:shd w:val="clear" w:color="auto" w:fill="auto"/>
          </w:tcPr>
          <w:p w14:paraId="229B141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el Derecho de Sindicación y de Negociación Colectiva, 1949 (núm. 98)</w:t>
            </w:r>
          </w:p>
        </w:tc>
        <w:tc>
          <w:tcPr>
            <w:tcW w:w="1984" w:type="dxa"/>
            <w:shd w:val="clear" w:color="auto" w:fill="auto"/>
          </w:tcPr>
          <w:p w14:paraId="325EAC5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75076F3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0AD841F8" w14:textId="77777777" w:rsidTr="00F7746E">
        <w:trPr>
          <w:trHeight w:val="240"/>
        </w:trPr>
        <w:tc>
          <w:tcPr>
            <w:tcW w:w="706" w:type="dxa"/>
            <w:shd w:val="clear" w:color="auto" w:fill="auto"/>
          </w:tcPr>
          <w:p w14:paraId="3BF8E8E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8.</w:t>
            </w:r>
          </w:p>
        </w:tc>
        <w:tc>
          <w:tcPr>
            <w:tcW w:w="4681" w:type="dxa"/>
            <w:shd w:val="clear" w:color="auto" w:fill="auto"/>
          </w:tcPr>
          <w:p w14:paraId="570B582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los Métodos para la Fijación de Salarios Mínimos (Agricultura), 1951 (núm. 99)</w:t>
            </w:r>
          </w:p>
        </w:tc>
        <w:tc>
          <w:tcPr>
            <w:tcW w:w="1984" w:type="dxa"/>
            <w:shd w:val="clear" w:color="auto" w:fill="auto"/>
          </w:tcPr>
          <w:p w14:paraId="6940DA0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16 de septiembre de 1993</w:t>
            </w:r>
          </w:p>
        </w:tc>
        <w:tc>
          <w:tcPr>
            <w:tcW w:w="1134" w:type="dxa"/>
            <w:shd w:val="clear" w:color="auto" w:fill="auto"/>
          </w:tcPr>
          <w:p w14:paraId="77F8476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276F728E" w14:textId="77777777" w:rsidTr="00F7746E">
        <w:trPr>
          <w:trHeight w:val="240"/>
        </w:trPr>
        <w:tc>
          <w:tcPr>
            <w:tcW w:w="706" w:type="dxa"/>
            <w:shd w:val="clear" w:color="auto" w:fill="auto"/>
          </w:tcPr>
          <w:p w14:paraId="25676AD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9.</w:t>
            </w:r>
          </w:p>
        </w:tc>
        <w:tc>
          <w:tcPr>
            <w:tcW w:w="4681" w:type="dxa"/>
            <w:shd w:val="clear" w:color="auto" w:fill="auto"/>
          </w:tcPr>
          <w:p w14:paraId="0B7A5FDF" w14:textId="3AE3EF56" w:rsidR="00333AFD" w:rsidRPr="00333AFD" w:rsidRDefault="00333AFD" w:rsidP="00F35AF3">
            <w:pPr>
              <w:pStyle w:val="SingleTxtG"/>
              <w:tabs>
                <w:tab w:val="clear" w:pos="1701"/>
                <w:tab w:val="clear" w:pos="2268"/>
                <w:tab w:val="clear" w:pos="2835"/>
              </w:tabs>
              <w:spacing w:before="40"/>
              <w:ind w:left="0" w:right="0"/>
              <w:jc w:val="left"/>
            </w:pPr>
            <w:r w:rsidRPr="00333AFD">
              <w:t>Convenio sobre Igualdad de Remuneración, 1951 (núm.</w:t>
            </w:r>
            <w:r w:rsidR="00E43413">
              <w:t> </w:t>
            </w:r>
            <w:r w:rsidRPr="00333AFD">
              <w:t>100)</w:t>
            </w:r>
          </w:p>
        </w:tc>
        <w:tc>
          <w:tcPr>
            <w:tcW w:w="1984" w:type="dxa"/>
            <w:shd w:val="clear" w:color="auto" w:fill="auto"/>
          </w:tcPr>
          <w:p w14:paraId="70BCB67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14 de diciembre de 1989</w:t>
            </w:r>
          </w:p>
        </w:tc>
        <w:tc>
          <w:tcPr>
            <w:tcW w:w="1134" w:type="dxa"/>
            <w:shd w:val="clear" w:color="auto" w:fill="auto"/>
          </w:tcPr>
          <w:p w14:paraId="12B0E5E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2AF711D5" w14:textId="77777777" w:rsidTr="00F7746E">
        <w:trPr>
          <w:trHeight w:val="240"/>
        </w:trPr>
        <w:tc>
          <w:tcPr>
            <w:tcW w:w="706" w:type="dxa"/>
            <w:shd w:val="clear" w:color="auto" w:fill="auto"/>
          </w:tcPr>
          <w:p w14:paraId="798A838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10.</w:t>
            </w:r>
          </w:p>
        </w:tc>
        <w:tc>
          <w:tcPr>
            <w:tcW w:w="4681" w:type="dxa"/>
            <w:shd w:val="clear" w:color="auto" w:fill="auto"/>
          </w:tcPr>
          <w:p w14:paraId="51E5D3D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Abolición del Trabajo Forzoso, 1957 (núm. 105)</w:t>
            </w:r>
          </w:p>
        </w:tc>
        <w:tc>
          <w:tcPr>
            <w:tcW w:w="1984" w:type="dxa"/>
            <w:shd w:val="clear" w:color="auto" w:fill="auto"/>
          </w:tcPr>
          <w:p w14:paraId="78FD100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24 de agosto de 1998</w:t>
            </w:r>
          </w:p>
        </w:tc>
        <w:tc>
          <w:tcPr>
            <w:tcW w:w="1134" w:type="dxa"/>
            <w:shd w:val="clear" w:color="auto" w:fill="auto"/>
          </w:tcPr>
          <w:p w14:paraId="1F5C175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33E4EFE8" w14:textId="77777777" w:rsidTr="00F7746E">
        <w:trPr>
          <w:trHeight w:val="240"/>
        </w:trPr>
        <w:tc>
          <w:tcPr>
            <w:tcW w:w="706" w:type="dxa"/>
            <w:shd w:val="clear" w:color="auto" w:fill="auto"/>
          </w:tcPr>
          <w:p w14:paraId="6373F3F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11.</w:t>
            </w:r>
          </w:p>
        </w:tc>
        <w:tc>
          <w:tcPr>
            <w:tcW w:w="4681" w:type="dxa"/>
            <w:shd w:val="clear" w:color="auto" w:fill="auto"/>
          </w:tcPr>
          <w:p w14:paraId="72623D0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Discriminación (Empleo y Ocupación), 1958 (núm. 111)</w:t>
            </w:r>
          </w:p>
        </w:tc>
        <w:tc>
          <w:tcPr>
            <w:tcW w:w="1984" w:type="dxa"/>
            <w:shd w:val="clear" w:color="auto" w:fill="auto"/>
          </w:tcPr>
          <w:p w14:paraId="3DCC965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23 de junio de 1999</w:t>
            </w:r>
          </w:p>
        </w:tc>
        <w:tc>
          <w:tcPr>
            <w:tcW w:w="1134" w:type="dxa"/>
            <w:shd w:val="clear" w:color="auto" w:fill="auto"/>
          </w:tcPr>
          <w:p w14:paraId="6CAFEB5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4282BBA0" w14:textId="77777777" w:rsidTr="00F7746E">
        <w:trPr>
          <w:trHeight w:val="240"/>
        </w:trPr>
        <w:tc>
          <w:tcPr>
            <w:tcW w:w="706" w:type="dxa"/>
            <w:shd w:val="clear" w:color="auto" w:fill="auto"/>
          </w:tcPr>
          <w:p w14:paraId="70D455D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12.</w:t>
            </w:r>
          </w:p>
        </w:tc>
        <w:tc>
          <w:tcPr>
            <w:tcW w:w="4681" w:type="dxa"/>
            <w:shd w:val="clear" w:color="auto" w:fill="auto"/>
          </w:tcPr>
          <w:p w14:paraId="1CEE330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Inspección del Trabajo (Agricultura), 1969 (núm. 129)</w:t>
            </w:r>
          </w:p>
        </w:tc>
        <w:tc>
          <w:tcPr>
            <w:tcW w:w="1984" w:type="dxa"/>
            <w:shd w:val="clear" w:color="auto" w:fill="auto"/>
          </w:tcPr>
          <w:p w14:paraId="7927B12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16 de septiembre de 1993</w:t>
            </w:r>
          </w:p>
        </w:tc>
        <w:tc>
          <w:tcPr>
            <w:tcW w:w="1134" w:type="dxa"/>
            <w:shd w:val="clear" w:color="auto" w:fill="auto"/>
          </w:tcPr>
          <w:p w14:paraId="02C45F2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228249AC" w14:textId="77777777" w:rsidTr="00F7746E">
        <w:trPr>
          <w:trHeight w:val="240"/>
        </w:trPr>
        <w:tc>
          <w:tcPr>
            <w:tcW w:w="706" w:type="dxa"/>
            <w:shd w:val="clear" w:color="auto" w:fill="auto"/>
          </w:tcPr>
          <w:p w14:paraId="2C64B0E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13.</w:t>
            </w:r>
          </w:p>
        </w:tc>
        <w:tc>
          <w:tcPr>
            <w:tcW w:w="4681" w:type="dxa"/>
            <w:shd w:val="clear" w:color="auto" w:fill="auto"/>
          </w:tcPr>
          <w:p w14:paraId="2DE3A59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los Representantes de los Trabajadores, 1971 (núm. 135)</w:t>
            </w:r>
          </w:p>
        </w:tc>
        <w:tc>
          <w:tcPr>
            <w:tcW w:w="1984" w:type="dxa"/>
            <w:shd w:val="clear" w:color="auto" w:fill="auto"/>
          </w:tcPr>
          <w:p w14:paraId="1153C47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55A47DF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2BB68E67" w14:textId="77777777" w:rsidTr="00F7746E">
        <w:trPr>
          <w:trHeight w:val="240"/>
        </w:trPr>
        <w:tc>
          <w:tcPr>
            <w:tcW w:w="706" w:type="dxa"/>
            <w:shd w:val="clear" w:color="auto" w:fill="auto"/>
          </w:tcPr>
          <w:p w14:paraId="7B512180" w14:textId="77777777" w:rsidR="00333AFD" w:rsidRPr="00333AFD" w:rsidRDefault="00333AFD" w:rsidP="00F35AF3">
            <w:pPr>
              <w:pStyle w:val="SingleTxtG"/>
              <w:tabs>
                <w:tab w:val="clear" w:pos="1701"/>
                <w:tab w:val="clear" w:pos="2268"/>
                <w:tab w:val="clear" w:pos="2835"/>
              </w:tabs>
              <w:spacing w:before="40"/>
              <w:ind w:left="0" w:right="0"/>
              <w:jc w:val="left"/>
            </w:pPr>
            <w:r w:rsidRPr="00333AFD">
              <w:lastRenderedPageBreak/>
              <w:t>14.</w:t>
            </w:r>
          </w:p>
        </w:tc>
        <w:tc>
          <w:tcPr>
            <w:tcW w:w="4681" w:type="dxa"/>
            <w:shd w:val="clear" w:color="auto" w:fill="auto"/>
          </w:tcPr>
          <w:p w14:paraId="727F196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Edad Mínima, 1973 (núm. 138)</w:t>
            </w:r>
          </w:p>
        </w:tc>
        <w:tc>
          <w:tcPr>
            <w:tcW w:w="1984" w:type="dxa"/>
            <w:shd w:val="clear" w:color="auto" w:fill="auto"/>
          </w:tcPr>
          <w:p w14:paraId="10FF09B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6 de junio de 2000</w:t>
            </w:r>
          </w:p>
        </w:tc>
        <w:tc>
          <w:tcPr>
            <w:tcW w:w="1134" w:type="dxa"/>
            <w:shd w:val="clear" w:color="auto" w:fill="auto"/>
          </w:tcPr>
          <w:p w14:paraId="2323B3D4"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48128709" w14:textId="77777777" w:rsidTr="00F7746E">
        <w:trPr>
          <w:trHeight w:val="240"/>
        </w:trPr>
        <w:tc>
          <w:tcPr>
            <w:tcW w:w="706" w:type="dxa"/>
            <w:shd w:val="clear" w:color="auto" w:fill="auto"/>
          </w:tcPr>
          <w:p w14:paraId="1581DCB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15.</w:t>
            </w:r>
          </w:p>
        </w:tc>
        <w:tc>
          <w:tcPr>
            <w:tcW w:w="4681" w:type="dxa"/>
            <w:shd w:val="clear" w:color="auto" w:fill="auto"/>
          </w:tcPr>
          <w:p w14:paraId="31FCFD0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Licencia Pagada de Estudios, 1974 (núm. 140)</w:t>
            </w:r>
          </w:p>
        </w:tc>
        <w:tc>
          <w:tcPr>
            <w:tcW w:w="1984" w:type="dxa"/>
            <w:shd w:val="clear" w:color="auto" w:fill="auto"/>
          </w:tcPr>
          <w:p w14:paraId="5184816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636580F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433C5FD0" w14:textId="77777777" w:rsidTr="00F7746E">
        <w:trPr>
          <w:trHeight w:val="240"/>
        </w:trPr>
        <w:tc>
          <w:tcPr>
            <w:tcW w:w="706" w:type="dxa"/>
            <w:shd w:val="clear" w:color="auto" w:fill="auto"/>
          </w:tcPr>
          <w:p w14:paraId="09D33A4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16.</w:t>
            </w:r>
          </w:p>
        </w:tc>
        <w:tc>
          <w:tcPr>
            <w:tcW w:w="4681" w:type="dxa"/>
            <w:shd w:val="clear" w:color="auto" w:fill="auto"/>
          </w:tcPr>
          <w:p w14:paraId="076FF07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Consulta Tripartita (Normas Internacionales del Trabajo), 1976 (núm. 144)</w:t>
            </w:r>
          </w:p>
        </w:tc>
        <w:tc>
          <w:tcPr>
            <w:tcW w:w="1984" w:type="dxa"/>
            <w:shd w:val="clear" w:color="auto" w:fill="auto"/>
          </w:tcPr>
          <w:p w14:paraId="6C67E46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14 de diciembre de 1989</w:t>
            </w:r>
          </w:p>
        </w:tc>
        <w:tc>
          <w:tcPr>
            <w:tcW w:w="1134" w:type="dxa"/>
            <w:shd w:val="clear" w:color="auto" w:fill="auto"/>
          </w:tcPr>
          <w:p w14:paraId="68B357C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753B390C" w14:textId="77777777" w:rsidTr="00F7746E">
        <w:trPr>
          <w:trHeight w:val="240"/>
        </w:trPr>
        <w:tc>
          <w:tcPr>
            <w:tcW w:w="706" w:type="dxa"/>
            <w:shd w:val="clear" w:color="auto" w:fill="auto"/>
          </w:tcPr>
          <w:p w14:paraId="7E34909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17.</w:t>
            </w:r>
          </w:p>
        </w:tc>
        <w:tc>
          <w:tcPr>
            <w:tcW w:w="4681" w:type="dxa"/>
            <w:shd w:val="clear" w:color="auto" w:fill="auto"/>
          </w:tcPr>
          <w:p w14:paraId="419AFAF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Administración del Trabajo, 1978 (núm. 150)</w:t>
            </w:r>
          </w:p>
        </w:tc>
        <w:tc>
          <w:tcPr>
            <w:tcW w:w="1984" w:type="dxa"/>
            <w:shd w:val="clear" w:color="auto" w:fill="auto"/>
          </w:tcPr>
          <w:p w14:paraId="719BC6E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002A639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1F63EA59" w14:textId="77777777" w:rsidTr="00F7746E">
        <w:trPr>
          <w:trHeight w:val="240"/>
        </w:trPr>
        <w:tc>
          <w:tcPr>
            <w:tcW w:w="706" w:type="dxa"/>
            <w:shd w:val="clear" w:color="auto" w:fill="auto"/>
          </w:tcPr>
          <w:p w14:paraId="7C086D1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18.</w:t>
            </w:r>
          </w:p>
        </w:tc>
        <w:tc>
          <w:tcPr>
            <w:tcW w:w="4681" w:type="dxa"/>
            <w:shd w:val="clear" w:color="auto" w:fill="auto"/>
          </w:tcPr>
          <w:p w14:paraId="6A4E94AD"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Seguridad y Salud de los Trabajadores, 1981 (núm. 155)</w:t>
            </w:r>
          </w:p>
        </w:tc>
        <w:tc>
          <w:tcPr>
            <w:tcW w:w="1984" w:type="dxa"/>
            <w:shd w:val="clear" w:color="auto" w:fill="auto"/>
          </w:tcPr>
          <w:p w14:paraId="63AA920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9 de abril de 2003</w:t>
            </w:r>
          </w:p>
        </w:tc>
        <w:tc>
          <w:tcPr>
            <w:tcW w:w="1134" w:type="dxa"/>
            <w:shd w:val="clear" w:color="auto" w:fill="auto"/>
          </w:tcPr>
          <w:p w14:paraId="21B106F0"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6BBA104E" w14:textId="77777777" w:rsidTr="00F7746E">
        <w:trPr>
          <w:trHeight w:val="240"/>
        </w:trPr>
        <w:tc>
          <w:tcPr>
            <w:tcW w:w="706" w:type="dxa"/>
            <w:shd w:val="clear" w:color="auto" w:fill="auto"/>
          </w:tcPr>
          <w:p w14:paraId="572224E8" w14:textId="77777777" w:rsidR="00333AFD" w:rsidRPr="00333AFD" w:rsidRDefault="00333AFD" w:rsidP="00F35AF3">
            <w:pPr>
              <w:pStyle w:val="SingleTxtG"/>
              <w:tabs>
                <w:tab w:val="clear" w:pos="1701"/>
                <w:tab w:val="clear" w:pos="2268"/>
                <w:tab w:val="clear" w:pos="2835"/>
              </w:tabs>
              <w:spacing w:before="40"/>
              <w:ind w:left="0" w:right="0"/>
              <w:jc w:val="left"/>
            </w:pPr>
            <w:r w:rsidRPr="00333AFD">
              <w:t>19.</w:t>
            </w:r>
          </w:p>
        </w:tc>
        <w:tc>
          <w:tcPr>
            <w:tcW w:w="4681" w:type="dxa"/>
            <w:shd w:val="clear" w:color="auto" w:fill="auto"/>
          </w:tcPr>
          <w:p w14:paraId="53EECA8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Readaptación Profesional y el Empleo (Personas Inválidas), 1983 (núm. 159)</w:t>
            </w:r>
          </w:p>
        </w:tc>
        <w:tc>
          <w:tcPr>
            <w:tcW w:w="1984" w:type="dxa"/>
            <w:shd w:val="clear" w:color="auto" w:fill="auto"/>
          </w:tcPr>
          <w:p w14:paraId="0ADD36C7"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638B229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54D2E437" w14:textId="77777777" w:rsidTr="00F7746E">
        <w:trPr>
          <w:trHeight w:val="240"/>
        </w:trPr>
        <w:tc>
          <w:tcPr>
            <w:tcW w:w="706" w:type="dxa"/>
            <w:shd w:val="clear" w:color="auto" w:fill="auto"/>
          </w:tcPr>
          <w:p w14:paraId="5C10754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20.</w:t>
            </w:r>
          </w:p>
        </w:tc>
        <w:tc>
          <w:tcPr>
            <w:tcW w:w="4681" w:type="dxa"/>
            <w:shd w:val="clear" w:color="auto" w:fill="auto"/>
          </w:tcPr>
          <w:p w14:paraId="7E70D346" w14:textId="77777777" w:rsidR="00333AFD" w:rsidRPr="00333AFD" w:rsidRDefault="00333AFD" w:rsidP="00F35AF3">
            <w:pPr>
              <w:pStyle w:val="SingleTxtG"/>
              <w:tabs>
                <w:tab w:val="clear" w:pos="1701"/>
                <w:tab w:val="clear" w:pos="2268"/>
                <w:tab w:val="clear" w:pos="2835"/>
              </w:tabs>
              <w:spacing w:before="40"/>
              <w:ind w:left="0" w:right="0"/>
              <w:jc w:val="left"/>
            </w:pPr>
            <w:r w:rsidRPr="00333AFD">
              <w:t xml:space="preserve">Convenio sobre los Servicios de Salud en el Trabajo, 1985 (núm. 161) </w:t>
            </w:r>
          </w:p>
        </w:tc>
        <w:tc>
          <w:tcPr>
            <w:tcW w:w="1984" w:type="dxa"/>
            <w:shd w:val="clear" w:color="auto" w:fill="auto"/>
          </w:tcPr>
          <w:p w14:paraId="49662F7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9 de abril de 2003</w:t>
            </w:r>
          </w:p>
        </w:tc>
        <w:tc>
          <w:tcPr>
            <w:tcW w:w="1134" w:type="dxa"/>
            <w:shd w:val="clear" w:color="auto" w:fill="auto"/>
          </w:tcPr>
          <w:p w14:paraId="7038F9C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38C4AD28" w14:textId="77777777" w:rsidTr="00F7746E">
        <w:trPr>
          <w:trHeight w:val="240"/>
        </w:trPr>
        <w:tc>
          <w:tcPr>
            <w:tcW w:w="706" w:type="dxa"/>
            <w:shd w:val="clear" w:color="auto" w:fill="auto"/>
          </w:tcPr>
          <w:p w14:paraId="3989F05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21.</w:t>
            </w:r>
          </w:p>
        </w:tc>
        <w:tc>
          <w:tcPr>
            <w:tcW w:w="4681" w:type="dxa"/>
            <w:shd w:val="clear" w:color="auto" w:fill="auto"/>
          </w:tcPr>
          <w:p w14:paraId="7BD52133" w14:textId="1A7F8BB3" w:rsidR="00333AFD" w:rsidRPr="00333AFD" w:rsidRDefault="00333AFD" w:rsidP="00F35AF3">
            <w:pPr>
              <w:pStyle w:val="SingleTxtG"/>
              <w:tabs>
                <w:tab w:val="clear" w:pos="1701"/>
                <w:tab w:val="clear" w:pos="2268"/>
                <w:tab w:val="clear" w:pos="2835"/>
              </w:tabs>
              <w:spacing w:before="40"/>
              <w:ind w:left="0" w:right="0"/>
              <w:jc w:val="left"/>
            </w:pPr>
            <w:r w:rsidRPr="00333AFD">
              <w:t xml:space="preserve">Convenio sobre el </w:t>
            </w:r>
            <w:r w:rsidR="00E43413" w:rsidRPr="00333AFD">
              <w:t>Asbesto</w:t>
            </w:r>
            <w:r w:rsidRPr="00333AFD">
              <w:t>, 1986 (núm. 162)</w:t>
            </w:r>
          </w:p>
        </w:tc>
        <w:tc>
          <w:tcPr>
            <w:tcW w:w="1984" w:type="dxa"/>
            <w:shd w:val="clear" w:color="auto" w:fill="auto"/>
          </w:tcPr>
          <w:p w14:paraId="3A67903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9 de abril de 2003</w:t>
            </w:r>
          </w:p>
        </w:tc>
        <w:tc>
          <w:tcPr>
            <w:tcW w:w="1134" w:type="dxa"/>
            <w:shd w:val="clear" w:color="auto" w:fill="auto"/>
          </w:tcPr>
          <w:p w14:paraId="3213B2F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2B26AAAD" w14:textId="77777777" w:rsidTr="00F7746E">
        <w:trPr>
          <w:trHeight w:val="240"/>
        </w:trPr>
        <w:tc>
          <w:tcPr>
            <w:tcW w:w="706" w:type="dxa"/>
            <w:shd w:val="clear" w:color="auto" w:fill="auto"/>
          </w:tcPr>
          <w:p w14:paraId="6C3396B2"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22.</w:t>
            </w:r>
          </w:p>
        </w:tc>
        <w:tc>
          <w:tcPr>
            <w:tcW w:w="4681" w:type="dxa"/>
            <w:shd w:val="clear" w:color="auto" w:fill="auto"/>
          </w:tcPr>
          <w:p w14:paraId="1229093A" w14:textId="06D1CD1F" w:rsidR="00333AFD" w:rsidRPr="00333AFD" w:rsidRDefault="00333AFD" w:rsidP="00F35AF3">
            <w:pPr>
              <w:pStyle w:val="SingleTxtG"/>
              <w:tabs>
                <w:tab w:val="clear" w:pos="1701"/>
                <w:tab w:val="clear" w:pos="2268"/>
                <w:tab w:val="clear" w:pos="2835"/>
              </w:tabs>
              <w:spacing w:before="40"/>
              <w:ind w:left="0" w:right="0"/>
              <w:jc w:val="left"/>
            </w:pPr>
            <w:r w:rsidRPr="00333AFD">
              <w:t>Convenio sobre los Productos Químicos, 1990 (núm.</w:t>
            </w:r>
            <w:r w:rsidR="00E43413">
              <w:t> </w:t>
            </w:r>
            <w:r w:rsidRPr="00333AFD">
              <w:t>170)</w:t>
            </w:r>
          </w:p>
        </w:tc>
        <w:tc>
          <w:tcPr>
            <w:tcW w:w="1984" w:type="dxa"/>
            <w:shd w:val="clear" w:color="auto" w:fill="auto"/>
          </w:tcPr>
          <w:p w14:paraId="4B53B28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27 de agosto de 1998</w:t>
            </w:r>
          </w:p>
        </w:tc>
        <w:tc>
          <w:tcPr>
            <w:tcW w:w="1134" w:type="dxa"/>
            <w:shd w:val="clear" w:color="auto" w:fill="auto"/>
          </w:tcPr>
          <w:p w14:paraId="64F5220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3A7E1868" w14:textId="77777777" w:rsidTr="00F7746E">
        <w:trPr>
          <w:trHeight w:val="240"/>
        </w:trPr>
        <w:tc>
          <w:tcPr>
            <w:tcW w:w="706" w:type="dxa"/>
            <w:shd w:val="clear" w:color="auto" w:fill="auto"/>
          </w:tcPr>
          <w:p w14:paraId="056E83AC"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23.</w:t>
            </w:r>
          </w:p>
        </w:tc>
        <w:tc>
          <w:tcPr>
            <w:tcW w:w="4681" w:type="dxa"/>
            <w:shd w:val="clear" w:color="auto" w:fill="auto"/>
          </w:tcPr>
          <w:p w14:paraId="7BBE024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 Prevención de Accidentes Industriales Mayores, 1993 (núm. 174)</w:t>
            </w:r>
          </w:p>
        </w:tc>
        <w:tc>
          <w:tcPr>
            <w:tcW w:w="1984" w:type="dxa"/>
            <w:shd w:val="clear" w:color="auto" w:fill="auto"/>
          </w:tcPr>
          <w:p w14:paraId="436A1863"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9 de abril de 2003</w:t>
            </w:r>
          </w:p>
        </w:tc>
        <w:tc>
          <w:tcPr>
            <w:tcW w:w="1134" w:type="dxa"/>
            <w:shd w:val="clear" w:color="auto" w:fill="auto"/>
          </w:tcPr>
          <w:p w14:paraId="5836699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1D728F12" w14:textId="77777777" w:rsidTr="00F7746E">
        <w:trPr>
          <w:trHeight w:val="240"/>
        </w:trPr>
        <w:tc>
          <w:tcPr>
            <w:tcW w:w="706" w:type="dxa"/>
            <w:shd w:val="clear" w:color="auto" w:fill="auto"/>
          </w:tcPr>
          <w:p w14:paraId="127B10FF"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24.</w:t>
            </w:r>
          </w:p>
        </w:tc>
        <w:tc>
          <w:tcPr>
            <w:tcW w:w="4681" w:type="dxa"/>
            <w:shd w:val="clear" w:color="auto" w:fill="auto"/>
          </w:tcPr>
          <w:p w14:paraId="1647B77E"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Seguridad y Salud en las Minas, 1995 (núm. 176)</w:t>
            </w:r>
          </w:p>
        </w:tc>
        <w:tc>
          <w:tcPr>
            <w:tcW w:w="1984" w:type="dxa"/>
            <w:shd w:val="clear" w:color="auto" w:fill="auto"/>
          </w:tcPr>
          <w:p w14:paraId="585720BB"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9 de abril de 2003</w:t>
            </w:r>
          </w:p>
        </w:tc>
        <w:tc>
          <w:tcPr>
            <w:tcW w:w="1134" w:type="dxa"/>
            <w:shd w:val="clear" w:color="auto" w:fill="auto"/>
          </w:tcPr>
          <w:p w14:paraId="218F9C79"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r w:rsidR="00F35AF3" w:rsidRPr="00333AFD" w14:paraId="5890DDBD" w14:textId="77777777" w:rsidTr="00F7746E">
        <w:trPr>
          <w:trHeight w:val="240"/>
        </w:trPr>
        <w:tc>
          <w:tcPr>
            <w:tcW w:w="706" w:type="dxa"/>
            <w:tcBorders>
              <w:bottom w:val="single" w:sz="12" w:space="0" w:color="auto"/>
            </w:tcBorders>
            <w:shd w:val="clear" w:color="auto" w:fill="auto"/>
          </w:tcPr>
          <w:p w14:paraId="4EE77975" w14:textId="77777777" w:rsidR="00333AFD" w:rsidRPr="00333AFD" w:rsidRDefault="00333AFD" w:rsidP="00F35AF3">
            <w:pPr>
              <w:pStyle w:val="SingleTxtG"/>
              <w:tabs>
                <w:tab w:val="clear" w:pos="1701"/>
                <w:tab w:val="clear" w:pos="2268"/>
                <w:tab w:val="clear" w:pos="2835"/>
              </w:tabs>
              <w:spacing w:before="40"/>
              <w:ind w:left="0" w:right="0"/>
              <w:jc w:val="left"/>
            </w:pPr>
            <w:r w:rsidRPr="00333AFD">
              <w:t>25.</w:t>
            </w:r>
          </w:p>
        </w:tc>
        <w:tc>
          <w:tcPr>
            <w:tcW w:w="4681" w:type="dxa"/>
            <w:tcBorders>
              <w:bottom w:val="single" w:sz="12" w:space="0" w:color="auto"/>
            </w:tcBorders>
            <w:shd w:val="clear" w:color="auto" w:fill="auto"/>
          </w:tcPr>
          <w:p w14:paraId="212B6821" w14:textId="77777777" w:rsidR="00333AFD" w:rsidRPr="00333AFD" w:rsidRDefault="00333AFD" w:rsidP="00F35AF3">
            <w:pPr>
              <w:pStyle w:val="SingleTxtG"/>
              <w:tabs>
                <w:tab w:val="clear" w:pos="1701"/>
                <w:tab w:val="clear" w:pos="2268"/>
                <w:tab w:val="clear" w:pos="2835"/>
              </w:tabs>
              <w:spacing w:before="40"/>
              <w:ind w:left="0" w:right="0"/>
              <w:jc w:val="left"/>
            </w:pPr>
            <w:r w:rsidRPr="00333AFD">
              <w:t>Convenio sobre las Peores Formas de Trabajo Infantil, 1999 (núm. 182) 1999</w:t>
            </w:r>
          </w:p>
        </w:tc>
        <w:tc>
          <w:tcPr>
            <w:tcW w:w="1984" w:type="dxa"/>
            <w:tcBorders>
              <w:bottom w:val="single" w:sz="12" w:space="0" w:color="auto"/>
            </w:tcBorders>
            <w:shd w:val="clear" w:color="auto" w:fill="auto"/>
          </w:tcPr>
          <w:p w14:paraId="19467FAD" w14:textId="77777777" w:rsidR="00333AFD" w:rsidRPr="00333AFD" w:rsidRDefault="00333AFD" w:rsidP="00F35AF3">
            <w:pPr>
              <w:pStyle w:val="SingleTxtG"/>
              <w:tabs>
                <w:tab w:val="clear" w:pos="1701"/>
                <w:tab w:val="clear" w:pos="2268"/>
                <w:tab w:val="clear" w:pos="2835"/>
              </w:tabs>
              <w:spacing w:before="40"/>
              <w:ind w:left="0" w:right="0"/>
              <w:jc w:val="left"/>
            </w:pPr>
            <w:r w:rsidRPr="00333AFD">
              <w:t>Ratificación. 11 de diciembre de 2000</w:t>
            </w:r>
          </w:p>
        </w:tc>
        <w:tc>
          <w:tcPr>
            <w:tcW w:w="1134" w:type="dxa"/>
            <w:tcBorders>
              <w:bottom w:val="single" w:sz="12" w:space="0" w:color="auto"/>
            </w:tcBorders>
            <w:shd w:val="clear" w:color="auto" w:fill="auto"/>
          </w:tcPr>
          <w:p w14:paraId="409CC07A" w14:textId="77777777" w:rsidR="00333AFD" w:rsidRPr="00333AFD" w:rsidRDefault="00333AFD" w:rsidP="00F35AF3">
            <w:pPr>
              <w:pStyle w:val="SingleTxtG"/>
              <w:tabs>
                <w:tab w:val="clear" w:pos="1701"/>
                <w:tab w:val="clear" w:pos="2268"/>
                <w:tab w:val="clear" w:pos="2835"/>
              </w:tabs>
              <w:spacing w:before="40"/>
              <w:ind w:left="0" w:right="0"/>
              <w:jc w:val="left"/>
            </w:pPr>
            <w:r w:rsidRPr="00333AFD">
              <w:t>-</w:t>
            </w:r>
          </w:p>
        </w:tc>
      </w:tr>
    </w:tbl>
    <w:p w14:paraId="48977832" w14:textId="40287A09" w:rsidR="00333AFD" w:rsidRPr="00333AFD" w:rsidRDefault="00D63E71" w:rsidP="00D63E71">
      <w:pPr>
        <w:pStyle w:val="H23G"/>
      </w:pPr>
      <w:bookmarkStart w:id="25" w:name="_Toc87853295"/>
      <w:r>
        <w:tab/>
      </w:r>
      <w:r w:rsidR="00333AFD" w:rsidRPr="00333AFD">
        <w:tab/>
        <w:t>Convenios de la Conferencia de La Haya de Derecho Internacional Privado</w:t>
      </w:r>
      <w:bookmarkEnd w:id="25"/>
    </w:p>
    <w:p w14:paraId="75EAFC83" w14:textId="68075829" w:rsidR="00333AFD" w:rsidRPr="00333AFD" w:rsidRDefault="00333AFD" w:rsidP="00333AFD">
      <w:pPr>
        <w:pStyle w:val="SingleTxtG"/>
      </w:pPr>
      <w:r w:rsidRPr="00333AFD">
        <w:t>52.</w:t>
      </w:r>
      <w:r w:rsidRPr="00333AFD">
        <w:tab/>
        <w:t>Zimbabwe ratificó el Convenio sobre los Aspectos Civiles de la Sustracción Internacional de Menores,</w:t>
      </w:r>
      <w:r w:rsidR="00C41792">
        <w:t xml:space="preserve"> </w:t>
      </w:r>
      <w:r w:rsidRPr="00333AFD">
        <w:t>1973. La única reserva realizada es al artículo 26, en el sentido de que los costos mencionados en el artículo 26, párrafo 2, del Convenio no correrán a cargo del Estado.</w:t>
      </w:r>
    </w:p>
    <w:p w14:paraId="6429CE79" w14:textId="256233C3" w:rsidR="00333AFD" w:rsidRPr="00333AFD" w:rsidRDefault="00D63E71" w:rsidP="00D63E71">
      <w:pPr>
        <w:pStyle w:val="H23G"/>
      </w:pPr>
      <w:r w:rsidRPr="00D63E71">
        <w:rPr>
          <w:b w:val="0"/>
          <w:bCs/>
        </w:rPr>
        <w:tab/>
      </w:r>
      <w:r w:rsidRPr="00D63E71">
        <w:rPr>
          <w:b w:val="0"/>
          <w:bCs/>
        </w:rPr>
        <w:tab/>
      </w:r>
      <w:r w:rsidR="00333AFD" w:rsidRPr="00D63E71">
        <w:rPr>
          <w:b w:val="0"/>
          <w:bCs/>
        </w:rPr>
        <w:t>Cuadro 8</w:t>
      </w:r>
      <w:r w:rsidRPr="00D63E71">
        <w:rPr>
          <w:b w:val="0"/>
          <w:bCs/>
        </w:rPr>
        <w:br/>
      </w:r>
      <w:r w:rsidR="00333AFD" w:rsidRPr="00333AFD">
        <w:t>Convenios de Ginebra y otros tratados de derecho internacional humanitario</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41"/>
        <w:gridCol w:w="4746"/>
        <w:gridCol w:w="1984"/>
        <w:gridCol w:w="1134"/>
      </w:tblGrid>
      <w:tr w:rsidR="00D63E71" w:rsidRPr="00D63E71" w14:paraId="6F663D8D" w14:textId="77777777" w:rsidTr="00D63E71">
        <w:trPr>
          <w:trHeight w:val="240"/>
          <w:tblHeader/>
        </w:trPr>
        <w:tc>
          <w:tcPr>
            <w:tcW w:w="641" w:type="dxa"/>
            <w:tcBorders>
              <w:top w:val="single" w:sz="4" w:space="0" w:color="auto"/>
              <w:bottom w:val="single" w:sz="12" w:space="0" w:color="auto"/>
            </w:tcBorders>
            <w:shd w:val="clear" w:color="auto" w:fill="auto"/>
            <w:vAlign w:val="bottom"/>
          </w:tcPr>
          <w:p w14:paraId="32E2E55A" w14:textId="09FE4921"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D63E71">
              <w:rPr>
                <w:i/>
                <w:iCs/>
                <w:sz w:val="16"/>
              </w:rPr>
              <w:t>ero</w:t>
            </w:r>
          </w:p>
        </w:tc>
        <w:tc>
          <w:tcPr>
            <w:tcW w:w="4746" w:type="dxa"/>
            <w:tcBorders>
              <w:top w:val="single" w:sz="4" w:space="0" w:color="auto"/>
              <w:bottom w:val="single" w:sz="12" w:space="0" w:color="auto"/>
            </w:tcBorders>
            <w:shd w:val="clear" w:color="auto" w:fill="auto"/>
            <w:vAlign w:val="bottom"/>
          </w:tcPr>
          <w:p w14:paraId="45858F07"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Tratado</w:t>
            </w:r>
          </w:p>
        </w:tc>
        <w:tc>
          <w:tcPr>
            <w:tcW w:w="1984" w:type="dxa"/>
            <w:tcBorders>
              <w:top w:val="single" w:sz="4" w:space="0" w:color="auto"/>
              <w:bottom w:val="single" w:sz="12" w:space="0" w:color="auto"/>
            </w:tcBorders>
            <w:shd w:val="clear" w:color="auto" w:fill="auto"/>
            <w:vAlign w:val="bottom"/>
          </w:tcPr>
          <w:p w14:paraId="2FCCD783"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Situación</w:t>
            </w:r>
          </w:p>
        </w:tc>
        <w:tc>
          <w:tcPr>
            <w:tcW w:w="1134" w:type="dxa"/>
            <w:tcBorders>
              <w:top w:val="single" w:sz="4" w:space="0" w:color="auto"/>
              <w:bottom w:val="single" w:sz="12" w:space="0" w:color="auto"/>
            </w:tcBorders>
            <w:shd w:val="clear" w:color="auto" w:fill="auto"/>
            <w:vAlign w:val="bottom"/>
          </w:tcPr>
          <w:p w14:paraId="60747981" w14:textId="43688466"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Reservas/</w:t>
            </w:r>
            <w:r w:rsidR="00D63E71">
              <w:rPr>
                <w:i/>
                <w:iCs/>
                <w:sz w:val="16"/>
              </w:rPr>
              <w:br/>
            </w:r>
            <w:r w:rsidRPr="00333AFD">
              <w:rPr>
                <w:i/>
                <w:iCs/>
                <w:sz w:val="16"/>
              </w:rPr>
              <w:t>excepciones</w:t>
            </w:r>
          </w:p>
        </w:tc>
      </w:tr>
      <w:tr w:rsidR="00D63E71" w:rsidRPr="00333AFD" w14:paraId="0E9D6D51" w14:textId="77777777" w:rsidTr="00D63E71">
        <w:trPr>
          <w:trHeight w:hRule="exact" w:val="113"/>
          <w:tblHeader/>
        </w:trPr>
        <w:tc>
          <w:tcPr>
            <w:tcW w:w="641" w:type="dxa"/>
            <w:tcBorders>
              <w:top w:val="single" w:sz="12" w:space="0" w:color="auto"/>
            </w:tcBorders>
            <w:shd w:val="clear" w:color="auto" w:fill="auto"/>
          </w:tcPr>
          <w:p w14:paraId="40543572"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4746" w:type="dxa"/>
            <w:tcBorders>
              <w:top w:val="single" w:sz="12" w:space="0" w:color="auto"/>
            </w:tcBorders>
            <w:shd w:val="clear" w:color="auto" w:fill="auto"/>
          </w:tcPr>
          <w:p w14:paraId="79932D8D"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1984" w:type="dxa"/>
            <w:tcBorders>
              <w:top w:val="single" w:sz="12" w:space="0" w:color="auto"/>
            </w:tcBorders>
            <w:shd w:val="clear" w:color="auto" w:fill="auto"/>
          </w:tcPr>
          <w:p w14:paraId="1E4783F1"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1134" w:type="dxa"/>
            <w:tcBorders>
              <w:top w:val="single" w:sz="12" w:space="0" w:color="auto"/>
            </w:tcBorders>
            <w:shd w:val="clear" w:color="auto" w:fill="auto"/>
          </w:tcPr>
          <w:p w14:paraId="389D88FF" w14:textId="77777777" w:rsidR="00333AFD" w:rsidRPr="00333AFD" w:rsidRDefault="00333AFD" w:rsidP="00D63E71">
            <w:pPr>
              <w:pStyle w:val="SingleTxtG"/>
              <w:tabs>
                <w:tab w:val="clear" w:pos="1701"/>
                <w:tab w:val="clear" w:pos="2268"/>
                <w:tab w:val="clear" w:pos="2835"/>
              </w:tabs>
              <w:spacing w:before="40"/>
              <w:ind w:left="0" w:right="0"/>
              <w:jc w:val="left"/>
            </w:pPr>
          </w:p>
        </w:tc>
      </w:tr>
      <w:tr w:rsidR="00D63E71" w:rsidRPr="00333AFD" w14:paraId="430524E4" w14:textId="77777777" w:rsidTr="00D63E71">
        <w:trPr>
          <w:trHeight w:val="240"/>
        </w:trPr>
        <w:tc>
          <w:tcPr>
            <w:tcW w:w="641" w:type="dxa"/>
            <w:shd w:val="clear" w:color="auto" w:fill="auto"/>
          </w:tcPr>
          <w:p w14:paraId="4877654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w:t>
            </w:r>
          </w:p>
        </w:tc>
        <w:tc>
          <w:tcPr>
            <w:tcW w:w="4746" w:type="dxa"/>
            <w:shd w:val="clear" w:color="auto" w:fill="auto"/>
          </w:tcPr>
          <w:p w14:paraId="277494F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Convenio de Ginebra del 12 de agosto de 1949 para Aliviar la Suerte que Corren los Heridos y los Enfermos de las Fuerzas Armadas en Campaña (Convenio I), 1949</w:t>
            </w:r>
          </w:p>
        </w:tc>
        <w:tc>
          <w:tcPr>
            <w:tcW w:w="1984" w:type="dxa"/>
            <w:shd w:val="clear" w:color="auto" w:fill="auto"/>
          </w:tcPr>
          <w:p w14:paraId="3E8337C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7 de marzo de 1983</w:t>
            </w:r>
          </w:p>
        </w:tc>
        <w:tc>
          <w:tcPr>
            <w:tcW w:w="1134" w:type="dxa"/>
            <w:shd w:val="clear" w:color="auto" w:fill="auto"/>
          </w:tcPr>
          <w:p w14:paraId="4AFF665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4222B509" w14:textId="77777777" w:rsidTr="00D63E71">
        <w:trPr>
          <w:trHeight w:val="240"/>
        </w:trPr>
        <w:tc>
          <w:tcPr>
            <w:tcW w:w="641" w:type="dxa"/>
            <w:shd w:val="clear" w:color="auto" w:fill="auto"/>
          </w:tcPr>
          <w:p w14:paraId="3765152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2.</w:t>
            </w:r>
          </w:p>
        </w:tc>
        <w:tc>
          <w:tcPr>
            <w:tcW w:w="4746" w:type="dxa"/>
            <w:shd w:val="clear" w:color="auto" w:fill="auto"/>
          </w:tcPr>
          <w:p w14:paraId="3BE90FD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Convenio de Ginebra del 12 de agosto de 1949 para Aliviar la Suerte que Corren los Heridos, los Enfermos y los Náufragos de las Fuerzas Armadas en el Mar (Convenio II)</w:t>
            </w:r>
          </w:p>
        </w:tc>
        <w:tc>
          <w:tcPr>
            <w:tcW w:w="1984" w:type="dxa"/>
            <w:shd w:val="clear" w:color="auto" w:fill="auto"/>
          </w:tcPr>
          <w:p w14:paraId="7712B94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7 de marzo de 1983</w:t>
            </w:r>
          </w:p>
        </w:tc>
        <w:tc>
          <w:tcPr>
            <w:tcW w:w="1134" w:type="dxa"/>
            <w:shd w:val="clear" w:color="auto" w:fill="auto"/>
          </w:tcPr>
          <w:p w14:paraId="245A956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16C5A0BD" w14:textId="77777777" w:rsidTr="00D63E71">
        <w:trPr>
          <w:trHeight w:val="240"/>
        </w:trPr>
        <w:tc>
          <w:tcPr>
            <w:tcW w:w="641" w:type="dxa"/>
            <w:shd w:val="clear" w:color="auto" w:fill="auto"/>
          </w:tcPr>
          <w:p w14:paraId="4887F69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3.</w:t>
            </w:r>
          </w:p>
        </w:tc>
        <w:tc>
          <w:tcPr>
            <w:tcW w:w="4746" w:type="dxa"/>
            <w:shd w:val="clear" w:color="auto" w:fill="auto"/>
          </w:tcPr>
          <w:p w14:paraId="230B839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Convenio de Ginebra relativo al Trato debido a los Prisioneros de Guerra (Convenio III), 1949</w:t>
            </w:r>
          </w:p>
        </w:tc>
        <w:tc>
          <w:tcPr>
            <w:tcW w:w="1984" w:type="dxa"/>
            <w:shd w:val="clear" w:color="auto" w:fill="auto"/>
          </w:tcPr>
          <w:p w14:paraId="0BC38941"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7 de marzo de 1983</w:t>
            </w:r>
          </w:p>
        </w:tc>
        <w:tc>
          <w:tcPr>
            <w:tcW w:w="1134" w:type="dxa"/>
            <w:shd w:val="clear" w:color="auto" w:fill="auto"/>
          </w:tcPr>
          <w:p w14:paraId="677536D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3EFA8209" w14:textId="77777777" w:rsidTr="00D63E71">
        <w:trPr>
          <w:trHeight w:val="240"/>
        </w:trPr>
        <w:tc>
          <w:tcPr>
            <w:tcW w:w="641" w:type="dxa"/>
            <w:shd w:val="clear" w:color="auto" w:fill="auto"/>
          </w:tcPr>
          <w:p w14:paraId="36B422D7" w14:textId="77777777" w:rsidR="00333AFD" w:rsidRPr="00333AFD" w:rsidRDefault="00333AFD" w:rsidP="00D63E71">
            <w:pPr>
              <w:pStyle w:val="SingleTxtG"/>
              <w:tabs>
                <w:tab w:val="clear" w:pos="1701"/>
                <w:tab w:val="clear" w:pos="2268"/>
                <w:tab w:val="clear" w:pos="2835"/>
              </w:tabs>
              <w:spacing w:before="40"/>
              <w:ind w:left="0" w:right="0"/>
              <w:jc w:val="left"/>
            </w:pPr>
            <w:r w:rsidRPr="00333AFD">
              <w:lastRenderedPageBreak/>
              <w:t>4.</w:t>
            </w:r>
          </w:p>
        </w:tc>
        <w:tc>
          <w:tcPr>
            <w:tcW w:w="4746" w:type="dxa"/>
            <w:shd w:val="clear" w:color="auto" w:fill="auto"/>
          </w:tcPr>
          <w:p w14:paraId="37A9641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Convenio de Ginebra relativo a la Protección debida a las Personas Civiles en Tiempo de Guerra (Convenio IV), 1949</w:t>
            </w:r>
          </w:p>
        </w:tc>
        <w:tc>
          <w:tcPr>
            <w:tcW w:w="1984" w:type="dxa"/>
            <w:shd w:val="clear" w:color="auto" w:fill="auto"/>
          </w:tcPr>
          <w:p w14:paraId="7871222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7 de marzo de 1983</w:t>
            </w:r>
          </w:p>
        </w:tc>
        <w:tc>
          <w:tcPr>
            <w:tcW w:w="1134" w:type="dxa"/>
            <w:shd w:val="clear" w:color="auto" w:fill="auto"/>
          </w:tcPr>
          <w:p w14:paraId="2738895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39B396D9" w14:textId="77777777" w:rsidTr="00D63E71">
        <w:trPr>
          <w:trHeight w:val="240"/>
        </w:trPr>
        <w:tc>
          <w:tcPr>
            <w:tcW w:w="641" w:type="dxa"/>
            <w:shd w:val="clear" w:color="auto" w:fill="auto"/>
          </w:tcPr>
          <w:p w14:paraId="2B5B778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5.</w:t>
            </w:r>
          </w:p>
        </w:tc>
        <w:tc>
          <w:tcPr>
            <w:tcW w:w="4746" w:type="dxa"/>
            <w:shd w:val="clear" w:color="auto" w:fill="auto"/>
          </w:tcPr>
          <w:p w14:paraId="6F052AD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Adicional I a los Convenios de Ginebra, 1977</w:t>
            </w:r>
          </w:p>
        </w:tc>
        <w:tc>
          <w:tcPr>
            <w:tcW w:w="1984" w:type="dxa"/>
            <w:shd w:val="clear" w:color="auto" w:fill="auto"/>
          </w:tcPr>
          <w:p w14:paraId="344A62A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19 de octubre de 1992</w:t>
            </w:r>
          </w:p>
        </w:tc>
        <w:tc>
          <w:tcPr>
            <w:tcW w:w="1134" w:type="dxa"/>
            <w:shd w:val="clear" w:color="auto" w:fill="auto"/>
          </w:tcPr>
          <w:p w14:paraId="24B7C95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5C17416E" w14:textId="77777777" w:rsidTr="00D63E71">
        <w:trPr>
          <w:trHeight w:val="240"/>
        </w:trPr>
        <w:tc>
          <w:tcPr>
            <w:tcW w:w="641" w:type="dxa"/>
            <w:shd w:val="clear" w:color="auto" w:fill="auto"/>
          </w:tcPr>
          <w:p w14:paraId="39AEDBE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6.</w:t>
            </w:r>
          </w:p>
        </w:tc>
        <w:tc>
          <w:tcPr>
            <w:tcW w:w="4746" w:type="dxa"/>
            <w:shd w:val="clear" w:color="auto" w:fill="auto"/>
          </w:tcPr>
          <w:p w14:paraId="0437C57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Adicional II a los Convenios de Ginebra, 1977</w:t>
            </w:r>
          </w:p>
        </w:tc>
        <w:tc>
          <w:tcPr>
            <w:tcW w:w="1984" w:type="dxa"/>
            <w:shd w:val="clear" w:color="auto" w:fill="auto"/>
          </w:tcPr>
          <w:p w14:paraId="6A9EA90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19 de octubre de 1992</w:t>
            </w:r>
          </w:p>
        </w:tc>
        <w:tc>
          <w:tcPr>
            <w:tcW w:w="1134" w:type="dxa"/>
            <w:shd w:val="clear" w:color="auto" w:fill="auto"/>
          </w:tcPr>
          <w:p w14:paraId="63C6C8E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10C6B035" w14:textId="77777777" w:rsidTr="00D63E71">
        <w:trPr>
          <w:trHeight w:val="240"/>
        </w:trPr>
        <w:tc>
          <w:tcPr>
            <w:tcW w:w="641" w:type="dxa"/>
            <w:shd w:val="clear" w:color="auto" w:fill="auto"/>
          </w:tcPr>
          <w:p w14:paraId="0335F32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7.</w:t>
            </w:r>
          </w:p>
        </w:tc>
        <w:tc>
          <w:tcPr>
            <w:tcW w:w="4746" w:type="dxa"/>
            <w:shd w:val="clear" w:color="auto" w:fill="auto"/>
          </w:tcPr>
          <w:p w14:paraId="47BED37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Facultativo de la Convención sobre los Derechos del Niño relativo a la participación de niños en los conflictos armados, 2000</w:t>
            </w:r>
          </w:p>
        </w:tc>
        <w:tc>
          <w:tcPr>
            <w:tcW w:w="1984" w:type="dxa"/>
            <w:shd w:val="clear" w:color="auto" w:fill="auto"/>
          </w:tcPr>
          <w:p w14:paraId="7EC49A48" w14:textId="77777777" w:rsidR="00333AFD" w:rsidRPr="00333AFD" w:rsidRDefault="00333AFD" w:rsidP="00D63E71">
            <w:pPr>
              <w:pStyle w:val="SingleTxtG"/>
              <w:tabs>
                <w:tab w:val="clear" w:pos="1701"/>
                <w:tab w:val="clear" w:pos="2268"/>
                <w:tab w:val="clear" w:pos="2835"/>
              </w:tabs>
              <w:spacing w:before="40"/>
              <w:ind w:left="0" w:right="0"/>
              <w:jc w:val="left"/>
            </w:pPr>
            <w:r w:rsidRPr="00333AFD">
              <w:t>22 de mayo de 2013</w:t>
            </w:r>
          </w:p>
        </w:tc>
        <w:tc>
          <w:tcPr>
            <w:tcW w:w="1134" w:type="dxa"/>
            <w:shd w:val="clear" w:color="auto" w:fill="auto"/>
          </w:tcPr>
          <w:p w14:paraId="575FC99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425C0892" w14:textId="77777777" w:rsidTr="00D63E71">
        <w:trPr>
          <w:trHeight w:val="240"/>
        </w:trPr>
        <w:tc>
          <w:tcPr>
            <w:tcW w:w="641" w:type="dxa"/>
            <w:shd w:val="clear" w:color="auto" w:fill="auto"/>
          </w:tcPr>
          <w:p w14:paraId="316293C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8.</w:t>
            </w:r>
          </w:p>
        </w:tc>
        <w:tc>
          <w:tcPr>
            <w:tcW w:w="4746" w:type="dxa"/>
            <w:shd w:val="clear" w:color="auto" w:fill="auto"/>
          </w:tcPr>
          <w:p w14:paraId="2DCB3D4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Convención sobre la Prohibición del Desarrollo, la Producción y el Almacenamiento de Armas Bacteriológicas (Biológicas) y Toxínicas y sobre Su Destrucción, 1972</w:t>
            </w:r>
          </w:p>
        </w:tc>
        <w:tc>
          <w:tcPr>
            <w:tcW w:w="1984" w:type="dxa"/>
            <w:shd w:val="clear" w:color="auto" w:fill="auto"/>
          </w:tcPr>
          <w:p w14:paraId="68FB021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5 noviembre de 1990</w:t>
            </w:r>
          </w:p>
        </w:tc>
        <w:tc>
          <w:tcPr>
            <w:tcW w:w="1134" w:type="dxa"/>
            <w:shd w:val="clear" w:color="auto" w:fill="auto"/>
          </w:tcPr>
          <w:p w14:paraId="008D289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0D4B88D5" w14:textId="77777777" w:rsidTr="00D63E71">
        <w:trPr>
          <w:trHeight w:val="240"/>
        </w:trPr>
        <w:tc>
          <w:tcPr>
            <w:tcW w:w="641" w:type="dxa"/>
            <w:shd w:val="clear" w:color="auto" w:fill="auto"/>
          </w:tcPr>
          <w:p w14:paraId="5FC1945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9.</w:t>
            </w:r>
          </w:p>
        </w:tc>
        <w:tc>
          <w:tcPr>
            <w:tcW w:w="4746" w:type="dxa"/>
            <w:shd w:val="clear" w:color="auto" w:fill="auto"/>
          </w:tcPr>
          <w:p w14:paraId="2064C7F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Convención sobre la Prohibición del Desarrollo, la Producción, el Almacenamiento y el Empleo de Armas Químicas y sobre Su Destrucción, 1993</w:t>
            </w:r>
          </w:p>
        </w:tc>
        <w:tc>
          <w:tcPr>
            <w:tcW w:w="1984" w:type="dxa"/>
            <w:shd w:val="clear" w:color="auto" w:fill="auto"/>
          </w:tcPr>
          <w:p w14:paraId="555819F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25 de abril de 1997</w:t>
            </w:r>
          </w:p>
        </w:tc>
        <w:tc>
          <w:tcPr>
            <w:tcW w:w="1134" w:type="dxa"/>
            <w:shd w:val="clear" w:color="auto" w:fill="auto"/>
          </w:tcPr>
          <w:p w14:paraId="2FE8B3E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0CBFD761" w14:textId="77777777" w:rsidTr="00D63E71">
        <w:trPr>
          <w:trHeight w:val="240"/>
        </w:trPr>
        <w:tc>
          <w:tcPr>
            <w:tcW w:w="641" w:type="dxa"/>
            <w:shd w:val="clear" w:color="auto" w:fill="auto"/>
          </w:tcPr>
          <w:p w14:paraId="25CCFEE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10.</w:t>
            </w:r>
          </w:p>
        </w:tc>
        <w:tc>
          <w:tcPr>
            <w:tcW w:w="4746" w:type="dxa"/>
            <w:shd w:val="clear" w:color="auto" w:fill="auto"/>
          </w:tcPr>
          <w:p w14:paraId="445C1EF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Convención sobre la Prohibición de las Minas Antipersonal, 1997</w:t>
            </w:r>
          </w:p>
        </w:tc>
        <w:tc>
          <w:tcPr>
            <w:tcW w:w="1984" w:type="dxa"/>
            <w:shd w:val="clear" w:color="auto" w:fill="auto"/>
          </w:tcPr>
          <w:p w14:paraId="1D1BC56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18 de junio de 1998</w:t>
            </w:r>
          </w:p>
        </w:tc>
        <w:tc>
          <w:tcPr>
            <w:tcW w:w="1134" w:type="dxa"/>
            <w:shd w:val="clear" w:color="auto" w:fill="auto"/>
          </w:tcPr>
          <w:p w14:paraId="4D71406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38F30B37" w14:textId="77777777" w:rsidTr="00D63E71">
        <w:trPr>
          <w:trHeight w:val="240"/>
        </w:trPr>
        <w:tc>
          <w:tcPr>
            <w:tcW w:w="641" w:type="dxa"/>
            <w:shd w:val="clear" w:color="auto" w:fill="auto"/>
          </w:tcPr>
          <w:p w14:paraId="36B66DA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11.</w:t>
            </w:r>
          </w:p>
        </w:tc>
        <w:tc>
          <w:tcPr>
            <w:tcW w:w="4746" w:type="dxa"/>
            <w:shd w:val="clear" w:color="auto" w:fill="auto"/>
          </w:tcPr>
          <w:p w14:paraId="0F9A134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Tratado sobre la Prohibición de las Armas Nucleares, 2017</w:t>
            </w:r>
          </w:p>
        </w:tc>
        <w:tc>
          <w:tcPr>
            <w:tcW w:w="1984" w:type="dxa"/>
            <w:shd w:val="clear" w:color="auto" w:fill="auto"/>
          </w:tcPr>
          <w:p w14:paraId="24E1B88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Firma, 4 de diciembre de 2020</w:t>
            </w:r>
          </w:p>
        </w:tc>
        <w:tc>
          <w:tcPr>
            <w:tcW w:w="1134" w:type="dxa"/>
            <w:shd w:val="clear" w:color="auto" w:fill="auto"/>
          </w:tcPr>
          <w:p w14:paraId="0270B59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756E0693" w14:textId="77777777" w:rsidTr="00D63E71">
        <w:trPr>
          <w:trHeight w:val="240"/>
        </w:trPr>
        <w:tc>
          <w:tcPr>
            <w:tcW w:w="641" w:type="dxa"/>
            <w:shd w:val="clear" w:color="auto" w:fill="auto"/>
          </w:tcPr>
          <w:p w14:paraId="5F02210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12.</w:t>
            </w:r>
          </w:p>
        </w:tc>
        <w:tc>
          <w:tcPr>
            <w:tcW w:w="4746" w:type="dxa"/>
            <w:shd w:val="clear" w:color="auto" w:fill="auto"/>
          </w:tcPr>
          <w:p w14:paraId="6FB94D5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Convención para la Protección de los Bienes Culturales en Caso de Conflicto Armado, 1954</w:t>
            </w:r>
          </w:p>
        </w:tc>
        <w:tc>
          <w:tcPr>
            <w:tcW w:w="1984" w:type="dxa"/>
            <w:shd w:val="clear" w:color="auto" w:fill="auto"/>
          </w:tcPr>
          <w:p w14:paraId="32DA3B2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17 de julio de 1998</w:t>
            </w:r>
          </w:p>
        </w:tc>
        <w:tc>
          <w:tcPr>
            <w:tcW w:w="1134" w:type="dxa"/>
            <w:shd w:val="clear" w:color="auto" w:fill="auto"/>
          </w:tcPr>
          <w:p w14:paraId="791D55B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7EF05CBE" w14:textId="77777777" w:rsidTr="00D63E71">
        <w:trPr>
          <w:trHeight w:val="240"/>
        </w:trPr>
        <w:tc>
          <w:tcPr>
            <w:tcW w:w="641" w:type="dxa"/>
            <w:shd w:val="clear" w:color="auto" w:fill="auto"/>
          </w:tcPr>
          <w:p w14:paraId="18FF1F21"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13.</w:t>
            </w:r>
          </w:p>
        </w:tc>
        <w:tc>
          <w:tcPr>
            <w:tcW w:w="4746" w:type="dxa"/>
            <w:shd w:val="clear" w:color="auto" w:fill="auto"/>
          </w:tcPr>
          <w:p w14:paraId="0E59F3D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Estatuto de Roma de la Corte Penal Internacional, 1998</w:t>
            </w:r>
          </w:p>
        </w:tc>
        <w:tc>
          <w:tcPr>
            <w:tcW w:w="1984" w:type="dxa"/>
            <w:shd w:val="clear" w:color="auto" w:fill="auto"/>
          </w:tcPr>
          <w:p w14:paraId="2BECDB3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Firma, 17 de julio de 1998</w:t>
            </w:r>
          </w:p>
        </w:tc>
        <w:tc>
          <w:tcPr>
            <w:tcW w:w="1134" w:type="dxa"/>
            <w:shd w:val="clear" w:color="auto" w:fill="auto"/>
          </w:tcPr>
          <w:p w14:paraId="38A3CCB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058E20BE" w14:textId="77777777" w:rsidTr="00D63E71">
        <w:trPr>
          <w:trHeight w:val="240"/>
        </w:trPr>
        <w:tc>
          <w:tcPr>
            <w:tcW w:w="641" w:type="dxa"/>
            <w:shd w:val="clear" w:color="auto" w:fill="auto"/>
          </w:tcPr>
          <w:p w14:paraId="6622D8E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14.</w:t>
            </w:r>
          </w:p>
        </w:tc>
        <w:tc>
          <w:tcPr>
            <w:tcW w:w="4746" w:type="dxa"/>
            <w:shd w:val="clear" w:color="auto" w:fill="auto"/>
          </w:tcPr>
          <w:p w14:paraId="61E9490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Convención para la Prevención y la Sanción del Delito de Genocidio, 1948</w:t>
            </w:r>
          </w:p>
        </w:tc>
        <w:tc>
          <w:tcPr>
            <w:tcW w:w="1984" w:type="dxa"/>
            <w:shd w:val="clear" w:color="auto" w:fill="auto"/>
          </w:tcPr>
          <w:p w14:paraId="4DA3633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13 de mayo de 1991</w:t>
            </w:r>
          </w:p>
        </w:tc>
        <w:tc>
          <w:tcPr>
            <w:tcW w:w="1134" w:type="dxa"/>
            <w:shd w:val="clear" w:color="auto" w:fill="auto"/>
          </w:tcPr>
          <w:p w14:paraId="10220E6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13CE99D4" w14:textId="77777777" w:rsidTr="00D63E71">
        <w:trPr>
          <w:trHeight w:val="240"/>
        </w:trPr>
        <w:tc>
          <w:tcPr>
            <w:tcW w:w="641" w:type="dxa"/>
            <w:shd w:val="clear" w:color="auto" w:fill="auto"/>
          </w:tcPr>
          <w:p w14:paraId="388ABE6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15.</w:t>
            </w:r>
          </w:p>
        </w:tc>
        <w:tc>
          <w:tcPr>
            <w:tcW w:w="4746" w:type="dxa"/>
            <w:shd w:val="clear" w:color="auto" w:fill="auto"/>
          </w:tcPr>
          <w:p w14:paraId="3DB7B47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Convención de la Unión Africana para la Eliminación del Mercenarismo en África, 1977</w:t>
            </w:r>
          </w:p>
        </w:tc>
        <w:tc>
          <w:tcPr>
            <w:tcW w:w="1984" w:type="dxa"/>
            <w:shd w:val="clear" w:color="auto" w:fill="auto"/>
          </w:tcPr>
          <w:p w14:paraId="4B93D9E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Ratificación/adhesión, 14 de febrero de 1992</w:t>
            </w:r>
          </w:p>
        </w:tc>
        <w:tc>
          <w:tcPr>
            <w:tcW w:w="1134" w:type="dxa"/>
            <w:shd w:val="clear" w:color="auto" w:fill="auto"/>
          </w:tcPr>
          <w:p w14:paraId="021C53F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7BEA3432" w14:textId="77777777" w:rsidTr="00D63E71">
        <w:trPr>
          <w:trHeight w:val="240"/>
        </w:trPr>
        <w:tc>
          <w:tcPr>
            <w:tcW w:w="641" w:type="dxa"/>
            <w:tcBorders>
              <w:bottom w:val="single" w:sz="12" w:space="0" w:color="auto"/>
            </w:tcBorders>
            <w:shd w:val="clear" w:color="auto" w:fill="auto"/>
          </w:tcPr>
          <w:p w14:paraId="77F02518"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16.</w:t>
            </w:r>
          </w:p>
        </w:tc>
        <w:tc>
          <w:tcPr>
            <w:tcW w:w="4746" w:type="dxa"/>
            <w:tcBorders>
              <w:bottom w:val="single" w:sz="12" w:space="0" w:color="auto"/>
            </w:tcBorders>
            <w:shd w:val="clear" w:color="auto" w:fill="auto"/>
          </w:tcPr>
          <w:p w14:paraId="52CBFAB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Tratado sobre el Comercio de Armas, 2013</w:t>
            </w:r>
          </w:p>
        </w:tc>
        <w:tc>
          <w:tcPr>
            <w:tcW w:w="1984" w:type="dxa"/>
            <w:tcBorders>
              <w:bottom w:val="single" w:sz="12" w:space="0" w:color="auto"/>
            </w:tcBorders>
            <w:shd w:val="clear" w:color="auto" w:fill="auto"/>
          </w:tcPr>
          <w:p w14:paraId="765DEEA8" w14:textId="77777777" w:rsidR="00333AFD" w:rsidRPr="00333AFD" w:rsidRDefault="00333AFD" w:rsidP="00D63E71">
            <w:pPr>
              <w:pStyle w:val="SingleTxtG"/>
              <w:tabs>
                <w:tab w:val="clear" w:pos="1701"/>
                <w:tab w:val="clear" w:pos="2268"/>
                <w:tab w:val="clear" w:pos="2835"/>
              </w:tabs>
              <w:spacing w:before="40"/>
              <w:ind w:left="0" w:right="0"/>
              <w:jc w:val="left"/>
            </w:pPr>
            <w:r w:rsidRPr="00333AFD">
              <w:t>Firma, 18 de diciembre de 2014</w:t>
            </w:r>
          </w:p>
        </w:tc>
        <w:tc>
          <w:tcPr>
            <w:tcW w:w="1134" w:type="dxa"/>
            <w:tcBorders>
              <w:bottom w:val="single" w:sz="12" w:space="0" w:color="auto"/>
            </w:tcBorders>
            <w:shd w:val="clear" w:color="auto" w:fill="auto"/>
          </w:tcPr>
          <w:p w14:paraId="0C999B5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bl>
    <w:p w14:paraId="79683A69" w14:textId="0A100C51" w:rsidR="00333AFD" w:rsidRPr="00333AFD" w:rsidRDefault="00D63E71" w:rsidP="00D63E71">
      <w:pPr>
        <w:pStyle w:val="H23G"/>
      </w:pPr>
      <w:r w:rsidRPr="00D63E71">
        <w:rPr>
          <w:b w:val="0"/>
          <w:bCs/>
        </w:rPr>
        <w:tab/>
      </w:r>
      <w:r w:rsidRPr="00D63E71">
        <w:rPr>
          <w:b w:val="0"/>
          <w:bCs/>
        </w:rPr>
        <w:tab/>
      </w:r>
      <w:r w:rsidR="00333AFD" w:rsidRPr="00D63E71">
        <w:rPr>
          <w:b w:val="0"/>
          <w:bCs/>
        </w:rPr>
        <w:t>Cuadro 9</w:t>
      </w:r>
      <w:r w:rsidRPr="00D63E71">
        <w:rPr>
          <w:b w:val="0"/>
          <w:bCs/>
        </w:rPr>
        <w:br/>
      </w:r>
      <w:r w:rsidR="00333AFD" w:rsidRPr="00333AFD">
        <w:t>Ratificación de convenciones regionales de derechos humanos</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57"/>
        <w:gridCol w:w="4730"/>
        <w:gridCol w:w="1984"/>
        <w:gridCol w:w="1134"/>
      </w:tblGrid>
      <w:tr w:rsidR="00D63E71" w:rsidRPr="00D63E71" w14:paraId="2FAB4C87" w14:textId="77777777" w:rsidTr="00D63E71">
        <w:trPr>
          <w:trHeight w:val="240"/>
          <w:tblHeader/>
        </w:trPr>
        <w:tc>
          <w:tcPr>
            <w:tcW w:w="657" w:type="dxa"/>
            <w:tcBorders>
              <w:top w:val="single" w:sz="4" w:space="0" w:color="auto"/>
              <w:bottom w:val="single" w:sz="12" w:space="0" w:color="auto"/>
            </w:tcBorders>
            <w:shd w:val="clear" w:color="auto" w:fill="auto"/>
            <w:vAlign w:val="bottom"/>
          </w:tcPr>
          <w:p w14:paraId="2E95C116" w14:textId="587582F4"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D63E71">
              <w:rPr>
                <w:i/>
                <w:iCs/>
                <w:sz w:val="16"/>
              </w:rPr>
              <w:t>ero</w:t>
            </w:r>
          </w:p>
        </w:tc>
        <w:tc>
          <w:tcPr>
            <w:tcW w:w="4730" w:type="dxa"/>
            <w:tcBorders>
              <w:top w:val="single" w:sz="4" w:space="0" w:color="auto"/>
              <w:bottom w:val="single" w:sz="12" w:space="0" w:color="auto"/>
            </w:tcBorders>
            <w:shd w:val="clear" w:color="auto" w:fill="auto"/>
            <w:vAlign w:val="bottom"/>
          </w:tcPr>
          <w:p w14:paraId="421D350B"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Tratado</w:t>
            </w:r>
          </w:p>
        </w:tc>
        <w:tc>
          <w:tcPr>
            <w:tcW w:w="1984" w:type="dxa"/>
            <w:tcBorders>
              <w:top w:val="single" w:sz="4" w:space="0" w:color="auto"/>
              <w:bottom w:val="single" w:sz="12" w:space="0" w:color="auto"/>
            </w:tcBorders>
            <w:shd w:val="clear" w:color="auto" w:fill="auto"/>
            <w:vAlign w:val="bottom"/>
          </w:tcPr>
          <w:p w14:paraId="7588CED8"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Situación</w:t>
            </w:r>
          </w:p>
        </w:tc>
        <w:tc>
          <w:tcPr>
            <w:tcW w:w="1134" w:type="dxa"/>
            <w:tcBorders>
              <w:top w:val="single" w:sz="4" w:space="0" w:color="auto"/>
              <w:bottom w:val="single" w:sz="12" w:space="0" w:color="auto"/>
            </w:tcBorders>
            <w:shd w:val="clear" w:color="auto" w:fill="auto"/>
            <w:vAlign w:val="bottom"/>
          </w:tcPr>
          <w:p w14:paraId="1C742B3C" w14:textId="24B52950"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Reservas/</w:t>
            </w:r>
            <w:r w:rsidR="00D63E71">
              <w:rPr>
                <w:i/>
                <w:iCs/>
                <w:sz w:val="16"/>
              </w:rPr>
              <w:br/>
            </w:r>
            <w:r w:rsidRPr="00333AFD">
              <w:rPr>
                <w:i/>
                <w:iCs/>
                <w:sz w:val="16"/>
              </w:rPr>
              <w:t>excepciones</w:t>
            </w:r>
          </w:p>
        </w:tc>
      </w:tr>
      <w:tr w:rsidR="00D63E71" w:rsidRPr="00333AFD" w14:paraId="7F895C3A" w14:textId="77777777" w:rsidTr="00D63E71">
        <w:trPr>
          <w:trHeight w:hRule="exact" w:val="113"/>
          <w:tblHeader/>
        </w:trPr>
        <w:tc>
          <w:tcPr>
            <w:tcW w:w="657" w:type="dxa"/>
            <w:tcBorders>
              <w:top w:val="single" w:sz="12" w:space="0" w:color="auto"/>
            </w:tcBorders>
            <w:shd w:val="clear" w:color="auto" w:fill="auto"/>
          </w:tcPr>
          <w:p w14:paraId="59A3A591"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4730" w:type="dxa"/>
            <w:tcBorders>
              <w:top w:val="single" w:sz="12" w:space="0" w:color="auto"/>
            </w:tcBorders>
            <w:shd w:val="clear" w:color="auto" w:fill="auto"/>
          </w:tcPr>
          <w:p w14:paraId="7613934C"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1984" w:type="dxa"/>
            <w:tcBorders>
              <w:top w:val="single" w:sz="12" w:space="0" w:color="auto"/>
            </w:tcBorders>
            <w:shd w:val="clear" w:color="auto" w:fill="auto"/>
          </w:tcPr>
          <w:p w14:paraId="6806D2D4"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1134" w:type="dxa"/>
            <w:tcBorders>
              <w:top w:val="single" w:sz="12" w:space="0" w:color="auto"/>
            </w:tcBorders>
            <w:shd w:val="clear" w:color="auto" w:fill="auto"/>
          </w:tcPr>
          <w:p w14:paraId="68D2F18B" w14:textId="77777777" w:rsidR="00333AFD" w:rsidRPr="00333AFD" w:rsidRDefault="00333AFD" w:rsidP="00D63E71">
            <w:pPr>
              <w:pStyle w:val="SingleTxtG"/>
              <w:tabs>
                <w:tab w:val="clear" w:pos="1701"/>
                <w:tab w:val="clear" w:pos="2268"/>
                <w:tab w:val="clear" w:pos="2835"/>
              </w:tabs>
              <w:spacing w:before="40"/>
              <w:ind w:left="0" w:right="0"/>
              <w:jc w:val="left"/>
            </w:pPr>
          </w:p>
        </w:tc>
      </w:tr>
      <w:tr w:rsidR="00D63E71" w:rsidRPr="00333AFD" w14:paraId="0C1817C1" w14:textId="77777777" w:rsidTr="00D63E71">
        <w:trPr>
          <w:trHeight w:val="240"/>
        </w:trPr>
        <w:tc>
          <w:tcPr>
            <w:tcW w:w="657" w:type="dxa"/>
            <w:shd w:val="clear" w:color="auto" w:fill="auto"/>
          </w:tcPr>
          <w:p w14:paraId="53A40B2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w:t>
            </w:r>
          </w:p>
        </w:tc>
        <w:tc>
          <w:tcPr>
            <w:tcW w:w="4730" w:type="dxa"/>
            <w:shd w:val="clear" w:color="auto" w:fill="auto"/>
          </w:tcPr>
          <w:p w14:paraId="574C377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de Asistencia Jurídica Mutua en Asuntos Penales de la Comunidad de África Meridional para el Desarrollo (SADC)</w:t>
            </w:r>
          </w:p>
        </w:tc>
        <w:tc>
          <w:tcPr>
            <w:tcW w:w="1984" w:type="dxa"/>
            <w:shd w:val="clear" w:color="auto" w:fill="auto"/>
          </w:tcPr>
          <w:p w14:paraId="21F8FD2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681516C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w:t>
            </w:r>
          </w:p>
        </w:tc>
      </w:tr>
      <w:tr w:rsidR="00D63E71" w:rsidRPr="00333AFD" w14:paraId="75B9CA9A" w14:textId="77777777" w:rsidTr="00D63E71">
        <w:trPr>
          <w:trHeight w:val="240"/>
        </w:trPr>
        <w:tc>
          <w:tcPr>
            <w:tcW w:w="657" w:type="dxa"/>
            <w:shd w:val="clear" w:color="auto" w:fill="auto"/>
          </w:tcPr>
          <w:p w14:paraId="13540ED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2.</w:t>
            </w:r>
          </w:p>
        </w:tc>
        <w:tc>
          <w:tcPr>
            <w:tcW w:w="4730" w:type="dxa"/>
            <w:shd w:val="clear" w:color="auto" w:fill="auto"/>
          </w:tcPr>
          <w:p w14:paraId="1AC9619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de la SADC sobre Extradición</w:t>
            </w:r>
          </w:p>
        </w:tc>
        <w:tc>
          <w:tcPr>
            <w:tcW w:w="1984" w:type="dxa"/>
            <w:shd w:val="clear" w:color="auto" w:fill="auto"/>
          </w:tcPr>
          <w:p w14:paraId="3AB276E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6B88AF4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19AB923B" w14:textId="77777777" w:rsidTr="00D63E71">
        <w:trPr>
          <w:trHeight w:val="240"/>
        </w:trPr>
        <w:tc>
          <w:tcPr>
            <w:tcW w:w="657" w:type="dxa"/>
            <w:shd w:val="clear" w:color="auto" w:fill="auto"/>
          </w:tcPr>
          <w:p w14:paraId="739E679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3.</w:t>
            </w:r>
          </w:p>
        </w:tc>
        <w:tc>
          <w:tcPr>
            <w:tcW w:w="4730" w:type="dxa"/>
            <w:shd w:val="clear" w:color="auto" w:fill="auto"/>
          </w:tcPr>
          <w:p w14:paraId="1EF9BAA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Código de Conducta de la SADC sobre el Trabajo Infantil</w:t>
            </w:r>
          </w:p>
        </w:tc>
        <w:tc>
          <w:tcPr>
            <w:tcW w:w="1984" w:type="dxa"/>
            <w:shd w:val="clear" w:color="auto" w:fill="auto"/>
          </w:tcPr>
          <w:p w14:paraId="6D79FFD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7C59BCC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1C430B18" w14:textId="77777777" w:rsidTr="00D63E71">
        <w:trPr>
          <w:trHeight w:val="240"/>
        </w:trPr>
        <w:tc>
          <w:tcPr>
            <w:tcW w:w="657" w:type="dxa"/>
            <w:shd w:val="clear" w:color="auto" w:fill="auto"/>
          </w:tcPr>
          <w:p w14:paraId="6615B1FB" w14:textId="77777777" w:rsidR="00333AFD" w:rsidRPr="00333AFD" w:rsidRDefault="00333AFD" w:rsidP="00D63E71">
            <w:pPr>
              <w:pStyle w:val="SingleTxtG"/>
              <w:tabs>
                <w:tab w:val="clear" w:pos="1701"/>
                <w:tab w:val="clear" w:pos="2268"/>
                <w:tab w:val="clear" w:pos="2835"/>
              </w:tabs>
              <w:spacing w:before="40"/>
              <w:ind w:left="0" w:right="0"/>
              <w:jc w:val="left"/>
            </w:pPr>
            <w:r w:rsidRPr="00333AFD">
              <w:lastRenderedPageBreak/>
              <w:t>4.</w:t>
            </w:r>
          </w:p>
        </w:tc>
        <w:tc>
          <w:tcPr>
            <w:tcW w:w="4730" w:type="dxa"/>
            <w:shd w:val="clear" w:color="auto" w:fill="auto"/>
          </w:tcPr>
          <w:p w14:paraId="6959CE2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sobre la Lucha contra el Tráfico Ilícito de Drogas en la Región de la SADC</w:t>
            </w:r>
          </w:p>
        </w:tc>
        <w:tc>
          <w:tcPr>
            <w:tcW w:w="1984" w:type="dxa"/>
            <w:shd w:val="clear" w:color="auto" w:fill="auto"/>
          </w:tcPr>
          <w:p w14:paraId="3545FA6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58A3BAD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25F74AFB" w14:textId="77777777" w:rsidTr="00D63E71">
        <w:trPr>
          <w:trHeight w:val="240"/>
        </w:trPr>
        <w:tc>
          <w:tcPr>
            <w:tcW w:w="657" w:type="dxa"/>
            <w:shd w:val="clear" w:color="auto" w:fill="auto"/>
          </w:tcPr>
          <w:p w14:paraId="530D546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5.</w:t>
            </w:r>
          </w:p>
        </w:tc>
        <w:tc>
          <w:tcPr>
            <w:tcW w:w="4730" w:type="dxa"/>
            <w:shd w:val="clear" w:color="auto" w:fill="auto"/>
          </w:tcPr>
          <w:p w14:paraId="416C1EE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de la SADC sobre el Género y el Desarrollo</w:t>
            </w:r>
          </w:p>
        </w:tc>
        <w:tc>
          <w:tcPr>
            <w:tcW w:w="1984" w:type="dxa"/>
            <w:shd w:val="clear" w:color="auto" w:fill="auto"/>
          </w:tcPr>
          <w:p w14:paraId="6BEB61A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400F4C8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65E93D8B" w14:textId="77777777" w:rsidTr="00D63E71">
        <w:trPr>
          <w:trHeight w:val="240"/>
        </w:trPr>
        <w:tc>
          <w:tcPr>
            <w:tcW w:w="657" w:type="dxa"/>
            <w:shd w:val="clear" w:color="auto" w:fill="auto"/>
          </w:tcPr>
          <w:p w14:paraId="1B044FA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6.</w:t>
            </w:r>
          </w:p>
        </w:tc>
        <w:tc>
          <w:tcPr>
            <w:tcW w:w="4730" w:type="dxa"/>
            <w:shd w:val="clear" w:color="auto" w:fill="auto"/>
          </w:tcPr>
          <w:p w14:paraId="0F70BD0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 xml:space="preserve">Carta Africana sobre los Derechos y el Bienestar del Niño </w:t>
            </w:r>
          </w:p>
        </w:tc>
        <w:tc>
          <w:tcPr>
            <w:tcW w:w="1984" w:type="dxa"/>
            <w:shd w:val="clear" w:color="auto" w:fill="auto"/>
          </w:tcPr>
          <w:p w14:paraId="73102C4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 19 de enero de 1995</w:t>
            </w:r>
          </w:p>
        </w:tc>
        <w:tc>
          <w:tcPr>
            <w:tcW w:w="1134" w:type="dxa"/>
            <w:shd w:val="clear" w:color="auto" w:fill="auto"/>
          </w:tcPr>
          <w:p w14:paraId="4E7E7F5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27EEC816" w14:textId="77777777" w:rsidTr="00D63E71">
        <w:trPr>
          <w:trHeight w:val="240"/>
        </w:trPr>
        <w:tc>
          <w:tcPr>
            <w:tcW w:w="657" w:type="dxa"/>
            <w:shd w:val="clear" w:color="auto" w:fill="auto"/>
          </w:tcPr>
          <w:p w14:paraId="3FEAFC2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7.</w:t>
            </w:r>
          </w:p>
        </w:tc>
        <w:tc>
          <w:tcPr>
            <w:tcW w:w="4730" w:type="dxa"/>
            <w:shd w:val="clear" w:color="auto" w:fill="auto"/>
          </w:tcPr>
          <w:p w14:paraId="34D7306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Carta Africana de Derechos Humanos y de los Pueblos</w:t>
            </w:r>
          </w:p>
        </w:tc>
        <w:tc>
          <w:tcPr>
            <w:tcW w:w="1984" w:type="dxa"/>
            <w:shd w:val="clear" w:color="auto" w:fill="auto"/>
          </w:tcPr>
          <w:p w14:paraId="3E6935B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653E73D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0167B740" w14:textId="77777777" w:rsidTr="00D63E71">
        <w:trPr>
          <w:trHeight w:val="240"/>
        </w:trPr>
        <w:tc>
          <w:tcPr>
            <w:tcW w:w="657" w:type="dxa"/>
            <w:shd w:val="clear" w:color="auto" w:fill="auto"/>
          </w:tcPr>
          <w:p w14:paraId="0E7ECAB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8.</w:t>
            </w:r>
          </w:p>
        </w:tc>
        <w:tc>
          <w:tcPr>
            <w:tcW w:w="4730" w:type="dxa"/>
            <w:shd w:val="clear" w:color="auto" w:fill="auto"/>
          </w:tcPr>
          <w:p w14:paraId="31327B7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Protocolo de la Carta Africana de Derechos Humanos y de los Pueblos relativo a los Derechos de la Mujer en África</w:t>
            </w:r>
          </w:p>
        </w:tc>
        <w:tc>
          <w:tcPr>
            <w:tcW w:w="1984" w:type="dxa"/>
            <w:shd w:val="clear" w:color="auto" w:fill="auto"/>
          </w:tcPr>
          <w:p w14:paraId="78B80AB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477F803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Ninguna</w:t>
            </w:r>
          </w:p>
        </w:tc>
      </w:tr>
      <w:tr w:rsidR="00D63E71" w:rsidRPr="00333AFD" w14:paraId="7BAD9D3F" w14:textId="77777777" w:rsidTr="00D63E71">
        <w:trPr>
          <w:trHeight w:val="240"/>
        </w:trPr>
        <w:tc>
          <w:tcPr>
            <w:tcW w:w="657" w:type="dxa"/>
            <w:shd w:val="clear" w:color="auto" w:fill="auto"/>
          </w:tcPr>
          <w:p w14:paraId="02EDB4D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9.</w:t>
            </w:r>
          </w:p>
        </w:tc>
        <w:tc>
          <w:tcPr>
            <w:tcW w:w="4730" w:type="dxa"/>
            <w:shd w:val="clear" w:color="auto" w:fill="auto"/>
          </w:tcPr>
          <w:p w14:paraId="74407F5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Carta Africana de la Juventud</w:t>
            </w:r>
          </w:p>
        </w:tc>
        <w:tc>
          <w:tcPr>
            <w:tcW w:w="1984" w:type="dxa"/>
            <w:shd w:val="clear" w:color="auto" w:fill="auto"/>
          </w:tcPr>
          <w:p w14:paraId="6962180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w:t>
            </w:r>
          </w:p>
        </w:tc>
        <w:tc>
          <w:tcPr>
            <w:tcW w:w="1134" w:type="dxa"/>
            <w:shd w:val="clear" w:color="auto" w:fill="auto"/>
          </w:tcPr>
          <w:p w14:paraId="73400FDE" w14:textId="77777777" w:rsidR="00333AFD" w:rsidRPr="00333AFD" w:rsidRDefault="00333AFD" w:rsidP="00D63E71">
            <w:pPr>
              <w:pStyle w:val="SingleTxtG"/>
              <w:tabs>
                <w:tab w:val="clear" w:pos="1701"/>
                <w:tab w:val="clear" w:pos="2268"/>
                <w:tab w:val="clear" w:pos="2835"/>
              </w:tabs>
              <w:spacing w:before="40"/>
              <w:ind w:left="0" w:right="0"/>
              <w:jc w:val="left"/>
            </w:pPr>
          </w:p>
        </w:tc>
      </w:tr>
      <w:tr w:rsidR="00D63E71" w:rsidRPr="00333AFD" w14:paraId="5DDCCA3D" w14:textId="77777777" w:rsidTr="00D63E71">
        <w:trPr>
          <w:trHeight w:val="240"/>
        </w:trPr>
        <w:tc>
          <w:tcPr>
            <w:tcW w:w="657" w:type="dxa"/>
            <w:shd w:val="clear" w:color="auto" w:fill="auto"/>
          </w:tcPr>
          <w:p w14:paraId="4E7685C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10.</w:t>
            </w:r>
          </w:p>
        </w:tc>
        <w:tc>
          <w:tcPr>
            <w:tcW w:w="4730" w:type="dxa"/>
            <w:shd w:val="clear" w:color="auto" w:fill="auto"/>
          </w:tcPr>
          <w:p w14:paraId="33F701E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Plan de Acción de Uagadugú para Combatir la Trata de Personas, en particular Mujeres y Niños</w:t>
            </w:r>
          </w:p>
        </w:tc>
        <w:tc>
          <w:tcPr>
            <w:tcW w:w="1984" w:type="dxa"/>
            <w:shd w:val="clear" w:color="auto" w:fill="auto"/>
          </w:tcPr>
          <w:p w14:paraId="2611CAC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w:t>
            </w:r>
          </w:p>
        </w:tc>
        <w:tc>
          <w:tcPr>
            <w:tcW w:w="1134" w:type="dxa"/>
            <w:shd w:val="clear" w:color="auto" w:fill="auto"/>
          </w:tcPr>
          <w:p w14:paraId="139BDF9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w:t>
            </w:r>
          </w:p>
        </w:tc>
      </w:tr>
      <w:tr w:rsidR="00D63E71" w:rsidRPr="00333AFD" w14:paraId="148CEDA7" w14:textId="77777777" w:rsidTr="00D63E71">
        <w:trPr>
          <w:trHeight w:val="240"/>
        </w:trPr>
        <w:tc>
          <w:tcPr>
            <w:tcW w:w="657" w:type="dxa"/>
            <w:shd w:val="clear" w:color="auto" w:fill="auto"/>
          </w:tcPr>
          <w:p w14:paraId="7A477D11"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11.</w:t>
            </w:r>
          </w:p>
        </w:tc>
        <w:tc>
          <w:tcPr>
            <w:tcW w:w="4730" w:type="dxa"/>
            <w:shd w:val="clear" w:color="auto" w:fill="auto"/>
          </w:tcPr>
          <w:p w14:paraId="2395FF7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Carta Africana de la Democracia, las Elecciones y la Gobernanza 2007</w:t>
            </w:r>
          </w:p>
        </w:tc>
        <w:tc>
          <w:tcPr>
            <w:tcW w:w="1984" w:type="dxa"/>
            <w:shd w:val="clear" w:color="auto" w:fill="auto"/>
          </w:tcPr>
          <w:p w14:paraId="4C776A9A" w14:textId="342EE1A1" w:rsidR="00333AFD" w:rsidRPr="00333AFD" w:rsidRDefault="00333AFD" w:rsidP="00D63E71">
            <w:pPr>
              <w:pStyle w:val="SingleTxtG"/>
              <w:tabs>
                <w:tab w:val="clear" w:pos="1701"/>
                <w:tab w:val="clear" w:pos="2268"/>
                <w:tab w:val="clear" w:pos="2835"/>
              </w:tabs>
              <w:spacing w:before="40"/>
              <w:ind w:left="0" w:right="0"/>
              <w:jc w:val="left"/>
            </w:pPr>
            <w:r w:rsidRPr="00333AFD">
              <w:t>Firma, 21 de marzo de</w:t>
            </w:r>
            <w:r w:rsidR="00E43413">
              <w:t> </w:t>
            </w:r>
            <w:r w:rsidRPr="00333AFD">
              <w:t>2018</w:t>
            </w:r>
          </w:p>
        </w:tc>
        <w:tc>
          <w:tcPr>
            <w:tcW w:w="1134" w:type="dxa"/>
            <w:shd w:val="clear" w:color="auto" w:fill="auto"/>
          </w:tcPr>
          <w:p w14:paraId="1C416A0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w:t>
            </w:r>
          </w:p>
        </w:tc>
      </w:tr>
      <w:tr w:rsidR="00D63E71" w:rsidRPr="00333AFD" w14:paraId="417FE0DF" w14:textId="77777777" w:rsidTr="00D63E71">
        <w:trPr>
          <w:trHeight w:val="240"/>
        </w:trPr>
        <w:tc>
          <w:tcPr>
            <w:tcW w:w="657" w:type="dxa"/>
            <w:shd w:val="clear" w:color="auto" w:fill="auto"/>
          </w:tcPr>
          <w:p w14:paraId="7D85DD1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12.</w:t>
            </w:r>
          </w:p>
        </w:tc>
        <w:tc>
          <w:tcPr>
            <w:tcW w:w="4730" w:type="dxa"/>
            <w:shd w:val="clear" w:color="auto" w:fill="auto"/>
          </w:tcPr>
          <w:p w14:paraId="138052E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Zona de Libre Comercio Continental Africana, de la Unión Africana</w:t>
            </w:r>
          </w:p>
        </w:tc>
        <w:tc>
          <w:tcPr>
            <w:tcW w:w="1984" w:type="dxa"/>
            <w:shd w:val="clear" w:color="auto" w:fill="auto"/>
          </w:tcPr>
          <w:p w14:paraId="3CF9A97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w:t>
            </w:r>
          </w:p>
        </w:tc>
        <w:tc>
          <w:tcPr>
            <w:tcW w:w="1134" w:type="dxa"/>
            <w:shd w:val="clear" w:color="auto" w:fill="auto"/>
          </w:tcPr>
          <w:p w14:paraId="50E6CE2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w:t>
            </w:r>
          </w:p>
        </w:tc>
      </w:tr>
      <w:tr w:rsidR="00D63E71" w:rsidRPr="00333AFD" w14:paraId="056C4DE6" w14:textId="77777777" w:rsidTr="00D63E71">
        <w:trPr>
          <w:trHeight w:val="240"/>
        </w:trPr>
        <w:tc>
          <w:tcPr>
            <w:tcW w:w="657" w:type="dxa"/>
            <w:tcBorders>
              <w:bottom w:val="single" w:sz="12" w:space="0" w:color="auto"/>
            </w:tcBorders>
            <w:shd w:val="clear" w:color="auto" w:fill="auto"/>
          </w:tcPr>
          <w:p w14:paraId="61E2AD0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13.</w:t>
            </w:r>
          </w:p>
        </w:tc>
        <w:tc>
          <w:tcPr>
            <w:tcW w:w="4730" w:type="dxa"/>
            <w:tcBorders>
              <w:bottom w:val="single" w:sz="12" w:space="0" w:color="auto"/>
            </w:tcBorders>
            <w:shd w:val="clear" w:color="auto" w:fill="auto"/>
          </w:tcPr>
          <w:p w14:paraId="501462C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Tratado para el Establecimiento de la Agencia Africana de Medicamentos, de la Unión Africana</w:t>
            </w:r>
          </w:p>
        </w:tc>
        <w:tc>
          <w:tcPr>
            <w:tcW w:w="1984" w:type="dxa"/>
            <w:tcBorders>
              <w:bottom w:val="single" w:sz="12" w:space="0" w:color="auto"/>
            </w:tcBorders>
            <w:shd w:val="clear" w:color="auto" w:fill="auto"/>
          </w:tcPr>
          <w:p w14:paraId="391E041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Ratificación, 17 de agosto de 2021</w:t>
            </w:r>
          </w:p>
        </w:tc>
        <w:tc>
          <w:tcPr>
            <w:tcW w:w="1134" w:type="dxa"/>
            <w:tcBorders>
              <w:bottom w:val="single" w:sz="12" w:space="0" w:color="auto"/>
            </w:tcBorders>
            <w:shd w:val="clear" w:color="auto" w:fill="auto"/>
          </w:tcPr>
          <w:p w14:paraId="4F90E9F5" w14:textId="77777777" w:rsidR="00333AFD" w:rsidRPr="00333AFD" w:rsidRDefault="00333AFD" w:rsidP="00D63E71">
            <w:pPr>
              <w:pStyle w:val="SingleTxtG"/>
              <w:tabs>
                <w:tab w:val="clear" w:pos="1701"/>
                <w:tab w:val="clear" w:pos="2268"/>
                <w:tab w:val="clear" w:pos="2835"/>
              </w:tabs>
              <w:spacing w:before="40"/>
              <w:ind w:left="0" w:right="0"/>
              <w:jc w:val="left"/>
            </w:pPr>
          </w:p>
        </w:tc>
      </w:tr>
    </w:tbl>
    <w:p w14:paraId="26F527A1" w14:textId="197DF4B2" w:rsidR="00333AFD" w:rsidRPr="00333AFD" w:rsidRDefault="00333AFD" w:rsidP="003D4091">
      <w:pPr>
        <w:pStyle w:val="HChG"/>
      </w:pPr>
      <w:bookmarkStart w:id="26" w:name="_Toc87853296"/>
      <w:r w:rsidRPr="00333AFD">
        <w:tab/>
        <w:t>II.</w:t>
      </w:r>
      <w:r w:rsidRPr="00333AFD">
        <w:tab/>
        <w:t>Marco jurídico de protección de los derechos humanos a</w:t>
      </w:r>
      <w:r w:rsidR="003D4091">
        <w:t> </w:t>
      </w:r>
      <w:r w:rsidRPr="00333AFD">
        <w:t>nivel nacional</w:t>
      </w:r>
      <w:bookmarkEnd w:id="26"/>
    </w:p>
    <w:p w14:paraId="25FE125F" w14:textId="77777777" w:rsidR="00333AFD" w:rsidRPr="00333AFD" w:rsidRDefault="00333AFD" w:rsidP="00333AFD">
      <w:pPr>
        <w:pStyle w:val="SingleTxtG"/>
      </w:pPr>
      <w:r w:rsidRPr="00333AFD">
        <w:t>53.</w:t>
      </w:r>
      <w:r w:rsidRPr="00333AFD">
        <w:tab/>
        <w:t>La Constitución de Zimbabwe es la ley suprema del país y consagra en su capítulo 4 la Carta de Derechos que obliga al Estado y a toda persona física o jurídica a respetar, proteger, promover y hacer efectivos los derechos y libertades que en ella se establecen. Se espera que las personas jurídicas observen los derechos humanos en la medida en que les sean aplicables. Los derechos y libertades contenidos en la Carta de Derechos incluyen los derechos civiles y políticos, los derechos sociales, económicos y culturales y los derechos ambientales, detallando específicamente los derechos de las mujeres, la infancia, las personas con discapacidad, las personas de edad y los veteranos de la lucha de liberación.</w:t>
      </w:r>
    </w:p>
    <w:p w14:paraId="1F1399E9" w14:textId="77777777" w:rsidR="00333AFD" w:rsidRPr="00333AFD" w:rsidRDefault="00333AFD" w:rsidP="00333AFD">
      <w:pPr>
        <w:pStyle w:val="SingleTxtG"/>
      </w:pPr>
      <w:r w:rsidRPr="00333AFD">
        <w:t>54.</w:t>
      </w:r>
      <w:r w:rsidRPr="00333AFD">
        <w:tab/>
        <w:t>En lo que respecta a la infancia, se incorporaron en la Constitución todos los derechos previstos en la Carta Africana sobre los Derechos y el Bienestar del Niño y la Convención sobre los Derechos del Niño de las Naciones Unidas. De este modo, se asigna al interés superior del niño una importancia primordial en toda cuestión relativa a la infancia. Los niños tienen derecho a una protección adecuada por los tribunales, en particular por el Tribunal Superior como tutor superior. Además, se está modificando la Ley de la Infancia para promover aún más el principio del interés superior del niño. El actual proyecto de ley de matrimonios fija la edad mínima para contraer matrimonio en 18 años, en consonancia con la Constitución.</w:t>
      </w:r>
    </w:p>
    <w:p w14:paraId="4E04397D" w14:textId="77777777" w:rsidR="00333AFD" w:rsidRPr="00333AFD" w:rsidRDefault="00333AFD" w:rsidP="00333AFD">
      <w:pPr>
        <w:pStyle w:val="SingleTxtG"/>
      </w:pPr>
      <w:r w:rsidRPr="00333AFD">
        <w:t>55.</w:t>
      </w:r>
      <w:r w:rsidRPr="00333AFD">
        <w:tab/>
        <w:t>Todas las personas de Zimbabwe son titulares de los derechos y libertades recogidos en la Carta de Derechos. Sin embargo, el disfrute de algunos de estos derechos puede estar limitado por la Constitución. El artículo 86 2) consagra los motivos por los que los derechos y libertades pueden limitarse, aunque únicamente en virtud de una ley de aplicación general y en la medida en que la limitación sea imparcial, razonable, necesaria y justificable en una sociedad democrática basada en la apertura, la justicia, la dignidad humana, la igualdad y la libertad, teniendo en cuenta todos los factores pertinentes, entre otros:</w:t>
      </w:r>
    </w:p>
    <w:p w14:paraId="131E52F2" w14:textId="327198AD" w:rsidR="00333AFD" w:rsidRPr="00333AFD" w:rsidRDefault="00333AFD" w:rsidP="00333AFD">
      <w:pPr>
        <w:pStyle w:val="SingleTxtG"/>
      </w:pPr>
      <w:r w:rsidRPr="00333AFD">
        <w:tab/>
        <w:t>a)</w:t>
      </w:r>
      <w:r w:rsidRPr="00333AFD">
        <w:tab/>
      </w:r>
      <w:r w:rsidR="00ED76C3" w:rsidRPr="00333AFD">
        <w:t xml:space="preserve">La </w:t>
      </w:r>
      <w:r w:rsidRPr="00333AFD">
        <w:t>naturaleza del derecho o libertad en cuestión;</w:t>
      </w:r>
    </w:p>
    <w:p w14:paraId="0D60BBEC" w14:textId="16E1BBF4" w:rsidR="00333AFD" w:rsidRPr="00333AFD" w:rsidRDefault="00333AFD" w:rsidP="00810014">
      <w:pPr>
        <w:pStyle w:val="SingleTxtG"/>
        <w:spacing w:after="130"/>
      </w:pPr>
      <w:r w:rsidRPr="00333AFD">
        <w:lastRenderedPageBreak/>
        <w:tab/>
        <w:t>b)</w:t>
      </w:r>
      <w:r w:rsidRPr="00333AFD">
        <w:tab/>
      </w:r>
      <w:r w:rsidR="00ED76C3" w:rsidRPr="00333AFD">
        <w:t xml:space="preserve">La </w:t>
      </w:r>
      <w:r w:rsidRPr="00333AFD">
        <w:t>finalidad de la limitación, en particular si es necesaria en interés de la defensa nacional, la seguridad, el orden, la moralidad y la salud públicos, la planificación regional o urbana o el interés público en general;</w:t>
      </w:r>
    </w:p>
    <w:p w14:paraId="53161471" w14:textId="7059AC0F" w:rsidR="00333AFD" w:rsidRPr="00333AFD" w:rsidRDefault="00333AFD" w:rsidP="00810014">
      <w:pPr>
        <w:pStyle w:val="SingleTxtG"/>
        <w:spacing w:after="130"/>
      </w:pPr>
      <w:r w:rsidRPr="00333AFD">
        <w:tab/>
        <w:t>c)</w:t>
      </w:r>
      <w:r w:rsidRPr="00333AFD">
        <w:tab/>
      </w:r>
      <w:r w:rsidR="00ED76C3" w:rsidRPr="00333AFD">
        <w:t xml:space="preserve">La </w:t>
      </w:r>
      <w:r w:rsidRPr="00333AFD">
        <w:t>naturaleza y el alcance de la limitación;</w:t>
      </w:r>
    </w:p>
    <w:p w14:paraId="111B0660" w14:textId="6E266D2D" w:rsidR="00333AFD" w:rsidRPr="00333AFD" w:rsidRDefault="00333AFD" w:rsidP="00810014">
      <w:pPr>
        <w:pStyle w:val="SingleTxtG"/>
        <w:spacing w:after="130"/>
      </w:pPr>
      <w:r w:rsidRPr="00333AFD">
        <w:tab/>
        <w:t>d)</w:t>
      </w:r>
      <w:r w:rsidRPr="00333AFD">
        <w:tab/>
      </w:r>
      <w:r w:rsidR="00ED76C3" w:rsidRPr="00333AFD">
        <w:t xml:space="preserve">La </w:t>
      </w:r>
      <w:r w:rsidRPr="00333AFD">
        <w:t>necesidad de garantizar que el disfrute de los derechos y libertades de cualquier persona no perjudique los derechos y libertades de otras;</w:t>
      </w:r>
    </w:p>
    <w:p w14:paraId="54D043C0" w14:textId="0A7D4CB3" w:rsidR="00333AFD" w:rsidRPr="00333AFD" w:rsidRDefault="00333AFD" w:rsidP="00810014">
      <w:pPr>
        <w:pStyle w:val="SingleTxtG"/>
        <w:spacing w:after="130"/>
      </w:pPr>
      <w:r w:rsidRPr="00333AFD">
        <w:tab/>
        <w:t>e)</w:t>
      </w:r>
      <w:r w:rsidRPr="00333AFD">
        <w:tab/>
      </w:r>
      <w:r w:rsidR="00ED76C3" w:rsidRPr="00333AFD">
        <w:t xml:space="preserve">La </w:t>
      </w:r>
      <w:r w:rsidRPr="00333AFD">
        <w:t xml:space="preserve">relación entre la limitación y su finalidad, en particular si impone mayores restricciones al derecho o libertad en cuestión que las necesarias para lograr su objetivo; </w:t>
      </w:r>
    </w:p>
    <w:p w14:paraId="54C40367" w14:textId="46C5AD14" w:rsidR="00333AFD" w:rsidRPr="00333AFD" w:rsidRDefault="00333AFD" w:rsidP="00810014">
      <w:pPr>
        <w:pStyle w:val="SingleTxtG"/>
        <w:spacing w:after="130"/>
      </w:pPr>
      <w:r w:rsidRPr="00333AFD">
        <w:tab/>
        <w:t>f)</w:t>
      </w:r>
      <w:r w:rsidRPr="00333AFD">
        <w:tab/>
      </w:r>
      <w:r w:rsidR="00ED76C3" w:rsidRPr="00333AFD">
        <w:t xml:space="preserve">Si </w:t>
      </w:r>
      <w:r w:rsidRPr="00333AFD">
        <w:t>existen medios menos restrictivos para lograr el objetivo de la limitación.</w:t>
      </w:r>
    </w:p>
    <w:p w14:paraId="7EC35A69" w14:textId="77777777" w:rsidR="00333AFD" w:rsidRPr="00333AFD" w:rsidRDefault="00333AFD" w:rsidP="00810014">
      <w:pPr>
        <w:pStyle w:val="SingleTxtG"/>
        <w:spacing w:after="130"/>
      </w:pPr>
      <w:r w:rsidRPr="00333AFD">
        <w:t>56.</w:t>
      </w:r>
      <w:r w:rsidRPr="00333AFD">
        <w:tab/>
        <w:t>Sin embargo, la Constitución también establece que los siguientes derechos no pueden ser limitados por una ley ni vulnerados por una persona:</w:t>
      </w:r>
    </w:p>
    <w:p w14:paraId="27705FBD" w14:textId="614F4C73" w:rsidR="00333AFD" w:rsidRPr="00333AFD" w:rsidRDefault="00333AFD" w:rsidP="00810014">
      <w:pPr>
        <w:pStyle w:val="SingleTxtG"/>
        <w:spacing w:after="130"/>
      </w:pPr>
      <w:r w:rsidRPr="00333AFD">
        <w:tab/>
        <w:t>a)</w:t>
      </w:r>
      <w:r w:rsidRPr="00333AFD">
        <w:tab/>
      </w:r>
      <w:r w:rsidR="00ED76C3" w:rsidRPr="00333AFD">
        <w:t xml:space="preserve">El </w:t>
      </w:r>
      <w:r w:rsidRPr="00333AFD">
        <w:t>derecho a la vida, excepto en la medida especificada en el artículo 48;</w:t>
      </w:r>
    </w:p>
    <w:p w14:paraId="1D15973A" w14:textId="15A54882" w:rsidR="00333AFD" w:rsidRPr="00333AFD" w:rsidRDefault="00333AFD" w:rsidP="00810014">
      <w:pPr>
        <w:pStyle w:val="SingleTxtG"/>
        <w:spacing w:after="130"/>
      </w:pPr>
      <w:r w:rsidRPr="00333AFD">
        <w:tab/>
        <w:t>b)</w:t>
      </w:r>
      <w:r w:rsidRPr="00333AFD">
        <w:tab/>
      </w:r>
      <w:r w:rsidR="00ED76C3" w:rsidRPr="00333AFD">
        <w:t xml:space="preserve">El </w:t>
      </w:r>
      <w:r w:rsidRPr="00333AFD">
        <w:t>derecho a la dignidad humana;</w:t>
      </w:r>
    </w:p>
    <w:p w14:paraId="60573D12" w14:textId="7C2C4B72" w:rsidR="00333AFD" w:rsidRPr="00333AFD" w:rsidRDefault="00333AFD" w:rsidP="00810014">
      <w:pPr>
        <w:pStyle w:val="SingleTxtG"/>
        <w:spacing w:after="130"/>
      </w:pPr>
      <w:r w:rsidRPr="00333AFD">
        <w:tab/>
        <w:t>c)</w:t>
      </w:r>
      <w:r w:rsidRPr="00333AFD">
        <w:tab/>
      </w:r>
      <w:r w:rsidR="00ED76C3" w:rsidRPr="00333AFD">
        <w:t xml:space="preserve">El </w:t>
      </w:r>
      <w:r w:rsidRPr="00333AFD">
        <w:t>derecho a no ser sometido a tortura, ni a otros tratos o penas crueles, inhumanos o degradantes;</w:t>
      </w:r>
    </w:p>
    <w:p w14:paraId="0DCED3CD" w14:textId="0FD25717" w:rsidR="00333AFD" w:rsidRPr="00333AFD" w:rsidRDefault="00333AFD" w:rsidP="00810014">
      <w:pPr>
        <w:pStyle w:val="SingleTxtG"/>
        <w:spacing w:after="130"/>
      </w:pPr>
      <w:r w:rsidRPr="00333AFD">
        <w:tab/>
        <w:t>d)</w:t>
      </w:r>
      <w:r w:rsidRPr="00333AFD">
        <w:tab/>
      </w:r>
      <w:r w:rsidR="00ED76C3" w:rsidRPr="00333AFD">
        <w:t xml:space="preserve">El </w:t>
      </w:r>
      <w:r w:rsidRPr="00333AFD">
        <w:t>derecho a no ser sometido a esclavitud o servidumbre;</w:t>
      </w:r>
    </w:p>
    <w:p w14:paraId="52A02767" w14:textId="7844F661" w:rsidR="00333AFD" w:rsidRPr="00333AFD" w:rsidRDefault="00333AFD" w:rsidP="00810014">
      <w:pPr>
        <w:pStyle w:val="SingleTxtG"/>
        <w:spacing w:after="130"/>
      </w:pPr>
      <w:r w:rsidRPr="00333AFD">
        <w:tab/>
        <w:t>e)</w:t>
      </w:r>
      <w:r w:rsidRPr="00333AFD">
        <w:tab/>
      </w:r>
      <w:r w:rsidR="00ED76C3" w:rsidRPr="00333AFD">
        <w:t xml:space="preserve">El </w:t>
      </w:r>
      <w:r w:rsidRPr="00333AFD">
        <w:t xml:space="preserve">derecho a un juicio imparcial; </w:t>
      </w:r>
    </w:p>
    <w:p w14:paraId="651482A4" w14:textId="6B771463" w:rsidR="00333AFD" w:rsidRPr="00333AFD" w:rsidRDefault="00333AFD" w:rsidP="00810014">
      <w:pPr>
        <w:pStyle w:val="SingleTxtG"/>
        <w:spacing w:after="130"/>
      </w:pPr>
      <w:r w:rsidRPr="00333AFD">
        <w:tab/>
        <w:t>f)</w:t>
      </w:r>
      <w:r w:rsidRPr="00333AFD">
        <w:tab/>
      </w:r>
      <w:r w:rsidR="00ED76C3" w:rsidRPr="00333AFD">
        <w:t xml:space="preserve">El </w:t>
      </w:r>
      <w:r w:rsidRPr="00333AFD">
        <w:t xml:space="preserve">derecho a obtener una orden de </w:t>
      </w:r>
      <w:r w:rsidRPr="00333AFD">
        <w:rPr>
          <w:i/>
          <w:iCs/>
        </w:rPr>
        <w:t>habeas corpus</w:t>
      </w:r>
      <w:r w:rsidRPr="00333AFD">
        <w:t xml:space="preserve"> según lo dispuesto en el artículo 50 7) a).</w:t>
      </w:r>
    </w:p>
    <w:p w14:paraId="5EE4C0D1" w14:textId="77777777" w:rsidR="00333AFD" w:rsidRPr="00333AFD" w:rsidRDefault="00333AFD" w:rsidP="00810014">
      <w:pPr>
        <w:pStyle w:val="SingleTxtG"/>
        <w:spacing w:after="130"/>
      </w:pPr>
      <w:r w:rsidRPr="00333AFD">
        <w:t>57.</w:t>
      </w:r>
      <w:r w:rsidRPr="00333AFD">
        <w:tab/>
        <w:t>El artículo 85 de la Constitución establece el mecanismo de recurso disponible para una parte agraviada que alega que sus derechos y libertades han sido o podrían verse vulnerados. La Constitución ha ampliado la legitimación procesal de las personas que pueden acudir al Tribunal Constitucional para obtener reparación. Además, la Constitución garantiza a las personas en conflicto con la ley el derecho a obtener reparación a pesar de haber infringido la ley.</w:t>
      </w:r>
    </w:p>
    <w:p w14:paraId="08C5F9B5" w14:textId="77777777" w:rsidR="00333AFD" w:rsidRPr="00333AFD" w:rsidRDefault="00333AFD" w:rsidP="00810014">
      <w:pPr>
        <w:pStyle w:val="SingleTxtG"/>
        <w:spacing w:after="130"/>
      </w:pPr>
      <w:r w:rsidRPr="00333AFD">
        <w:t>58.</w:t>
      </w:r>
      <w:r w:rsidRPr="00333AFD">
        <w:tab/>
        <w:t>El Tribunal Constitucional puede conceder a una parte agraviada una reparación adecuada, incluida una declaración de sus derechos y una indemnización. Además, en virtud de la Ley de Responsabilidades del Estado [capítulo 8:14], toda persona cuyos derechos hayan sido vulnerados por una autoridad pública tiene derecho a indemnización y reparación.</w:t>
      </w:r>
    </w:p>
    <w:p w14:paraId="2E0937D2" w14:textId="77777777" w:rsidR="00333AFD" w:rsidRPr="00333AFD" w:rsidRDefault="00333AFD" w:rsidP="00810014">
      <w:pPr>
        <w:pStyle w:val="SingleTxtG"/>
        <w:spacing w:after="130"/>
      </w:pPr>
      <w:r w:rsidRPr="00333AFD">
        <w:t>59.</w:t>
      </w:r>
      <w:r w:rsidRPr="00333AFD">
        <w:tab/>
        <w:t>Con el fin de permitir el acceso a la justicia en materia de derechos humanos para todas las personas, el artículo 85 3) a) a d) de la Constitución establece que las normas de todos los tribunales deben prever el procedimiento a seguir en los casos en los que se solicite una reparación por causas que afectan al disfrute de los derechos humanos y las normas que la contemplen deben garantizar que:</w:t>
      </w:r>
    </w:p>
    <w:p w14:paraId="32AF4D6E" w14:textId="1C7D5D06" w:rsidR="00333AFD" w:rsidRPr="00333AFD" w:rsidRDefault="00333AFD" w:rsidP="00810014">
      <w:pPr>
        <w:pStyle w:val="SingleTxtG"/>
        <w:spacing w:after="130"/>
      </w:pPr>
      <w:r w:rsidRPr="00333AFD">
        <w:tab/>
        <w:t>a)</w:t>
      </w:r>
      <w:r w:rsidRPr="00333AFD">
        <w:tab/>
      </w:r>
      <w:r w:rsidR="00ED76C3" w:rsidRPr="00333AFD">
        <w:t xml:space="preserve">Se </w:t>
      </w:r>
      <w:r w:rsidRPr="00333AFD">
        <w:t>facilite plenamente el derecho a dirigirse al tribunal en virtud del párrafo</w:t>
      </w:r>
      <w:r w:rsidR="00ED76C3">
        <w:t> </w:t>
      </w:r>
      <w:r w:rsidRPr="00333AFD">
        <w:t>1);</w:t>
      </w:r>
    </w:p>
    <w:p w14:paraId="0A3A3C25" w14:textId="48FC85AB" w:rsidR="00333AFD" w:rsidRPr="00333AFD" w:rsidRDefault="00333AFD" w:rsidP="00810014">
      <w:pPr>
        <w:pStyle w:val="SingleTxtG"/>
        <w:spacing w:after="130"/>
      </w:pPr>
      <w:r w:rsidRPr="00333AFD">
        <w:tab/>
        <w:t>b)</w:t>
      </w:r>
      <w:r w:rsidRPr="00333AFD">
        <w:tab/>
      </w:r>
      <w:r w:rsidR="00ED76C3" w:rsidRPr="00333AFD">
        <w:t xml:space="preserve">Se </w:t>
      </w:r>
      <w:r w:rsidRPr="00333AFD">
        <w:t>reduzcan al mínimo las formalidades relativas al procedimiento, incluido su inicio;</w:t>
      </w:r>
    </w:p>
    <w:p w14:paraId="77222058" w14:textId="25327591" w:rsidR="00333AFD" w:rsidRPr="00333AFD" w:rsidRDefault="00333AFD" w:rsidP="00810014">
      <w:pPr>
        <w:pStyle w:val="SingleTxtG"/>
        <w:spacing w:after="130"/>
      </w:pPr>
      <w:r w:rsidRPr="00333AFD">
        <w:tab/>
        <w:t>c)</w:t>
      </w:r>
      <w:r w:rsidRPr="00333AFD">
        <w:tab/>
      </w:r>
      <w:r w:rsidR="00ED76C3" w:rsidRPr="00333AFD">
        <w:t xml:space="preserve">El </w:t>
      </w:r>
      <w:r w:rsidRPr="00333AFD">
        <w:t xml:space="preserve">tribunal, sin dejar de observar las reglas de la justicia natural, no se vea restringido injustificadamente por tecnicismos procesales; </w:t>
      </w:r>
    </w:p>
    <w:p w14:paraId="733FC60E" w14:textId="57346B4F" w:rsidR="00333AFD" w:rsidRPr="00333AFD" w:rsidRDefault="00333AFD" w:rsidP="00810014">
      <w:pPr>
        <w:pStyle w:val="SingleTxtG"/>
        <w:spacing w:after="130"/>
      </w:pPr>
      <w:r w:rsidRPr="00333AFD">
        <w:tab/>
        <w:t>d)</w:t>
      </w:r>
      <w:r w:rsidRPr="00333AFD">
        <w:tab/>
      </w:r>
      <w:r w:rsidR="00ED76C3" w:rsidRPr="00333AFD">
        <w:t xml:space="preserve">Una </w:t>
      </w:r>
      <w:r w:rsidRPr="00333AFD">
        <w:t>persona con conocimientos especiales pueda, con la autorización del tribunal, comparecer como amigo del tribunal.</w:t>
      </w:r>
    </w:p>
    <w:p w14:paraId="709DEB1D" w14:textId="2F2DAB73" w:rsidR="00333AFD" w:rsidRPr="00333AFD" w:rsidRDefault="00D63E71" w:rsidP="00D63E71">
      <w:pPr>
        <w:pStyle w:val="H23G"/>
      </w:pPr>
      <w:bookmarkStart w:id="27" w:name="_Toc87853297"/>
      <w:r>
        <w:tab/>
      </w:r>
      <w:r w:rsidR="00333AFD" w:rsidRPr="00333AFD">
        <w:tab/>
        <w:t>Incorporación de los tratados de derechos humanos en el ordenamiento jurídico interno</w:t>
      </w:r>
      <w:bookmarkEnd w:id="27"/>
    </w:p>
    <w:p w14:paraId="7551A441" w14:textId="77777777" w:rsidR="00333AFD" w:rsidRPr="00333AFD" w:rsidRDefault="00333AFD" w:rsidP="00810014">
      <w:pPr>
        <w:pStyle w:val="SingleTxtG"/>
        <w:spacing w:after="130"/>
      </w:pPr>
      <w:r w:rsidRPr="00333AFD">
        <w:t>60.</w:t>
      </w:r>
      <w:r w:rsidRPr="00333AFD">
        <w:tab/>
        <w:t xml:space="preserve">El artículo 34 de la Constitución estipula que, una vez que el Estado pasa a ser parte en un instrumento internacional, este debe incorporarse en el ordenamiento jurídico interno y será vinculante tras la aprobación del Parlamento y la promulgación de la ley correspondiente. El artículo 327 establece el procedimiento de incorporación de los tratados internacionales y regionales en el ordenamiento jurídico interno. Un tratado o acuerdo </w:t>
      </w:r>
      <w:r w:rsidRPr="00333AFD">
        <w:lastRenderedPageBreak/>
        <w:t>internacional que haya sido celebrado o ejecutado por el Presidente o bajo su autoridad no obliga a Zimbabwe hasta que haya sido aprobado por el Parlamento; y no forma parte de la legislación del país a menos que se haya incorporado en el ordenamiento jurídico interno mediante una ley del Parlamento.</w:t>
      </w:r>
    </w:p>
    <w:p w14:paraId="58174108" w14:textId="77777777" w:rsidR="00333AFD" w:rsidRPr="00333AFD" w:rsidRDefault="00333AFD" w:rsidP="00810014">
      <w:pPr>
        <w:pStyle w:val="SingleTxtG"/>
        <w:spacing w:after="130"/>
      </w:pPr>
      <w:r w:rsidRPr="00333AFD">
        <w:t>61.</w:t>
      </w:r>
      <w:r w:rsidRPr="00333AFD">
        <w:tab/>
        <w:t xml:space="preserve">A continuación se enumeran algunas de las principales leyes del Parlamento que prevén la protección, promoción y realización de los derechos humanos: </w:t>
      </w:r>
    </w:p>
    <w:p w14:paraId="0F26ADA5" w14:textId="77777777" w:rsidR="00333AFD" w:rsidRPr="00333AFD" w:rsidRDefault="00333AFD" w:rsidP="00810014">
      <w:pPr>
        <w:pStyle w:val="SingleTxtG"/>
        <w:spacing w:after="130"/>
      </w:pPr>
      <w:r w:rsidRPr="00333AFD">
        <w:tab/>
        <w:t>a)</w:t>
      </w:r>
      <w:r w:rsidRPr="00333AFD">
        <w:tab/>
        <w:t>Ley de Procedimiento y Pruebas en Materia Penal;</w:t>
      </w:r>
    </w:p>
    <w:p w14:paraId="59E04F55" w14:textId="77777777" w:rsidR="00333AFD" w:rsidRPr="00333AFD" w:rsidRDefault="00333AFD" w:rsidP="00810014">
      <w:pPr>
        <w:pStyle w:val="SingleTxtG"/>
        <w:spacing w:after="130"/>
      </w:pPr>
      <w:r w:rsidRPr="00333AFD">
        <w:tab/>
        <w:t>b)</w:t>
      </w:r>
      <w:r w:rsidRPr="00333AFD">
        <w:tab/>
        <w:t>Ley del Trabajo;</w:t>
      </w:r>
    </w:p>
    <w:p w14:paraId="0D505928" w14:textId="6948E085" w:rsidR="00333AFD" w:rsidRPr="00333AFD" w:rsidRDefault="00333AFD" w:rsidP="00810014">
      <w:pPr>
        <w:pStyle w:val="SingleTxtG"/>
        <w:spacing w:after="130"/>
      </w:pPr>
      <w:r w:rsidRPr="00333AFD">
        <w:tab/>
        <w:t>c)</w:t>
      </w:r>
      <w:r w:rsidRPr="00333AFD">
        <w:tab/>
        <w:t>Ley de Administración de Justicia</w:t>
      </w:r>
      <w:r w:rsidR="003B7727">
        <w:t>;</w:t>
      </w:r>
    </w:p>
    <w:p w14:paraId="5E790EDF" w14:textId="2BDA2CF4" w:rsidR="00333AFD" w:rsidRPr="00333AFD" w:rsidRDefault="00333AFD" w:rsidP="00810014">
      <w:pPr>
        <w:pStyle w:val="SingleTxtG"/>
        <w:spacing w:after="130"/>
      </w:pPr>
      <w:r w:rsidRPr="00333AFD">
        <w:tab/>
        <w:t>d)</w:t>
      </w:r>
      <w:r w:rsidRPr="00333AFD">
        <w:tab/>
        <w:t>Ley de la Comisión de Género de Zimbabwe</w:t>
      </w:r>
      <w:r w:rsidR="003B7727">
        <w:t>;</w:t>
      </w:r>
    </w:p>
    <w:p w14:paraId="653C7BD1" w14:textId="6BFB4FED" w:rsidR="00333AFD" w:rsidRPr="00333AFD" w:rsidRDefault="00333AFD" w:rsidP="00810014">
      <w:pPr>
        <w:pStyle w:val="SingleTxtG"/>
        <w:spacing w:after="130"/>
      </w:pPr>
      <w:r w:rsidRPr="00333AFD">
        <w:tab/>
        <w:t>e)</w:t>
      </w:r>
      <w:r w:rsidRPr="00333AFD">
        <w:tab/>
        <w:t>Ley de la Comisión de Derechos Humanos de Zimbabwe</w:t>
      </w:r>
      <w:r w:rsidR="003B7727">
        <w:t>;</w:t>
      </w:r>
    </w:p>
    <w:p w14:paraId="5C66F5F6" w14:textId="77777777" w:rsidR="00333AFD" w:rsidRPr="00333AFD" w:rsidRDefault="00333AFD" w:rsidP="00810014">
      <w:pPr>
        <w:pStyle w:val="SingleTxtG"/>
        <w:spacing w:after="130"/>
      </w:pPr>
      <w:r w:rsidRPr="00333AFD">
        <w:tab/>
        <w:t>f)</w:t>
      </w:r>
      <w:r w:rsidRPr="00333AFD">
        <w:tab/>
        <w:t>Ley de Violencia Doméstica;</w:t>
      </w:r>
    </w:p>
    <w:p w14:paraId="74F6D3ED" w14:textId="77777777" w:rsidR="00333AFD" w:rsidRPr="00333AFD" w:rsidRDefault="00333AFD" w:rsidP="00810014">
      <w:pPr>
        <w:pStyle w:val="SingleTxtG"/>
        <w:spacing w:after="130"/>
      </w:pPr>
      <w:r w:rsidRPr="00333AFD">
        <w:tab/>
        <w:t>g)</w:t>
      </w:r>
      <w:r w:rsidRPr="00333AFD">
        <w:tab/>
        <w:t>Ley Electoral;</w:t>
      </w:r>
    </w:p>
    <w:p w14:paraId="3C2D2B13" w14:textId="77777777" w:rsidR="00333AFD" w:rsidRPr="00333AFD" w:rsidRDefault="00333AFD" w:rsidP="00810014">
      <w:pPr>
        <w:pStyle w:val="SingleTxtG"/>
        <w:spacing w:after="130"/>
      </w:pPr>
      <w:r w:rsidRPr="00333AFD">
        <w:tab/>
        <w:t>h)</w:t>
      </w:r>
      <w:r w:rsidRPr="00333AFD">
        <w:tab/>
        <w:t>Ley de Sustracción de Menores;</w:t>
      </w:r>
    </w:p>
    <w:p w14:paraId="2BDA5B09" w14:textId="77777777" w:rsidR="00333AFD" w:rsidRPr="00333AFD" w:rsidRDefault="00333AFD" w:rsidP="00810014">
      <w:pPr>
        <w:pStyle w:val="SingleTxtG"/>
        <w:spacing w:after="130"/>
      </w:pPr>
      <w:r w:rsidRPr="00333AFD">
        <w:tab/>
        <w:t>i)</w:t>
      </w:r>
      <w:r w:rsidRPr="00333AFD">
        <w:tab/>
        <w:t>Ley de Salud Pública;</w:t>
      </w:r>
    </w:p>
    <w:p w14:paraId="72E327A8" w14:textId="77777777" w:rsidR="00333AFD" w:rsidRPr="00333AFD" w:rsidRDefault="00333AFD" w:rsidP="00810014">
      <w:pPr>
        <w:pStyle w:val="SingleTxtG"/>
        <w:spacing w:after="130"/>
      </w:pPr>
      <w:r w:rsidRPr="00333AFD">
        <w:tab/>
        <w:t>j)</w:t>
      </w:r>
      <w:r w:rsidRPr="00333AFD">
        <w:tab/>
        <w:t>Ley de Educación;</w:t>
      </w:r>
    </w:p>
    <w:p w14:paraId="0F754B80" w14:textId="77777777" w:rsidR="00333AFD" w:rsidRPr="00333AFD" w:rsidRDefault="00333AFD" w:rsidP="00810014">
      <w:pPr>
        <w:pStyle w:val="SingleTxtG"/>
        <w:spacing w:after="130"/>
      </w:pPr>
      <w:r w:rsidRPr="00333AFD">
        <w:tab/>
        <w:t>k)</w:t>
      </w:r>
      <w:r w:rsidRPr="00333AFD">
        <w:tab/>
        <w:t>Ley de Prestaciones Sociales;</w:t>
      </w:r>
    </w:p>
    <w:p w14:paraId="21DE1D88" w14:textId="77777777" w:rsidR="00333AFD" w:rsidRPr="00333AFD" w:rsidRDefault="00333AFD" w:rsidP="00810014">
      <w:pPr>
        <w:pStyle w:val="SingleTxtG"/>
        <w:spacing w:after="130"/>
      </w:pPr>
      <w:r w:rsidRPr="00333AFD">
        <w:tab/>
        <w:t>l)</w:t>
      </w:r>
      <w:r w:rsidRPr="00333AFD">
        <w:tab/>
        <w:t>Ley de Matrimonio;</w:t>
      </w:r>
    </w:p>
    <w:p w14:paraId="611FAE70" w14:textId="77777777" w:rsidR="00333AFD" w:rsidRPr="00333AFD" w:rsidRDefault="00333AFD" w:rsidP="00810014">
      <w:pPr>
        <w:pStyle w:val="SingleTxtG"/>
        <w:spacing w:after="130"/>
      </w:pPr>
      <w:r w:rsidRPr="00333AFD">
        <w:tab/>
        <w:t>m)</w:t>
      </w:r>
      <w:r w:rsidRPr="00333AFD">
        <w:tab/>
        <w:t xml:space="preserve">Ley de la Infancia; </w:t>
      </w:r>
    </w:p>
    <w:p w14:paraId="1773FC32" w14:textId="77777777" w:rsidR="00333AFD" w:rsidRPr="00333AFD" w:rsidRDefault="00333AFD" w:rsidP="00810014">
      <w:pPr>
        <w:pStyle w:val="SingleTxtG"/>
        <w:spacing w:after="130"/>
      </w:pPr>
      <w:r w:rsidRPr="00333AFD">
        <w:tab/>
        <w:t>n)</w:t>
      </w:r>
      <w:r w:rsidRPr="00333AFD">
        <w:tab/>
        <w:t>Ley de Derecho Penal (Codificación y Reforma).</w:t>
      </w:r>
    </w:p>
    <w:p w14:paraId="579EC728" w14:textId="06172855" w:rsidR="00333AFD" w:rsidRPr="00333AFD" w:rsidRDefault="00D63E71" w:rsidP="00D63E71">
      <w:pPr>
        <w:pStyle w:val="H23G"/>
      </w:pPr>
      <w:bookmarkStart w:id="28" w:name="_Toc87853298"/>
      <w:r>
        <w:tab/>
      </w:r>
      <w:r w:rsidR="00333AFD" w:rsidRPr="00333AFD">
        <w:tab/>
        <w:t>Autoridades judiciales con competencia en materia de derechos humanos</w:t>
      </w:r>
      <w:bookmarkEnd w:id="28"/>
    </w:p>
    <w:p w14:paraId="014B1DD4" w14:textId="77777777" w:rsidR="00333AFD" w:rsidRPr="00333AFD" w:rsidRDefault="00333AFD" w:rsidP="00810014">
      <w:pPr>
        <w:pStyle w:val="SingleTxtG"/>
        <w:spacing w:after="130"/>
      </w:pPr>
      <w:r w:rsidRPr="00333AFD">
        <w:t>62.</w:t>
      </w:r>
      <w:r w:rsidRPr="00333AFD">
        <w:tab/>
        <w:t xml:space="preserve">El artículo 166 3) a) de la Constitución establece que el Tribunal Constitucional conoce de las presuntas vulneraciones de los derechos humanos y libertades fundamentales consagrados en la Carta de Derechos: </w:t>
      </w:r>
    </w:p>
    <w:p w14:paraId="39C40EC1" w14:textId="77777777" w:rsidR="00333AFD" w:rsidRPr="00333AFD" w:rsidRDefault="00333AFD" w:rsidP="00810014">
      <w:pPr>
        <w:pStyle w:val="SingleTxtG"/>
        <w:spacing w:after="130"/>
      </w:pPr>
      <w:r w:rsidRPr="00333AFD">
        <w:tab/>
        <w:t>a)</w:t>
      </w:r>
      <w:r w:rsidRPr="00333AFD">
        <w:tab/>
        <w:t xml:space="preserve">El Tribunal Constitucional es el máximo órgano jurisdiccional en todos los asuntos constitucionales y sus decisiones al respecto son vinculantes para los demás tribunales; </w:t>
      </w:r>
    </w:p>
    <w:p w14:paraId="3176D98F" w14:textId="77777777" w:rsidR="00333AFD" w:rsidRPr="00333AFD" w:rsidRDefault="00333AFD" w:rsidP="00810014">
      <w:pPr>
        <w:pStyle w:val="SingleTxtG"/>
        <w:spacing w:after="130"/>
      </w:pPr>
      <w:r w:rsidRPr="00333AFD">
        <w:tab/>
        <w:t>b)</w:t>
      </w:r>
      <w:r w:rsidRPr="00333AFD">
        <w:tab/>
        <w:t xml:space="preserve">El Tribunal Supremo es el tribunal de apelación de última instancia en Zimbabwe, excepto en los asuntos en los que es competente el Tribunal Constitucional; </w:t>
      </w:r>
    </w:p>
    <w:p w14:paraId="378500EA" w14:textId="77777777" w:rsidR="00333AFD" w:rsidRPr="00333AFD" w:rsidRDefault="00333AFD" w:rsidP="00810014">
      <w:pPr>
        <w:pStyle w:val="SingleTxtG"/>
        <w:spacing w:after="130"/>
      </w:pPr>
      <w:r w:rsidRPr="00333AFD">
        <w:tab/>
        <w:t>c)</w:t>
      </w:r>
      <w:r w:rsidRPr="00333AFD">
        <w:tab/>
        <w:t>El Tribunal Superior tiene jurisdicción inherente en asuntos civiles y penales en Zimbabwe;</w:t>
      </w:r>
    </w:p>
    <w:p w14:paraId="0480F32B" w14:textId="77777777" w:rsidR="00333AFD" w:rsidRPr="00333AFD" w:rsidRDefault="00333AFD" w:rsidP="00810014">
      <w:pPr>
        <w:pStyle w:val="SingleTxtG"/>
        <w:spacing w:after="130"/>
      </w:pPr>
      <w:r w:rsidRPr="00333AFD">
        <w:tab/>
        <w:t>d)</w:t>
      </w:r>
      <w:r w:rsidRPr="00333AFD">
        <w:tab/>
        <w:t>El Tribunal del Trabajo es competente en materia de trabajo y empleo;</w:t>
      </w:r>
    </w:p>
    <w:p w14:paraId="61FD6A26" w14:textId="77777777" w:rsidR="00333AFD" w:rsidRPr="00333AFD" w:rsidRDefault="00333AFD" w:rsidP="00810014">
      <w:pPr>
        <w:pStyle w:val="SingleTxtG"/>
        <w:spacing w:after="130"/>
      </w:pPr>
      <w:r w:rsidRPr="00333AFD">
        <w:tab/>
        <w:t>e)</w:t>
      </w:r>
      <w:r w:rsidRPr="00333AFD">
        <w:tab/>
        <w:t xml:space="preserve">El Tribunal Administrativo tiene jurisdicción en asuntos administrativos; </w:t>
      </w:r>
    </w:p>
    <w:p w14:paraId="51DE101E" w14:textId="77777777" w:rsidR="00333AFD" w:rsidRPr="00333AFD" w:rsidRDefault="00333AFD" w:rsidP="00810014">
      <w:pPr>
        <w:pStyle w:val="SingleTxtG"/>
        <w:spacing w:after="130"/>
      </w:pPr>
      <w:r w:rsidRPr="00333AFD">
        <w:tab/>
        <w:t>f)</w:t>
      </w:r>
      <w:r w:rsidRPr="00333AFD">
        <w:tab/>
        <w:t>Los tribunales de primera instancia son competentes para juzgar asuntos civiles y penales, como se estipula en la Ley de Tribunales de Primera Instancia;</w:t>
      </w:r>
    </w:p>
    <w:p w14:paraId="4F1D2058" w14:textId="23361549" w:rsidR="00333AFD" w:rsidRPr="00333AFD" w:rsidRDefault="00333AFD" w:rsidP="00810014">
      <w:pPr>
        <w:pStyle w:val="SingleTxtG"/>
        <w:spacing w:after="130"/>
      </w:pPr>
      <w:r w:rsidRPr="00333AFD">
        <w:tab/>
        <w:t>g)</w:t>
      </w:r>
      <w:r w:rsidRPr="00333AFD">
        <w:tab/>
        <w:t>Los tribunales de derecho consuetudinario son competentes en asuntos de derecho consuetudinario.</w:t>
      </w:r>
    </w:p>
    <w:p w14:paraId="2B6EBAD1" w14:textId="6CDB516E" w:rsidR="00333AFD" w:rsidRPr="00333AFD" w:rsidRDefault="00333AFD" w:rsidP="00333AFD">
      <w:pPr>
        <w:pStyle w:val="SingleTxtG"/>
      </w:pPr>
      <w:r w:rsidRPr="00333AFD">
        <w:t>63.</w:t>
      </w:r>
      <w:r w:rsidRPr="00333AFD">
        <w:tab/>
        <w:t>Las disposiciones de diversos instrumentos de derechos humanos han sido invocadas ante los tribunales judiciales, otros tribunales o las autoridades administrativas, o aplicadas directamente por estos. El siguiente cuadro ilustra los datos disponibles.</w:t>
      </w:r>
    </w:p>
    <w:p w14:paraId="27F69895" w14:textId="6327DD2C" w:rsidR="00333AFD" w:rsidRPr="00333AFD" w:rsidRDefault="00D63E71" w:rsidP="003B7727">
      <w:pPr>
        <w:pStyle w:val="H23G"/>
        <w:ind w:right="424"/>
      </w:pPr>
      <w:r w:rsidRPr="00D63E71">
        <w:rPr>
          <w:b w:val="0"/>
          <w:bCs/>
        </w:rPr>
        <w:lastRenderedPageBreak/>
        <w:tab/>
      </w:r>
      <w:r w:rsidRPr="00D63E71">
        <w:rPr>
          <w:b w:val="0"/>
          <w:bCs/>
        </w:rPr>
        <w:tab/>
      </w:r>
      <w:r w:rsidR="00333AFD" w:rsidRPr="00D63E71">
        <w:rPr>
          <w:b w:val="0"/>
          <w:bCs/>
        </w:rPr>
        <w:t>Cuadro 10</w:t>
      </w:r>
      <w:r w:rsidRPr="00D63E71">
        <w:rPr>
          <w:b w:val="0"/>
          <w:bCs/>
        </w:rPr>
        <w:br/>
      </w:r>
      <w:r w:rsidR="00333AFD" w:rsidRPr="00333AFD">
        <w:t>Jurisprudencia sobre la aplicación de las distintas normas de derechos humanos en Zimbabwe</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455"/>
        <w:gridCol w:w="2453"/>
        <w:gridCol w:w="3597"/>
      </w:tblGrid>
      <w:tr w:rsidR="00D63E71" w:rsidRPr="00D63E71" w14:paraId="238B3086" w14:textId="77777777" w:rsidTr="00D676BF">
        <w:trPr>
          <w:trHeight w:val="240"/>
          <w:tblHeader/>
        </w:trPr>
        <w:tc>
          <w:tcPr>
            <w:tcW w:w="2455" w:type="dxa"/>
            <w:tcBorders>
              <w:top w:val="single" w:sz="4" w:space="0" w:color="auto"/>
              <w:bottom w:val="single" w:sz="12" w:space="0" w:color="auto"/>
            </w:tcBorders>
            <w:shd w:val="clear" w:color="auto" w:fill="auto"/>
            <w:vAlign w:val="bottom"/>
          </w:tcPr>
          <w:p w14:paraId="3A4862AC"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Causa</w:t>
            </w:r>
          </w:p>
        </w:tc>
        <w:tc>
          <w:tcPr>
            <w:tcW w:w="2453" w:type="dxa"/>
            <w:tcBorders>
              <w:top w:val="single" w:sz="4" w:space="0" w:color="auto"/>
              <w:bottom w:val="single" w:sz="12" w:space="0" w:color="auto"/>
            </w:tcBorders>
            <w:shd w:val="clear" w:color="auto" w:fill="auto"/>
            <w:vAlign w:val="bottom"/>
          </w:tcPr>
          <w:p w14:paraId="05FE3276"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Enmienda de la Constitución de Zimbabwe (núm. 20) de 2013: disposición aplicada</w:t>
            </w:r>
          </w:p>
        </w:tc>
        <w:tc>
          <w:tcPr>
            <w:tcW w:w="3597" w:type="dxa"/>
            <w:tcBorders>
              <w:top w:val="single" w:sz="4" w:space="0" w:color="auto"/>
              <w:bottom w:val="single" w:sz="12" w:space="0" w:color="auto"/>
            </w:tcBorders>
            <w:shd w:val="clear" w:color="auto" w:fill="auto"/>
            <w:vAlign w:val="bottom"/>
          </w:tcPr>
          <w:p w14:paraId="03E28168" w14:textId="7777777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Jurisprudencia</w:t>
            </w:r>
          </w:p>
        </w:tc>
      </w:tr>
      <w:tr w:rsidR="00D63E71" w:rsidRPr="00333AFD" w14:paraId="46A65A22" w14:textId="77777777" w:rsidTr="00D676BF">
        <w:trPr>
          <w:trHeight w:hRule="exact" w:val="113"/>
          <w:tblHeader/>
        </w:trPr>
        <w:tc>
          <w:tcPr>
            <w:tcW w:w="2455" w:type="dxa"/>
            <w:tcBorders>
              <w:top w:val="single" w:sz="12" w:space="0" w:color="auto"/>
            </w:tcBorders>
            <w:shd w:val="clear" w:color="auto" w:fill="auto"/>
          </w:tcPr>
          <w:p w14:paraId="2DD151EF"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2453" w:type="dxa"/>
            <w:tcBorders>
              <w:top w:val="single" w:sz="12" w:space="0" w:color="auto"/>
            </w:tcBorders>
            <w:shd w:val="clear" w:color="auto" w:fill="auto"/>
          </w:tcPr>
          <w:p w14:paraId="5240FBB7"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3597" w:type="dxa"/>
            <w:tcBorders>
              <w:top w:val="single" w:sz="12" w:space="0" w:color="auto"/>
            </w:tcBorders>
            <w:shd w:val="clear" w:color="auto" w:fill="auto"/>
          </w:tcPr>
          <w:p w14:paraId="220576AC" w14:textId="77777777" w:rsidR="00333AFD" w:rsidRPr="00333AFD" w:rsidRDefault="00333AFD" w:rsidP="00D63E71">
            <w:pPr>
              <w:pStyle w:val="SingleTxtG"/>
              <w:tabs>
                <w:tab w:val="clear" w:pos="1701"/>
                <w:tab w:val="clear" w:pos="2268"/>
                <w:tab w:val="clear" w:pos="2835"/>
              </w:tabs>
              <w:spacing w:before="40"/>
              <w:ind w:left="0" w:right="0"/>
              <w:jc w:val="left"/>
            </w:pPr>
          </w:p>
        </w:tc>
      </w:tr>
      <w:tr w:rsidR="00D63E71" w:rsidRPr="00333AFD" w14:paraId="3D4A73D1" w14:textId="77777777" w:rsidTr="00D676BF">
        <w:trPr>
          <w:trHeight w:val="240"/>
        </w:trPr>
        <w:tc>
          <w:tcPr>
            <w:tcW w:w="2455" w:type="dxa"/>
            <w:shd w:val="clear" w:color="auto" w:fill="auto"/>
          </w:tcPr>
          <w:p w14:paraId="76DCA649"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2453" w:type="dxa"/>
            <w:shd w:val="clear" w:color="auto" w:fill="auto"/>
          </w:tcPr>
          <w:p w14:paraId="09E439D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264: Descentralización de facultades y responsabilidades gubernamentales.</w:t>
            </w:r>
          </w:p>
          <w:p w14:paraId="138C397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18: Representación regional equitativa</w:t>
            </w:r>
          </w:p>
        </w:tc>
        <w:tc>
          <w:tcPr>
            <w:tcW w:w="3597" w:type="dxa"/>
            <w:shd w:val="clear" w:color="auto" w:fill="auto"/>
          </w:tcPr>
          <w:p w14:paraId="05843DFB" w14:textId="77777777" w:rsidR="00333AFD" w:rsidRPr="00333AFD" w:rsidRDefault="00333AFD" w:rsidP="00D63E71">
            <w:pPr>
              <w:pStyle w:val="SingleTxtG"/>
              <w:tabs>
                <w:tab w:val="clear" w:pos="1701"/>
                <w:tab w:val="clear" w:pos="2268"/>
                <w:tab w:val="clear" w:pos="2835"/>
              </w:tabs>
              <w:spacing w:before="40"/>
              <w:ind w:left="0" w:right="0"/>
              <w:jc w:val="left"/>
            </w:pPr>
          </w:p>
        </w:tc>
      </w:tr>
      <w:tr w:rsidR="00D63E71" w:rsidRPr="00333AFD" w14:paraId="7DB5E1C2" w14:textId="77777777" w:rsidTr="00D676BF">
        <w:trPr>
          <w:trHeight w:val="240"/>
        </w:trPr>
        <w:tc>
          <w:tcPr>
            <w:tcW w:w="2455" w:type="dxa"/>
            <w:shd w:val="clear" w:color="auto" w:fill="auto"/>
          </w:tcPr>
          <w:p w14:paraId="6C49E427"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Nkomo c. el Ministro de Gobierno Local y Desarrollo Rural y Urbano y otros</w:t>
            </w:r>
            <w:r w:rsidRPr="00333AFD">
              <w:t>, 2016 (1) ZLR 113 (CC)</w:t>
            </w:r>
          </w:p>
        </w:tc>
        <w:tc>
          <w:tcPr>
            <w:tcW w:w="2453" w:type="dxa"/>
            <w:shd w:val="clear" w:color="auto" w:fill="auto"/>
          </w:tcPr>
          <w:p w14:paraId="69C2941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56: Igualdad y no discriminación</w:t>
            </w:r>
          </w:p>
        </w:tc>
        <w:tc>
          <w:tcPr>
            <w:tcW w:w="3597" w:type="dxa"/>
            <w:shd w:val="clear" w:color="auto" w:fill="auto"/>
          </w:tcPr>
          <w:p w14:paraId="68B83428" w14:textId="1BBB608D"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Los derechos garantizados por el artículo</w:t>
            </w:r>
            <w:r w:rsidR="003B7727">
              <w:rPr>
                <w:iCs/>
              </w:rPr>
              <w:t> </w:t>
            </w:r>
            <w:r w:rsidR="00333AFD" w:rsidRPr="00333AFD">
              <w:rPr>
                <w:iCs/>
              </w:rPr>
              <w:t>56 1) son el derecho a la igualdad de todas las personas ante la ley y el derecho a recibir los mismos beneficios y protección que la ley otorga a las personas en situación similar.</w:t>
            </w:r>
            <w:r w:rsidR="00333AFD" w:rsidRPr="00333AFD">
              <w:t xml:space="preserve"> </w:t>
            </w:r>
            <w:r w:rsidR="00333AFD" w:rsidRPr="00333AFD">
              <w:rPr>
                <w:iCs/>
              </w:rPr>
              <w:t>El artículo prevé una ley que proporcione los mismos beneficios y protección a las personas afectadas por ella.</w:t>
            </w:r>
            <w:r w:rsidR="00333AFD" w:rsidRPr="00333AFD">
              <w:t xml:space="preserve"> </w:t>
            </w:r>
            <w:r w:rsidR="00333AFD" w:rsidRPr="00333AFD">
              <w:rPr>
                <w:iCs/>
              </w:rPr>
              <w:t>Incluye el derecho de una persona a no ser objeto de un trato al que no se somete a otras personas en situación similar.</w:t>
            </w:r>
            <w:r w:rsidR="00333AFD" w:rsidRPr="00333AFD">
              <w:t xml:space="preserve"> </w:t>
            </w:r>
            <w:r w:rsidR="00333AFD" w:rsidRPr="00333AFD">
              <w:rPr>
                <w:iCs/>
              </w:rPr>
              <w:t>Para poder invocar esta disposición, la persona demandante debe demostrar que, en virtud de la aplicación de una ley, ha recibido un trato o protección desigual, es decir, que esa ley ha otorgado a otras personas beneficios o protección que no se le han otorgado;</w:t>
            </w:r>
            <w:r w:rsidR="00333AFD" w:rsidRPr="00333AFD">
              <w:t xml:space="preserve"> </w:t>
            </w:r>
            <w:r w:rsidR="00333AFD" w:rsidRPr="00333AFD">
              <w:rPr>
                <w:iCs/>
              </w:rPr>
              <w:t>o que personas en igual (o similar) situación que la persona demandante han sido tratadas de manera diferente al trato que se le ha dado y que tiene derecho al mismo o igual trato que esas personas.</w:t>
            </w:r>
            <w:r>
              <w:rPr>
                <w:iCs/>
              </w:rPr>
              <w:t>”</w:t>
            </w:r>
          </w:p>
        </w:tc>
      </w:tr>
      <w:tr w:rsidR="00D63E71" w:rsidRPr="00333AFD" w14:paraId="5DA78846" w14:textId="77777777" w:rsidTr="00D676BF">
        <w:trPr>
          <w:trHeight w:val="240"/>
        </w:trPr>
        <w:tc>
          <w:tcPr>
            <w:tcW w:w="2455" w:type="dxa"/>
            <w:shd w:val="clear" w:color="auto" w:fill="auto"/>
          </w:tcPr>
          <w:p w14:paraId="45A2B9A6" w14:textId="747B466D" w:rsidR="00333AFD" w:rsidRPr="00333AFD" w:rsidRDefault="00333AFD" w:rsidP="00D63E71">
            <w:pPr>
              <w:pStyle w:val="SingleTxtG"/>
              <w:tabs>
                <w:tab w:val="clear" w:pos="1701"/>
                <w:tab w:val="clear" w:pos="2268"/>
                <w:tab w:val="clear" w:pos="2835"/>
              </w:tabs>
              <w:spacing w:before="40"/>
              <w:ind w:left="0" w:right="0"/>
              <w:jc w:val="left"/>
            </w:pPr>
            <w:r w:rsidRPr="00333AFD">
              <w:rPr>
                <w:i/>
              </w:rPr>
              <w:t>El Estado c. Mutero</w:t>
            </w:r>
            <w:r w:rsidRPr="00333AFD">
              <w:t>, SC</w:t>
            </w:r>
            <w:r w:rsidR="003B7727">
              <w:t> </w:t>
            </w:r>
            <w:r w:rsidRPr="00333AFD">
              <w:t>28/17</w:t>
            </w:r>
          </w:p>
        </w:tc>
        <w:tc>
          <w:tcPr>
            <w:tcW w:w="2453" w:type="dxa"/>
            <w:shd w:val="clear" w:color="auto" w:fill="auto"/>
          </w:tcPr>
          <w:p w14:paraId="0EB8FDF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48: Derecho a la vida</w:t>
            </w:r>
          </w:p>
        </w:tc>
        <w:tc>
          <w:tcPr>
            <w:tcW w:w="3597" w:type="dxa"/>
            <w:shd w:val="clear" w:color="auto" w:fill="auto"/>
          </w:tcPr>
          <w:p w14:paraId="69F45681" w14:textId="7E73D2E4"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El artículo 48 2) de la Constitución establece que la pena de muerte solo puede imponerse en virtud de una ley a una persona condenada por un asesinato cometido con circunstancias agravantes.</w:t>
            </w:r>
            <w:r w:rsidR="00333AFD" w:rsidRPr="00333AFD">
              <w:t xml:space="preserve"> </w:t>
            </w:r>
            <w:r w:rsidR="00333AFD" w:rsidRPr="00333AFD">
              <w:rPr>
                <w:iCs/>
              </w:rPr>
              <w:t>Se argumenta que un tribunal que declara culpable a una persona acusada de asesinato solo puede condenarla a la pena de muerte con arreglo a una ley que contempla el asesinato con circunstancias agravantes.</w:t>
            </w:r>
            <w:r w:rsidR="00333AFD" w:rsidRPr="00333AFD">
              <w:t xml:space="preserve"> </w:t>
            </w:r>
            <w:r w:rsidR="00333AFD" w:rsidRPr="00333AFD">
              <w:rPr>
                <w:iCs/>
              </w:rPr>
              <w:t>El artículo 48 de la Constitución no es una disposición operativa a efectos del dictado de la sentencia.</w:t>
            </w:r>
            <w:r w:rsidR="00333AFD" w:rsidRPr="00333AFD">
              <w:t xml:space="preserve"> </w:t>
            </w:r>
            <w:r w:rsidR="00333AFD" w:rsidRPr="00333AFD">
              <w:rPr>
                <w:iCs/>
              </w:rPr>
              <w:t>No especifica qué sentencia puede imponer el tribunal a una persona condenada por asesinato.</w:t>
            </w:r>
            <w:r w:rsidR="00333AFD" w:rsidRPr="00333AFD">
              <w:t xml:space="preserve"> </w:t>
            </w:r>
            <w:r w:rsidR="00333AFD" w:rsidRPr="00333AFD">
              <w:rPr>
                <w:iCs/>
              </w:rPr>
              <w:t>Define y establece los derechos fundamentales de una persona condenada por asesinato.</w:t>
            </w:r>
            <w:r>
              <w:rPr>
                <w:iCs/>
              </w:rPr>
              <w:t>”</w:t>
            </w:r>
            <w:r w:rsidR="00333AFD" w:rsidRPr="00333AFD">
              <w:t xml:space="preserve"> </w:t>
            </w:r>
          </w:p>
        </w:tc>
      </w:tr>
      <w:tr w:rsidR="00D63E71" w:rsidRPr="00333AFD" w14:paraId="0110FD6A" w14:textId="77777777" w:rsidTr="00D676BF">
        <w:trPr>
          <w:trHeight w:val="240"/>
        </w:trPr>
        <w:tc>
          <w:tcPr>
            <w:tcW w:w="2455" w:type="dxa"/>
            <w:shd w:val="clear" w:color="auto" w:fill="auto"/>
          </w:tcPr>
          <w:p w14:paraId="7F23D778" w14:textId="77777777"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rPr>
                <w:i/>
              </w:rPr>
              <w:lastRenderedPageBreak/>
              <w:t>Nancy Kachingwe y otros c. el Ministerio del Interior y otro</w:t>
            </w:r>
            <w:r w:rsidRPr="00333AFD">
              <w:t xml:space="preserve">, SC 145/04; </w:t>
            </w:r>
            <w:r w:rsidRPr="00333AFD">
              <w:rPr>
                <w:i/>
              </w:rPr>
              <w:t>Jestina Mukoko c. la Fiscalía General</w:t>
            </w:r>
            <w:r w:rsidRPr="00333AFD">
              <w:t>, SC 11/12</w:t>
            </w:r>
          </w:p>
        </w:tc>
        <w:tc>
          <w:tcPr>
            <w:tcW w:w="2453" w:type="dxa"/>
            <w:shd w:val="clear" w:color="auto" w:fill="auto"/>
          </w:tcPr>
          <w:p w14:paraId="1D0E01F8" w14:textId="77777777"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t>Artículo 49: Derecho a la libertad personal</w:t>
            </w:r>
          </w:p>
          <w:p w14:paraId="3D6E45CF" w14:textId="77777777"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t>Artículo 50: Derechos de las personas detenidas o privadas de libertad</w:t>
            </w:r>
          </w:p>
          <w:p w14:paraId="4A78F150" w14:textId="77777777"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t>Artículo 51: Derecho a la dignidad humana</w:t>
            </w:r>
          </w:p>
          <w:p w14:paraId="1CCE5F1C" w14:textId="77777777"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t>Artículo 52: Derecho a la seguridad personal</w:t>
            </w:r>
          </w:p>
          <w:p w14:paraId="34236EDE" w14:textId="77777777"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t>Artículo 53: Protección contra la tortura y otros tratos o penas crueles, inhumanos o degradantes</w:t>
            </w:r>
          </w:p>
        </w:tc>
        <w:tc>
          <w:tcPr>
            <w:tcW w:w="3597" w:type="dxa"/>
            <w:shd w:val="clear" w:color="auto" w:fill="auto"/>
          </w:tcPr>
          <w:p w14:paraId="4E610F3E" w14:textId="564515AC" w:rsidR="00333AFD" w:rsidRPr="00333AFD" w:rsidRDefault="00333AFD" w:rsidP="003B7727">
            <w:pPr>
              <w:pStyle w:val="SingleTxtG"/>
              <w:keepNext/>
              <w:keepLines/>
              <w:tabs>
                <w:tab w:val="clear" w:pos="1701"/>
                <w:tab w:val="clear" w:pos="2268"/>
                <w:tab w:val="clear" w:pos="2835"/>
              </w:tabs>
              <w:spacing w:before="40"/>
              <w:ind w:left="0" w:right="0"/>
              <w:jc w:val="left"/>
            </w:pPr>
            <w:r w:rsidRPr="00333AFD">
              <w:t>El Tribunal determinó que</w:t>
            </w:r>
            <w:r w:rsidRPr="00333AFD">
              <w:rPr>
                <w:iCs/>
              </w:rPr>
              <w:t xml:space="preserve"> </w:t>
            </w:r>
            <w:r w:rsidR="003F7DB7">
              <w:rPr>
                <w:iCs/>
              </w:rPr>
              <w:t>“</w:t>
            </w:r>
            <w:r w:rsidRPr="00333AFD">
              <w:rPr>
                <w:iCs/>
              </w:rPr>
              <w:t>los demandantes fueron sometidos a tratos inhumanos y degradantes.</w:t>
            </w:r>
            <w:r w:rsidRPr="00333AFD">
              <w:t xml:space="preserve"> </w:t>
            </w:r>
            <w:r w:rsidRPr="00333AFD">
              <w:rPr>
                <w:iCs/>
              </w:rPr>
              <w:t>Considera que las celdas en las que los demandantes estuvieron detenidos durante toda la noche en las comisarías de Highlands y de Matapi, respectivamente, no cumplían las normas mínimas de decoro.</w:t>
            </w:r>
            <w:r w:rsidRPr="00333AFD">
              <w:t xml:space="preserve"> </w:t>
            </w:r>
            <w:r w:rsidRPr="00333AFD">
              <w:rPr>
                <w:iCs/>
              </w:rPr>
              <w:t>En particular, el hecho de no:</w:t>
            </w:r>
          </w:p>
          <w:p w14:paraId="7C929A22" w14:textId="0C7D454F" w:rsidR="00333AFD" w:rsidRPr="00333AFD" w:rsidRDefault="003B7727" w:rsidP="00AF1A95">
            <w:pPr>
              <w:pStyle w:val="SingleTxtG"/>
              <w:keepNext/>
              <w:keepLines/>
              <w:tabs>
                <w:tab w:val="clear" w:pos="1701"/>
                <w:tab w:val="clear" w:pos="2268"/>
                <w:tab w:val="clear" w:pos="2835"/>
              </w:tabs>
              <w:spacing w:before="40"/>
              <w:ind w:left="0" w:right="0" w:firstLine="284"/>
              <w:jc w:val="left"/>
            </w:pPr>
            <w:r w:rsidRPr="00333AFD">
              <w:rPr>
                <w:iCs/>
              </w:rPr>
              <w:t xml:space="preserve">Separar </w:t>
            </w:r>
            <w:r w:rsidR="00333AFD" w:rsidRPr="00333AFD">
              <w:rPr>
                <w:iCs/>
              </w:rPr>
              <w:t>el inodoro del resto de la celda para que los reclusos pudieran hacer sus necesidades en privado;</w:t>
            </w:r>
          </w:p>
          <w:p w14:paraId="1F2FF7AD" w14:textId="5DD9D29A" w:rsidR="00333AFD" w:rsidRPr="00333AFD" w:rsidRDefault="003B7727" w:rsidP="00AF1A95">
            <w:pPr>
              <w:pStyle w:val="SingleTxtG"/>
              <w:keepNext/>
              <w:keepLines/>
              <w:tabs>
                <w:tab w:val="clear" w:pos="1701"/>
                <w:tab w:val="clear" w:pos="2268"/>
                <w:tab w:val="clear" w:pos="2835"/>
              </w:tabs>
              <w:spacing w:before="40"/>
              <w:ind w:left="0" w:right="0" w:firstLine="284"/>
              <w:jc w:val="left"/>
            </w:pPr>
            <w:r w:rsidRPr="00333AFD">
              <w:rPr>
                <w:iCs/>
              </w:rPr>
              <w:t xml:space="preserve">Proporcionar </w:t>
            </w:r>
            <w:r w:rsidR="00333AFD" w:rsidRPr="00333AFD">
              <w:rPr>
                <w:iCs/>
              </w:rPr>
              <w:t>un mecanismo de descarga del inodoro desde el interior de la celda;</w:t>
            </w:r>
          </w:p>
          <w:p w14:paraId="0E3D5BED" w14:textId="4FC7C0C2" w:rsidR="00333AFD" w:rsidRPr="00333AFD" w:rsidRDefault="003B7727" w:rsidP="00AF1A95">
            <w:pPr>
              <w:pStyle w:val="SingleTxtG"/>
              <w:keepNext/>
              <w:keepLines/>
              <w:tabs>
                <w:tab w:val="clear" w:pos="1701"/>
                <w:tab w:val="clear" w:pos="2268"/>
                <w:tab w:val="clear" w:pos="2835"/>
              </w:tabs>
              <w:spacing w:before="40"/>
              <w:ind w:left="0" w:right="0" w:firstLine="284"/>
              <w:jc w:val="left"/>
            </w:pPr>
            <w:r w:rsidRPr="00333AFD">
              <w:t>P</w:t>
            </w:r>
            <w:r w:rsidRPr="00333AFD">
              <w:rPr>
                <w:iCs/>
              </w:rPr>
              <w:t xml:space="preserve">roporcionar </w:t>
            </w:r>
            <w:r w:rsidR="00333AFD" w:rsidRPr="00333AFD">
              <w:rPr>
                <w:iCs/>
              </w:rPr>
              <w:t>papel higiénico;</w:t>
            </w:r>
          </w:p>
          <w:p w14:paraId="62FC4FCA" w14:textId="0F3F0D9C" w:rsidR="00333AFD" w:rsidRPr="00333AFD" w:rsidRDefault="003B7727" w:rsidP="00AF1A95">
            <w:pPr>
              <w:pStyle w:val="SingleTxtG"/>
              <w:keepNext/>
              <w:keepLines/>
              <w:tabs>
                <w:tab w:val="clear" w:pos="1701"/>
                <w:tab w:val="clear" w:pos="2268"/>
                <w:tab w:val="clear" w:pos="2835"/>
              </w:tabs>
              <w:spacing w:before="40"/>
              <w:ind w:left="0" w:right="0" w:firstLine="284"/>
              <w:jc w:val="left"/>
            </w:pPr>
            <w:r w:rsidRPr="00333AFD">
              <w:rPr>
                <w:iCs/>
              </w:rPr>
              <w:t xml:space="preserve">Proporcionar </w:t>
            </w:r>
            <w:r w:rsidR="00333AFD" w:rsidRPr="00333AFD">
              <w:rPr>
                <w:iCs/>
              </w:rPr>
              <w:t>un lavabo;</w:t>
            </w:r>
            <w:r w:rsidR="00333AFD" w:rsidRPr="00333AFD">
              <w:t xml:space="preserve"> </w:t>
            </w:r>
            <w:r w:rsidR="00333AFD" w:rsidRPr="00333AFD">
              <w:rPr>
                <w:iCs/>
              </w:rPr>
              <w:t>ni</w:t>
            </w:r>
          </w:p>
          <w:p w14:paraId="048DD72C" w14:textId="0AC156A9" w:rsidR="00333AFD" w:rsidRPr="00333AFD" w:rsidRDefault="003B7727" w:rsidP="00AF1A95">
            <w:pPr>
              <w:pStyle w:val="SingleTxtG"/>
              <w:keepNext/>
              <w:keepLines/>
              <w:tabs>
                <w:tab w:val="clear" w:pos="1701"/>
                <w:tab w:val="clear" w:pos="2268"/>
                <w:tab w:val="clear" w:pos="2835"/>
              </w:tabs>
              <w:spacing w:before="40"/>
              <w:ind w:left="0" w:right="0" w:firstLine="284"/>
              <w:jc w:val="left"/>
            </w:pPr>
            <w:r w:rsidRPr="00333AFD">
              <w:rPr>
                <w:iCs/>
              </w:rPr>
              <w:t xml:space="preserve">Proporcionar </w:t>
            </w:r>
            <w:r w:rsidR="00333AFD" w:rsidRPr="00333AFD">
              <w:rPr>
                <w:iCs/>
              </w:rPr>
              <w:t>una plataforma o banco para sentarse;</w:t>
            </w:r>
          </w:p>
          <w:p w14:paraId="50845DD8" w14:textId="761011F7" w:rsidR="00333AFD" w:rsidRPr="00333AFD" w:rsidRDefault="003B7727" w:rsidP="003B7727">
            <w:pPr>
              <w:pStyle w:val="SingleTxtG"/>
              <w:keepNext/>
              <w:keepLines/>
              <w:tabs>
                <w:tab w:val="clear" w:pos="1701"/>
                <w:tab w:val="clear" w:pos="2268"/>
                <w:tab w:val="clear" w:pos="2835"/>
              </w:tabs>
              <w:spacing w:before="40"/>
              <w:ind w:left="0" w:right="0"/>
              <w:jc w:val="left"/>
            </w:pPr>
            <w:r w:rsidRPr="00333AFD">
              <w:rPr>
                <w:iCs/>
              </w:rPr>
              <w:t xml:space="preserve">Constituyen </w:t>
            </w:r>
            <w:r w:rsidR="00333AFD" w:rsidRPr="00333AFD">
              <w:rPr>
                <w:iCs/>
              </w:rPr>
              <w:t>tratos inhumanos y degradantes prohibidos en virtud del artículo 15 1) de la Constitución</w:t>
            </w:r>
            <w:r w:rsidR="003F7DB7">
              <w:rPr>
                <w:iCs/>
              </w:rPr>
              <w:t>”</w:t>
            </w:r>
            <w:r w:rsidR="00333AFD" w:rsidRPr="00333AFD">
              <w:rPr>
                <w:iCs/>
              </w:rPr>
              <w:t>.</w:t>
            </w:r>
            <w:r w:rsidR="00333AFD" w:rsidRPr="00333AFD">
              <w:t xml:space="preserve"> </w:t>
            </w:r>
          </w:p>
        </w:tc>
      </w:tr>
      <w:tr w:rsidR="00D63E71" w:rsidRPr="00333AFD" w14:paraId="0C4C8EE2" w14:textId="77777777" w:rsidTr="00D676BF">
        <w:trPr>
          <w:trHeight w:val="240"/>
        </w:trPr>
        <w:tc>
          <w:tcPr>
            <w:tcW w:w="2455" w:type="dxa"/>
            <w:shd w:val="clear" w:color="auto" w:fill="auto"/>
          </w:tcPr>
          <w:p w14:paraId="03D68C1A" w14:textId="254B75A2" w:rsidR="00333AFD" w:rsidRPr="00333AFD" w:rsidRDefault="00333AFD" w:rsidP="00D63E71">
            <w:pPr>
              <w:pStyle w:val="SingleTxtG"/>
              <w:tabs>
                <w:tab w:val="clear" w:pos="1701"/>
                <w:tab w:val="clear" w:pos="2268"/>
                <w:tab w:val="clear" w:pos="2835"/>
              </w:tabs>
              <w:spacing w:before="40"/>
              <w:ind w:left="0" w:right="0"/>
              <w:jc w:val="left"/>
            </w:pPr>
            <w:r w:rsidRPr="00333AFD">
              <w:rPr>
                <w:i/>
              </w:rPr>
              <w:t>El Estado c. Chokuramba con Justice for Children</w:t>
            </w:r>
            <w:r w:rsidR="003F7DB7" w:rsidRPr="00C41792">
              <w:rPr>
                <w:i/>
              </w:rPr>
              <w:t>’</w:t>
            </w:r>
            <w:r w:rsidRPr="00333AFD">
              <w:rPr>
                <w:i/>
              </w:rPr>
              <w:t xml:space="preserve">s Trust y Zimbabwe Lawyers for Human Rights en calidad de </w:t>
            </w:r>
            <w:r w:rsidRPr="00333AFD">
              <w:rPr>
                <w:iCs/>
              </w:rPr>
              <w:t>amicus curiae</w:t>
            </w:r>
            <w:r w:rsidRPr="00333AFD">
              <w:t>, CCZ 10/19</w:t>
            </w:r>
          </w:p>
        </w:tc>
        <w:tc>
          <w:tcPr>
            <w:tcW w:w="2453" w:type="dxa"/>
            <w:shd w:val="clear" w:color="auto" w:fill="auto"/>
          </w:tcPr>
          <w:p w14:paraId="58C9649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54: Derecho a no ser sometido a esclavitud o servidumbre</w:t>
            </w:r>
          </w:p>
          <w:p w14:paraId="4124BB1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55: Libertad de no ser sometido a trabajo forzoso</w:t>
            </w:r>
          </w:p>
          <w:p w14:paraId="392A783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64: Libertad de profesión, comercio u ocupación</w:t>
            </w:r>
          </w:p>
          <w:p w14:paraId="2D519591"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65: Derechos laborales.</w:t>
            </w:r>
          </w:p>
        </w:tc>
        <w:tc>
          <w:tcPr>
            <w:tcW w:w="3597" w:type="dxa"/>
            <w:shd w:val="clear" w:color="auto" w:fill="auto"/>
          </w:tcPr>
          <w:p w14:paraId="2DE3A422" w14:textId="699479A1" w:rsidR="00333AFD" w:rsidRPr="00333AFD" w:rsidRDefault="00333AFD" w:rsidP="00D63E71">
            <w:pPr>
              <w:pStyle w:val="SingleTxtG"/>
              <w:tabs>
                <w:tab w:val="clear" w:pos="1701"/>
                <w:tab w:val="clear" w:pos="2268"/>
                <w:tab w:val="clear" w:pos="2835"/>
              </w:tabs>
              <w:spacing w:before="40"/>
              <w:ind w:left="0" w:right="0"/>
              <w:jc w:val="left"/>
            </w:pPr>
            <w:r w:rsidRPr="00333AFD">
              <w:t>Se sostuvo que</w:t>
            </w:r>
            <w:r w:rsidRPr="00333AFD">
              <w:rPr>
                <w:iCs/>
              </w:rPr>
              <w:t xml:space="preserve"> </w:t>
            </w:r>
            <w:r w:rsidR="003F7DB7">
              <w:rPr>
                <w:iCs/>
              </w:rPr>
              <w:t>“</w:t>
            </w:r>
            <w:r w:rsidRPr="00333AFD">
              <w:rPr>
                <w:iCs/>
              </w:rPr>
              <w:t>la dignidad humana es, por lo tanto, el valor supremo y la base del conjunto de derechos humanos consagrados en el capítulo 4 de la Constitución</w:t>
            </w:r>
            <w:r w:rsidR="003F7DB7">
              <w:rPr>
                <w:iCs/>
              </w:rPr>
              <w:t>”</w:t>
            </w:r>
            <w:r w:rsidRPr="00333AFD">
              <w:rPr>
                <w:iCs/>
              </w:rPr>
              <w:t>.</w:t>
            </w:r>
          </w:p>
          <w:p w14:paraId="111C78A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Véase el caso de Jestina Mukoko mencionado.</w:t>
            </w:r>
          </w:p>
        </w:tc>
      </w:tr>
      <w:tr w:rsidR="00D63E71" w:rsidRPr="00333AFD" w14:paraId="3892A389" w14:textId="77777777" w:rsidTr="00D676BF">
        <w:trPr>
          <w:trHeight w:val="240"/>
        </w:trPr>
        <w:tc>
          <w:tcPr>
            <w:tcW w:w="2455" w:type="dxa"/>
            <w:shd w:val="clear" w:color="auto" w:fill="auto"/>
          </w:tcPr>
          <w:p w14:paraId="70123822"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Jestina Mukoko c. el Fiscal General</w:t>
            </w:r>
            <w:r w:rsidRPr="00333AFD">
              <w:t>, SC 11/12</w:t>
            </w:r>
          </w:p>
          <w:p w14:paraId="06006DDC"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El Estado c. Makaza y otro</w:t>
            </w:r>
            <w:r w:rsidRPr="00333AFD">
              <w:t xml:space="preserve"> y </w:t>
            </w:r>
            <w:r w:rsidRPr="00333AFD">
              <w:rPr>
                <w:i/>
              </w:rPr>
              <w:t>El Estado c. Gumbo y otro</w:t>
            </w:r>
            <w:r w:rsidRPr="00333AFD">
              <w:t>, CCZ 16/17</w:t>
            </w:r>
          </w:p>
        </w:tc>
        <w:tc>
          <w:tcPr>
            <w:tcW w:w="2453" w:type="dxa"/>
            <w:shd w:val="clear" w:color="auto" w:fill="auto"/>
          </w:tcPr>
          <w:p w14:paraId="59834DF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49: Derecho a la libertad personal</w:t>
            </w:r>
          </w:p>
          <w:p w14:paraId="1D53BE2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50: Derechos de las personas detenidas o privadas de libertad</w:t>
            </w:r>
          </w:p>
          <w:p w14:paraId="30B380F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52: Derecho a la seguridad personal</w:t>
            </w:r>
          </w:p>
          <w:p w14:paraId="71675B8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70: Derechos de las personas acusadas</w:t>
            </w:r>
          </w:p>
        </w:tc>
        <w:tc>
          <w:tcPr>
            <w:tcW w:w="3597" w:type="dxa"/>
            <w:shd w:val="clear" w:color="auto" w:fill="auto"/>
          </w:tcPr>
          <w:p w14:paraId="252FDF3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 xml:space="preserve">Véase el caso de Jestina Mukoko mencionado. </w:t>
            </w:r>
          </w:p>
        </w:tc>
      </w:tr>
      <w:tr w:rsidR="00D63E71" w:rsidRPr="00333AFD" w14:paraId="6D25AEDE" w14:textId="77777777" w:rsidTr="00D676BF">
        <w:trPr>
          <w:trHeight w:val="240"/>
        </w:trPr>
        <w:tc>
          <w:tcPr>
            <w:tcW w:w="2455" w:type="dxa"/>
            <w:shd w:val="clear" w:color="auto" w:fill="auto"/>
          </w:tcPr>
          <w:p w14:paraId="28E30742" w14:textId="41F2C142" w:rsidR="00333AFD" w:rsidRPr="00333AFD" w:rsidRDefault="00333AFD" w:rsidP="00D63E71">
            <w:pPr>
              <w:pStyle w:val="SingleTxtG"/>
              <w:tabs>
                <w:tab w:val="clear" w:pos="1701"/>
                <w:tab w:val="clear" w:pos="2268"/>
                <w:tab w:val="clear" w:pos="2835"/>
              </w:tabs>
              <w:spacing w:before="40"/>
              <w:ind w:left="0" w:right="0"/>
              <w:jc w:val="left"/>
            </w:pPr>
            <w:r w:rsidRPr="00333AFD">
              <w:rPr>
                <w:i/>
              </w:rPr>
              <w:t>El Estado c. Chokuramba con Justice for Children</w:t>
            </w:r>
            <w:r w:rsidR="003F7DB7" w:rsidRPr="00C41792">
              <w:rPr>
                <w:i/>
              </w:rPr>
              <w:t>’</w:t>
            </w:r>
            <w:r w:rsidRPr="00333AFD">
              <w:rPr>
                <w:i/>
              </w:rPr>
              <w:t xml:space="preserve">s Trust y Zimbabwe Lawyers for Human Rights en calidad de </w:t>
            </w:r>
            <w:r w:rsidRPr="00333AFD">
              <w:rPr>
                <w:iCs/>
              </w:rPr>
              <w:t>amicus curiae</w:t>
            </w:r>
            <w:r w:rsidRPr="00333AFD">
              <w:t>, CCZ 10/19</w:t>
            </w:r>
          </w:p>
        </w:tc>
        <w:tc>
          <w:tcPr>
            <w:tcW w:w="2453" w:type="dxa"/>
            <w:shd w:val="clear" w:color="auto" w:fill="auto"/>
          </w:tcPr>
          <w:p w14:paraId="289A488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51: Derecho a la dignidad humana</w:t>
            </w:r>
          </w:p>
          <w:p w14:paraId="41DCCC1D" w14:textId="77777777" w:rsidR="00333AFD" w:rsidRPr="00333AFD" w:rsidRDefault="00333AFD" w:rsidP="00D63E71">
            <w:pPr>
              <w:pStyle w:val="SingleTxtG"/>
              <w:tabs>
                <w:tab w:val="clear" w:pos="1701"/>
                <w:tab w:val="clear" w:pos="2268"/>
                <w:tab w:val="clear" w:pos="2835"/>
              </w:tabs>
              <w:spacing w:before="40"/>
              <w:ind w:left="0" w:right="0"/>
              <w:jc w:val="left"/>
            </w:pPr>
          </w:p>
        </w:tc>
        <w:tc>
          <w:tcPr>
            <w:tcW w:w="3597" w:type="dxa"/>
            <w:shd w:val="clear" w:color="auto" w:fill="auto"/>
          </w:tcPr>
          <w:p w14:paraId="4E8F5E69" w14:textId="35D527B9"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El artículo 46 de la Constitución es la disposición interpretativa.</w:t>
            </w:r>
            <w:r w:rsidR="00333AFD" w:rsidRPr="00333AFD">
              <w:t xml:space="preserve"> </w:t>
            </w:r>
            <w:r w:rsidR="00333AFD" w:rsidRPr="00333AFD">
              <w:rPr>
                <w:iCs/>
              </w:rPr>
              <w:t xml:space="preserve">Obliga a los tribunales a basarse en la dignidad humana como valor fundacional al interpretar cualquier disposición de la Constitución </w:t>
            </w:r>
            <w:r w:rsidR="00333AFD" w:rsidRPr="00333AFD">
              <w:rPr>
                <w:iCs/>
              </w:rPr>
              <w:lastRenderedPageBreak/>
              <w:t>que protege los derechos humanos y libertades fundamentales.</w:t>
            </w:r>
            <w:r w:rsidR="00333AFD" w:rsidRPr="00333AFD">
              <w:t xml:space="preserve"> </w:t>
            </w:r>
            <w:r w:rsidR="00333AFD" w:rsidRPr="00333AFD">
              <w:rPr>
                <w:iCs/>
              </w:rPr>
              <w:t>Esto se debe al hecho de que la dignidad humana es la base de los derechos humanos en general.</w:t>
            </w:r>
            <w:r w:rsidR="00333AFD" w:rsidRPr="00333AFD">
              <w:t xml:space="preserve"> </w:t>
            </w:r>
            <w:r w:rsidR="00333AFD" w:rsidRPr="00333AFD">
              <w:rPr>
                <w:iCs/>
              </w:rPr>
              <w:t>La dignidad humana hace a una persona merecedora de derechos.</w:t>
            </w:r>
            <w:r w:rsidR="00333AFD" w:rsidRPr="00333AFD">
              <w:t xml:space="preserve"> </w:t>
            </w:r>
            <w:r w:rsidR="00333AFD" w:rsidRPr="00333AFD">
              <w:rPr>
                <w:iCs/>
              </w:rPr>
              <w:t>La dignidad humana es, por tanto, el valor supremo y la base del conjunto de derechos humanos consagrados en el capítulo 4 de la Constitución.</w:t>
            </w:r>
            <w:r>
              <w:rPr>
                <w:iCs/>
              </w:rPr>
              <w:t>”</w:t>
            </w:r>
          </w:p>
        </w:tc>
      </w:tr>
      <w:tr w:rsidR="00AF1A95" w:rsidRPr="00333AFD" w14:paraId="5542DDAD" w14:textId="77777777" w:rsidTr="00D676BF">
        <w:trPr>
          <w:trHeight w:val="240"/>
        </w:trPr>
        <w:tc>
          <w:tcPr>
            <w:tcW w:w="2455" w:type="dxa"/>
            <w:shd w:val="clear" w:color="auto" w:fill="auto"/>
          </w:tcPr>
          <w:p w14:paraId="651E7815" w14:textId="12D563C8" w:rsidR="00AF1A95" w:rsidRPr="00AF1A95" w:rsidRDefault="0068173A" w:rsidP="0068173A">
            <w:pPr>
              <w:pStyle w:val="SingleTxtG"/>
              <w:tabs>
                <w:tab w:val="clear" w:pos="1701"/>
                <w:tab w:val="clear" w:pos="2268"/>
                <w:tab w:val="clear" w:pos="2835"/>
              </w:tabs>
              <w:spacing w:before="40"/>
              <w:ind w:left="0" w:right="0"/>
              <w:jc w:val="left"/>
              <w:rPr>
                <w:iCs/>
              </w:rPr>
            </w:pPr>
            <w:r w:rsidRPr="0068173A">
              <w:rPr>
                <w:iCs/>
              </w:rPr>
              <w:lastRenderedPageBreak/>
              <w:t>Artículo 10: Toda persona privada de libertad será tratada humanamente y con el respeto debido a la dignidad inherente al ser humano.</w:t>
            </w:r>
          </w:p>
        </w:tc>
        <w:tc>
          <w:tcPr>
            <w:tcW w:w="2453" w:type="dxa"/>
            <w:shd w:val="clear" w:color="auto" w:fill="auto"/>
          </w:tcPr>
          <w:p w14:paraId="5CF1A6D4" w14:textId="77777777" w:rsidR="00AF1A95" w:rsidRPr="00333AFD" w:rsidRDefault="00AF1A95" w:rsidP="00D63E71">
            <w:pPr>
              <w:pStyle w:val="SingleTxtG"/>
              <w:tabs>
                <w:tab w:val="clear" w:pos="1701"/>
                <w:tab w:val="clear" w:pos="2268"/>
                <w:tab w:val="clear" w:pos="2835"/>
              </w:tabs>
              <w:spacing w:before="40"/>
              <w:ind w:left="0" w:right="0"/>
              <w:jc w:val="left"/>
            </w:pPr>
          </w:p>
        </w:tc>
        <w:tc>
          <w:tcPr>
            <w:tcW w:w="3597" w:type="dxa"/>
            <w:shd w:val="clear" w:color="auto" w:fill="auto"/>
          </w:tcPr>
          <w:p w14:paraId="3D99EDC1" w14:textId="77777777" w:rsidR="00AF1A95" w:rsidRDefault="00AF1A95" w:rsidP="00D63E71">
            <w:pPr>
              <w:pStyle w:val="SingleTxtG"/>
              <w:tabs>
                <w:tab w:val="clear" w:pos="1701"/>
                <w:tab w:val="clear" w:pos="2268"/>
                <w:tab w:val="clear" w:pos="2835"/>
              </w:tabs>
              <w:spacing w:before="40"/>
              <w:ind w:left="0" w:right="0"/>
              <w:jc w:val="left"/>
              <w:rPr>
                <w:iCs/>
              </w:rPr>
            </w:pPr>
          </w:p>
        </w:tc>
      </w:tr>
      <w:tr w:rsidR="00D63E71" w:rsidRPr="00333AFD" w14:paraId="5A9F8023" w14:textId="77777777" w:rsidTr="00D676BF">
        <w:trPr>
          <w:trHeight w:val="240"/>
        </w:trPr>
        <w:tc>
          <w:tcPr>
            <w:tcW w:w="2455" w:type="dxa"/>
            <w:shd w:val="clear" w:color="auto" w:fill="auto"/>
          </w:tcPr>
          <w:p w14:paraId="59B27AD9" w14:textId="52AFE8CB" w:rsidR="00333AFD" w:rsidRPr="00333AFD" w:rsidRDefault="00333AFD" w:rsidP="00D63E71">
            <w:pPr>
              <w:pStyle w:val="SingleTxtG"/>
              <w:tabs>
                <w:tab w:val="clear" w:pos="1701"/>
                <w:tab w:val="clear" w:pos="2268"/>
                <w:tab w:val="clear" w:pos="2835"/>
              </w:tabs>
              <w:spacing w:before="40"/>
              <w:ind w:left="0" w:right="0"/>
              <w:jc w:val="left"/>
            </w:pPr>
            <w:r w:rsidRPr="00333AFD">
              <w:rPr>
                <w:i/>
              </w:rPr>
              <w:t>El Estado c. Chokuramba con Justice for Children</w:t>
            </w:r>
            <w:r w:rsidR="003F7DB7" w:rsidRPr="00C41792">
              <w:rPr>
                <w:i/>
              </w:rPr>
              <w:t>’</w:t>
            </w:r>
            <w:r w:rsidRPr="00333AFD">
              <w:rPr>
                <w:i/>
              </w:rPr>
              <w:t xml:space="preserve">s Trust y Zimbabwe Lawyers for Human Rights en calidad de </w:t>
            </w:r>
            <w:r w:rsidRPr="00333AFD">
              <w:rPr>
                <w:iCs/>
              </w:rPr>
              <w:t>amicus curiae</w:t>
            </w:r>
            <w:r w:rsidRPr="00333AFD">
              <w:t>, CCZ 10/19</w:t>
            </w:r>
          </w:p>
        </w:tc>
        <w:tc>
          <w:tcPr>
            <w:tcW w:w="2453" w:type="dxa"/>
            <w:shd w:val="clear" w:color="auto" w:fill="auto"/>
          </w:tcPr>
          <w:p w14:paraId="2F1FCEF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68: Derecho a la justicia administrativa</w:t>
            </w:r>
          </w:p>
          <w:p w14:paraId="7252D3E8"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69: Derecho a una audiencia imparcial</w:t>
            </w:r>
          </w:p>
          <w:p w14:paraId="6E985BB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70: Derechos de las personas acusadas</w:t>
            </w:r>
          </w:p>
        </w:tc>
        <w:tc>
          <w:tcPr>
            <w:tcW w:w="3597" w:type="dxa"/>
            <w:shd w:val="clear" w:color="auto" w:fill="auto"/>
          </w:tcPr>
          <w:p w14:paraId="6604A0F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Nadie será encarcelado por el mero hecho de no poder cumplir una obligación contractual.</w:t>
            </w:r>
          </w:p>
        </w:tc>
      </w:tr>
      <w:tr w:rsidR="00D63E71" w:rsidRPr="00333AFD" w14:paraId="403B6BCA" w14:textId="77777777" w:rsidTr="00D676BF">
        <w:trPr>
          <w:trHeight w:val="240"/>
        </w:trPr>
        <w:tc>
          <w:tcPr>
            <w:tcW w:w="2455" w:type="dxa"/>
            <w:shd w:val="clear" w:color="auto" w:fill="auto"/>
          </w:tcPr>
          <w:p w14:paraId="3403B434"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Madzimbamuto c. el Director del Registro Civil y otros</w:t>
            </w:r>
            <w:r w:rsidRPr="00333AFD">
              <w:t>, CCZ 114/13</w:t>
            </w:r>
          </w:p>
        </w:tc>
        <w:tc>
          <w:tcPr>
            <w:tcW w:w="2453" w:type="dxa"/>
            <w:shd w:val="clear" w:color="auto" w:fill="auto"/>
          </w:tcPr>
          <w:p w14:paraId="0D25018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66: Libertad de circulación y residencia</w:t>
            </w:r>
          </w:p>
          <w:p w14:paraId="5FB8CC0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74: Libertad de ser objeto de desalojo arbitrario</w:t>
            </w:r>
          </w:p>
        </w:tc>
        <w:tc>
          <w:tcPr>
            <w:tcW w:w="3597" w:type="dxa"/>
            <w:shd w:val="clear" w:color="auto" w:fill="auto"/>
          </w:tcPr>
          <w:p w14:paraId="4F77C132" w14:textId="5C6D49AF"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La ciudadanía zimbabuense por nacimiento no se pierde al adquirir una nacionalidad extranjera.</w:t>
            </w:r>
            <w:r w:rsidR="00333AFD" w:rsidRPr="00333AFD">
              <w:t xml:space="preserve"> </w:t>
            </w:r>
            <w:r w:rsidR="00333AFD" w:rsidRPr="00333AFD">
              <w:rPr>
                <w:iCs/>
              </w:rPr>
              <w:t>Toda persona tiene derecho a ser titular de una nacionalidad extranjera y de un pasaporte extranjero.</w:t>
            </w:r>
            <w:r w:rsidR="00333AFD" w:rsidRPr="00333AFD">
              <w:t xml:space="preserve"> </w:t>
            </w:r>
            <w:r w:rsidR="00333AFD" w:rsidRPr="00333AFD">
              <w:rPr>
                <w:iCs/>
              </w:rPr>
              <w:t>De hecho, la Constitución ha establecido claramente que la ciudadanía zimbabuense por nacimiento no puede perderse.</w:t>
            </w:r>
            <w:r>
              <w:rPr>
                <w:iCs/>
              </w:rPr>
              <w:t>”</w:t>
            </w:r>
          </w:p>
        </w:tc>
      </w:tr>
      <w:tr w:rsidR="00D63E71" w:rsidRPr="00333AFD" w14:paraId="21883C1C" w14:textId="77777777" w:rsidTr="00D676BF">
        <w:trPr>
          <w:trHeight w:val="240"/>
        </w:trPr>
        <w:tc>
          <w:tcPr>
            <w:tcW w:w="2455" w:type="dxa"/>
            <w:shd w:val="clear" w:color="auto" w:fill="auto"/>
          </w:tcPr>
          <w:p w14:paraId="42A2E8F1" w14:textId="42A1EAE5" w:rsidR="00333AFD" w:rsidRPr="00333AFD" w:rsidRDefault="00333AFD" w:rsidP="00D63E71">
            <w:pPr>
              <w:pStyle w:val="SingleTxtG"/>
              <w:tabs>
                <w:tab w:val="clear" w:pos="1701"/>
                <w:tab w:val="clear" w:pos="2268"/>
                <w:tab w:val="clear" w:pos="2835"/>
              </w:tabs>
              <w:spacing w:before="40"/>
              <w:ind w:left="0" w:right="0"/>
              <w:jc w:val="left"/>
            </w:pPr>
            <w:r w:rsidRPr="00333AFD">
              <w:rPr>
                <w:i/>
              </w:rPr>
              <w:t>Berry y otro c. el Oficial Jefe de Inmigración y otros</w:t>
            </w:r>
            <w:r w:rsidRPr="00333AFD">
              <w:t>, CCZ</w:t>
            </w:r>
            <w:r w:rsidR="00AF1A95">
              <w:t> </w:t>
            </w:r>
            <w:r w:rsidRPr="00333AFD">
              <w:t>2/2016</w:t>
            </w:r>
          </w:p>
        </w:tc>
        <w:tc>
          <w:tcPr>
            <w:tcW w:w="2453" w:type="dxa"/>
            <w:shd w:val="clear" w:color="auto" w:fill="auto"/>
          </w:tcPr>
          <w:p w14:paraId="7ECF471B" w14:textId="77777777" w:rsidR="00333AFD" w:rsidRPr="00333AFD" w:rsidRDefault="00333AFD" w:rsidP="00D63E71">
            <w:pPr>
              <w:pStyle w:val="SingleTxtG"/>
              <w:tabs>
                <w:tab w:val="clear" w:pos="1701"/>
                <w:tab w:val="clear" w:pos="2268"/>
                <w:tab w:val="clear" w:pos="2835"/>
              </w:tabs>
              <w:spacing w:before="40"/>
              <w:ind w:left="0" w:right="0"/>
              <w:jc w:val="left"/>
            </w:pPr>
            <w:r w:rsidRPr="00333AFD">
              <w:t>Capítulo 3: Ciudadanía</w:t>
            </w:r>
          </w:p>
          <w:p w14:paraId="70E7C3A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66: Libertad de circulación y residencia</w:t>
            </w:r>
          </w:p>
          <w:p w14:paraId="064AC13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74: Libertad de no ser objeto de desalojo arbitrario.</w:t>
            </w:r>
          </w:p>
        </w:tc>
        <w:tc>
          <w:tcPr>
            <w:tcW w:w="3597" w:type="dxa"/>
            <w:shd w:val="clear" w:color="auto" w:fill="auto"/>
          </w:tcPr>
          <w:p w14:paraId="7CE2BD61" w14:textId="2BEDE43B" w:rsidR="00333AFD" w:rsidRPr="00333AFD" w:rsidRDefault="00333AFD" w:rsidP="00D63E71">
            <w:pPr>
              <w:pStyle w:val="SingleTxtG"/>
              <w:tabs>
                <w:tab w:val="clear" w:pos="1701"/>
                <w:tab w:val="clear" w:pos="2268"/>
                <w:tab w:val="clear" w:pos="2835"/>
              </w:tabs>
              <w:spacing w:before="40"/>
              <w:ind w:left="0" w:right="0"/>
              <w:jc w:val="left"/>
            </w:pPr>
            <w:r w:rsidRPr="00333AFD">
              <w:t>Libertad de circulación y residencia:</w:t>
            </w:r>
            <w:r w:rsidRPr="00333AFD">
              <w:rPr>
                <w:iCs/>
              </w:rPr>
              <w:t xml:space="preserve"> </w:t>
            </w:r>
            <w:r w:rsidR="003F7DB7">
              <w:rPr>
                <w:iCs/>
              </w:rPr>
              <w:t>“</w:t>
            </w:r>
            <w:r w:rsidRPr="00333AFD">
              <w:rPr>
                <w:iCs/>
              </w:rPr>
              <w:t>... no es necesario que se declare formalmente que una persona tiene prohibida la estancia en el país para que le esté prohibida.</w:t>
            </w:r>
            <w:r w:rsidRPr="00333AFD">
              <w:t xml:space="preserve"> </w:t>
            </w:r>
            <w:r w:rsidRPr="00333AFD">
              <w:rPr>
                <w:iCs/>
              </w:rPr>
              <w:t>El mero hecho de estar en Zimbabwe contraviniendo la Ley de Inmigración establece dicha prohibición.</w:t>
            </w:r>
            <w:r w:rsidRPr="00333AFD">
              <w:t xml:space="preserve"> </w:t>
            </w:r>
            <w:r w:rsidRPr="00333AFD">
              <w:rPr>
                <w:iCs/>
              </w:rPr>
              <w:t xml:space="preserve">Este punto fue subrayado por este Tribunal en el caso </w:t>
            </w:r>
            <w:r w:rsidRPr="00333AFD">
              <w:rPr>
                <w:i/>
                <w:iCs/>
              </w:rPr>
              <w:t>Edwards c. el Oficial Jefe de Inmigración y otros</w:t>
            </w:r>
            <w:r w:rsidRPr="00333AFD">
              <w:rPr>
                <w:iCs/>
              </w:rPr>
              <w:t xml:space="preserve">, 2000(1) ZLR 485(S) en 487 E-F donde Gubbay C. J. citó, con aprobación, el siguiente pasaje en la causa del Tribunal Superior que involucraba a las mismas partes (HB 107/96): </w:t>
            </w:r>
            <w:r w:rsidR="003F7DB7">
              <w:rPr>
                <w:iCs/>
              </w:rPr>
              <w:t>‘</w:t>
            </w:r>
            <w:r w:rsidRPr="00333AFD">
              <w:rPr>
                <w:iCs/>
              </w:rPr>
              <w:t>En ausencia de autoridad en contrario, encuentro que el matrimonio,</w:t>
            </w:r>
            <w:r w:rsidRPr="00333AFD">
              <w:t xml:space="preserve"> per se</w:t>
            </w:r>
            <w:r w:rsidRPr="00333AFD">
              <w:rPr>
                <w:iCs/>
              </w:rPr>
              <w:t xml:space="preserve">, no da derecho a una esposa extranjera de un ciudadano zimbabuense a residir en el país sin el correspondiente permiso emitido de </w:t>
            </w:r>
            <w:r w:rsidRPr="00333AFD">
              <w:rPr>
                <w:iCs/>
              </w:rPr>
              <w:lastRenderedPageBreak/>
              <w:t>conformidad con las disposiciones de la Ley de Inmigración y su Reglamento</w:t>
            </w:r>
            <w:r w:rsidR="003F7DB7">
              <w:rPr>
                <w:iCs/>
              </w:rPr>
              <w:t>’”</w:t>
            </w:r>
            <w:r w:rsidRPr="00333AFD">
              <w:rPr>
                <w:iCs/>
              </w:rPr>
              <w:t>.</w:t>
            </w:r>
            <w:r w:rsidRPr="00333AFD">
              <w:t xml:space="preserve"> </w:t>
            </w:r>
          </w:p>
        </w:tc>
      </w:tr>
      <w:tr w:rsidR="00D63E71" w:rsidRPr="00333AFD" w14:paraId="1F7C0F14" w14:textId="77777777" w:rsidTr="00D676BF">
        <w:trPr>
          <w:trHeight w:val="240"/>
        </w:trPr>
        <w:tc>
          <w:tcPr>
            <w:tcW w:w="2455" w:type="dxa"/>
            <w:shd w:val="clear" w:color="auto" w:fill="auto"/>
          </w:tcPr>
          <w:p w14:paraId="0276BA0B" w14:textId="6E38A945" w:rsidR="00333AFD" w:rsidRPr="00333AFD" w:rsidRDefault="00333AFD" w:rsidP="00D63E71">
            <w:pPr>
              <w:pStyle w:val="SingleTxtG"/>
              <w:tabs>
                <w:tab w:val="clear" w:pos="1701"/>
                <w:tab w:val="clear" w:pos="2268"/>
                <w:tab w:val="clear" w:pos="2835"/>
              </w:tabs>
              <w:spacing w:before="40"/>
              <w:ind w:left="0" w:right="0"/>
              <w:jc w:val="left"/>
            </w:pPr>
            <w:r w:rsidRPr="00333AFD">
              <w:rPr>
                <w:i/>
              </w:rPr>
              <w:lastRenderedPageBreak/>
              <w:t>Cuthbert Tapuwanashe Chawira y 13 otros c. el Ministro de Justicia y Asuntos Parlamentarios y 2</w:t>
            </w:r>
            <w:r w:rsidR="00AF1A95">
              <w:rPr>
                <w:i/>
              </w:rPr>
              <w:t> </w:t>
            </w:r>
            <w:r w:rsidRPr="00333AFD">
              <w:rPr>
                <w:i/>
              </w:rPr>
              <w:t>otros</w:t>
            </w:r>
            <w:r w:rsidRPr="00333AFD">
              <w:t>, CCZ 3/17</w:t>
            </w:r>
          </w:p>
          <w:p w14:paraId="6DD5E9F7"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Anna Colleta Chihava y dos otros c. el Juez Provincial Francis Mapfumo N. O. y otro</w:t>
            </w:r>
            <w:r w:rsidRPr="00333AFD">
              <w:t>, CC 02/14</w:t>
            </w:r>
          </w:p>
          <w:p w14:paraId="1FB97583" w14:textId="14B8476F" w:rsidR="00333AFD" w:rsidRPr="00333AFD" w:rsidRDefault="00333AFD" w:rsidP="00C21A88">
            <w:pPr>
              <w:pStyle w:val="SingleTxtG"/>
              <w:tabs>
                <w:tab w:val="clear" w:pos="1701"/>
                <w:tab w:val="clear" w:pos="2268"/>
                <w:tab w:val="clear" w:pos="2835"/>
              </w:tabs>
              <w:spacing w:before="40"/>
              <w:ind w:left="0" w:right="0"/>
              <w:jc w:val="left"/>
            </w:pPr>
            <w:r w:rsidRPr="00333AFD">
              <w:rPr>
                <w:i/>
              </w:rPr>
              <w:t>El Estado c. Feathers Mukondo</w:t>
            </w:r>
            <w:r w:rsidRPr="00333AFD">
              <w:t>, CCZ 08/20</w:t>
            </w:r>
          </w:p>
        </w:tc>
        <w:tc>
          <w:tcPr>
            <w:tcW w:w="2453" w:type="dxa"/>
            <w:shd w:val="clear" w:color="auto" w:fill="auto"/>
          </w:tcPr>
          <w:p w14:paraId="28DDEAE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56: Igualdad y no discriminación</w:t>
            </w:r>
          </w:p>
          <w:p w14:paraId="648937E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57: Derecho a la privacidad</w:t>
            </w:r>
          </w:p>
          <w:p w14:paraId="7F322AD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61: Libertad de expresión y libertad de los medios de comunicación</w:t>
            </w:r>
          </w:p>
          <w:p w14:paraId="42A1CA4D"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62: Acceso a la información</w:t>
            </w:r>
          </w:p>
          <w:p w14:paraId="53DACA4E"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68: Derecho a la justicia administrativa</w:t>
            </w:r>
          </w:p>
          <w:p w14:paraId="0B90067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69: Derecho a una audiencia imparcial</w:t>
            </w:r>
          </w:p>
          <w:p w14:paraId="2F553EA1"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57: Derecho a la privacidad</w:t>
            </w:r>
          </w:p>
          <w:p w14:paraId="745064D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81: Derechos de la infancia</w:t>
            </w:r>
          </w:p>
          <w:p w14:paraId="4B38F7A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86: Limitación de los derechos y libertades</w:t>
            </w:r>
          </w:p>
        </w:tc>
        <w:tc>
          <w:tcPr>
            <w:tcW w:w="3597" w:type="dxa"/>
            <w:shd w:val="clear" w:color="auto" w:fill="auto"/>
          </w:tcPr>
          <w:p w14:paraId="63818507" w14:textId="77777777" w:rsidR="00333AFD" w:rsidRPr="00333AFD" w:rsidRDefault="00333AFD" w:rsidP="00D63E71">
            <w:pPr>
              <w:pStyle w:val="SingleTxtG"/>
              <w:tabs>
                <w:tab w:val="clear" w:pos="1701"/>
                <w:tab w:val="clear" w:pos="2268"/>
                <w:tab w:val="clear" w:pos="2835"/>
              </w:tabs>
              <w:spacing w:before="40"/>
              <w:ind w:left="0" w:right="0"/>
              <w:jc w:val="left"/>
            </w:pPr>
            <w:r w:rsidRPr="00333AFD">
              <w:t>Según el Tribunal Constitucional:</w:t>
            </w:r>
          </w:p>
          <w:p w14:paraId="7AD942B1" w14:textId="35B8DC67" w:rsidR="00333AFD" w:rsidRPr="00333AFD" w:rsidRDefault="003F7DB7" w:rsidP="00AF1A95">
            <w:pPr>
              <w:pStyle w:val="SingleTxtG"/>
              <w:tabs>
                <w:tab w:val="clear" w:pos="1701"/>
                <w:tab w:val="clear" w:pos="2268"/>
                <w:tab w:val="clear" w:pos="2835"/>
              </w:tabs>
              <w:spacing w:before="40"/>
              <w:ind w:left="0" w:right="0" w:firstLine="284"/>
              <w:jc w:val="left"/>
            </w:pPr>
            <w:r>
              <w:rPr>
                <w:iCs/>
              </w:rPr>
              <w:t>“</w:t>
            </w:r>
            <w:r w:rsidR="00333AFD" w:rsidRPr="00333AFD">
              <w:rPr>
                <w:iCs/>
              </w:rPr>
              <w:t>Zimbabwe tiene un sistema judicial jerárquico en el que habitualmente las causas se inician en los tribunales inferiores y pueden llegar hasta el más alto tribunal del país.</w:t>
            </w:r>
            <w:r w:rsidR="00333AFD" w:rsidRPr="00333AFD">
              <w:t xml:space="preserve"> </w:t>
            </w:r>
            <w:r w:rsidR="00333AFD" w:rsidRPr="00333AFD">
              <w:rPr>
                <w:iCs/>
              </w:rPr>
              <w:t>Por lo general, los tribunales superiores son reacios a intervenir en procedimientos no concluidos de competencia de los tribunales inferiores o de los tribunales o autoridades administrativos ...</w:t>
            </w:r>
          </w:p>
          <w:p w14:paraId="7BE088BE" w14:textId="257C84F0" w:rsidR="00333AFD" w:rsidRPr="00333AFD" w:rsidRDefault="00333AFD" w:rsidP="00AF1A95">
            <w:pPr>
              <w:pStyle w:val="SingleTxtG"/>
              <w:tabs>
                <w:tab w:val="clear" w:pos="1701"/>
                <w:tab w:val="clear" w:pos="2268"/>
                <w:tab w:val="clear" w:pos="2835"/>
              </w:tabs>
              <w:spacing w:before="40"/>
              <w:ind w:left="0" w:right="0" w:firstLine="284"/>
              <w:jc w:val="left"/>
            </w:pPr>
            <w:r w:rsidRPr="00333AFD">
              <w:rPr>
                <w:iCs/>
              </w:rPr>
              <w:t>En esa causa, el tribunal sostuvo que la redacción del artículo 85 1) de la Constitución no debía entenderse en el sentido de que un demandante era libre de abandonar sin más las actuaciones en un tribunal inferior y presentar un recurso de inconstitucionalidad ante este Tribunal, solicitando la misma reparación que el tribunal inferior tenía competencia para conceder.</w:t>
            </w:r>
            <w:r w:rsidRPr="00333AFD">
              <w:t xml:space="preserve"> </w:t>
            </w:r>
            <w:r w:rsidRPr="00333AFD">
              <w:rPr>
                <w:iCs/>
              </w:rPr>
              <w:t xml:space="preserve">Una interpretación contraria no solo daría lugar a un absurdo </w:t>
            </w:r>
            <w:r w:rsidR="00AF1A95" w:rsidRPr="00AF1A95">
              <w:rPr>
                <w:iCs/>
              </w:rPr>
              <w:t>—</w:t>
            </w:r>
            <w:r w:rsidRPr="00333AFD">
              <w:rPr>
                <w:iCs/>
              </w:rPr>
              <w:t>en el que diferentes tribunales podrían conocer simultáneamente de la misma controversia</w:t>
            </w:r>
            <w:r w:rsidR="00AF1A95" w:rsidRPr="00AF1A95">
              <w:rPr>
                <w:iCs/>
              </w:rPr>
              <w:t>—</w:t>
            </w:r>
            <w:r w:rsidRPr="00333AFD">
              <w:rPr>
                <w:iCs/>
              </w:rPr>
              <w:t xml:space="preserve"> sino que también causaría confusión procesal respecto de los parámetros jurisdiccionales de los tribunales.</w:t>
            </w:r>
            <w:r w:rsidRPr="00333AFD">
              <w:t xml:space="preserve"> </w:t>
            </w:r>
            <w:r w:rsidRPr="00333AFD">
              <w:rPr>
                <w:iCs/>
              </w:rPr>
              <w:t>También abriría la vía para la presentación ante el Tribunal Constitucional de causas que no lo merecieran o que no estuvieran listas para ello, en detrimento del funcionamiento eficaz del Tribunal.</w:t>
            </w:r>
          </w:p>
          <w:p w14:paraId="6FEAD862" w14:textId="666C57CA" w:rsidR="00333AFD" w:rsidRPr="00333AFD" w:rsidRDefault="00333AFD" w:rsidP="00AF1A95">
            <w:pPr>
              <w:pStyle w:val="SingleTxtG"/>
              <w:tabs>
                <w:tab w:val="clear" w:pos="1701"/>
                <w:tab w:val="clear" w:pos="2268"/>
                <w:tab w:val="clear" w:pos="2835"/>
              </w:tabs>
              <w:spacing w:before="40"/>
              <w:ind w:left="0" w:right="0" w:firstLine="284"/>
              <w:jc w:val="left"/>
            </w:pPr>
            <w:r w:rsidRPr="00333AFD">
              <w:rPr>
                <w:iCs/>
              </w:rPr>
              <w:t xml:space="preserve">El artículo 332 de la Constitución define </w:t>
            </w:r>
            <w:r w:rsidR="003F7DB7">
              <w:rPr>
                <w:iCs/>
              </w:rPr>
              <w:t>‘</w:t>
            </w:r>
            <w:r w:rsidRPr="00333AFD">
              <w:rPr>
                <w:iCs/>
              </w:rPr>
              <w:t>asunto constitucional</w:t>
            </w:r>
            <w:r w:rsidR="003F7DB7">
              <w:rPr>
                <w:iCs/>
              </w:rPr>
              <w:t>’</w:t>
            </w:r>
            <w:r w:rsidRPr="00333AFD">
              <w:rPr>
                <w:iCs/>
              </w:rPr>
              <w:t xml:space="preserve"> como todo aquel en que se plantea una cuestión de interpretación, protección o aplicación de la Constitución.</w:t>
            </w:r>
            <w:r w:rsidRPr="00333AFD">
              <w:t xml:space="preserve"> </w:t>
            </w:r>
            <w:r w:rsidRPr="00333AFD">
              <w:rPr>
                <w:iCs/>
              </w:rPr>
              <w:t>La mera alegación de que se ha infringido un derecho humano fundamental consagrado en el capítulo 4 de la Constitución no significa que se haya planteado una cuestión constitucional a partir de una decisión de un tribunal inferior.</w:t>
            </w:r>
            <w:r w:rsidR="003F7DB7">
              <w:rPr>
                <w:iCs/>
              </w:rPr>
              <w:t>”</w:t>
            </w:r>
            <w:r w:rsidRPr="00333AFD">
              <w:t xml:space="preserve"> </w:t>
            </w:r>
          </w:p>
        </w:tc>
      </w:tr>
      <w:tr w:rsidR="00D63E71" w:rsidRPr="00333AFD" w14:paraId="160DB561" w14:textId="77777777" w:rsidTr="00D676BF">
        <w:trPr>
          <w:trHeight w:val="240"/>
        </w:trPr>
        <w:tc>
          <w:tcPr>
            <w:tcW w:w="2455" w:type="dxa"/>
            <w:shd w:val="clear" w:color="auto" w:fill="auto"/>
          </w:tcPr>
          <w:p w14:paraId="755B4642"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Mudzuru y otro c. el Ministerio de Justicia y Asuntos Jurídicos y Parlamentarios (N.O.) y otros</w:t>
            </w:r>
            <w:r w:rsidRPr="00333AFD">
              <w:t xml:space="preserve">, CC 12-15 </w:t>
            </w:r>
          </w:p>
          <w:p w14:paraId="49A34391"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lastRenderedPageBreak/>
              <w:t>Katsande y otro c. IDBZ</w:t>
            </w:r>
            <w:r w:rsidRPr="00333AFD">
              <w:rPr>
                <w:iCs/>
              </w:rPr>
              <w:t>, CCZ 9/17</w:t>
            </w:r>
          </w:p>
        </w:tc>
        <w:tc>
          <w:tcPr>
            <w:tcW w:w="2453" w:type="dxa"/>
            <w:shd w:val="clear" w:color="auto" w:fill="auto"/>
          </w:tcPr>
          <w:p w14:paraId="1763F99B" w14:textId="77777777" w:rsidR="00333AFD" w:rsidRPr="00333AFD" w:rsidRDefault="00333AFD" w:rsidP="00D63E71">
            <w:pPr>
              <w:pStyle w:val="SingleTxtG"/>
              <w:tabs>
                <w:tab w:val="clear" w:pos="1701"/>
                <w:tab w:val="clear" w:pos="2268"/>
                <w:tab w:val="clear" w:pos="2835"/>
              </w:tabs>
              <w:spacing w:before="40"/>
              <w:ind w:left="0" w:right="0"/>
              <w:jc w:val="left"/>
            </w:pPr>
            <w:r w:rsidRPr="00333AFD">
              <w:lastRenderedPageBreak/>
              <w:t>Artículo 45: Aplicación del capítulo 4</w:t>
            </w:r>
          </w:p>
          <w:p w14:paraId="716B604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46: Interpretación del capítulo 4</w:t>
            </w:r>
          </w:p>
          <w:p w14:paraId="3F5AAEF6" w14:textId="77777777" w:rsidR="00333AFD" w:rsidRPr="00333AFD" w:rsidRDefault="00333AFD" w:rsidP="00D63E71">
            <w:pPr>
              <w:pStyle w:val="SingleTxtG"/>
              <w:tabs>
                <w:tab w:val="clear" w:pos="1701"/>
                <w:tab w:val="clear" w:pos="2268"/>
                <w:tab w:val="clear" w:pos="2835"/>
              </w:tabs>
              <w:spacing w:before="40"/>
              <w:ind w:left="0" w:right="0"/>
              <w:jc w:val="left"/>
            </w:pPr>
            <w:r w:rsidRPr="00333AFD">
              <w:lastRenderedPageBreak/>
              <w:t>Derecho al reconocimiento de la personalidad jurídica en todas partes</w:t>
            </w:r>
          </w:p>
          <w:p w14:paraId="14F6DB60"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85: Observancia de los derechos humanos y libertades fundamentales</w:t>
            </w:r>
          </w:p>
        </w:tc>
        <w:tc>
          <w:tcPr>
            <w:tcW w:w="3597" w:type="dxa"/>
            <w:shd w:val="clear" w:color="auto" w:fill="auto"/>
          </w:tcPr>
          <w:p w14:paraId="5D4ABAB4" w14:textId="77777777" w:rsidR="00333AFD" w:rsidRPr="00333AFD" w:rsidRDefault="00333AFD" w:rsidP="00D63E71">
            <w:pPr>
              <w:pStyle w:val="SingleTxtG"/>
              <w:tabs>
                <w:tab w:val="clear" w:pos="1701"/>
                <w:tab w:val="clear" w:pos="2268"/>
                <w:tab w:val="clear" w:pos="2835"/>
              </w:tabs>
              <w:spacing w:before="40"/>
              <w:ind w:left="0" w:right="0"/>
              <w:jc w:val="left"/>
            </w:pPr>
            <w:r w:rsidRPr="00333AFD">
              <w:lastRenderedPageBreak/>
              <w:t>Aplicación horizontal y vertical de la Carta de Derechos:</w:t>
            </w:r>
          </w:p>
          <w:p w14:paraId="16E97A83" w14:textId="19413652" w:rsidR="00333AFD" w:rsidRPr="00333AFD" w:rsidRDefault="003F7DB7" w:rsidP="00AF1A95">
            <w:pPr>
              <w:pStyle w:val="SingleTxtG"/>
              <w:tabs>
                <w:tab w:val="clear" w:pos="1701"/>
                <w:tab w:val="clear" w:pos="2268"/>
                <w:tab w:val="clear" w:pos="2835"/>
              </w:tabs>
              <w:spacing w:before="40"/>
              <w:ind w:left="0" w:right="0" w:firstLine="284"/>
              <w:jc w:val="left"/>
            </w:pPr>
            <w:r>
              <w:rPr>
                <w:iCs/>
              </w:rPr>
              <w:t>“</w:t>
            </w:r>
            <w:r w:rsidR="00333AFD" w:rsidRPr="00333AFD">
              <w:rPr>
                <w:iCs/>
              </w:rPr>
              <w:t xml:space="preserve">El ejemplo por excelencia de un asunto constitucional es el que implica la aplicación directa de la Carta de Derechos, es decir, un recurso de inconstitucionalidad </w:t>
            </w:r>
            <w:r w:rsidR="00333AFD" w:rsidRPr="00333AFD">
              <w:rPr>
                <w:iCs/>
              </w:rPr>
              <w:lastRenderedPageBreak/>
              <w:t>contra una ley o conducta basada en la vulneración injustificada de un derecho fundamental...</w:t>
            </w:r>
            <w:r>
              <w:rPr>
                <w:iCs/>
              </w:rPr>
              <w:t>”</w:t>
            </w:r>
          </w:p>
        </w:tc>
      </w:tr>
      <w:tr w:rsidR="00D63E71" w:rsidRPr="00333AFD" w14:paraId="251B7551" w14:textId="77777777" w:rsidTr="00D676BF">
        <w:trPr>
          <w:trHeight w:val="240"/>
        </w:trPr>
        <w:tc>
          <w:tcPr>
            <w:tcW w:w="2455" w:type="dxa"/>
            <w:shd w:val="clear" w:color="auto" w:fill="auto"/>
          </w:tcPr>
          <w:p w14:paraId="7C1C4756" w14:textId="7C9921D8" w:rsidR="00333AFD" w:rsidRPr="00333AFD" w:rsidRDefault="00333AFD" w:rsidP="00C21A88">
            <w:pPr>
              <w:pStyle w:val="SingleTxtG"/>
              <w:tabs>
                <w:tab w:val="clear" w:pos="1701"/>
                <w:tab w:val="clear" w:pos="2268"/>
                <w:tab w:val="clear" w:pos="2835"/>
              </w:tabs>
              <w:spacing w:before="40"/>
              <w:ind w:left="0" w:right="0"/>
              <w:jc w:val="left"/>
            </w:pPr>
            <w:r w:rsidRPr="00333AFD">
              <w:rPr>
                <w:i/>
              </w:rPr>
              <w:lastRenderedPageBreak/>
              <w:t>Madanhire y otro c. el Fiscal General</w:t>
            </w:r>
            <w:r w:rsidRPr="00333AFD">
              <w:t>, CCZ 2/14</w:t>
            </w:r>
          </w:p>
        </w:tc>
        <w:tc>
          <w:tcPr>
            <w:tcW w:w="2453" w:type="dxa"/>
            <w:shd w:val="clear" w:color="auto" w:fill="auto"/>
          </w:tcPr>
          <w:p w14:paraId="63E99DA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60: Libertad de expresión y libertad de los medios de comunicación</w:t>
            </w:r>
          </w:p>
          <w:p w14:paraId="14523A2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62: Acceso a la información</w:t>
            </w:r>
          </w:p>
          <w:p w14:paraId="318CE6B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56: Igualdad y no discriminación</w:t>
            </w:r>
          </w:p>
        </w:tc>
        <w:tc>
          <w:tcPr>
            <w:tcW w:w="3597" w:type="dxa"/>
            <w:shd w:val="clear" w:color="auto" w:fill="auto"/>
          </w:tcPr>
          <w:p w14:paraId="057CF04D" w14:textId="77777777" w:rsidR="00333AFD" w:rsidRPr="00333AFD" w:rsidRDefault="00333AFD" w:rsidP="00D63E71">
            <w:pPr>
              <w:pStyle w:val="SingleTxtG"/>
              <w:tabs>
                <w:tab w:val="clear" w:pos="1701"/>
                <w:tab w:val="clear" w:pos="2268"/>
                <w:tab w:val="clear" w:pos="2835"/>
              </w:tabs>
              <w:spacing w:before="40"/>
              <w:ind w:left="0" w:right="0"/>
              <w:jc w:val="left"/>
            </w:pPr>
          </w:p>
        </w:tc>
      </w:tr>
      <w:tr w:rsidR="00D63E71" w:rsidRPr="00333AFD" w14:paraId="49E491C4" w14:textId="77777777" w:rsidTr="00D676BF">
        <w:trPr>
          <w:trHeight w:val="240"/>
        </w:trPr>
        <w:tc>
          <w:tcPr>
            <w:tcW w:w="2455" w:type="dxa"/>
            <w:shd w:val="clear" w:color="auto" w:fill="auto"/>
          </w:tcPr>
          <w:p w14:paraId="297078DF"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Madanhire y otro c. el Fiscal General</w:t>
            </w:r>
            <w:r w:rsidRPr="00333AFD">
              <w:t xml:space="preserve">, CCZ 2/14 </w:t>
            </w:r>
          </w:p>
        </w:tc>
        <w:tc>
          <w:tcPr>
            <w:tcW w:w="2453" w:type="dxa"/>
            <w:shd w:val="clear" w:color="auto" w:fill="auto"/>
          </w:tcPr>
          <w:p w14:paraId="5AD9D1A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58: Libertad de reunión y de asociación</w:t>
            </w:r>
          </w:p>
          <w:p w14:paraId="714E1C2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59: Libertad de manifestación y de petición</w:t>
            </w:r>
          </w:p>
          <w:p w14:paraId="5C9A445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60: Libertad de conciencia</w:t>
            </w:r>
          </w:p>
          <w:p w14:paraId="253C2DA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86 2), artículo 87 y anexo II, artículos 116 y 113</w:t>
            </w:r>
          </w:p>
        </w:tc>
        <w:tc>
          <w:tcPr>
            <w:tcW w:w="3597" w:type="dxa"/>
            <w:shd w:val="clear" w:color="auto" w:fill="auto"/>
          </w:tcPr>
          <w:p w14:paraId="10AFF8B2" w14:textId="4F0F1E1B"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La cuestión que debe determinar este Tribunal es si se trata o no de una limitación razonablemente justificable en una sociedad democrática. La prueba de lo que es democráticamente razonable y justificable no es susceptible de una formulación jurídica precisa.</w:t>
            </w:r>
            <w:r w:rsidR="00333AFD" w:rsidRPr="00333AFD">
              <w:t xml:space="preserve"> </w:t>
            </w:r>
            <w:r w:rsidR="00333AFD" w:rsidRPr="00333AFD">
              <w:rPr>
                <w:iCs/>
              </w:rPr>
              <w:t>En mi opinión, la prueba puede variar de una sociedad a otra en función de su organización política y sus fundamentos socioeconómicos particulares.</w:t>
            </w:r>
            <w:r w:rsidR="00333AFD" w:rsidRPr="00333AFD">
              <w:t xml:space="preserve"> </w:t>
            </w:r>
            <w:r w:rsidR="00333AFD" w:rsidRPr="00333AFD">
              <w:rPr>
                <w:iCs/>
              </w:rPr>
              <w:t xml:space="preserve">No obstante, como reconoció Gubbay C. J. en la frecuentemente citada causa </w:t>
            </w:r>
            <w:r w:rsidR="00333AFD" w:rsidRPr="00333AFD">
              <w:t>Munhumeso y otros</w:t>
            </w:r>
            <w:r w:rsidR="00333AFD" w:rsidRPr="00333AFD">
              <w:rPr>
                <w:iCs/>
              </w:rPr>
              <w:t xml:space="preserve"> 1994 (1) ZLR 49 (S) en 64B-C: </w:t>
            </w:r>
            <w:r>
              <w:rPr>
                <w:iCs/>
              </w:rPr>
              <w:t>‘</w:t>
            </w:r>
            <w:r w:rsidR="00333AFD" w:rsidRPr="00333AFD">
              <w:rPr>
                <w:iCs/>
              </w:rPr>
              <w:t>lo que es razonablemente justificable en una sociedad democrática es un concepto elusivo, que no puede ser definido con precisión por los tribunales.</w:t>
            </w:r>
            <w:r w:rsidR="00333AFD" w:rsidRPr="00333AFD">
              <w:t xml:space="preserve"> </w:t>
            </w:r>
            <w:r w:rsidR="00333AFD" w:rsidRPr="00333AFD">
              <w:rPr>
                <w:iCs/>
              </w:rPr>
              <w:t>No existe ningún criterio jurídico, salvo que la calidad de la razonabilidad de la disposición impugnada debe juzgarse en función de si invade de forma arbitraria o excesiva el disfrute de un derecho constitucionalmente garantizado</w:t>
            </w:r>
            <w:r w:rsidR="00AF1A95">
              <w:rPr>
                <w:iCs/>
              </w:rPr>
              <w:t>’</w:t>
            </w:r>
            <w:r w:rsidR="00333AFD" w:rsidRPr="00333AFD">
              <w:rPr>
                <w:iCs/>
              </w:rPr>
              <w:t>.</w:t>
            </w:r>
            <w:r w:rsidR="00AF1A95">
              <w:rPr>
                <w:iCs/>
              </w:rPr>
              <w:t>”</w:t>
            </w:r>
          </w:p>
        </w:tc>
      </w:tr>
      <w:tr w:rsidR="00D63E71" w:rsidRPr="00333AFD" w14:paraId="0D2CB897" w14:textId="77777777" w:rsidTr="00D676BF">
        <w:trPr>
          <w:trHeight w:val="240"/>
        </w:trPr>
        <w:tc>
          <w:tcPr>
            <w:tcW w:w="2455" w:type="dxa"/>
            <w:shd w:val="clear" w:color="auto" w:fill="auto"/>
          </w:tcPr>
          <w:p w14:paraId="60B8E285"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Mudzuru y otra c. el Ministro de Justicia y Asuntos Jurídicos y Parlamentarios y otros</w:t>
            </w:r>
            <w:r w:rsidRPr="00333AFD">
              <w:t>, CCZ 12/15</w:t>
            </w:r>
          </w:p>
        </w:tc>
        <w:tc>
          <w:tcPr>
            <w:tcW w:w="2453" w:type="dxa"/>
            <w:shd w:val="clear" w:color="auto" w:fill="auto"/>
          </w:tcPr>
          <w:p w14:paraId="2FD6EBBF"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78: Derechos matrimoniales</w:t>
            </w:r>
          </w:p>
          <w:p w14:paraId="631ED9A6"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80: Derechos de la mujer</w:t>
            </w:r>
          </w:p>
          <w:p w14:paraId="3190984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81: Derechos de la infancia</w:t>
            </w:r>
          </w:p>
        </w:tc>
        <w:tc>
          <w:tcPr>
            <w:tcW w:w="3597" w:type="dxa"/>
            <w:shd w:val="clear" w:color="auto" w:fill="auto"/>
          </w:tcPr>
          <w:p w14:paraId="132F0057" w14:textId="37C48AB6"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El Tribunal Constitucional prohibió el matrimonio infantil y anuló el artículo</w:t>
            </w:r>
            <w:r w:rsidR="00AF1A95">
              <w:rPr>
                <w:iCs/>
              </w:rPr>
              <w:t> </w:t>
            </w:r>
            <w:r w:rsidR="00333AFD" w:rsidRPr="00333AFD">
              <w:rPr>
                <w:iCs/>
              </w:rPr>
              <w:t>22</w:t>
            </w:r>
            <w:r w:rsidR="00AF1A95">
              <w:rPr>
                <w:iCs/>
              </w:rPr>
              <w:t> </w:t>
            </w:r>
            <w:r w:rsidR="00333AFD" w:rsidRPr="00333AFD">
              <w:rPr>
                <w:iCs/>
              </w:rPr>
              <w:t>1) de la Ley de Matrimonio [capítulo 5:11] y toda ley, práctica o costumbre que autorizara a una persona menor de 18 años a casarse o estar casada y dispuso que, con efecto a partir del 20 de enero de 2016, ninguna persona, hombre o mujer, podía contraer matrimonio, incluida una unión de derecho consuetudinario no registrada o cualquier otra unión, incluida la que surgiera de la religión o del rito religioso, antes de alcanzar cumplir 18</w:t>
            </w:r>
            <w:r w:rsidR="00AF1A95">
              <w:rPr>
                <w:iCs/>
              </w:rPr>
              <w:t> </w:t>
            </w:r>
            <w:r w:rsidR="00333AFD" w:rsidRPr="00333AFD">
              <w:rPr>
                <w:iCs/>
              </w:rPr>
              <w:t>años.</w:t>
            </w:r>
            <w:r>
              <w:rPr>
                <w:iCs/>
              </w:rPr>
              <w:t>”</w:t>
            </w:r>
          </w:p>
        </w:tc>
      </w:tr>
      <w:tr w:rsidR="00D63E71" w:rsidRPr="00333AFD" w14:paraId="4BF0BF0F" w14:textId="77777777" w:rsidTr="00D676BF">
        <w:trPr>
          <w:trHeight w:val="240"/>
        </w:trPr>
        <w:tc>
          <w:tcPr>
            <w:tcW w:w="2455" w:type="dxa"/>
            <w:tcBorders>
              <w:bottom w:val="nil"/>
            </w:tcBorders>
            <w:shd w:val="clear" w:color="auto" w:fill="auto"/>
          </w:tcPr>
          <w:p w14:paraId="07B22810"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lastRenderedPageBreak/>
              <w:t>Mudzuru y otro c. el Ministro de Justicia y Asuntos Jurídicos y Parlamentarios y otros</w:t>
            </w:r>
            <w:r w:rsidRPr="00333AFD">
              <w:t>, CCZ 12/15</w:t>
            </w:r>
          </w:p>
        </w:tc>
        <w:tc>
          <w:tcPr>
            <w:tcW w:w="2453" w:type="dxa"/>
            <w:tcBorders>
              <w:bottom w:val="nil"/>
            </w:tcBorders>
            <w:shd w:val="clear" w:color="auto" w:fill="auto"/>
          </w:tcPr>
          <w:p w14:paraId="58B7B1EC"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81: Derechos de la infancia</w:t>
            </w:r>
          </w:p>
          <w:p w14:paraId="1A3188D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19: Infancia</w:t>
            </w:r>
          </w:p>
        </w:tc>
        <w:tc>
          <w:tcPr>
            <w:tcW w:w="3597" w:type="dxa"/>
            <w:tcBorders>
              <w:bottom w:val="nil"/>
            </w:tcBorders>
            <w:shd w:val="clear" w:color="auto" w:fill="auto"/>
          </w:tcPr>
          <w:p w14:paraId="795BA5B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Véase lo señalado anteriormente.</w:t>
            </w:r>
          </w:p>
        </w:tc>
      </w:tr>
      <w:tr w:rsidR="00D63E71" w:rsidRPr="00333AFD" w14:paraId="6D70ACBB" w14:textId="77777777" w:rsidTr="00D676BF">
        <w:trPr>
          <w:trHeight w:val="240"/>
        </w:trPr>
        <w:tc>
          <w:tcPr>
            <w:tcW w:w="2455" w:type="dxa"/>
            <w:tcBorders>
              <w:top w:val="nil"/>
              <w:bottom w:val="nil"/>
            </w:tcBorders>
            <w:shd w:val="clear" w:color="auto" w:fill="auto"/>
          </w:tcPr>
          <w:p w14:paraId="6DDE862D"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Partido por el Desarrollo de Zimbabwe y otro c. el Presidente de la República de Zimbabwe y otros dos</w:t>
            </w:r>
            <w:r w:rsidRPr="00333AFD">
              <w:t>, CCZ 3/18</w:t>
            </w:r>
          </w:p>
          <w:p w14:paraId="64CB5EB1"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Shumba y otros 2 c. el Ministro de Justicia y Asuntos Jurídicos y Parlamentarios y otros 5</w:t>
            </w:r>
            <w:r w:rsidRPr="00333AFD">
              <w:t>, CCZ 4/18</w:t>
            </w:r>
          </w:p>
          <w:p w14:paraId="3CB56D9A"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
              </w:rPr>
              <w:t>Hilton Chironga y Rashid Mahiya c. el Ministro de Justicia y Asuntos Jurídicos y Parlamentarios y otros</w:t>
            </w:r>
            <w:r w:rsidRPr="00333AFD">
              <w:t>, CCZ 14/20</w:t>
            </w:r>
          </w:p>
        </w:tc>
        <w:tc>
          <w:tcPr>
            <w:tcW w:w="2453" w:type="dxa"/>
            <w:tcBorders>
              <w:top w:val="nil"/>
              <w:bottom w:val="nil"/>
            </w:tcBorders>
            <w:shd w:val="clear" w:color="auto" w:fill="auto"/>
          </w:tcPr>
          <w:p w14:paraId="173A7D92"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59: Libertad de manifestación y de petición</w:t>
            </w:r>
          </w:p>
          <w:p w14:paraId="39F00E99"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56: Igualdad y no discriminación</w:t>
            </w:r>
          </w:p>
          <w:p w14:paraId="496CE523"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67: Derechos políticos, participación en elecciones</w:t>
            </w:r>
          </w:p>
          <w:p w14:paraId="719F5C95"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144: Elecciones generales resultantes de la disolución del Parlamento</w:t>
            </w:r>
          </w:p>
          <w:p w14:paraId="09AFBD6A"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158: Calendario de las elecciones.</w:t>
            </w:r>
          </w:p>
          <w:p w14:paraId="36023398"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Anexo IV: Requisitos que deben cumplir los votantes</w:t>
            </w:r>
          </w:p>
          <w:p w14:paraId="39D1D761"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68: Derecho a la justicia administrativa</w:t>
            </w:r>
          </w:p>
          <w:p w14:paraId="42406FC4" w14:textId="77777777" w:rsidR="00333AFD" w:rsidRPr="00333AFD" w:rsidRDefault="00333AFD" w:rsidP="00D63E71">
            <w:pPr>
              <w:pStyle w:val="SingleTxtG"/>
              <w:tabs>
                <w:tab w:val="clear" w:pos="1701"/>
                <w:tab w:val="clear" w:pos="2268"/>
                <w:tab w:val="clear" w:pos="2835"/>
              </w:tabs>
              <w:spacing w:before="40"/>
              <w:ind w:left="0" w:right="0"/>
              <w:jc w:val="left"/>
            </w:pPr>
            <w:r w:rsidRPr="00333AFD">
              <w:t>Artículo 9: Buena gobernanza</w:t>
            </w:r>
          </w:p>
        </w:tc>
        <w:tc>
          <w:tcPr>
            <w:tcW w:w="3597" w:type="dxa"/>
            <w:tcBorders>
              <w:top w:val="nil"/>
              <w:bottom w:val="nil"/>
            </w:tcBorders>
            <w:shd w:val="clear" w:color="auto" w:fill="auto"/>
          </w:tcPr>
          <w:p w14:paraId="3D0C8FA4" w14:textId="78F77B84" w:rsidR="00333AFD" w:rsidRPr="00333AFD" w:rsidRDefault="003F7DB7" w:rsidP="00D63E71">
            <w:pPr>
              <w:pStyle w:val="SingleTxtG"/>
              <w:tabs>
                <w:tab w:val="clear" w:pos="1701"/>
                <w:tab w:val="clear" w:pos="2268"/>
                <w:tab w:val="clear" w:pos="2835"/>
              </w:tabs>
              <w:spacing w:before="40"/>
              <w:ind w:left="0" w:right="0"/>
              <w:jc w:val="left"/>
            </w:pPr>
            <w:r>
              <w:rPr>
                <w:iCs/>
              </w:rPr>
              <w:t>“</w:t>
            </w:r>
            <w:r w:rsidR="00333AFD" w:rsidRPr="00333AFD">
              <w:rPr>
                <w:iCs/>
              </w:rPr>
              <w:t>El Presidente está obligado, en virtud del artículo 144 1), leído junto con el artículo</w:t>
            </w:r>
            <w:r w:rsidR="00D676BF">
              <w:rPr>
                <w:iCs/>
              </w:rPr>
              <w:t> </w:t>
            </w:r>
            <w:r w:rsidR="00333AFD" w:rsidRPr="00333AFD">
              <w:rPr>
                <w:iCs/>
              </w:rPr>
              <w:t>158 1) a), de la Constitución a fijar mediante una proclamación las fechas para la celebración de elecciones generales armonizadas dentro del plazo establecido.</w:t>
            </w:r>
            <w:r w:rsidR="00333AFD" w:rsidRPr="00333AFD">
              <w:t xml:space="preserve"> </w:t>
            </w:r>
            <w:r w:rsidR="00333AFD" w:rsidRPr="00333AFD">
              <w:rPr>
                <w:iCs/>
              </w:rPr>
              <w:t xml:space="preserve">El uso de la palabra </w:t>
            </w:r>
            <w:r>
              <w:rPr>
                <w:iCs/>
              </w:rPr>
              <w:t>‘</w:t>
            </w:r>
            <w:r w:rsidR="00333AFD" w:rsidRPr="00333AFD">
              <w:rPr>
                <w:iCs/>
              </w:rPr>
              <w:t>debe</w:t>
            </w:r>
            <w:r>
              <w:rPr>
                <w:iCs/>
              </w:rPr>
              <w:t>’</w:t>
            </w:r>
            <w:r w:rsidR="00333AFD" w:rsidRPr="00333AFD">
              <w:rPr>
                <w:iCs/>
              </w:rPr>
              <w:t xml:space="preserve"> en los artículos</w:t>
            </w:r>
            <w:r w:rsidR="00D676BF">
              <w:rPr>
                <w:iCs/>
              </w:rPr>
              <w:t> </w:t>
            </w:r>
            <w:r w:rsidR="00333AFD" w:rsidRPr="00333AFD">
              <w:rPr>
                <w:iCs/>
              </w:rPr>
              <w:t>144 1) y 158 1) de la Constitución destaca la obligación impuesta al Presidente de hacer lo que se especifica para el propósito concreto indicado y en la forma prescrita es una obligación vinculante.</w:t>
            </w:r>
            <w:r w:rsidR="00333AFD" w:rsidRPr="00333AFD">
              <w:t xml:space="preserve"> </w:t>
            </w:r>
            <w:r w:rsidR="00333AFD" w:rsidRPr="00333AFD">
              <w:rPr>
                <w:iCs/>
              </w:rPr>
              <w:t>El requisito inmutable es que, cuando llegue el momento de hacerlo, el Presidente no tiene otra opción más que hacer lo que la Constitución le obliga específicamente a hacer.</w:t>
            </w:r>
            <w:r w:rsidR="00333AFD" w:rsidRPr="00333AFD">
              <w:t xml:space="preserve"> </w:t>
            </w:r>
            <w:r w:rsidR="00333AFD" w:rsidRPr="00333AFD">
              <w:rPr>
                <w:iCs/>
              </w:rPr>
              <w:t>El artículo 90 1) de la Constitución le impone el deber de obedecer la Constitución.</w:t>
            </w:r>
            <w:r w:rsidR="00333AFD" w:rsidRPr="00333AFD">
              <w:t xml:space="preserve"> </w:t>
            </w:r>
            <w:r w:rsidR="00333AFD" w:rsidRPr="00333AFD">
              <w:rPr>
                <w:iCs/>
              </w:rPr>
              <w:t>Una vez que el Presidente ha convocado y fijado las fechas para las elecciones generales armonizadas de conformidad con el artículo 144 1) de la Constitución, el artículo 158 1) a) deja claro que dichas elecciones deben celebrarse en las fechas fijadas.</w:t>
            </w:r>
          </w:p>
          <w:p w14:paraId="25EF4D76"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Cs/>
              </w:rPr>
              <w:t>El Tribunal Constitucional trató la constitucionalidad de:</w:t>
            </w:r>
            <w:r w:rsidRPr="00333AFD">
              <w:t xml:space="preserve"> </w:t>
            </w:r>
          </w:p>
          <w:p w14:paraId="687B7B43" w14:textId="1A7B6394" w:rsidR="00333AFD" w:rsidRPr="00333AFD" w:rsidRDefault="00333AFD" w:rsidP="00D676BF">
            <w:pPr>
              <w:pStyle w:val="SingleTxtG"/>
              <w:tabs>
                <w:tab w:val="clear" w:pos="1701"/>
                <w:tab w:val="clear" w:pos="2268"/>
                <w:tab w:val="clear" w:pos="2835"/>
              </w:tabs>
              <w:spacing w:before="40"/>
              <w:ind w:left="0" w:right="0" w:firstLine="284"/>
              <w:jc w:val="left"/>
            </w:pPr>
            <w:r w:rsidRPr="00333AFD">
              <w:rPr>
                <w:iCs/>
              </w:rPr>
              <w:t>1)</w:t>
            </w:r>
            <w:r w:rsidR="00D676BF">
              <w:tab/>
            </w:r>
            <w:r w:rsidR="00D676BF" w:rsidRPr="00333AFD">
              <w:rPr>
                <w:iCs/>
              </w:rPr>
              <w:t xml:space="preserve">El </w:t>
            </w:r>
            <w:r w:rsidRPr="00333AFD">
              <w:rPr>
                <w:iCs/>
              </w:rPr>
              <w:t>artículo 23 de la Ley Electoral [capítulo 2:13], en la medida en que excluye a los ciudadanos que no residen en Zimbabwe de la posibilidad de registrarse como votantes, lo que contraviene el artículo 67 3) leído junto con anexo 4, párrafo 2, de la Constitución de Zimbabwe;</w:t>
            </w:r>
          </w:p>
          <w:p w14:paraId="6434998C" w14:textId="23FE9A45" w:rsidR="00333AFD" w:rsidRPr="00333AFD" w:rsidRDefault="00333AFD" w:rsidP="00D676BF">
            <w:pPr>
              <w:pStyle w:val="SingleTxtG"/>
              <w:tabs>
                <w:tab w:val="clear" w:pos="1701"/>
                <w:tab w:val="clear" w:pos="2268"/>
                <w:tab w:val="clear" w:pos="2835"/>
              </w:tabs>
              <w:spacing w:before="40"/>
              <w:ind w:left="0" w:right="0" w:firstLine="284"/>
              <w:jc w:val="left"/>
            </w:pPr>
            <w:r w:rsidRPr="00333AFD">
              <w:rPr>
                <w:iCs/>
              </w:rPr>
              <w:t>2)</w:t>
            </w:r>
            <w:r w:rsidR="00D676BF">
              <w:tab/>
            </w:r>
            <w:r w:rsidR="00D676BF" w:rsidRPr="00333AFD">
              <w:rPr>
                <w:iCs/>
              </w:rPr>
              <w:t xml:space="preserve">El </w:t>
            </w:r>
            <w:r w:rsidRPr="00333AFD">
              <w:rPr>
                <w:iCs/>
              </w:rPr>
              <w:t>artículo 72 de la Ley Electoral [capítulo 2:13], en la medida en que excluye a los ciudadanos de Zimbabwe que no están al servicio del Gobierno del ejercicio de su derecho al voto, contraviniendo los artículos 56 1) y 3), 56</w:t>
            </w:r>
            <w:r w:rsidR="00D676BF">
              <w:rPr>
                <w:iCs/>
              </w:rPr>
              <w:t> </w:t>
            </w:r>
            <w:r w:rsidRPr="00333AFD">
              <w:rPr>
                <w:iCs/>
              </w:rPr>
              <w:t>4) y 67 3) de la Constitución de Zimbabwe.</w:t>
            </w:r>
          </w:p>
          <w:p w14:paraId="50F37264" w14:textId="77777777" w:rsidR="00333AFD" w:rsidRPr="00333AFD" w:rsidRDefault="00333AFD" w:rsidP="00D63E71">
            <w:pPr>
              <w:pStyle w:val="SingleTxtG"/>
              <w:tabs>
                <w:tab w:val="clear" w:pos="1701"/>
                <w:tab w:val="clear" w:pos="2268"/>
                <w:tab w:val="clear" w:pos="2835"/>
              </w:tabs>
              <w:spacing w:before="40"/>
              <w:ind w:left="0" w:right="0"/>
              <w:jc w:val="left"/>
            </w:pPr>
            <w:r w:rsidRPr="00333AFD">
              <w:rPr>
                <w:iCs/>
              </w:rPr>
              <w:t>El Tribunal Constitucional también trató la cuestión del voto de la diáspora en las elecciones presidenciales, parlamentarias y de autoridades locales de 2018.</w:t>
            </w:r>
          </w:p>
          <w:p w14:paraId="26783AB3" w14:textId="0D3BE67A" w:rsidR="00333AFD" w:rsidRPr="00333AFD" w:rsidRDefault="00333AFD" w:rsidP="00D63E71">
            <w:pPr>
              <w:pStyle w:val="SingleTxtG"/>
              <w:tabs>
                <w:tab w:val="clear" w:pos="1701"/>
                <w:tab w:val="clear" w:pos="2268"/>
                <w:tab w:val="clear" w:pos="2835"/>
              </w:tabs>
              <w:spacing w:before="40"/>
              <w:ind w:left="0" w:right="0"/>
              <w:jc w:val="left"/>
            </w:pPr>
            <w:r w:rsidRPr="00333AFD">
              <w:rPr>
                <w:iCs/>
              </w:rPr>
              <w:lastRenderedPageBreak/>
              <w:t>Uno de los elementos cruciales de la nueva disposición constitucional introducida por la Constitución de 2013 es decididamente dejar atrás el hecho de hacer caso omiso de las obligaciones constitucionales.</w:t>
            </w:r>
            <w:r w:rsidRPr="00333AFD">
              <w:t xml:space="preserve"> </w:t>
            </w:r>
            <w:r w:rsidRPr="00333AFD">
              <w:rPr>
                <w:iCs/>
              </w:rPr>
              <w:t>Para lograr este objetivo, los redactores de la Ley de Enmienda de la Constitución de Zimbabwe (núm. 20)</w:t>
            </w:r>
            <w:r w:rsidR="00D676BF">
              <w:rPr>
                <w:iCs/>
              </w:rPr>
              <w:t xml:space="preserve"> </w:t>
            </w:r>
            <w:r w:rsidR="00D676BF" w:rsidRPr="00333AFD">
              <w:rPr>
                <w:iCs/>
              </w:rPr>
              <w:t>de 2013 incluyeron el estado de derecho y la supremacía de la Constitución como los valores y principios fundacionales de nuestra democracia constitucional.</w:t>
            </w:r>
            <w:r w:rsidR="00D676BF" w:rsidRPr="00333AFD">
              <w:t xml:space="preserve"> </w:t>
            </w:r>
            <w:r w:rsidR="00D676BF" w:rsidRPr="00333AFD">
              <w:rPr>
                <w:iCs/>
              </w:rPr>
              <w:t>Por ello, los titulares de cargos públicos ignoran las obligaciones constitucionales por su cuenta y riesgo.</w:t>
            </w:r>
            <w:r w:rsidR="00D676BF" w:rsidRPr="00333AFD">
              <w:t xml:space="preserve"> </w:t>
            </w:r>
            <w:r w:rsidR="00D676BF" w:rsidRPr="00333AFD">
              <w:rPr>
                <w:iCs/>
              </w:rPr>
              <w:t xml:space="preserve">Si se deja sin control a quienes se ha investido la autoridad estatal o el poder público, estos pueden muchas veces caer en la tentación de abusar de tales poderes, como lo señaló célebremente Lord Acton: </w:t>
            </w:r>
            <w:r w:rsidR="00D676BF">
              <w:rPr>
                <w:iCs/>
              </w:rPr>
              <w:t>‘</w:t>
            </w:r>
            <w:r w:rsidR="00D676BF" w:rsidRPr="00333AFD">
              <w:rPr>
                <w:iCs/>
              </w:rPr>
              <w:t>El poder tiende a corromper, y el poder absoluto corrompe absolutamente</w:t>
            </w:r>
            <w:r w:rsidR="00D676BF">
              <w:rPr>
                <w:iCs/>
              </w:rPr>
              <w:t>’</w:t>
            </w:r>
            <w:r w:rsidR="00D676BF" w:rsidRPr="00333AFD">
              <w:rPr>
                <w:iCs/>
              </w:rPr>
              <w:t>.</w:t>
            </w:r>
            <w:r w:rsidR="00D676BF">
              <w:rPr>
                <w:iCs/>
              </w:rPr>
              <w:t>”</w:t>
            </w:r>
          </w:p>
        </w:tc>
      </w:tr>
      <w:tr w:rsidR="00D676BF" w:rsidRPr="00333AFD" w14:paraId="3C99735D" w14:textId="77777777" w:rsidTr="00D676BF">
        <w:trPr>
          <w:trHeight w:hRule="exact" w:val="57"/>
        </w:trPr>
        <w:tc>
          <w:tcPr>
            <w:tcW w:w="2455" w:type="dxa"/>
            <w:tcBorders>
              <w:top w:val="nil"/>
              <w:bottom w:val="single" w:sz="12" w:space="0" w:color="auto"/>
            </w:tcBorders>
            <w:shd w:val="clear" w:color="auto" w:fill="auto"/>
          </w:tcPr>
          <w:p w14:paraId="10877C12" w14:textId="77777777" w:rsidR="00D676BF" w:rsidRPr="00333AFD" w:rsidRDefault="00D676BF" w:rsidP="00D63E71">
            <w:pPr>
              <w:pStyle w:val="SingleTxtG"/>
              <w:tabs>
                <w:tab w:val="clear" w:pos="1701"/>
                <w:tab w:val="clear" w:pos="2268"/>
                <w:tab w:val="clear" w:pos="2835"/>
              </w:tabs>
              <w:spacing w:before="40"/>
              <w:ind w:left="0" w:right="0"/>
              <w:jc w:val="left"/>
              <w:rPr>
                <w:i/>
              </w:rPr>
            </w:pPr>
          </w:p>
        </w:tc>
        <w:tc>
          <w:tcPr>
            <w:tcW w:w="2453" w:type="dxa"/>
            <w:tcBorders>
              <w:top w:val="nil"/>
              <w:bottom w:val="single" w:sz="12" w:space="0" w:color="auto"/>
            </w:tcBorders>
            <w:shd w:val="clear" w:color="auto" w:fill="auto"/>
          </w:tcPr>
          <w:p w14:paraId="38AF7C0E" w14:textId="77777777" w:rsidR="00D676BF" w:rsidRPr="00333AFD" w:rsidRDefault="00D676BF" w:rsidP="00D63E71">
            <w:pPr>
              <w:pStyle w:val="SingleTxtG"/>
              <w:tabs>
                <w:tab w:val="clear" w:pos="1701"/>
                <w:tab w:val="clear" w:pos="2268"/>
                <w:tab w:val="clear" w:pos="2835"/>
              </w:tabs>
              <w:spacing w:before="40"/>
              <w:ind w:left="0" w:right="0"/>
              <w:jc w:val="left"/>
            </w:pPr>
          </w:p>
        </w:tc>
        <w:tc>
          <w:tcPr>
            <w:tcW w:w="3597" w:type="dxa"/>
            <w:tcBorders>
              <w:top w:val="nil"/>
              <w:bottom w:val="single" w:sz="12" w:space="0" w:color="auto"/>
            </w:tcBorders>
            <w:shd w:val="clear" w:color="auto" w:fill="auto"/>
          </w:tcPr>
          <w:p w14:paraId="3F3703CC" w14:textId="77777777" w:rsidR="00D676BF" w:rsidRDefault="00D676BF" w:rsidP="00D63E71">
            <w:pPr>
              <w:pStyle w:val="SingleTxtG"/>
              <w:tabs>
                <w:tab w:val="clear" w:pos="1701"/>
                <w:tab w:val="clear" w:pos="2268"/>
                <w:tab w:val="clear" w:pos="2835"/>
              </w:tabs>
              <w:spacing w:before="40"/>
              <w:ind w:left="0" w:right="0"/>
              <w:jc w:val="left"/>
              <w:rPr>
                <w:iCs/>
              </w:rPr>
            </w:pPr>
          </w:p>
        </w:tc>
      </w:tr>
    </w:tbl>
    <w:p w14:paraId="232630EA" w14:textId="03A27259" w:rsidR="00333AFD" w:rsidRPr="00333AFD" w:rsidRDefault="00D63E71" w:rsidP="00D63E71">
      <w:pPr>
        <w:pStyle w:val="H23G"/>
      </w:pPr>
      <w:bookmarkStart w:id="29" w:name="_Toc87853299"/>
      <w:r>
        <w:tab/>
      </w:r>
      <w:r w:rsidR="00333AFD" w:rsidRPr="00333AFD">
        <w:tab/>
        <w:t>Autoridades administrativas con competencia en materia de derechos humanos</w:t>
      </w:r>
      <w:bookmarkEnd w:id="29"/>
    </w:p>
    <w:p w14:paraId="0B2F3A55" w14:textId="77777777" w:rsidR="00333AFD" w:rsidRPr="00333AFD" w:rsidRDefault="00333AFD" w:rsidP="00333AFD">
      <w:pPr>
        <w:pStyle w:val="SingleTxtG"/>
      </w:pPr>
      <w:r w:rsidRPr="00333AFD">
        <w:t>64.</w:t>
      </w:r>
      <w:r w:rsidRPr="00333AFD">
        <w:tab/>
        <w:t>El Gobierno creó una serie de instituciones para tratar los asuntos que afectan a los derechos humanos, entre estas:</w:t>
      </w:r>
    </w:p>
    <w:p w14:paraId="2DDD80A2" w14:textId="63114E6D" w:rsidR="00333AFD" w:rsidRPr="00333AFD" w:rsidRDefault="00333AFD" w:rsidP="00333AFD">
      <w:pPr>
        <w:pStyle w:val="SingleTxtG"/>
      </w:pPr>
      <w:r w:rsidRPr="00333AFD">
        <w:tab/>
        <w:t>a)</w:t>
      </w:r>
      <w:r w:rsidRPr="00333AFD">
        <w:tab/>
      </w:r>
      <w:r w:rsidR="00ED0A76" w:rsidRPr="00333AFD">
        <w:t xml:space="preserve">La </w:t>
      </w:r>
      <w:r w:rsidRPr="00333AFD">
        <w:t>Comisión de Derechos Humanos de Zimbabwe;</w:t>
      </w:r>
    </w:p>
    <w:p w14:paraId="259C91B5" w14:textId="7DB492C6" w:rsidR="00333AFD" w:rsidRPr="00333AFD" w:rsidRDefault="00333AFD" w:rsidP="00333AFD">
      <w:pPr>
        <w:pStyle w:val="SingleTxtG"/>
      </w:pPr>
      <w:r w:rsidRPr="00333AFD">
        <w:tab/>
        <w:t>b)</w:t>
      </w:r>
      <w:r w:rsidRPr="00333AFD">
        <w:tab/>
      </w:r>
      <w:r w:rsidR="00ED0A76" w:rsidRPr="00333AFD">
        <w:t xml:space="preserve">La </w:t>
      </w:r>
      <w:r w:rsidRPr="00333AFD">
        <w:t>Comisión de Género de Zimbabwe;</w:t>
      </w:r>
    </w:p>
    <w:p w14:paraId="028E91D8" w14:textId="40E17A22" w:rsidR="00333AFD" w:rsidRPr="00333AFD" w:rsidRDefault="00333AFD" w:rsidP="00333AFD">
      <w:pPr>
        <w:pStyle w:val="SingleTxtG"/>
      </w:pPr>
      <w:r w:rsidRPr="00333AFD">
        <w:tab/>
        <w:t>c)</w:t>
      </w:r>
      <w:r w:rsidRPr="00333AFD">
        <w:tab/>
      </w:r>
      <w:r w:rsidR="00ED0A76" w:rsidRPr="00333AFD">
        <w:t xml:space="preserve">La </w:t>
      </w:r>
      <w:r w:rsidRPr="00333AFD">
        <w:t>Comisión Nacional para la Paz y la Reconciliación;</w:t>
      </w:r>
    </w:p>
    <w:p w14:paraId="327DAAB7" w14:textId="06249A0F" w:rsidR="00333AFD" w:rsidRPr="00333AFD" w:rsidRDefault="00333AFD" w:rsidP="00333AFD">
      <w:pPr>
        <w:pStyle w:val="SingleTxtG"/>
      </w:pPr>
      <w:r w:rsidRPr="00333AFD">
        <w:tab/>
        <w:t>d)</w:t>
      </w:r>
      <w:r w:rsidRPr="00333AFD">
        <w:tab/>
      </w:r>
      <w:r w:rsidR="00ED0A76" w:rsidRPr="00333AFD">
        <w:t xml:space="preserve">La </w:t>
      </w:r>
      <w:r w:rsidRPr="00333AFD">
        <w:t xml:space="preserve">Comisión de Medios de Comunicación de Zimbabwe; </w:t>
      </w:r>
    </w:p>
    <w:p w14:paraId="1A0AFE82" w14:textId="64699BBE" w:rsidR="00333AFD" w:rsidRPr="00333AFD" w:rsidRDefault="00333AFD" w:rsidP="00333AFD">
      <w:pPr>
        <w:pStyle w:val="SingleTxtG"/>
      </w:pPr>
      <w:r w:rsidRPr="00333AFD">
        <w:tab/>
        <w:t>e)</w:t>
      </w:r>
      <w:r w:rsidRPr="00333AFD">
        <w:tab/>
      </w:r>
      <w:r w:rsidR="00ED0A76" w:rsidRPr="00333AFD">
        <w:t xml:space="preserve">La </w:t>
      </w:r>
      <w:r w:rsidRPr="00333AFD">
        <w:t>Comisión Electoral de Zimbabwe.</w:t>
      </w:r>
    </w:p>
    <w:p w14:paraId="32D28B68" w14:textId="77777777" w:rsidR="00333AFD" w:rsidRPr="00333AFD" w:rsidRDefault="00333AFD" w:rsidP="00333AFD">
      <w:pPr>
        <w:pStyle w:val="SingleTxtG"/>
      </w:pPr>
      <w:r w:rsidRPr="00333AFD">
        <w:t>65.</w:t>
      </w:r>
      <w:r w:rsidRPr="00333AFD">
        <w:tab/>
        <w:t>El artículo 235 1) a) y b) de la Constitución establece que las mencionadas comisiones son independientes y no están sujetas a dirección o control alguno y que deben actuar de conformidad con la Constitución; además, deben ejercer sus funciones sin temor, favoritismos ni prejuicios. No obstante, rinden cuentas al Parlamento por el desempeño eficiente de sus funciones. El Estado ha promulgado legislación para hacer operativas sus funciones. Ninguna persona puede perturbar la labor de las comisiones independientes.</w:t>
      </w:r>
    </w:p>
    <w:p w14:paraId="523AE7E0" w14:textId="1400500C" w:rsidR="00333AFD" w:rsidRPr="00333AFD" w:rsidRDefault="00333AFD" w:rsidP="00333AFD">
      <w:pPr>
        <w:pStyle w:val="SingleTxtG"/>
      </w:pPr>
      <w:r w:rsidRPr="00333AFD">
        <w:t>66.</w:t>
      </w:r>
      <w:r w:rsidRPr="00333AFD">
        <w:tab/>
        <w:t>Todos los comisionados de las comisiones independientes son nombrados por el Presidente tras recibir recomendaciones del Parlamento. El artículo 237 1) de la Constitución establece que el Comité Parlamentario de Normas y Reglamentos, antes de hacer su recomendación al Presidente, debe publicar la vacante, invitar a la población en general a presentar candidaturas, realizar entrevistas públicas a los posibles candidatos, preparar una lista con el número adecuado de candidatos para el nombramiento y presentarla al Presidente. Sin embargo, la destitución de un comisionado está sujeta al artículo 237 2) de la Constitución, que establece que un comisionado solo puede ser destituido de su cargo por motivos de incapacidad física o mental, haber sido sumamente incompetente, haber sido condenado por una falta grave o haber dejado de ser elegible para el nombramiento a la Comisión en cuestión. Un comisionado solo puede ser destituido debido a los motivos mencionados mediante un tribunal nombrado por el Presidente de conformidad con el artículo</w:t>
      </w:r>
      <w:r w:rsidR="00ED0A76">
        <w:t> </w:t>
      </w:r>
      <w:r w:rsidRPr="00333AFD">
        <w:t>187 de la Constitución.</w:t>
      </w:r>
    </w:p>
    <w:p w14:paraId="38DE6713" w14:textId="77777777" w:rsidR="00333AFD" w:rsidRPr="00333AFD" w:rsidRDefault="00333AFD" w:rsidP="00333AFD">
      <w:pPr>
        <w:pStyle w:val="SingleTxtG"/>
      </w:pPr>
      <w:r w:rsidRPr="00333AFD">
        <w:lastRenderedPageBreak/>
        <w:t>67.</w:t>
      </w:r>
      <w:r w:rsidRPr="00333AFD">
        <w:tab/>
        <w:t>Las comisiones independientes tienen autonomía financiera, pues reciben su presupuesto asignado directamente con cargo al Tesoro. Las comisiones también pueden recibir donaciones, subvenciones y solicitudes con la aprobación del ministro responsable.</w:t>
      </w:r>
    </w:p>
    <w:p w14:paraId="4725108E" w14:textId="77777777" w:rsidR="00333AFD" w:rsidRPr="00333AFD" w:rsidRDefault="00333AFD" w:rsidP="00333AFD">
      <w:pPr>
        <w:pStyle w:val="SingleTxtG"/>
      </w:pPr>
      <w:r w:rsidRPr="00333AFD">
        <w:t>68.</w:t>
      </w:r>
      <w:r w:rsidRPr="00333AFD">
        <w:tab/>
        <w:t>Las comisiones independientes tienen los siguientes objetivos, además de los que se les asignan específicamente:</w:t>
      </w:r>
    </w:p>
    <w:p w14:paraId="73F8EA74" w14:textId="37DB9C6C" w:rsidR="00333AFD" w:rsidRPr="00333AFD" w:rsidRDefault="00333AFD" w:rsidP="00333AFD">
      <w:pPr>
        <w:pStyle w:val="SingleTxtG"/>
      </w:pPr>
      <w:r w:rsidRPr="00333AFD">
        <w:tab/>
        <w:t>a)</w:t>
      </w:r>
      <w:r w:rsidRPr="00333AFD">
        <w:tab/>
      </w:r>
      <w:r w:rsidR="00ED0A76" w:rsidRPr="00333AFD">
        <w:t xml:space="preserve">Apoyar </w:t>
      </w:r>
      <w:r w:rsidRPr="00333AFD">
        <w:t>y afianzar los derechos humanos y la democracia;</w:t>
      </w:r>
    </w:p>
    <w:p w14:paraId="2F47604C" w14:textId="22161369" w:rsidR="00333AFD" w:rsidRPr="00333AFD" w:rsidRDefault="00333AFD" w:rsidP="00333AFD">
      <w:pPr>
        <w:pStyle w:val="SingleTxtG"/>
      </w:pPr>
      <w:r w:rsidRPr="00333AFD">
        <w:tab/>
        <w:t>b)</w:t>
      </w:r>
      <w:r w:rsidRPr="00333AFD">
        <w:tab/>
      </w:r>
      <w:r w:rsidR="00ED0A76" w:rsidRPr="00333AFD">
        <w:t xml:space="preserve">Proteger </w:t>
      </w:r>
      <w:r w:rsidRPr="00333AFD">
        <w:t>la soberanía y los intereses del pueblo;</w:t>
      </w:r>
    </w:p>
    <w:p w14:paraId="60461CB3" w14:textId="69C1DE42" w:rsidR="00333AFD" w:rsidRPr="00333AFD" w:rsidRDefault="00333AFD" w:rsidP="00333AFD">
      <w:pPr>
        <w:pStyle w:val="SingleTxtG"/>
      </w:pPr>
      <w:r w:rsidRPr="00333AFD">
        <w:tab/>
        <w:t>c)</w:t>
      </w:r>
      <w:r w:rsidRPr="00333AFD">
        <w:tab/>
      </w:r>
      <w:r w:rsidR="00ED0A76" w:rsidRPr="00333AFD">
        <w:t xml:space="preserve">Promover </w:t>
      </w:r>
      <w:r w:rsidRPr="00333AFD">
        <w:t>la constitucionalidad;</w:t>
      </w:r>
    </w:p>
    <w:p w14:paraId="7CC7D7BD" w14:textId="2293ACD2" w:rsidR="00333AFD" w:rsidRPr="00333AFD" w:rsidRDefault="00333AFD" w:rsidP="00333AFD">
      <w:pPr>
        <w:pStyle w:val="SingleTxtG"/>
      </w:pPr>
      <w:r w:rsidRPr="00333AFD">
        <w:tab/>
        <w:t>d)</w:t>
      </w:r>
      <w:r w:rsidRPr="00333AFD">
        <w:tab/>
      </w:r>
      <w:r w:rsidR="00ED0A76" w:rsidRPr="00333AFD">
        <w:t xml:space="preserve">Promover </w:t>
      </w:r>
      <w:r w:rsidRPr="00333AFD">
        <w:t>la transparencia, la rendición de cuentas y las instituciones públicas;</w:t>
      </w:r>
    </w:p>
    <w:p w14:paraId="19AC7043" w14:textId="084C5E77" w:rsidR="00333AFD" w:rsidRPr="00333AFD" w:rsidRDefault="00333AFD" w:rsidP="00333AFD">
      <w:pPr>
        <w:pStyle w:val="SingleTxtG"/>
      </w:pPr>
      <w:r w:rsidRPr="00333AFD">
        <w:tab/>
        <w:t>e)</w:t>
      </w:r>
      <w:r w:rsidRPr="00333AFD">
        <w:tab/>
      </w:r>
      <w:r w:rsidR="00ED0A76" w:rsidRPr="00333AFD">
        <w:t xml:space="preserve">Velar </w:t>
      </w:r>
      <w:r w:rsidRPr="00333AFD">
        <w:t xml:space="preserve">por la observancia de los valores y principios democráticos por el Estado y todos los organismos e instituciones gubernamentales, así como por las entidades controladas por el Gobierno; </w:t>
      </w:r>
    </w:p>
    <w:p w14:paraId="075B84E6" w14:textId="05945E60" w:rsidR="00333AFD" w:rsidRPr="00333AFD" w:rsidRDefault="00333AFD" w:rsidP="00333AFD">
      <w:pPr>
        <w:pStyle w:val="SingleTxtG"/>
      </w:pPr>
      <w:r w:rsidRPr="00333AFD">
        <w:tab/>
        <w:t>f)</w:t>
      </w:r>
      <w:r w:rsidRPr="00333AFD">
        <w:tab/>
      </w:r>
      <w:r w:rsidR="00ED0A76" w:rsidRPr="00333AFD">
        <w:t xml:space="preserve">Garantizar </w:t>
      </w:r>
      <w:r w:rsidRPr="00333AFD">
        <w:t>que se reparen las injusticias.</w:t>
      </w:r>
    </w:p>
    <w:p w14:paraId="5D0614C4" w14:textId="27F54E56" w:rsidR="00333AFD" w:rsidRPr="00333AFD" w:rsidRDefault="00D63E71" w:rsidP="00D63E71">
      <w:pPr>
        <w:pStyle w:val="H23G"/>
      </w:pPr>
      <w:bookmarkStart w:id="30" w:name="_Toc87853300"/>
      <w:r>
        <w:tab/>
      </w:r>
      <w:r w:rsidR="00333AFD" w:rsidRPr="00333AFD">
        <w:tab/>
        <w:t>Comisión de Derechos Humanos de Zimbabwe</w:t>
      </w:r>
      <w:bookmarkEnd w:id="30"/>
    </w:p>
    <w:p w14:paraId="4D57794C" w14:textId="77777777" w:rsidR="00333AFD" w:rsidRPr="00333AFD" w:rsidRDefault="00333AFD" w:rsidP="00333AFD">
      <w:pPr>
        <w:pStyle w:val="SingleTxtG"/>
      </w:pPr>
      <w:r w:rsidRPr="00333AFD">
        <w:t>69.</w:t>
      </w:r>
      <w:r w:rsidRPr="00333AFD">
        <w:tab/>
        <w:t>La Comisión de Derechos Humanos de Zimbabwe, creada en virtud del artículo 242 de la Constitución, tiene las siguientes funciones:</w:t>
      </w:r>
    </w:p>
    <w:p w14:paraId="2FD52723" w14:textId="501FEEB8" w:rsidR="00333AFD" w:rsidRPr="00333AFD" w:rsidRDefault="00333AFD" w:rsidP="00333AFD">
      <w:pPr>
        <w:pStyle w:val="SingleTxtG"/>
      </w:pPr>
      <w:r w:rsidRPr="00333AFD">
        <w:tab/>
        <w:t>a)</w:t>
      </w:r>
      <w:r w:rsidRPr="00333AFD">
        <w:tab/>
      </w:r>
      <w:r w:rsidR="00D649DC" w:rsidRPr="00333AFD">
        <w:t xml:space="preserve">Promover </w:t>
      </w:r>
      <w:r w:rsidRPr="00333AFD">
        <w:t>el conocimiento y el respeto de los derechos humanos y libertades fundamentales en todos los niveles de la sociedad;</w:t>
      </w:r>
    </w:p>
    <w:p w14:paraId="1F4B2AFB" w14:textId="07EDD682" w:rsidR="00333AFD" w:rsidRPr="00333AFD" w:rsidRDefault="00333AFD" w:rsidP="00333AFD">
      <w:pPr>
        <w:pStyle w:val="SingleTxtG"/>
      </w:pPr>
      <w:r w:rsidRPr="00333AFD">
        <w:tab/>
        <w:t>b)</w:t>
      </w:r>
      <w:r w:rsidRPr="00333AFD">
        <w:tab/>
      </w:r>
      <w:r w:rsidR="00D649DC" w:rsidRPr="00333AFD">
        <w:t xml:space="preserve">Promover </w:t>
      </w:r>
      <w:r w:rsidRPr="00333AFD">
        <w:t>la protección, el desarrollo y la consecución de los derechos humanos y libertades fundamentales;</w:t>
      </w:r>
    </w:p>
    <w:p w14:paraId="21BC9AAE" w14:textId="35EC1822" w:rsidR="00333AFD" w:rsidRPr="00333AFD" w:rsidRDefault="00333AFD" w:rsidP="00333AFD">
      <w:pPr>
        <w:pStyle w:val="SingleTxtG"/>
      </w:pPr>
      <w:r w:rsidRPr="00333AFD">
        <w:tab/>
        <w:t>c)</w:t>
      </w:r>
      <w:r w:rsidRPr="00333AFD">
        <w:tab/>
      </w:r>
      <w:r w:rsidR="00D649DC" w:rsidRPr="00333AFD">
        <w:t>Vigilar</w:t>
      </w:r>
      <w:r w:rsidRPr="00333AFD">
        <w:t>, evaluar y garantizar el respeto universal y efectivo de los derechos humanos y libertades fundamentales;</w:t>
      </w:r>
    </w:p>
    <w:p w14:paraId="5B86C13A" w14:textId="2793205A" w:rsidR="00333AFD" w:rsidRPr="00333AFD" w:rsidRDefault="00333AFD" w:rsidP="00333AFD">
      <w:pPr>
        <w:pStyle w:val="SingleTxtG"/>
      </w:pPr>
      <w:r w:rsidRPr="00333AFD">
        <w:tab/>
        <w:t>d)</w:t>
      </w:r>
      <w:r w:rsidRPr="00333AFD">
        <w:tab/>
      </w:r>
      <w:r w:rsidR="00D649DC" w:rsidRPr="00333AFD">
        <w:t xml:space="preserve">Recibir </w:t>
      </w:r>
      <w:r w:rsidRPr="00333AFD">
        <w:t>y examinar las denuncias de la población y tomar las medidas que considere oportunas al respecto;</w:t>
      </w:r>
    </w:p>
    <w:p w14:paraId="5BAFBADD" w14:textId="6C2AC7FE" w:rsidR="00333AFD" w:rsidRPr="00333AFD" w:rsidRDefault="00333AFD" w:rsidP="00333AFD">
      <w:pPr>
        <w:pStyle w:val="SingleTxtG"/>
      </w:pPr>
      <w:r w:rsidRPr="00333AFD">
        <w:tab/>
        <w:t>e)</w:t>
      </w:r>
      <w:r w:rsidRPr="00333AFD">
        <w:tab/>
      </w:r>
      <w:r w:rsidR="00D649DC" w:rsidRPr="00333AFD">
        <w:t xml:space="preserve">Proteger </w:t>
      </w:r>
      <w:r w:rsidRPr="00333AFD">
        <w:t>a la población del abuso de poder y la mala administración por las instituciones estatales y públicas y los funcionarios de dichas instituciones;</w:t>
      </w:r>
    </w:p>
    <w:p w14:paraId="7FA0A698" w14:textId="0B0BFA66" w:rsidR="00333AFD" w:rsidRPr="00333AFD" w:rsidRDefault="00333AFD" w:rsidP="00333AFD">
      <w:pPr>
        <w:pStyle w:val="SingleTxtG"/>
      </w:pPr>
      <w:r w:rsidRPr="00333AFD">
        <w:tab/>
        <w:t>f)</w:t>
      </w:r>
      <w:r w:rsidRPr="00333AFD">
        <w:tab/>
      </w:r>
      <w:r w:rsidR="00D649DC" w:rsidRPr="00333AFD">
        <w:t xml:space="preserve">Investigar </w:t>
      </w:r>
      <w:r w:rsidRPr="00333AFD">
        <w:t>la conducta de cualquier autoridad o persona cuando se alegue que ha violado alguno de los derechos humanos y libertades fundamentales establecidos en la Carta de Derechos;</w:t>
      </w:r>
    </w:p>
    <w:p w14:paraId="51240E27" w14:textId="28EBC3B4" w:rsidR="00333AFD" w:rsidRPr="00333AFD" w:rsidRDefault="00333AFD" w:rsidP="00333AFD">
      <w:pPr>
        <w:pStyle w:val="SingleTxtG"/>
      </w:pPr>
      <w:r w:rsidRPr="00333AFD">
        <w:tab/>
        <w:t>g)</w:t>
      </w:r>
      <w:r w:rsidRPr="00333AFD">
        <w:tab/>
      </w:r>
      <w:r w:rsidR="00D649DC" w:rsidRPr="00333AFD">
        <w:t xml:space="preserve">Garantizar </w:t>
      </w:r>
      <w:r w:rsidRPr="00333AFD">
        <w:t>una reparación adecuada, incluida la recomendación de enjuiciar a los infractores, cuando se hayan violado los derechos humanos o las libertades;</w:t>
      </w:r>
    </w:p>
    <w:p w14:paraId="6F3FCE99" w14:textId="0E9F0EDC" w:rsidR="00333AFD" w:rsidRPr="00333AFD" w:rsidRDefault="00333AFD" w:rsidP="00333AFD">
      <w:pPr>
        <w:pStyle w:val="SingleTxtG"/>
      </w:pPr>
      <w:r w:rsidRPr="00333AFD">
        <w:tab/>
        <w:t>h)</w:t>
      </w:r>
      <w:r w:rsidRPr="00333AFD">
        <w:tab/>
      </w:r>
      <w:r w:rsidR="00D649DC" w:rsidRPr="00333AFD">
        <w:t xml:space="preserve">Ordenar </w:t>
      </w:r>
      <w:r w:rsidRPr="00333AFD">
        <w:t>al Comisario General de Policía que investigue los casos de presuntas violaciones penales de los derechos humanos o las libertades y que informe a la Comisión de que se trate de los resultados de dicha investigación;</w:t>
      </w:r>
    </w:p>
    <w:p w14:paraId="7DE5BB04" w14:textId="1CE870BF" w:rsidR="00333AFD" w:rsidRPr="00333AFD" w:rsidRDefault="00333AFD" w:rsidP="00333AFD">
      <w:pPr>
        <w:pStyle w:val="SingleTxtG"/>
      </w:pPr>
      <w:r w:rsidRPr="00333AFD">
        <w:tab/>
        <w:t>i)</w:t>
      </w:r>
      <w:r w:rsidRPr="00333AFD">
        <w:tab/>
      </w:r>
      <w:r w:rsidR="00D649DC" w:rsidRPr="00333AFD">
        <w:t xml:space="preserve">Recomendar </w:t>
      </w:r>
      <w:r w:rsidRPr="00333AFD">
        <w:t>al Parlamento medidas eficaces para promover los derechos humanos y libertades fundamentales;</w:t>
      </w:r>
    </w:p>
    <w:p w14:paraId="714476F8" w14:textId="79A09D8A" w:rsidR="00333AFD" w:rsidRPr="00333AFD" w:rsidRDefault="00333AFD" w:rsidP="00333AFD">
      <w:pPr>
        <w:pStyle w:val="SingleTxtG"/>
      </w:pPr>
      <w:r w:rsidRPr="00333AFD">
        <w:tab/>
        <w:t>j)</w:t>
      </w:r>
      <w:r w:rsidRPr="00333AFD">
        <w:tab/>
      </w:r>
      <w:r w:rsidR="00D649DC" w:rsidRPr="00333AFD">
        <w:t xml:space="preserve">Realizar </w:t>
      </w:r>
      <w:r w:rsidRPr="00333AFD">
        <w:t xml:space="preserve">investigaciones sobre temas relacionados con los derechos humanos y libertades fundamentales y la justicia social; </w:t>
      </w:r>
    </w:p>
    <w:p w14:paraId="6A95054C" w14:textId="2A510575" w:rsidR="00333AFD" w:rsidRPr="00333AFD" w:rsidRDefault="00333AFD" w:rsidP="00333AFD">
      <w:pPr>
        <w:pStyle w:val="SingleTxtG"/>
      </w:pPr>
      <w:r w:rsidRPr="00333AFD">
        <w:tab/>
        <w:t>k)</w:t>
      </w:r>
      <w:r w:rsidRPr="00333AFD">
        <w:tab/>
      </w:r>
      <w:r w:rsidR="00D649DC" w:rsidRPr="00333AFD">
        <w:t xml:space="preserve">Visitar </w:t>
      </w:r>
      <w:r w:rsidRPr="00333AFD">
        <w:t>e inspeccionar prisiones, lugares de detención, campamentos de refugiados e instalaciones conexas, así como lugares de reclusión de personas con trastornos mentales, con el fin de comprobar las condiciones en las que se mantiene a las personas en dichos lugares y formular recomendaciones sobre dichas condiciones al ministro responsable de administrar la legislación pertinente.</w:t>
      </w:r>
    </w:p>
    <w:p w14:paraId="71F92287" w14:textId="37FAA9A7" w:rsidR="00333AFD" w:rsidRPr="00333AFD" w:rsidRDefault="00333AFD" w:rsidP="00333AFD">
      <w:pPr>
        <w:pStyle w:val="SingleTxtG"/>
      </w:pPr>
      <w:r w:rsidRPr="00333AFD">
        <w:t>70.</w:t>
      </w:r>
      <w:r w:rsidRPr="00333AFD">
        <w:tab/>
        <w:t xml:space="preserve">La Comisión de Derechos Humanos de Zimbabwe ha sustituido a la Oficina del Defensor del Pueblo, y a diferencia de esta, la Comisión tiene poderes ilimitados para investigar las vulneraciones de los derechos humanos. Cabe destacar que, desde su puesta en marcha en 2014, la Comisión trató 689 casos, de los cuales 175 fueron una combinación de casos arrastrados de años anteriores y de casos de la antigua Oficina del Defensor del Pueblo. </w:t>
      </w:r>
      <w:r w:rsidRPr="00333AFD">
        <w:lastRenderedPageBreak/>
        <w:t>Esos 175 casos se presentaron a los Comisionados para su cierre y 154 se cerraron; los 19</w:t>
      </w:r>
      <w:r w:rsidR="00B51196">
        <w:t> </w:t>
      </w:r>
      <w:r w:rsidRPr="00333AFD">
        <w:t>restantes fueron aplazados para la adopción de medidas adicionales. En 2017 la Comisión recibió de la población, por correo electrónico, mensajes, llamadas telefónicas, cartas y visitas presenciales, un total de 514 casos. En 2018, el desarrollo de la capacidad fue un componente crucial de la labor de la Comisión, que intercambió sus mejores prácticas con las partes interesadas regionales e internacionales mediante la participación en diferentes foros. La Comisión vigiló e inspeccionó las prisiones y los calabozos de la policía, asegurándose de que las condiciones de esos lugares se ajustaran a las normas mínimas de derechos humanos. En 2019 se puso en marcha la investigación nacional sobre el acceso a la documentación. Esta se realizó de forma sistemática en las diez provincias del país, con la participación de las partes interesadas a nivel provincial y el posterior despliegue de equipos de divulgación en todos los distritos para que realizaran actividades de sensibilización y recibieran los formularios de presentación de pruebas de los testigos y las partes interesadas. Se recibieron 7.544 formularios de presentación de testigos y partes interesadas (4.877 de mujeres y 2.647 de hombres). Las audiencias públicas se realizaron entre julio y noviembre de 2019. La investigación nacional se centró en cinco documentos de identidad: partidas de nacimiento, documentos nacionales de identidad, certificados de defunción, pasaportes y certificados de ciudadanía. La Comisión concluyó la investigación en 2020 y presentó sus conclusiones al Parlamento. Las recomendaciones que incluía están siendo examinadas para su aplicación por el Ministerio del Interior y de Patrimonio Cultural. Aunque la labor de promoción de la Comisión se centró en la investigación nacional, la Comisión siguió empleando estrategias multifacéticas para dar a conocer mejor los derechos humanos, entre estas, la formación en derechos humanos para los garantes de derechos, actividades de divulgación en la comunidad, emisión de comunicados de prensa, exposiciones y elaboración de materiales de información, educación y comunicación, incluidos manuales de formación en derechos humanos. La Comisión hizo un gran avance en la promoción de la educación en derechos humanos en los centros de enseñanza superior y en las escuelas por medio de actividades extracurriculares, como debates y concursos.</w:t>
      </w:r>
    </w:p>
    <w:p w14:paraId="7DAE80C9" w14:textId="2872F4F3" w:rsidR="00333AFD" w:rsidRPr="00333AFD" w:rsidRDefault="00D63E71" w:rsidP="00D63E71">
      <w:pPr>
        <w:pStyle w:val="H23G"/>
      </w:pPr>
      <w:bookmarkStart w:id="31" w:name="_Toc87853301"/>
      <w:r>
        <w:tab/>
      </w:r>
      <w:r w:rsidR="00333AFD" w:rsidRPr="00333AFD">
        <w:tab/>
        <w:t>Comisión de Género de Zimbabwe</w:t>
      </w:r>
      <w:bookmarkEnd w:id="31"/>
    </w:p>
    <w:p w14:paraId="2A8FA704" w14:textId="77777777" w:rsidR="00333AFD" w:rsidRPr="00333AFD" w:rsidRDefault="00333AFD" w:rsidP="00333AFD">
      <w:pPr>
        <w:pStyle w:val="SingleTxtG"/>
      </w:pPr>
      <w:r w:rsidRPr="00333AFD">
        <w:t>71.</w:t>
      </w:r>
      <w:r w:rsidRPr="00333AFD">
        <w:tab/>
        <w:t>La Comisión de Género de Zimbabwe, creada en virtud del artículo 245 de la Constitución, tiene las siguientes funciones:</w:t>
      </w:r>
    </w:p>
    <w:p w14:paraId="64071201" w14:textId="2F23F001" w:rsidR="00333AFD" w:rsidRPr="00333AFD" w:rsidRDefault="00333AFD" w:rsidP="00333AFD">
      <w:pPr>
        <w:pStyle w:val="SingleTxtG"/>
      </w:pPr>
      <w:r w:rsidRPr="00333AFD">
        <w:tab/>
        <w:t>a)</w:t>
      </w:r>
      <w:r w:rsidRPr="00333AFD">
        <w:tab/>
      </w:r>
      <w:r w:rsidR="00B51196" w:rsidRPr="00333AFD">
        <w:t xml:space="preserve">Supervisar </w:t>
      </w:r>
      <w:r w:rsidRPr="00333AFD">
        <w:t>las cuestiones relativas a la igualdad de género a fin de garantizarla, de conformidad con lo dispuesto en la Constitución;</w:t>
      </w:r>
    </w:p>
    <w:p w14:paraId="7E4A8A20" w14:textId="785D4AC0" w:rsidR="00333AFD" w:rsidRPr="00333AFD" w:rsidRDefault="00333AFD" w:rsidP="00333AFD">
      <w:pPr>
        <w:pStyle w:val="SingleTxtG"/>
      </w:pPr>
      <w:r w:rsidRPr="00333AFD">
        <w:tab/>
        <w:t>b)</w:t>
      </w:r>
      <w:r w:rsidRPr="00333AFD">
        <w:tab/>
      </w:r>
      <w:r w:rsidR="00B51196" w:rsidRPr="00333AFD">
        <w:t xml:space="preserve">Investigar </w:t>
      </w:r>
      <w:r w:rsidRPr="00333AFD">
        <w:t>las posibles violaciones de los derechos humanos por razón de género;</w:t>
      </w:r>
    </w:p>
    <w:p w14:paraId="0CA1DEB2" w14:textId="40862F88" w:rsidR="00333AFD" w:rsidRPr="00333AFD" w:rsidRDefault="00333AFD" w:rsidP="00333AFD">
      <w:pPr>
        <w:pStyle w:val="SingleTxtG"/>
      </w:pPr>
      <w:r w:rsidRPr="00333AFD">
        <w:tab/>
        <w:t>c)</w:t>
      </w:r>
      <w:r w:rsidRPr="00333AFD">
        <w:tab/>
      </w:r>
      <w:r w:rsidR="00B51196" w:rsidRPr="00333AFD">
        <w:t xml:space="preserve">Recibir </w:t>
      </w:r>
      <w:r w:rsidRPr="00333AFD">
        <w:t>y examinar las denuncias de la población y tomar las medidas que considere oportunas al respecto;</w:t>
      </w:r>
    </w:p>
    <w:p w14:paraId="38E909E3" w14:textId="2D43D7BA" w:rsidR="00333AFD" w:rsidRPr="00333AFD" w:rsidRDefault="00333AFD" w:rsidP="00333AFD">
      <w:pPr>
        <w:pStyle w:val="SingleTxtG"/>
      </w:pPr>
      <w:r w:rsidRPr="00333AFD">
        <w:tab/>
        <w:t>d)</w:t>
      </w:r>
      <w:r w:rsidRPr="00333AFD">
        <w:tab/>
      </w:r>
      <w:r w:rsidR="00B51196" w:rsidRPr="00333AFD">
        <w:t xml:space="preserve">Realizar </w:t>
      </w:r>
      <w:r w:rsidRPr="00333AFD">
        <w:t>investigaciones sobre cuestiones relacionadas con el género y la justicia social y recomendar cambios en las leyes y prácticas que conducen a la discriminación de género;</w:t>
      </w:r>
    </w:p>
    <w:p w14:paraId="5F2D1E48" w14:textId="0CAA59D7" w:rsidR="00333AFD" w:rsidRPr="00333AFD" w:rsidRDefault="00333AFD" w:rsidP="00333AFD">
      <w:pPr>
        <w:pStyle w:val="SingleTxtG"/>
      </w:pPr>
      <w:r w:rsidRPr="00333AFD">
        <w:tab/>
        <w:t>e)</w:t>
      </w:r>
      <w:r w:rsidRPr="00333AFD">
        <w:tab/>
      </w:r>
      <w:r w:rsidR="00B51196" w:rsidRPr="00333AFD">
        <w:t xml:space="preserve">Asesorar </w:t>
      </w:r>
      <w:r w:rsidRPr="00333AFD">
        <w:t>a las instituciones públicas y privadas sobre las medidas que deben tomarse para garantizar la igualdad de género;</w:t>
      </w:r>
    </w:p>
    <w:p w14:paraId="60EFA1AC" w14:textId="3FC5FD14" w:rsidR="00333AFD" w:rsidRPr="00333AFD" w:rsidRDefault="00333AFD" w:rsidP="00333AFD">
      <w:pPr>
        <w:pStyle w:val="SingleTxtG"/>
      </w:pPr>
      <w:r w:rsidRPr="00333AFD">
        <w:tab/>
        <w:t>f)</w:t>
      </w:r>
      <w:r w:rsidRPr="00333AFD">
        <w:tab/>
      </w:r>
      <w:r w:rsidR="00B51196" w:rsidRPr="00333AFD">
        <w:t xml:space="preserve">Recomendar </w:t>
      </w:r>
      <w:r w:rsidRPr="00333AFD">
        <w:t>programas de acción afirmativa para lograr la igualdad de género;</w:t>
      </w:r>
    </w:p>
    <w:p w14:paraId="641A2471" w14:textId="4D2841C1" w:rsidR="00333AFD" w:rsidRPr="00333AFD" w:rsidRDefault="00333AFD" w:rsidP="00333AFD">
      <w:pPr>
        <w:pStyle w:val="SingleTxtG"/>
      </w:pPr>
      <w:r w:rsidRPr="00333AFD">
        <w:tab/>
        <w:t>g)</w:t>
      </w:r>
      <w:r w:rsidRPr="00333AFD">
        <w:tab/>
      </w:r>
      <w:r w:rsidR="00B51196" w:rsidRPr="00333AFD">
        <w:t xml:space="preserve">Recomendar </w:t>
      </w:r>
      <w:r w:rsidRPr="00333AFD">
        <w:t>el enjuiciamiento de las violaciones de los derechos humanos por razón de género;</w:t>
      </w:r>
    </w:p>
    <w:p w14:paraId="59F4DE89" w14:textId="77DDC030" w:rsidR="00333AFD" w:rsidRPr="00333AFD" w:rsidRDefault="00333AFD" w:rsidP="00333AFD">
      <w:pPr>
        <w:pStyle w:val="SingleTxtG"/>
      </w:pPr>
      <w:r w:rsidRPr="00333AFD">
        <w:tab/>
        <w:t>h)</w:t>
      </w:r>
      <w:r w:rsidRPr="00333AFD">
        <w:tab/>
      </w:r>
      <w:r w:rsidR="00B51196" w:rsidRPr="00333AFD">
        <w:t xml:space="preserve">Garantizar </w:t>
      </w:r>
      <w:r w:rsidRPr="00333AFD">
        <w:t xml:space="preserve">una reparación adecuada cuando se hayan vulnerado los derechos humanos por razón de género; </w:t>
      </w:r>
    </w:p>
    <w:p w14:paraId="220A25A8" w14:textId="05D3645D" w:rsidR="00333AFD" w:rsidRPr="00333AFD" w:rsidRDefault="00333AFD" w:rsidP="00333AFD">
      <w:pPr>
        <w:pStyle w:val="SingleTxtG"/>
      </w:pPr>
      <w:r w:rsidRPr="00333AFD">
        <w:tab/>
        <w:t>i)</w:t>
      </w:r>
      <w:r w:rsidRPr="00333AFD">
        <w:tab/>
      </w:r>
      <w:r w:rsidR="00B51196" w:rsidRPr="00333AFD">
        <w:t xml:space="preserve">Hacer </w:t>
      </w:r>
      <w:r w:rsidRPr="00333AFD">
        <w:t>todo lo necesario para promover la igualdad de género.</w:t>
      </w:r>
    </w:p>
    <w:p w14:paraId="7A53697B" w14:textId="6527C5C9" w:rsidR="00333AFD" w:rsidRPr="00333AFD" w:rsidRDefault="00333AFD" w:rsidP="00333AFD">
      <w:pPr>
        <w:pStyle w:val="SingleTxtG"/>
      </w:pPr>
      <w:r w:rsidRPr="00333AFD">
        <w:t>72.</w:t>
      </w:r>
      <w:r w:rsidRPr="00333AFD">
        <w:tab/>
        <w:t xml:space="preserve">El Gobierno ha puesto en funcionamiento la Comisión de Género de Zimbabwe con arreglo a la Ley de la Comisión de Género de Zimbabwe [capítulo 10:31]. La Comisión ha elaborado un manual de investigación y denuncias para orientar sus indagaciones. Durante el período 2015-2017, tramitó numerosas violaciones de los derechos humanos por razón de género por hombres y mujeres; estos casos guardaban relación con la violencia de género, </w:t>
      </w:r>
      <w:r w:rsidRPr="00333AFD">
        <w:lastRenderedPageBreak/>
        <w:t>controversias por tierras, herencias, acuerdos de divorcio, agresiones sexuales y el embargo de propiedades matrimoniales por bancos comerciales. La Comisión trató 19 casos. En 2017, las mujeres presentaron el 70</w:t>
      </w:r>
      <w:r w:rsidR="00BA5766">
        <w:t xml:space="preserve"> </w:t>
      </w:r>
      <w:r w:rsidRPr="00333AFD">
        <w:t>% de los casos y los hombres el 30</w:t>
      </w:r>
      <w:r w:rsidR="00BA5766">
        <w:t xml:space="preserve"> </w:t>
      </w:r>
      <w:r w:rsidRPr="00333AFD">
        <w:t>%. Los casos guardaron relación con cuestiones matrimoniales, violencia de género y derechos de propiedad. En 2018 se recibieron 25 casos, de los cuales 10 fueron por acoso sexual, 6 por violencia doméstica, 5 por controversias por propiedad y 4 por violencia de género. En 2019, se registraron 5</w:t>
      </w:r>
      <w:r w:rsidR="00BA5766">
        <w:t> </w:t>
      </w:r>
      <w:r w:rsidRPr="00333AFD">
        <w:t>casos, 3 de los cuales guardaron relación con barreras sistémicas. Un total de 402 personas recibieron asistencia jurídica brindada por la Comisión. En 2020, la Comisión recibió casos de naturaleza diversa, como 12 casos de acoso sexual, 5 de discriminación por de género, 12</w:t>
      </w:r>
      <w:r w:rsidR="00BA5766">
        <w:t> </w:t>
      </w:r>
      <w:r w:rsidRPr="00333AFD">
        <w:t>relacionados con los derechos de propiedad, 20 de violencia de género y 2 relacionados con estereotipos de género en los medios sociales y los servicios de radio y teledifusión. Hasta la fecha, en 2021 la Comisión recibió 52 casos, de los cuales 6 eran controversias por propiedades, 16 de explotación sexual y abuso/matrimonio, 5 de violencia de género, 3 de violación, 8 de violencia doméstica, 5 de acoso sexual, 2 de divorcio, 3 de controversias por tierras, 1 de abuso de drogas y salud mental, y 1 de agresión verbal a un menor. En 2021, alrededor del 60</w:t>
      </w:r>
      <w:r w:rsidR="00BA5766">
        <w:t xml:space="preserve"> </w:t>
      </w:r>
      <w:r w:rsidRPr="00333AFD">
        <w:t>% de los casos fueron presentados por mujeres y el 40</w:t>
      </w:r>
      <w:r w:rsidR="00BA5766">
        <w:t xml:space="preserve"> </w:t>
      </w:r>
      <w:r w:rsidRPr="00333AFD">
        <w:t>% por hombres.</w:t>
      </w:r>
    </w:p>
    <w:p w14:paraId="6D029083" w14:textId="77777777" w:rsidR="00333AFD" w:rsidRPr="00333AFD" w:rsidRDefault="00333AFD" w:rsidP="00333AFD">
      <w:pPr>
        <w:pStyle w:val="SingleTxtG"/>
      </w:pPr>
      <w:r w:rsidRPr="00333AFD">
        <w:t>73.</w:t>
      </w:r>
      <w:r w:rsidRPr="00333AFD">
        <w:tab/>
        <w:t>Sin embargo, las investigaciones se vieron afectadas por la COVID-19, ya que las medidas de confinamiento impidieron que la Comisión interactuara de forma continua con la población, mientras que la crisis humanitaria planteada por la pandemia creó un nuevo patrón de violaciones de los derechos humanos por razón de género. Tareas rutinarias como la atención a personas sin cita previa, la realización de clínicas jurídicas móviles, el uso de mecanismos de solución de controversias por vías alternativas y las investigaciones sobre barreras sistémicas perjudiciales para la igualdad de género, se vieron obstaculizadas por la necesidad de cumplir la normativa de limitar la interacción física.</w:t>
      </w:r>
    </w:p>
    <w:p w14:paraId="166EE31C" w14:textId="5D2BD7DB" w:rsidR="00333AFD" w:rsidRPr="00333AFD" w:rsidRDefault="00D63E71" w:rsidP="00D63E71">
      <w:pPr>
        <w:pStyle w:val="H23G"/>
      </w:pPr>
      <w:r>
        <w:tab/>
      </w:r>
      <w:r w:rsidR="00333AFD" w:rsidRPr="00333AFD">
        <w:tab/>
        <w:t>Análisis de casos</w:t>
      </w:r>
    </w:p>
    <w:p w14:paraId="370B63D7" w14:textId="77777777" w:rsidR="00333AFD" w:rsidRPr="00333AFD" w:rsidRDefault="00333AFD" w:rsidP="00333AFD">
      <w:pPr>
        <w:pStyle w:val="SingleTxtG"/>
      </w:pPr>
      <w:r w:rsidRPr="00333AFD">
        <w:t>74.</w:t>
      </w:r>
      <w:r w:rsidRPr="00333AFD">
        <w:tab/>
        <w:t>La mayoría de los casos recibidos se centran en la explotación y el abuso sexuales, y la violencia sexual de género en sus diversas manifestaciones. La Comisión también observó un aumento de los casos de negación de los bienes matrimoniales a las mujeres tras la disolución del matrimonio, ya sea por divorcio o por fallecimiento del marido. Las violaciones de derechos, como la violencia de género, se están usando como elemento adicional de la privación.</w:t>
      </w:r>
    </w:p>
    <w:p w14:paraId="4B021190" w14:textId="7604D4A2" w:rsidR="00333AFD" w:rsidRPr="00333AFD" w:rsidRDefault="00D63E71" w:rsidP="00D63E71">
      <w:pPr>
        <w:pStyle w:val="H23G"/>
      </w:pPr>
      <w:bookmarkStart w:id="32" w:name="_Toc87853302"/>
      <w:r>
        <w:tab/>
      </w:r>
      <w:r w:rsidR="00333AFD" w:rsidRPr="00333AFD">
        <w:tab/>
        <w:t>Comisión Nacional para la Paz y la Reconciliación</w:t>
      </w:r>
      <w:bookmarkEnd w:id="32"/>
    </w:p>
    <w:p w14:paraId="29688EB7" w14:textId="77777777" w:rsidR="00333AFD" w:rsidRPr="00333AFD" w:rsidRDefault="00333AFD" w:rsidP="00810014">
      <w:pPr>
        <w:pStyle w:val="SingleTxtG"/>
        <w:spacing w:after="130"/>
      </w:pPr>
      <w:r w:rsidRPr="00333AFD">
        <w:t>75.</w:t>
      </w:r>
      <w:r w:rsidRPr="00333AFD">
        <w:tab/>
        <w:t>La Comisión Nacional para la Paz y la Reconciliación, establecida en virtud del artículo 251 de la Constitución, tiene las siguientes funciones:</w:t>
      </w:r>
    </w:p>
    <w:p w14:paraId="2B37CE4F" w14:textId="236353A0" w:rsidR="00333AFD" w:rsidRPr="00333AFD" w:rsidRDefault="00333AFD" w:rsidP="00810014">
      <w:pPr>
        <w:pStyle w:val="SingleTxtG"/>
        <w:spacing w:after="130"/>
      </w:pPr>
      <w:r w:rsidRPr="00333AFD">
        <w:tab/>
        <w:t>a)</w:t>
      </w:r>
      <w:r w:rsidRPr="00333AFD">
        <w:tab/>
      </w:r>
      <w:r w:rsidR="00BA5766" w:rsidRPr="00333AFD">
        <w:t xml:space="preserve">Garantizar </w:t>
      </w:r>
      <w:r w:rsidRPr="00333AFD">
        <w:t>la justicia, la cicatrización de las heridas y la reconciliación tras el conflicto;</w:t>
      </w:r>
    </w:p>
    <w:p w14:paraId="16F27FA6" w14:textId="736DA95B" w:rsidR="00333AFD" w:rsidRPr="00333AFD" w:rsidRDefault="00333AFD" w:rsidP="00810014">
      <w:pPr>
        <w:pStyle w:val="SingleTxtG"/>
        <w:spacing w:after="130"/>
      </w:pPr>
      <w:r w:rsidRPr="00333AFD">
        <w:tab/>
        <w:t>b)</w:t>
      </w:r>
      <w:r w:rsidRPr="00333AFD">
        <w:tab/>
      </w:r>
      <w:r w:rsidR="00BA5766" w:rsidRPr="00333AFD">
        <w:t xml:space="preserve">Elaborar </w:t>
      </w:r>
      <w:r w:rsidRPr="00333AFD">
        <w:t>y ejecutar programas para promover la cicatrización de las heridas, la unidad y la cohesión nacionales de Zimbabwe y la resolución pacífica de controversias;</w:t>
      </w:r>
    </w:p>
    <w:p w14:paraId="7017B9B3" w14:textId="14875317" w:rsidR="00333AFD" w:rsidRPr="00333AFD" w:rsidRDefault="00333AFD" w:rsidP="00810014">
      <w:pPr>
        <w:pStyle w:val="SingleTxtG"/>
        <w:spacing w:after="130"/>
      </w:pPr>
      <w:r w:rsidRPr="00333AFD">
        <w:tab/>
        <w:t>c)</w:t>
      </w:r>
      <w:r w:rsidRPr="00333AFD">
        <w:tab/>
      </w:r>
      <w:r w:rsidR="00BA5766" w:rsidRPr="00333AFD">
        <w:t xml:space="preserve">Lograr </w:t>
      </w:r>
      <w:r w:rsidRPr="00333AFD">
        <w:t>la reconciliación nacional alentando a la población a relatar la verdad sobre el pasado y facilitando la reparación y la administración de justicia;</w:t>
      </w:r>
    </w:p>
    <w:p w14:paraId="593C0348" w14:textId="4CAFCF47" w:rsidR="00333AFD" w:rsidRPr="00333AFD" w:rsidRDefault="00333AFD" w:rsidP="00810014">
      <w:pPr>
        <w:pStyle w:val="SingleTxtG"/>
        <w:spacing w:after="130"/>
      </w:pPr>
      <w:r w:rsidRPr="00333AFD">
        <w:tab/>
        <w:t>d)</w:t>
      </w:r>
      <w:r w:rsidRPr="00333AFD">
        <w:tab/>
      </w:r>
      <w:r w:rsidR="00BA5766" w:rsidRPr="00333AFD">
        <w:t xml:space="preserve">Elaborar </w:t>
      </w:r>
      <w:r w:rsidRPr="00333AFD">
        <w:t>procedimientos y crear instituciones a nivel nacional para facilitar el diálogo entre partidos políticos, comunidades, organizaciones y otros grupos, con miras a evitar que surjan conflictos y controversias;</w:t>
      </w:r>
    </w:p>
    <w:p w14:paraId="6E56D9B7" w14:textId="63C45541" w:rsidR="00333AFD" w:rsidRPr="00333AFD" w:rsidRDefault="00333AFD" w:rsidP="00810014">
      <w:pPr>
        <w:pStyle w:val="SingleTxtG"/>
        <w:spacing w:after="130"/>
      </w:pPr>
      <w:r w:rsidRPr="00333AFD">
        <w:tab/>
        <w:t>e)</w:t>
      </w:r>
      <w:r w:rsidRPr="00333AFD">
        <w:tab/>
      </w:r>
      <w:r w:rsidR="00BA5766" w:rsidRPr="00333AFD">
        <w:t xml:space="preserve">Elaborar </w:t>
      </w:r>
      <w:r w:rsidRPr="00333AFD">
        <w:t>programas para garantizar que las personas sometidas a persecución, tortura y otras formas de maltrato reciban tratamiento de rehabilitación y apoyo;</w:t>
      </w:r>
    </w:p>
    <w:p w14:paraId="14EB254A" w14:textId="7F8AECF9" w:rsidR="00333AFD" w:rsidRPr="00333AFD" w:rsidRDefault="00333AFD" w:rsidP="00810014">
      <w:pPr>
        <w:pStyle w:val="SingleTxtG"/>
        <w:spacing w:after="130"/>
      </w:pPr>
      <w:r w:rsidRPr="00333AFD">
        <w:tab/>
        <w:t>f)</w:t>
      </w:r>
      <w:r w:rsidRPr="00333AFD">
        <w:tab/>
      </w:r>
      <w:r w:rsidR="00BA5766" w:rsidRPr="00333AFD">
        <w:t xml:space="preserve">Recibir </w:t>
      </w:r>
      <w:r w:rsidRPr="00333AFD">
        <w:t>y examinar las denuncias de la población y tomar las medidas que considere oportunas al respecto;</w:t>
      </w:r>
    </w:p>
    <w:p w14:paraId="1C023943" w14:textId="3C5D43FD" w:rsidR="00333AFD" w:rsidRPr="00333AFD" w:rsidRDefault="00333AFD" w:rsidP="00810014">
      <w:pPr>
        <w:pStyle w:val="SingleTxtG"/>
        <w:spacing w:after="130"/>
      </w:pPr>
      <w:r w:rsidRPr="00333AFD">
        <w:tab/>
        <w:t>g)</w:t>
      </w:r>
      <w:r w:rsidRPr="00333AFD">
        <w:tab/>
      </w:r>
      <w:r w:rsidR="00BA5766" w:rsidRPr="00333AFD">
        <w:t xml:space="preserve">Elaborar </w:t>
      </w:r>
      <w:r w:rsidRPr="00333AFD">
        <w:t>mecanismos para la detección temprana de posibles conflictos y controversias, y tomar las medidas preventivas adecuadas;</w:t>
      </w:r>
    </w:p>
    <w:p w14:paraId="1C5B8DB8" w14:textId="3F8E0855" w:rsidR="00333AFD" w:rsidRPr="00333AFD" w:rsidRDefault="00333AFD" w:rsidP="00810014">
      <w:pPr>
        <w:pStyle w:val="SingleTxtG"/>
        <w:spacing w:after="130"/>
      </w:pPr>
      <w:r w:rsidRPr="00333AFD">
        <w:tab/>
        <w:t>h)</w:t>
      </w:r>
      <w:r w:rsidRPr="00333AFD">
        <w:tab/>
      </w:r>
      <w:r w:rsidR="00BA5766" w:rsidRPr="00333AFD">
        <w:t xml:space="preserve">Actuar </w:t>
      </w:r>
      <w:r w:rsidRPr="00333AFD">
        <w:t>en cualquier otro ámbito relacionado con la prevención de conflictos y la promoción de la paz;</w:t>
      </w:r>
    </w:p>
    <w:p w14:paraId="7F587F2B" w14:textId="7832E0E3" w:rsidR="00333AFD" w:rsidRPr="00333AFD" w:rsidRDefault="00333AFD" w:rsidP="00810014">
      <w:pPr>
        <w:pStyle w:val="SingleTxtG"/>
        <w:spacing w:after="130"/>
      </w:pPr>
      <w:r w:rsidRPr="00333AFD">
        <w:lastRenderedPageBreak/>
        <w:tab/>
        <w:t>i)</w:t>
      </w:r>
      <w:r w:rsidRPr="00333AFD">
        <w:tab/>
      </w:r>
      <w:r w:rsidR="00BA5766" w:rsidRPr="00333AFD">
        <w:t xml:space="preserve">Dirigir </w:t>
      </w:r>
      <w:r w:rsidRPr="00333AFD">
        <w:t>las actividades de conciliación y mediación relativas a las controversias entre comunidades, organizaciones, grupos y particulares;</w:t>
      </w:r>
    </w:p>
    <w:p w14:paraId="01137EB9" w14:textId="02AF421F" w:rsidR="00333AFD" w:rsidRPr="00333AFD" w:rsidRDefault="00333AFD" w:rsidP="00810014">
      <w:pPr>
        <w:pStyle w:val="SingleTxtG"/>
        <w:spacing w:after="130"/>
      </w:pPr>
      <w:r w:rsidRPr="00333AFD">
        <w:tab/>
        <w:t>j)</w:t>
      </w:r>
      <w:r w:rsidRPr="00333AFD">
        <w:tab/>
      </w:r>
      <w:r w:rsidR="00BA5766" w:rsidRPr="00333AFD">
        <w:t xml:space="preserve">Recomendar </w:t>
      </w:r>
      <w:r w:rsidRPr="00333AFD">
        <w:t xml:space="preserve">legislación para asegurar la asistencia a las personas afectadas por conflictos, pandemias u otras circunstancias, entre otras cosas; </w:t>
      </w:r>
    </w:p>
    <w:p w14:paraId="63F13A79" w14:textId="3E0F2E89" w:rsidR="00333AFD" w:rsidRPr="00333AFD" w:rsidRDefault="00333AFD" w:rsidP="00810014">
      <w:pPr>
        <w:pStyle w:val="SingleTxtG"/>
        <w:spacing w:after="130"/>
      </w:pPr>
      <w:r w:rsidRPr="00333AFD">
        <w:tab/>
        <w:t>k)</w:t>
      </w:r>
      <w:r w:rsidRPr="00333AFD">
        <w:tab/>
      </w:r>
      <w:r w:rsidR="00BA5766" w:rsidRPr="00333AFD">
        <w:t xml:space="preserve">Asegurar </w:t>
      </w:r>
      <w:r w:rsidRPr="00333AFD">
        <w:t>el otorgamiento de la documentación pertinente.</w:t>
      </w:r>
    </w:p>
    <w:p w14:paraId="385D27CC" w14:textId="77777777" w:rsidR="00333AFD" w:rsidRPr="00333AFD" w:rsidRDefault="00333AFD" w:rsidP="00810014">
      <w:pPr>
        <w:pStyle w:val="SingleTxtG"/>
        <w:spacing w:after="130"/>
      </w:pPr>
      <w:r w:rsidRPr="00333AFD">
        <w:t>76.</w:t>
      </w:r>
      <w:r w:rsidRPr="00333AFD">
        <w:tab/>
        <w:t xml:space="preserve">La Comisión entró en funcionamiento en 2018 con arreglo a la Ley de la Comisión Nacional para la Paz y la Reconciliación [capítulo 10:32]. La Comisión funcionará durante un período de diez años. </w:t>
      </w:r>
    </w:p>
    <w:p w14:paraId="68CC9B5E" w14:textId="77777777" w:rsidR="00333AFD" w:rsidRPr="00333AFD" w:rsidRDefault="00333AFD" w:rsidP="00333AFD">
      <w:pPr>
        <w:pStyle w:val="SingleTxtG"/>
      </w:pPr>
      <w:r w:rsidRPr="00333AFD">
        <w:t>77.</w:t>
      </w:r>
      <w:r w:rsidRPr="00333AFD">
        <w:tab/>
        <w:t xml:space="preserve">La Comisión Nacional para la Paz y la Reconciliación es una comisión independiente creada en virtud de la Constitución de Zimbabwe de 2013. El mandato constitucional y el marco jurídico de la Comisión sientan las bases para que la Comisión una a los zimbabuenses en aras de una paz sostenible, resolviendo los conflictos del pasado y tratando los conflictos actuales, evitando que se repitan tanto los conflictos del pasado como los actuales. Esto se logrará mediante el desempeño por la Comisión de un conjunto de funciones, como se estipula en los artículos 233 y 252 de la Constitución de Zimbabwe de 2013, así como en el artículo 3 2) a) a d) de la Ley de la Comisión Nacional para la Paz y la Reconciliación [capítulo10:32], que establece que las funciones de la Comisión guardarán relación con los conflictos pasados y presentes y los posibles conflictos futuros. </w:t>
      </w:r>
    </w:p>
    <w:p w14:paraId="0C715253" w14:textId="77777777" w:rsidR="00333AFD" w:rsidRPr="00333AFD" w:rsidRDefault="00333AFD" w:rsidP="00333AFD">
      <w:pPr>
        <w:pStyle w:val="SingleTxtG"/>
      </w:pPr>
      <w:r w:rsidRPr="00333AFD">
        <w:t>78.</w:t>
      </w:r>
      <w:r w:rsidRPr="00333AFD">
        <w:tab/>
        <w:t>Mientras que la Comisión Nacional para la Paz y la Reconciliación funcionará durante diez años, la Comisión ha establecido su plan quinquenal para el período 2018-2022 y afirma que para 2022 habrá iniciado y facilitado un proceso de cicatrización de las heridas y reconciliación, y habrá puesto en marcha mecanismos de colaboración para consolidar la capacidad del país en la gestión de conflictos y el sostenimiento de la paz.</w:t>
      </w:r>
    </w:p>
    <w:p w14:paraId="726FE037" w14:textId="06171FB8" w:rsidR="00333AFD" w:rsidRPr="00333AFD" w:rsidRDefault="00D63E71" w:rsidP="00D63E71">
      <w:pPr>
        <w:pStyle w:val="H23G"/>
      </w:pPr>
      <w:bookmarkStart w:id="33" w:name="_Toc87853303"/>
      <w:r>
        <w:tab/>
      </w:r>
      <w:r w:rsidR="00333AFD" w:rsidRPr="00333AFD">
        <w:tab/>
        <w:t>Intercambios estratégicos de la Comisión Nacional para la Paz y la</w:t>
      </w:r>
      <w:r w:rsidR="003D4091">
        <w:t xml:space="preserve"> </w:t>
      </w:r>
      <w:r w:rsidR="00333AFD" w:rsidRPr="00333AFD">
        <w:t>Reconciliación</w:t>
      </w:r>
      <w:bookmarkEnd w:id="33"/>
    </w:p>
    <w:p w14:paraId="48F9824F" w14:textId="7DF59489" w:rsidR="00333AFD" w:rsidRPr="00333AFD" w:rsidRDefault="00333AFD" w:rsidP="00333AFD">
      <w:pPr>
        <w:pStyle w:val="SingleTxtG"/>
      </w:pPr>
      <w:r w:rsidRPr="00333AFD">
        <w:t>79.</w:t>
      </w:r>
      <w:r w:rsidRPr="00333AFD">
        <w:tab/>
        <w:t xml:space="preserve">Los intercambios estratégicos son una herramienta eficaz utilizada en la consolidación de la paz para maximizar el éxito de la estrategia de una institución. En 2019, la Comisión celebró varios intercambios estratégicos con partes interesadas y asociados nacionales, en particular con el Comité Parlamentario de Cartera de Justicia y Asuntos Jurídicos y Parlamentarios y los Comités Parlamentarios Temáticos de Derechos Humanos y de Defensa y Seguridad, con dirigentes tradicionales, organizaciones eclesiásticas, organizaciones de la sociedad civil y partidos políticos, y con las estructuras de mando del sector de la seguridad, entre otros, para dialogar sobre la labor de la Comisión y analizar formas de colaboración para alcanzar la paz, la cicatrización de las heridas y la reconciliación. </w:t>
      </w:r>
    </w:p>
    <w:p w14:paraId="2708F2EF" w14:textId="77777777" w:rsidR="00333AFD" w:rsidRPr="00333AFD" w:rsidRDefault="00333AFD" w:rsidP="00333AFD">
      <w:pPr>
        <w:pStyle w:val="SingleTxtG"/>
      </w:pPr>
      <w:r w:rsidRPr="00333AFD">
        <w:t>80.</w:t>
      </w:r>
      <w:r w:rsidRPr="00333AFD">
        <w:tab/>
        <w:t>La Comisión celebró intercambios bilaterales con los partidos políticos Unión Nacional Africana de Zimbabwe-Frente Patriótico (ZANU-PF), Movimiento por el Cambio Democrático-Tsvangirai (MDC-T) y Alianza MDC) para compartir su plan estratégico, así como los programas de paz y reconciliación que se estaban aplicando en el país. Los intercambios demostraron que todos los agentes políticos estaban dispuestos a trabajar en la consolidación y la promoción de la paz.</w:t>
      </w:r>
    </w:p>
    <w:p w14:paraId="1D5C7353" w14:textId="77777777" w:rsidR="00333AFD" w:rsidRPr="00333AFD" w:rsidRDefault="00333AFD" w:rsidP="00333AFD">
      <w:pPr>
        <w:pStyle w:val="SingleTxtG"/>
      </w:pPr>
      <w:r w:rsidRPr="00333AFD">
        <w:t>81.</w:t>
      </w:r>
      <w:r w:rsidRPr="00333AFD">
        <w:tab/>
        <w:t xml:space="preserve">Durante las protestas públicas que tuvieron lugar en enero y agosto de 2019, la Comisión también celebró intercambios con agentes clave para encontrar formas amistosas de abordar el conflicto. La Comisión llevó a cabo una diplomacia itinerante entre bastidores que contribuyó a sofocar las manifestaciones públicas que suponían un gran riesgo para la paz y la seguridad del país. Durante las protestas de enero de 2019 se celebraron intercambios bilaterales con el entonces Ministro de Defensa, el sector de la seguridad y los líderes de los partidos políticos, a fin de alcanzar un consenso sobre la necesidad de encontrar formas pacíficas de abordar el conflicto. </w:t>
      </w:r>
    </w:p>
    <w:p w14:paraId="7EC0E8FA" w14:textId="77777777" w:rsidR="00333AFD" w:rsidRPr="00333AFD" w:rsidRDefault="00333AFD" w:rsidP="00333AFD">
      <w:pPr>
        <w:pStyle w:val="SingleTxtG"/>
      </w:pPr>
      <w:r w:rsidRPr="00333AFD">
        <w:t>82.</w:t>
      </w:r>
      <w:r w:rsidRPr="00333AFD">
        <w:tab/>
        <w:t xml:space="preserve">Se celebraron reuniones de diálogo con altos cargos de las Fuerzas de Defensa de Zimbabwe, en las que, aplicando la estrategia de la Comisión, se analizaron esferas de colaboración en el proceso de consolidación de la paz. La Comisión también se reunió con entidades de la sociedad civil (coordinadas a través de la Asociación Nacional de Organizaciones No Gubernamentales), la coalición de grupos de mujeres, veteranos de </w:t>
      </w:r>
      <w:r w:rsidRPr="00333AFD">
        <w:lastRenderedPageBreak/>
        <w:t xml:space="preserve">guerra, e iglesias, para explorar las esferas de colaboración y para que esas entidades tomaran conocimiento del trabajo de la Comisión. </w:t>
      </w:r>
    </w:p>
    <w:p w14:paraId="49B6B701" w14:textId="77777777" w:rsidR="00333AFD" w:rsidRPr="00333AFD" w:rsidRDefault="00333AFD" w:rsidP="00333AFD">
      <w:pPr>
        <w:pStyle w:val="SingleTxtG"/>
      </w:pPr>
      <w:r w:rsidRPr="00333AFD">
        <w:t>83.</w:t>
      </w:r>
      <w:r w:rsidRPr="00333AFD">
        <w:tab/>
        <w:t xml:space="preserve">Para asegurar que todos los niveles de gobierno comprendieran el trabajo de la Comisión, se celebraron reuniones con las secretarías permanentes de todos los ministerios. Se realizaron otros intercambios con el Comité Parlamentario de Cartera de Justicia y Asuntos Jurídicos y Parlamentarios y el Comité Parlamentario Temático de Derechos Humanos en febrero y agosto de 2019, respectivamente, en los que se compartió la estrategia quinquenal de la Comisión, así como las esferas de colaboración entre el Estado y la Comisión, con objeto de lograr la paz. Las reuniones con los Comités proporcionaron la supervisión, la orientación y la dirección necesarias para la labor de la Comisión. </w:t>
      </w:r>
    </w:p>
    <w:p w14:paraId="019788B2" w14:textId="77777777" w:rsidR="00333AFD" w:rsidRPr="00333AFD" w:rsidRDefault="00333AFD" w:rsidP="00333AFD">
      <w:pPr>
        <w:pStyle w:val="SingleTxtG"/>
        <w:rPr>
          <w:b/>
        </w:rPr>
      </w:pPr>
      <w:r w:rsidRPr="00333AFD">
        <w:t>84.</w:t>
      </w:r>
      <w:r w:rsidRPr="00333AFD">
        <w:tab/>
        <w:t xml:space="preserve">La Comisión realizó tratativas para reunirse con el Gobierno y los médicos en formación durante el prolongado conflicto entre ambas partes. Invitó a los representantes de la Asociación de Médicos de Hospitales de Zimbabwe y a su mediador para debatir posibles vías de resolución del conflicto y poner de relieve el interés común sobre la necesidad de salvar vidas humanas. Los médicos en formación se comprometieron a seguir actuando de forma positiva por el bien de la nación y de los ciudadanos que necesitaban atención médica. A su vez, la Comisión instó a los médicos en formación a considerar la petición del Gobierno de volver al trabajo mientras se analizaban sus preocupaciones. El Gobierno también se comprometió a tratar los problemas del sector de los servicios sanitarios presentados por los profesionales de la salud y se le instó a que, al hacerlo, tuviera en cuenta las necesidades de los profesionales. </w:t>
      </w:r>
    </w:p>
    <w:p w14:paraId="2D63B449" w14:textId="5BF6D9DE" w:rsidR="00333AFD" w:rsidRPr="00333AFD" w:rsidRDefault="00333AFD" w:rsidP="00333AFD">
      <w:pPr>
        <w:pStyle w:val="SingleTxtG"/>
        <w:rPr>
          <w:b/>
        </w:rPr>
      </w:pPr>
      <w:r w:rsidRPr="00333AFD">
        <w:t>85.</w:t>
      </w:r>
      <w:r w:rsidRPr="00333AFD">
        <w:tab/>
        <w:t xml:space="preserve">La Comisión se asoció con el Consejo de Iglesias de Zimbabwe para convocar una cumbre con los jefes tradicionales y los altos dirigentes de las iglesias de la provincia de Midlands. El objetivo de la cumbre era examinar el papel de los dirigentes tradicionales y eclesiásticos en la consolidación de la paz, así como destacar los retos a los que se enfrentaban los dirigentes tradicionales. Los dirigentes tradicionales y los eclesiásticos son los custodios de las personas en las comunidades y, por lo tanto, son partes interesadas importantes en la agenda de paz. Entre los asistentes hubo otras partes interesadas, como la </w:t>
      </w:r>
      <w:r w:rsidR="00406289">
        <w:t>p</w:t>
      </w:r>
      <w:r w:rsidRPr="00333AFD">
        <w:t>olicía, el Ministerio de Minas y la oficina del Coordinador Provincial de Desarrollo.</w:t>
      </w:r>
    </w:p>
    <w:p w14:paraId="65082105" w14:textId="626A382F" w:rsidR="00333AFD" w:rsidRPr="00333AFD" w:rsidRDefault="00D63E71" w:rsidP="00D63E71">
      <w:pPr>
        <w:pStyle w:val="H23G"/>
      </w:pPr>
      <w:bookmarkStart w:id="34" w:name="_Toc87853304"/>
      <w:r>
        <w:tab/>
      </w:r>
      <w:r w:rsidR="00333AFD" w:rsidRPr="00333AFD">
        <w:tab/>
        <w:t>Programas de la Comisión en 2019</w:t>
      </w:r>
      <w:bookmarkEnd w:id="34"/>
    </w:p>
    <w:p w14:paraId="03E7B39F" w14:textId="77777777" w:rsidR="00333AFD" w:rsidRPr="00333AFD" w:rsidRDefault="00333AFD" w:rsidP="00333AFD">
      <w:pPr>
        <w:pStyle w:val="SingleTxtG"/>
      </w:pPr>
      <w:r w:rsidRPr="00333AFD">
        <w:t>86.</w:t>
      </w:r>
      <w:r w:rsidRPr="00333AFD">
        <w:tab/>
        <w:t>De conformidad con el artículo 8 1) del anexo I de la Ley de la Comisión Nacional para la Paz y la Reconciliación, la Comisión estableció siete comités temáticos presididos por comisionados como medio para orientar las políticas y coordinar los programas. Estos comités se dividen en 4 comités externos y 3 internos. Los comités internos se crearon para prestar servicios de apoyo y solo pueden integrarlos miembros del personal de la Comisión, mientras que los comités externos se componen en su mayoría de expertos que representan a diversas partes interesadas ajenas a la Comisión. Se adoptó el concepto de comités temáticos como plataforma multipartita de asesoramiento a la Comisión de conformidad con la Ley de la Comisión Nacional para la Paz y la Reconciliación y su Reglamento. Cada uno de los siete comités temáticos tiene un departamento que coordina la ejecución de los programas de la Comisión. Los comités de la Comisión son los de prevención de conflictos y no repetición, de cicatrización de las heridas, de reconciliación y rehabilitación, de investigación y gestión del conocimiento, de apoyo a las víctimas, de género y de diversidad.</w:t>
      </w:r>
    </w:p>
    <w:p w14:paraId="6AE27AAE" w14:textId="1FFA521F" w:rsidR="00333AFD" w:rsidRPr="00333AFD" w:rsidRDefault="00333AFD" w:rsidP="00D63E71">
      <w:pPr>
        <w:pStyle w:val="H23G"/>
      </w:pPr>
      <w:bookmarkStart w:id="35" w:name="_Toc87853305"/>
      <w:r w:rsidRPr="00333AFD">
        <w:tab/>
      </w:r>
      <w:r w:rsidR="00D63E71">
        <w:tab/>
      </w:r>
      <w:r w:rsidRPr="00333AFD">
        <w:t>Comisión de Medios de Comunicación de Zimbabwe</w:t>
      </w:r>
      <w:bookmarkEnd w:id="35"/>
    </w:p>
    <w:p w14:paraId="0D894D97" w14:textId="2D4894DC" w:rsidR="00333AFD" w:rsidRPr="00333AFD" w:rsidRDefault="00333AFD" w:rsidP="00333AFD">
      <w:pPr>
        <w:pStyle w:val="SingleTxtG"/>
      </w:pPr>
      <w:r w:rsidRPr="00333AFD">
        <w:t>87.</w:t>
      </w:r>
      <w:r w:rsidRPr="00333AFD">
        <w:tab/>
        <w:t>La Comisión de Medios de Comunicación de Zimbabwe, creada en virtud del artículo</w:t>
      </w:r>
      <w:r w:rsidR="00406289">
        <w:t> </w:t>
      </w:r>
      <w:r w:rsidRPr="00333AFD">
        <w:t>248 de la Constitución, tiene las siguientes funciones:</w:t>
      </w:r>
    </w:p>
    <w:p w14:paraId="67724E61" w14:textId="54F8C3D3" w:rsidR="00333AFD" w:rsidRPr="00333AFD" w:rsidRDefault="00333AFD" w:rsidP="00333AFD">
      <w:pPr>
        <w:pStyle w:val="SingleTxtG"/>
      </w:pPr>
      <w:r w:rsidRPr="00333AFD">
        <w:tab/>
        <w:t>a)</w:t>
      </w:r>
      <w:r w:rsidRPr="00333AFD">
        <w:tab/>
      </w:r>
      <w:r w:rsidR="00406289" w:rsidRPr="00333AFD">
        <w:t>Defender</w:t>
      </w:r>
      <w:r w:rsidRPr="00333AFD">
        <w:t>, promover y desarrollar la libertad de los medios de comunicación;</w:t>
      </w:r>
    </w:p>
    <w:p w14:paraId="2735C5BE" w14:textId="716D9A49" w:rsidR="00333AFD" w:rsidRPr="00333AFD" w:rsidRDefault="00333AFD" w:rsidP="00333AFD">
      <w:pPr>
        <w:pStyle w:val="SingleTxtG"/>
      </w:pPr>
      <w:r w:rsidRPr="00333AFD">
        <w:tab/>
        <w:t>b)</w:t>
      </w:r>
      <w:r w:rsidRPr="00333AFD">
        <w:tab/>
      </w:r>
      <w:r w:rsidR="00406289" w:rsidRPr="00333AFD">
        <w:t xml:space="preserve">Promover </w:t>
      </w:r>
      <w:r w:rsidRPr="00333AFD">
        <w:t>y hacer cumplir las buenas prácticas y la ética en los medios de comunicación;</w:t>
      </w:r>
    </w:p>
    <w:p w14:paraId="54EFD015" w14:textId="5F99AC32" w:rsidR="00333AFD" w:rsidRPr="00333AFD" w:rsidRDefault="00333AFD" w:rsidP="00333AFD">
      <w:pPr>
        <w:pStyle w:val="SingleTxtG"/>
      </w:pPr>
      <w:r w:rsidRPr="00333AFD">
        <w:tab/>
        <w:t>c)</w:t>
      </w:r>
      <w:r w:rsidRPr="00333AFD">
        <w:tab/>
      </w:r>
      <w:r w:rsidR="00406289" w:rsidRPr="00333AFD">
        <w:t xml:space="preserve">Supervisar </w:t>
      </w:r>
      <w:r w:rsidRPr="00333AFD">
        <w:t>la radio y teledifusión en interés de la población y, en particular, para garantizar la equidad y la diversidad de puntos de vista que representen ampliamente a la sociedad de Zimbabwe;</w:t>
      </w:r>
    </w:p>
    <w:p w14:paraId="0F0E891A" w14:textId="4F360FC0" w:rsidR="00333AFD" w:rsidRPr="00333AFD" w:rsidRDefault="00333AFD" w:rsidP="00333AFD">
      <w:pPr>
        <w:pStyle w:val="SingleTxtG"/>
      </w:pPr>
      <w:r w:rsidRPr="00333AFD">
        <w:lastRenderedPageBreak/>
        <w:tab/>
        <w:t>d)</w:t>
      </w:r>
      <w:r w:rsidRPr="00333AFD">
        <w:tab/>
      </w:r>
      <w:r w:rsidR="00406289" w:rsidRPr="00333AFD">
        <w:t xml:space="preserve">Alentar </w:t>
      </w:r>
      <w:r w:rsidRPr="00333AFD">
        <w:t>la formulación de códigos de conducta para las personas empleadas en los medios de comunicación y, en los casos en que no exista ese código, formularlo y hacerlo cumplir;</w:t>
      </w:r>
    </w:p>
    <w:p w14:paraId="3BAE6B42" w14:textId="7121EAE1" w:rsidR="00333AFD" w:rsidRPr="00333AFD" w:rsidRDefault="00333AFD" w:rsidP="00333AFD">
      <w:pPr>
        <w:pStyle w:val="SingleTxtG"/>
      </w:pPr>
      <w:r w:rsidRPr="00333AFD">
        <w:tab/>
        <w:t>e)</w:t>
      </w:r>
      <w:r w:rsidRPr="00333AFD">
        <w:tab/>
      </w:r>
      <w:r w:rsidR="00406289" w:rsidRPr="00333AFD">
        <w:t xml:space="preserve">Recibir </w:t>
      </w:r>
      <w:r w:rsidRPr="00333AFD">
        <w:t>y examinar las denuncias de la población;</w:t>
      </w:r>
    </w:p>
    <w:p w14:paraId="2D55A163" w14:textId="5D34CA31" w:rsidR="00333AFD" w:rsidRPr="00333AFD" w:rsidRDefault="00333AFD" w:rsidP="00333AFD">
      <w:pPr>
        <w:pStyle w:val="SingleTxtG"/>
      </w:pPr>
      <w:r w:rsidRPr="00333AFD">
        <w:tab/>
        <w:t>f)</w:t>
      </w:r>
      <w:r w:rsidRPr="00333AFD">
        <w:tab/>
      </w:r>
      <w:r w:rsidR="00406289" w:rsidRPr="00333AFD">
        <w:t xml:space="preserve">Según </w:t>
      </w:r>
      <w:r w:rsidRPr="00333AFD">
        <w:t>proceda, adoptar medidas contra los periodistas y otras personas empleadas en los medios de comunicación o en la radio y teledifusión que hayan infringido cualquier ley o código de conducta que les sea aplicable;</w:t>
      </w:r>
    </w:p>
    <w:p w14:paraId="491D27B5" w14:textId="4F66DFF7" w:rsidR="00333AFD" w:rsidRPr="00333AFD" w:rsidRDefault="00333AFD" w:rsidP="00333AFD">
      <w:pPr>
        <w:pStyle w:val="SingleTxtG"/>
      </w:pPr>
      <w:r w:rsidRPr="00333AFD">
        <w:tab/>
        <w:t>g)</w:t>
      </w:r>
      <w:r w:rsidRPr="00333AFD">
        <w:tab/>
      </w:r>
      <w:r w:rsidR="00406289" w:rsidRPr="00333AFD">
        <w:t xml:space="preserve">Velar </w:t>
      </w:r>
      <w:r w:rsidRPr="00333AFD">
        <w:t>por que la población de Zimbabwe tenga acceso justo y amplio a la información;</w:t>
      </w:r>
    </w:p>
    <w:p w14:paraId="7E89354C" w14:textId="0D370112" w:rsidR="00333AFD" w:rsidRPr="00333AFD" w:rsidRDefault="00333AFD" w:rsidP="00333AFD">
      <w:pPr>
        <w:pStyle w:val="SingleTxtG"/>
      </w:pPr>
      <w:r w:rsidRPr="00333AFD">
        <w:tab/>
        <w:t>h)</w:t>
      </w:r>
      <w:r w:rsidRPr="00333AFD">
        <w:tab/>
      </w:r>
      <w:r w:rsidR="00406289" w:rsidRPr="00333AFD">
        <w:t xml:space="preserve">Alentar </w:t>
      </w:r>
      <w:r w:rsidRPr="00333AFD">
        <w:t>el uso y la evolución de todas las lenguas oficiales de Zimbabwe;</w:t>
      </w:r>
    </w:p>
    <w:p w14:paraId="70CEB00C" w14:textId="7334E7F1" w:rsidR="00333AFD" w:rsidRPr="00333AFD" w:rsidRDefault="00333AFD" w:rsidP="00333AFD">
      <w:pPr>
        <w:pStyle w:val="SingleTxtG"/>
      </w:pPr>
      <w:r w:rsidRPr="00333AFD">
        <w:tab/>
        <w:t>i)</w:t>
      </w:r>
      <w:r w:rsidRPr="00333AFD">
        <w:tab/>
      </w:r>
      <w:r w:rsidR="00406289" w:rsidRPr="00333AFD">
        <w:t xml:space="preserve">Alentar </w:t>
      </w:r>
      <w:r w:rsidRPr="00333AFD">
        <w:t>la adopción de nuevas tecnologías en los medios de comunicación y en la difusión de información;</w:t>
      </w:r>
    </w:p>
    <w:p w14:paraId="4444BDE9" w14:textId="215E118E" w:rsidR="00333AFD" w:rsidRPr="00333AFD" w:rsidRDefault="00333AFD" w:rsidP="00333AFD">
      <w:pPr>
        <w:pStyle w:val="SingleTxtG"/>
      </w:pPr>
      <w:r w:rsidRPr="00333AFD">
        <w:tab/>
        <w:t>j)</w:t>
      </w:r>
      <w:r w:rsidRPr="00333AFD">
        <w:tab/>
      </w:r>
      <w:r w:rsidR="00406289" w:rsidRPr="00333AFD">
        <w:t xml:space="preserve">Promover </w:t>
      </w:r>
      <w:r w:rsidRPr="00333AFD">
        <w:t xml:space="preserve">la competencia leal y la diversidad en los medios de comunicación; </w:t>
      </w:r>
    </w:p>
    <w:p w14:paraId="1C366FBC" w14:textId="5A75ACEB" w:rsidR="00333AFD" w:rsidRPr="00333AFD" w:rsidRDefault="00333AFD" w:rsidP="00333AFD">
      <w:pPr>
        <w:pStyle w:val="SingleTxtG"/>
      </w:pPr>
      <w:r w:rsidRPr="00333AFD">
        <w:tab/>
        <w:t>k)</w:t>
      </w:r>
      <w:r w:rsidRPr="00333AFD">
        <w:tab/>
      </w:r>
      <w:r w:rsidR="00406289" w:rsidRPr="00333AFD">
        <w:t xml:space="preserve">Investigar </w:t>
      </w:r>
      <w:r w:rsidRPr="00333AFD">
        <w:t>las cuestiones relativas a la libertad de prensa y de expresión y, a este respecto, promover reformas en la legislación.</w:t>
      </w:r>
    </w:p>
    <w:p w14:paraId="6F693BD6" w14:textId="77777777" w:rsidR="00333AFD" w:rsidRPr="00333AFD" w:rsidRDefault="00333AFD" w:rsidP="00333AFD">
      <w:pPr>
        <w:pStyle w:val="SingleTxtG"/>
      </w:pPr>
      <w:r w:rsidRPr="00333AFD">
        <w:t>88.</w:t>
      </w:r>
      <w:r w:rsidRPr="00333AFD">
        <w:tab/>
        <w:t>En mayo de 2020, los Comisionados de la Comisión de Medios de Comunicación de Zimbabwe fueron nombrados de conformidad con lo establecido en el artículo 248 de la Constitución.</w:t>
      </w:r>
    </w:p>
    <w:p w14:paraId="332977F4" w14:textId="612D2A14" w:rsidR="00333AFD" w:rsidRPr="00333AFD" w:rsidRDefault="00D63E71" w:rsidP="00D63E71">
      <w:pPr>
        <w:pStyle w:val="H23G"/>
      </w:pPr>
      <w:bookmarkStart w:id="36" w:name="_Toc87853306"/>
      <w:r>
        <w:tab/>
      </w:r>
      <w:r w:rsidR="00333AFD" w:rsidRPr="00333AFD">
        <w:tab/>
        <w:t>Comisión Electoral de Zimbabwe</w:t>
      </w:r>
      <w:bookmarkEnd w:id="36"/>
    </w:p>
    <w:p w14:paraId="58EBA52E" w14:textId="77777777" w:rsidR="00333AFD" w:rsidRPr="00333AFD" w:rsidRDefault="00333AFD" w:rsidP="00333AFD">
      <w:pPr>
        <w:pStyle w:val="SingleTxtG"/>
      </w:pPr>
      <w:r w:rsidRPr="00333AFD">
        <w:t>89.</w:t>
      </w:r>
      <w:r w:rsidRPr="00333AFD">
        <w:tab/>
        <w:t>La Comisión Electoral de Zimbabwe, creada en virtud del artículo 238 de la Constitución, tiene las siguientes funciones:</w:t>
      </w:r>
    </w:p>
    <w:p w14:paraId="632CB1DF" w14:textId="585D0331" w:rsidR="00333AFD" w:rsidRPr="00333AFD" w:rsidRDefault="00333AFD" w:rsidP="00333AFD">
      <w:pPr>
        <w:pStyle w:val="SingleTxtG"/>
      </w:pPr>
      <w:r w:rsidRPr="00333AFD">
        <w:tab/>
        <w:t>a)</w:t>
      </w:r>
      <w:r w:rsidRPr="00333AFD">
        <w:tab/>
      </w:r>
      <w:r w:rsidR="00406289" w:rsidRPr="00333AFD">
        <w:t>Preparar</w:t>
      </w:r>
      <w:r w:rsidRPr="00333AFD">
        <w:t xml:space="preserve">, dirigir y supervisar las elecciones presidenciales y parlamentarias, las elecciones a los consejos provinciales y metropolitanos y a los órganos rectores o de las autoridades locales, las elecciones de los miembros del Consejo Nacional de Jefes establecido en virtud del artículo 285 y los referendos; </w:t>
      </w:r>
    </w:p>
    <w:p w14:paraId="44B0A1E3" w14:textId="13F1EADC" w:rsidR="00333AFD" w:rsidRPr="00333AFD" w:rsidRDefault="00333AFD" w:rsidP="00333AFD">
      <w:pPr>
        <w:pStyle w:val="SingleTxtG"/>
      </w:pPr>
      <w:r w:rsidRPr="00333AFD">
        <w:tab/>
        <w:t>b)</w:t>
      </w:r>
      <w:r w:rsidRPr="00333AFD">
        <w:tab/>
      </w:r>
      <w:r w:rsidR="00406289" w:rsidRPr="00333AFD">
        <w:t xml:space="preserve">Garantizar </w:t>
      </w:r>
      <w:r w:rsidRPr="00333AFD">
        <w:t>que esas elecciones y los referendos se lleven a cabo de forma eficiente, libre, imparcial, transparente y conforme a la ley;</w:t>
      </w:r>
    </w:p>
    <w:p w14:paraId="473F4E31" w14:textId="1DBBF1B7" w:rsidR="00333AFD" w:rsidRPr="00333AFD" w:rsidRDefault="00333AFD" w:rsidP="00333AFD">
      <w:pPr>
        <w:pStyle w:val="SingleTxtG"/>
      </w:pPr>
      <w:r w:rsidRPr="00333AFD">
        <w:tab/>
        <w:t>c)</w:t>
      </w:r>
      <w:r w:rsidRPr="00333AFD">
        <w:tab/>
      </w:r>
      <w:r w:rsidR="00406289" w:rsidRPr="00333AFD">
        <w:t xml:space="preserve">Supervisar </w:t>
      </w:r>
      <w:r w:rsidRPr="00333AFD">
        <w:t>las elecciones a las Presidencias del Senado y de la Asamblea Nacional y velar por que dichas elecciones se lleven a cabo de forma eficiente y conforme a la ley;</w:t>
      </w:r>
    </w:p>
    <w:p w14:paraId="62A787A3" w14:textId="5A17B3EB" w:rsidR="00333AFD" w:rsidRPr="00333AFD" w:rsidRDefault="00333AFD" w:rsidP="00333AFD">
      <w:pPr>
        <w:pStyle w:val="SingleTxtG"/>
      </w:pPr>
      <w:r w:rsidRPr="00333AFD">
        <w:tab/>
        <w:t>d)</w:t>
      </w:r>
      <w:r w:rsidRPr="00333AFD">
        <w:tab/>
      </w:r>
      <w:r w:rsidR="00406289" w:rsidRPr="00333AFD">
        <w:t xml:space="preserve">Inscribir </w:t>
      </w:r>
      <w:r w:rsidRPr="00333AFD">
        <w:t>a los votantes;</w:t>
      </w:r>
    </w:p>
    <w:p w14:paraId="500B7040" w14:textId="69A520D3" w:rsidR="00333AFD" w:rsidRPr="00333AFD" w:rsidRDefault="00333AFD" w:rsidP="00333AFD">
      <w:pPr>
        <w:pStyle w:val="SingleTxtG"/>
      </w:pPr>
      <w:r w:rsidRPr="00333AFD">
        <w:tab/>
        <w:t>e)</w:t>
      </w:r>
      <w:r w:rsidRPr="00333AFD">
        <w:tab/>
      </w:r>
      <w:r w:rsidR="00406289" w:rsidRPr="00333AFD">
        <w:t xml:space="preserve">Recopilar </w:t>
      </w:r>
      <w:r w:rsidRPr="00333AFD">
        <w:t>los padrones y las listas de votantes;</w:t>
      </w:r>
    </w:p>
    <w:p w14:paraId="61DE20A3" w14:textId="5542878C" w:rsidR="00333AFD" w:rsidRPr="00333AFD" w:rsidRDefault="00333AFD" w:rsidP="00333AFD">
      <w:pPr>
        <w:pStyle w:val="SingleTxtG"/>
      </w:pPr>
      <w:r w:rsidRPr="00333AFD">
        <w:tab/>
        <w:t>f)</w:t>
      </w:r>
      <w:r w:rsidRPr="00333AFD">
        <w:tab/>
      </w:r>
      <w:r w:rsidR="00406289" w:rsidRPr="00333AFD">
        <w:t xml:space="preserve">Garantizar </w:t>
      </w:r>
      <w:r w:rsidRPr="00333AFD">
        <w:t>la correcta custodia y mantenimiento de los padrones y las listas de votantes;</w:t>
      </w:r>
    </w:p>
    <w:p w14:paraId="219701CE" w14:textId="3C21DED9" w:rsidR="00333AFD" w:rsidRPr="00333AFD" w:rsidRDefault="00333AFD" w:rsidP="00333AFD">
      <w:pPr>
        <w:pStyle w:val="SingleTxtG"/>
      </w:pPr>
      <w:r w:rsidRPr="00333AFD">
        <w:tab/>
        <w:t>g)</w:t>
      </w:r>
      <w:r w:rsidRPr="00333AFD">
        <w:tab/>
      </w:r>
      <w:r w:rsidR="00406289" w:rsidRPr="00333AFD">
        <w:t xml:space="preserve">Delimitar </w:t>
      </w:r>
      <w:r w:rsidRPr="00333AFD">
        <w:t>las circunscripciones, los distritos y otros entornos electorales;</w:t>
      </w:r>
    </w:p>
    <w:p w14:paraId="392D0797" w14:textId="0F9A5197" w:rsidR="00333AFD" w:rsidRPr="00333AFD" w:rsidRDefault="00333AFD" w:rsidP="00333AFD">
      <w:pPr>
        <w:pStyle w:val="SingleTxtG"/>
      </w:pPr>
      <w:r w:rsidRPr="00333AFD">
        <w:tab/>
        <w:t>h)</w:t>
      </w:r>
      <w:r w:rsidRPr="00333AFD">
        <w:tab/>
      </w:r>
      <w:r w:rsidR="00406289" w:rsidRPr="00333AFD">
        <w:t>Diseñar</w:t>
      </w:r>
      <w:r w:rsidRPr="00333AFD">
        <w:t>, imprimir y distribuir las papeletas electorales y aprobar su forma;</w:t>
      </w:r>
    </w:p>
    <w:p w14:paraId="0F88F7D6" w14:textId="553D8A71" w:rsidR="00333AFD" w:rsidRPr="00333AFD" w:rsidRDefault="00333AFD" w:rsidP="00333AFD">
      <w:pPr>
        <w:pStyle w:val="SingleTxtG"/>
      </w:pPr>
      <w:r w:rsidRPr="00333AFD">
        <w:tab/>
        <w:t>i)</w:t>
      </w:r>
      <w:r w:rsidRPr="00333AFD">
        <w:tab/>
      </w:r>
      <w:r w:rsidR="00406289" w:rsidRPr="00333AFD">
        <w:t xml:space="preserve">Adquirir </w:t>
      </w:r>
      <w:r w:rsidRPr="00333AFD">
        <w:t>las urnas y establecer y operar los centros de votación;</w:t>
      </w:r>
    </w:p>
    <w:p w14:paraId="14988744" w14:textId="35B29E2B" w:rsidR="00333AFD" w:rsidRPr="00333AFD" w:rsidRDefault="00333AFD" w:rsidP="00333AFD">
      <w:pPr>
        <w:pStyle w:val="SingleTxtG"/>
      </w:pPr>
      <w:r w:rsidRPr="00333AFD">
        <w:tab/>
        <w:t>j)</w:t>
      </w:r>
      <w:r w:rsidRPr="00333AFD">
        <w:tab/>
      </w:r>
      <w:r w:rsidR="00406289" w:rsidRPr="00333AFD">
        <w:t xml:space="preserve">Impartir </w:t>
      </w:r>
      <w:r w:rsidRPr="00333AFD">
        <w:t>y supervisar la educación sobre elecciones;</w:t>
      </w:r>
    </w:p>
    <w:p w14:paraId="3A89E9DC" w14:textId="38EA44BF" w:rsidR="00333AFD" w:rsidRPr="00333AFD" w:rsidRDefault="00333AFD" w:rsidP="00333AFD">
      <w:pPr>
        <w:pStyle w:val="SingleTxtG"/>
      </w:pPr>
      <w:r w:rsidRPr="00333AFD">
        <w:tab/>
        <w:t>k)</w:t>
      </w:r>
      <w:r w:rsidRPr="00333AFD">
        <w:tab/>
      </w:r>
      <w:r w:rsidR="00406289" w:rsidRPr="00333AFD">
        <w:t xml:space="preserve">Acreditar </w:t>
      </w:r>
      <w:r w:rsidRPr="00333AFD">
        <w:t>a los observadores de las elecciones y los referendos;</w:t>
      </w:r>
    </w:p>
    <w:p w14:paraId="57DD7290" w14:textId="7F6E30B0" w:rsidR="00333AFD" w:rsidRPr="00333AFD" w:rsidRDefault="00333AFD" w:rsidP="00333AFD">
      <w:pPr>
        <w:pStyle w:val="SingleTxtG"/>
      </w:pPr>
      <w:r w:rsidRPr="00333AFD">
        <w:tab/>
        <w:t>l)</w:t>
      </w:r>
      <w:r w:rsidRPr="00333AFD">
        <w:tab/>
      </w:r>
      <w:r w:rsidR="00406289" w:rsidRPr="00333AFD">
        <w:t xml:space="preserve">Instruir </w:t>
      </w:r>
      <w:r w:rsidRPr="00333AFD">
        <w:t xml:space="preserve">a las personas empleadas por el Estado o una autoridad local para garantizar la realización eficiente, libre, imparcial, adecuada y transparente de toda elección o referendo; </w:t>
      </w:r>
    </w:p>
    <w:p w14:paraId="6580EFC1" w14:textId="09D2ACF7" w:rsidR="00333AFD" w:rsidRPr="00333AFD" w:rsidRDefault="00333AFD" w:rsidP="00333AFD">
      <w:pPr>
        <w:pStyle w:val="SingleTxtG"/>
      </w:pPr>
      <w:r w:rsidRPr="00333AFD">
        <w:tab/>
        <w:t>m)</w:t>
      </w:r>
      <w:r w:rsidRPr="00333AFD">
        <w:tab/>
      </w:r>
      <w:r w:rsidR="00406289" w:rsidRPr="00333AFD">
        <w:t xml:space="preserve">Recibir </w:t>
      </w:r>
      <w:r w:rsidRPr="00333AFD">
        <w:t>y examinar las denuncias de la población y tomar las medidas que considere oportunas al respecto.</w:t>
      </w:r>
    </w:p>
    <w:p w14:paraId="1E7A991B" w14:textId="1CB431A9" w:rsidR="00333AFD" w:rsidRPr="00333AFD" w:rsidRDefault="00D63E71" w:rsidP="00D63E71">
      <w:pPr>
        <w:pStyle w:val="H1G"/>
      </w:pPr>
      <w:bookmarkStart w:id="37" w:name="_Toc87853307"/>
      <w:r>
        <w:lastRenderedPageBreak/>
        <w:tab/>
      </w:r>
      <w:r w:rsidR="00333AFD" w:rsidRPr="00333AFD">
        <w:tab/>
        <w:t>Otras instituciones</w:t>
      </w:r>
      <w:bookmarkEnd w:id="37"/>
    </w:p>
    <w:p w14:paraId="60505A0D" w14:textId="100342B7" w:rsidR="00333AFD" w:rsidRPr="00333AFD" w:rsidRDefault="00D63E71" w:rsidP="00D63E71">
      <w:pPr>
        <w:pStyle w:val="H23G"/>
      </w:pPr>
      <w:bookmarkStart w:id="38" w:name="_Toc87853308"/>
      <w:r>
        <w:tab/>
      </w:r>
      <w:r w:rsidR="00333AFD" w:rsidRPr="00333AFD">
        <w:tab/>
        <w:t>Fiscal General</w:t>
      </w:r>
      <w:bookmarkEnd w:id="38"/>
    </w:p>
    <w:p w14:paraId="059B9C3D" w14:textId="77777777" w:rsidR="00333AFD" w:rsidRPr="00333AFD" w:rsidRDefault="00333AFD" w:rsidP="00333AFD">
      <w:pPr>
        <w:pStyle w:val="SingleTxtG"/>
      </w:pPr>
      <w:r w:rsidRPr="00333AFD">
        <w:t>90.</w:t>
      </w:r>
      <w:r w:rsidRPr="00333AFD">
        <w:tab/>
        <w:t>El Fiscal General es nombrado por el Presidente y debe cumplir las mismas condiciones que los candidatos a jueces del Tribunal Superior. Las funciones del Fiscal General, de conformidad con el artículo 114 4) de la Constitución de 2013, son:</w:t>
      </w:r>
    </w:p>
    <w:p w14:paraId="3DC578C6" w14:textId="6EE47EBF" w:rsidR="00333AFD" w:rsidRPr="00333AFD" w:rsidRDefault="00810014" w:rsidP="00333AFD">
      <w:pPr>
        <w:pStyle w:val="SingleTxtG"/>
      </w:pPr>
      <w:r>
        <w:tab/>
      </w:r>
      <w:r w:rsidR="00333AFD" w:rsidRPr="00333AFD">
        <w:t>a)</w:t>
      </w:r>
      <w:r w:rsidR="00333AFD" w:rsidRPr="00333AFD">
        <w:tab/>
      </w:r>
      <w:r w:rsidR="00406289" w:rsidRPr="00333AFD">
        <w:t xml:space="preserve">Actuar </w:t>
      </w:r>
      <w:r w:rsidR="00333AFD" w:rsidRPr="00333AFD">
        <w:t xml:space="preserve">como principal asesor jurídico del Gobierno; </w:t>
      </w:r>
    </w:p>
    <w:p w14:paraId="5BB708A3" w14:textId="672D12EF" w:rsidR="00333AFD" w:rsidRPr="00333AFD" w:rsidRDefault="00810014" w:rsidP="00333AFD">
      <w:pPr>
        <w:pStyle w:val="SingleTxtG"/>
      </w:pPr>
      <w:r>
        <w:tab/>
      </w:r>
      <w:r w:rsidR="00333AFD" w:rsidRPr="00333AFD">
        <w:t>b)</w:t>
      </w:r>
      <w:r w:rsidR="00333AFD" w:rsidRPr="00333AFD">
        <w:tab/>
      </w:r>
      <w:r w:rsidR="00406289" w:rsidRPr="00333AFD">
        <w:t xml:space="preserve">Representar </w:t>
      </w:r>
      <w:r w:rsidR="00333AFD" w:rsidRPr="00333AFD">
        <w:t xml:space="preserve">al Gobierno en procedimientos civiles y constitucionales; </w:t>
      </w:r>
    </w:p>
    <w:p w14:paraId="17D344B6" w14:textId="6E88EF3A" w:rsidR="00333AFD" w:rsidRPr="00333AFD" w:rsidRDefault="00810014" w:rsidP="00333AFD">
      <w:pPr>
        <w:pStyle w:val="SingleTxtG"/>
      </w:pPr>
      <w:r>
        <w:tab/>
      </w:r>
      <w:r w:rsidR="00333AFD" w:rsidRPr="00333AFD">
        <w:t>c)</w:t>
      </w:r>
      <w:r w:rsidR="00333AFD" w:rsidRPr="00333AFD">
        <w:tab/>
      </w:r>
      <w:r w:rsidR="00406289" w:rsidRPr="00333AFD">
        <w:t xml:space="preserve">Redactar </w:t>
      </w:r>
      <w:r w:rsidR="00333AFD" w:rsidRPr="00333AFD">
        <w:t xml:space="preserve">proyectos de ley en nombre del Gobierno; </w:t>
      </w:r>
    </w:p>
    <w:p w14:paraId="1EFFB863" w14:textId="58D7158F" w:rsidR="00333AFD" w:rsidRPr="00333AFD" w:rsidRDefault="00810014" w:rsidP="00333AFD">
      <w:pPr>
        <w:pStyle w:val="SingleTxtG"/>
      </w:pPr>
      <w:r>
        <w:tab/>
      </w:r>
      <w:r w:rsidR="00333AFD" w:rsidRPr="00333AFD">
        <w:t>d)</w:t>
      </w:r>
      <w:r w:rsidR="00333AFD" w:rsidRPr="00333AFD">
        <w:tab/>
      </w:r>
      <w:r w:rsidR="00406289" w:rsidRPr="00333AFD">
        <w:t>Promover</w:t>
      </w:r>
      <w:r w:rsidR="00333AFD" w:rsidRPr="00333AFD">
        <w:t>, proteger y salvaguardar el estado de derecho y defender el interés público;</w:t>
      </w:r>
    </w:p>
    <w:p w14:paraId="53515F44" w14:textId="445575DF" w:rsidR="00333AFD" w:rsidRPr="00333AFD" w:rsidRDefault="00810014" w:rsidP="00333AFD">
      <w:pPr>
        <w:pStyle w:val="SingleTxtG"/>
      </w:pPr>
      <w:r>
        <w:tab/>
      </w:r>
      <w:r w:rsidR="00333AFD" w:rsidRPr="00333AFD">
        <w:t>e)</w:t>
      </w:r>
      <w:r w:rsidR="00333AFD" w:rsidRPr="00333AFD">
        <w:tab/>
      </w:r>
      <w:r w:rsidR="00406289" w:rsidRPr="00333AFD">
        <w:t xml:space="preserve">Ejercer </w:t>
      </w:r>
      <w:r w:rsidR="00333AFD" w:rsidRPr="00333AFD">
        <w:t>toda otra función que le pueda ser asignada por una ley del Parlamento.</w:t>
      </w:r>
    </w:p>
    <w:p w14:paraId="73C0A178" w14:textId="4030452A" w:rsidR="00333AFD" w:rsidRPr="00333AFD" w:rsidRDefault="00D63E71" w:rsidP="00D63E71">
      <w:pPr>
        <w:pStyle w:val="H23G"/>
      </w:pPr>
      <w:bookmarkStart w:id="39" w:name="_Toc87853309"/>
      <w:r>
        <w:tab/>
      </w:r>
      <w:r w:rsidR="00333AFD" w:rsidRPr="00333AFD">
        <w:tab/>
        <w:t>Fiscalía Nacional</w:t>
      </w:r>
      <w:bookmarkEnd w:id="39"/>
    </w:p>
    <w:p w14:paraId="3FFF7CC5" w14:textId="77777777" w:rsidR="00333AFD" w:rsidRPr="00333AFD" w:rsidRDefault="00333AFD" w:rsidP="00333AFD">
      <w:pPr>
        <w:pStyle w:val="SingleTxtG"/>
      </w:pPr>
      <w:r w:rsidRPr="00333AFD">
        <w:t>91.</w:t>
      </w:r>
      <w:r w:rsidRPr="00333AFD">
        <w:tab/>
        <w:t>El artículo 258 de la Constitución establece la Fiscalía Nacional, que es responsable de iniciar y emprender enjuiciamientos penales en nombre del Estado y de desempeñar toda otras función necesaria o accesoria a dichos enjuiciamientos. La Fiscalía Nacional es independiente y no está sujeta a dirección o control alguno, y debe ejercer sus funciones con imparcialidad y sin temor, favor, prejuicio o parcialidad. Se puso en marcha con arreglo a la Ley de la Fiscalía Nacional [capítulo 7:20].</w:t>
      </w:r>
    </w:p>
    <w:p w14:paraId="476254ED" w14:textId="16DA282A" w:rsidR="00333AFD" w:rsidRPr="00333AFD" w:rsidRDefault="00D63E71" w:rsidP="00D63E71">
      <w:pPr>
        <w:pStyle w:val="H23G"/>
      </w:pPr>
      <w:bookmarkStart w:id="40" w:name="_Toc87853310"/>
      <w:r>
        <w:tab/>
      </w:r>
      <w:r w:rsidR="00333AFD" w:rsidRPr="00333AFD">
        <w:tab/>
        <w:t>Comisión de Tierras de Zimbabwe</w:t>
      </w:r>
      <w:bookmarkEnd w:id="40"/>
    </w:p>
    <w:p w14:paraId="2260ED41" w14:textId="5E3C9184" w:rsidR="00333AFD" w:rsidRPr="00333AFD" w:rsidRDefault="00333AFD" w:rsidP="00333AFD">
      <w:pPr>
        <w:pStyle w:val="SingleTxtG"/>
        <w:rPr>
          <w:i/>
        </w:rPr>
      </w:pPr>
      <w:r w:rsidRPr="00333AFD">
        <w:t>92.</w:t>
      </w:r>
      <w:r w:rsidRPr="00333AFD">
        <w:tab/>
        <w:t>La Comisión de Tierras de Zimbabwe se creó en virtud del artículo 296 de la Constitución y se puso en marcha en virtud de la Ley de la Comisión de Tierras [capítulo</w:t>
      </w:r>
      <w:r w:rsidR="0098298A">
        <w:t> </w:t>
      </w:r>
      <w:r w:rsidRPr="00333AFD">
        <w:t>2:29]. Desempeña las siguientes funciones:</w:t>
      </w:r>
    </w:p>
    <w:p w14:paraId="7B7A9254" w14:textId="32C5A510" w:rsidR="00333AFD" w:rsidRPr="00333AFD" w:rsidRDefault="00333AFD" w:rsidP="00333AFD">
      <w:pPr>
        <w:pStyle w:val="SingleTxtG"/>
      </w:pPr>
      <w:r w:rsidRPr="00333AFD">
        <w:tab/>
        <w:t>a)</w:t>
      </w:r>
      <w:r w:rsidRPr="00333AFD">
        <w:tab/>
      </w:r>
      <w:r w:rsidR="0098298A" w:rsidRPr="00333AFD">
        <w:t xml:space="preserve">Garantizar </w:t>
      </w:r>
      <w:r w:rsidRPr="00333AFD">
        <w:t>la rendición de cuentas, imparcialidad y transparencia en la administración de las tierras agrícolas que se confiere al Estado;</w:t>
      </w:r>
    </w:p>
    <w:p w14:paraId="284C97CE" w14:textId="16682413" w:rsidR="00333AFD" w:rsidRPr="00333AFD" w:rsidRDefault="00333AFD" w:rsidP="00333AFD">
      <w:pPr>
        <w:pStyle w:val="SingleTxtG"/>
      </w:pPr>
      <w:r w:rsidRPr="00333AFD">
        <w:tab/>
        <w:t>b)</w:t>
      </w:r>
      <w:r w:rsidRPr="00333AFD">
        <w:tab/>
      </w:r>
      <w:r w:rsidR="0098298A" w:rsidRPr="00333AFD">
        <w:t xml:space="preserve">Realizar </w:t>
      </w:r>
      <w:r w:rsidRPr="00333AFD">
        <w:t>auditorías periódicas de las tierras agrícolas;</w:t>
      </w:r>
    </w:p>
    <w:p w14:paraId="1D6873E8" w14:textId="176DFD8E" w:rsidR="00333AFD" w:rsidRPr="00333AFD" w:rsidRDefault="00333AFD" w:rsidP="00333AFD">
      <w:pPr>
        <w:pStyle w:val="SingleTxtG"/>
      </w:pPr>
      <w:r w:rsidRPr="00333AFD">
        <w:tab/>
        <w:t>c)</w:t>
      </w:r>
      <w:r w:rsidRPr="00333AFD">
        <w:tab/>
      </w:r>
      <w:r w:rsidR="0098298A" w:rsidRPr="00333AFD">
        <w:t xml:space="preserve">Formular </w:t>
      </w:r>
      <w:r w:rsidRPr="00333AFD">
        <w:t xml:space="preserve">recomendaciones al Gobierno sobre la adquisición de tierras privadas para fines públicos; el acceso equitativo a las tierras agrícolas, su tenencia y su ocupación, en particular eliminando todas las formas de discriminación de género; el control de la aplicación de toda ley que restrinja la cantidad de tierra agrícola que puede poseer cualquier persona u hogar; y la justa indemnización que debe pagarse en virtud de cualquier ley por las tierras agrícolas cedidas obligatoriamente y sus mejora; </w:t>
      </w:r>
    </w:p>
    <w:p w14:paraId="4B335C5A" w14:textId="61464385" w:rsidR="00333AFD" w:rsidRPr="00333AFD" w:rsidRDefault="00333AFD" w:rsidP="00333AFD">
      <w:pPr>
        <w:pStyle w:val="SingleTxtG"/>
      </w:pPr>
      <w:r w:rsidRPr="00333AFD">
        <w:tab/>
        <w:t>d)</w:t>
      </w:r>
      <w:r w:rsidRPr="00333AFD">
        <w:tab/>
      </w:r>
      <w:r w:rsidR="0098298A" w:rsidRPr="00333AFD">
        <w:t xml:space="preserve">Investigar </w:t>
      </w:r>
      <w:r w:rsidRPr="00333AFD">
        <w:t>las denuncias y los conflicto y controversias relativos a la supervisión, la administración y la asignación de tierras agrícolas.</w:t>
      </w:r>
    </w:p>
    <w:p w14:paraId="0C6AD711" w14:textId="4A4386CF" w:rsidR="00333AFD" w:rsidRPr="00333AFD" w:rsidRDefault="00D63E71" w:rsidP="00D63E71">
      <w:pPr>
        <w:pStyle w:val="H23G"/>
      </w:pPr>
      <w:bookmarkStart w:id="41" w:name="_Toc87853311"/>
      <w:r>
        <w:tab/>
      </w:r>
      <w:r w:rsidR="00333AFD" w:rsidRPr="00333AFD">
        <w:tab/>
        <w:t>Foro Tripartito de Negociación</w:t>
      </w:r>
      <w:bookmarkEnd w:id="41"/>
    </w:p>
    <w:p w14:paraId="79C97001" w14:textId="77777777" w:rsidR="00333AFD" w:rsidRPr="00333AFD" w:rsidRDefault="00333AFD" w:rsidP="00333AFD">
      <w:pPr>
        <w:pStyle w:val="SingleTxtG"/>
        <w:rPr>
          <w:b/>
        </w:rPr>
      </w:pPr>
      <w:r w:rsidRPr="00333AFD">
        <w:t>93.</w:t>
      </w:r>
      <w:r w:rsidRPr="00333AFD">
        <w:tab/>
        <w:t>El Foro Tripartito de Negociación es una plataforma de negociación para el Gobierno, los empleadores y los trabajadores. Se creó mediante la Ley del Foro Tripartito de Negociación. Los participantes negocian cuestiones económicas, sociales y laborales. La plataforma se creó para aportar transparencia, consenso y rendición de cuentas, ya que ninguna parte en la plataforma puede aplicar una política antes de haber consultado al Foro.</w:t>
      </w:r>
    </w:p>
    <w:p w14:paraId="3FDAC57B" w14:textId="1B978BD8" w:rsidR="00333AFD" w:rsidRPr="00333AFD" w:rsidRDefault="00D63E71" w:rsidP="00D63E71">
      <w:pPr>
        <w:pStyle w:val="H23G"/>
      </w:pPr>
      <w:bookmarkStart w:id="42" w:name="_Toc87853312"/>
      <w:r>
        <w:tab/>
      </w:r>
      <w:r w:rsidR="00333AFD" w:rsidRPr="00333AFD">
        <w:tab/>
        <w:t>Observaciones sobre la promoción de los derechos humanos a nivel nacional</w:t>
      </w:r>
      <w:bookmarkEnd w:id="42"/>
    </w:p>
    <w:p w14:paraId="46D6E7E9" w14:textId="77777777" w:rsidR="00333AFD" w:rsidRPr="00333AFD" w:rsidRDefault="00333AFD" w:rsidP="00333AFD">
      <w:pPr>
        <w:pStyle w:val="SingleTxtG"/>
      </w:pPr>
      <w:bookmarkStart w:id="43" w:name="_Toc87853313"/>
      <w:r w:rsidRPr="00333AFD">
        <w:t>94.</w:t>
      </w:r>
      <w:r w:rsidRPr="00333AFD">
        <w:tab/>
        <w:t>Comité Interministerial de Derechos Humanos y Derecho Internacional Humanitario</w:t>
      </w:r>
      <w:bookmarkEnd w:id="43"/>
      <w:r w:rsidRPr="00333AFD">
        <w:t>.</w:t>
      </w:r>
    </w:p>
    <w:p w14:paraId="3D8BA285" w14:textId="77777777" w:rsidR="00333AFD" w:rsidRPr="00333AFD" w:rsidRDefault="00333AFD" w:rsidP="00333AFD">
      <w:pPr>
        <w:pStyle w:val="SingleTxtG"/>
      </w:pPr>
      <w:r w:rsidRPr="00333AFD">
        <w:t>95.</w:t>
      </w:r>
      <w:r w:rsidRPr="00333AFD">
        <w:tab/>
        <w:t xml:space="preserve">El Comité Interministerial fue creado por el Gabinete en 1993 para coordinar las actividades y funciones relativas a los derechos humanos de los ministerios y departamentos del Gobierno, con objeto de velar por el cumplimiento de las obligaciones dimanadas de los tratados de derechos humanos en los que Zimbabwe es parte y, en general, de asesorar al </w:t>
      </w:r>
      <w:r w:rsidRPr="00333AFD">
        <w:lastRenderedPageBreak/>
        <w:t>Gobierno en materia de derechos humanos. El Comité coordina y supervisa la preparación de los informes del Estado parte.</w:t>
      </w:r>
    </w:p>
    <w:p w14:paraId="30E6B018" w14:textId="77777777" w:rsidR="00333AFD" w:rsidRPr="00333AFD" w:rsidRDefault="00333AFD" w:rsidP="00333AFD">
      <w:pPr>
        <w:pStyle w:val="SingleTxtG"/>
      </w:pPr>
      <w:r w:rsidRPr="00333AFD">
        <w:t>96.</w:t>
      </w:r>
      <w:r w:rsidRPr="00333AFD">
        <w:tab/>
        <w:t>Otras funciones del Comité Interministerial son:</w:t>
      </w:r>
    </w:p>
    <w:p w14:paraId="1CFE5227" w14:textId="0F18AC51" w:rsidR="00333AFD" w:rsidRPr="00333AFD" w:rsidRDefault="00333AFD" w:rsidP="00333AFD">
      <w:pPr>
        <w:pStyle w:val="SingleTxtG"/>
      </w:pPr>
      <w:r w:rsidRPr="00333AFD">
        <w:tab/>
        <w:t>a)</w:t>
      </w:r>
      <w:r w:rsidRPr="00333AFD">
        <w:tab/>
      </w:r>
      <w:r w:rsidR="00360929" w:rsidRPr="00333AFD">
        <w:t xml:space="preserve">Coordinar </w:t>
      </w:r>
      <w:r w:rsidRPr="00333AFD">
        <w:t>las funciones y actividades en materia de derechos humanos y derecho internacional humanitario de los ministerios del Gobierno y actuar como órgano consultivo del Gobierno;</w:t>
      </w:r>
    </w:p>
    <w:p w14:paraId="63A255F1" w14:textId="09682D2E" w:rsidR="00333AFD" w:rsidRPr="00333AFD" w:rsidRDefault="00333AFD" w:rsidP="00333AFD">
      <w:pPr>
        <w:pStyle w:val="SingleTxtG"/>
      </w:pPr>
      <w:r w:rsidRPr="00333AFD">
        <w:tab/>
        <w:t>b)</w:t>
      </w:r>
      <w:r w:rsidRPr="00333AFD">
        <w:tab/>
      </w:r>
      <w:r w:rsidR="00360929" w:rsidRPr="00333AFD">
        <w:t xml:space="preserve">Promover </w:t>
      </w:r>
      <w:r w:rsidRPr="00333AFD">
        <w:t>la protección de los derechos humanos y de los derechos derivados del derecho internacional humanitario mediante el uso de los instrumentos internacionales de derechos humanos y de derecho humanitario, respectivamente;</w:t>
      </w:r>
    </w:p>
    <w:p w14:paraId="65C7EC18" w14:textId="36E96594" w:rsidR="00333AFD" w:rsidRPr="00333AFD" w:rsidRDefault="00333AFD" w:rsidP="00333AFD">
      <w:pPr>
        <w:pStyle w:val="SingleTxtG"/>
      </w:pPr>
      <w:r w:rsidRPr="00333AFD">
        <w:tab/>
        <w:t>c)</w:t>
      </w:r>
      <w:r w:rsidRPr="00333AFD">
        <w:tab/>
      </w:r>
      <w:r w:rsidR="00360929" w:rsidRPr="00333AFD">
        <w:t xml:space="preserve">Determinar </w:t>
      </w:r>
      <w:r w:rsidRPr="00333AFD">
        <w:t>qué instrumentos de derechos humanos y de derecho humanitario no han sido ratificados y, si procede, recomendar al Gobierno su ratificación;</w:t>
      </w:r>
    </w:p>
    <w:p w14:paraId="41B943FD" w14:textId="70B06FE0" w:rsidR="00333AFD" w:rsidRPr="00333AFD" w:rsidRDefault="00333AFD" w:rsidP="00333AFD">
      <w:pPr>
        <w:pStyle w:val="SingleTxtG"/>
      </w:pPr>
      <w:r w:rsidRPr="00333AFD">
        <w:tab/>
        <w:t>d)</w:t>
      </w:r>
      <w:r w:rsidRPr="00333AFD">
        <w:tab/>
      </w:r>
      <w:r w:rsidR="00360929" w:rsidRPr="00333AFD">
        <w:t xml:space="preserve">Facilitar </w:t>
      </w:r>
      <w:r w:rsidRPr="00333AFD">
        <w:t xml:space="preserve">el cumplimiento de los instrumentos de derechos humanos y de derecho humanitario por el Gobierno; </w:t>
      </w:r>
    </w:p>
    <w:p w14:paraId="7B7210A1" w14:textId="71501C0C" w:rsidR="00333AFD" w:rsidRPr="00333AFD" w:rsidRDefault="00333AFD" w:rsidP="00333AFD">
      <w:pPr>
        <w:pStyle w:val="SingleTxtG"/>
      </w:pPr>
      <w:r w:rsidRPr="00333AFD">
        <w:tab/>
        <w:t>e)</w:t>
      </w:r>
      <w:r w:rsidRPr="00333AFD">
        <w:tab/>
      </w:r>
      <w:r w:rsidR="00360929" w:rsidRPr="00333AFD">
        <w:t xml:space="preserve">Promover </w:t>
      </w:r>
      <w:r w:rsidRPr="00333AFD">
        <w:t>el conocimiento de los derechos humanos y el derecho humanitario en el país mediante la realización de talleres, seminarios y actividades de divulgación.</w:t>
      </w:r>
    </w:p>
    <w:p w14:paraId="61F4FAE1" w14:textId="77777777" w:rsidR="00333AFD" w:rsidRPr="00333AFD" w:rsidRDefault="00333AFD" w:rsidP="00333AFD">
      <w:pPr>
        <w:pStyle w:val="SingleTxtG"/>
      </w:pPr>
      <w:r w:rsidRPr="00333AFD">
        <w:t>97.</w:t>
      </w:r>
      <w:r w:rsidRPr="00333AFD">
        <w:tab/>
        <w:t>El Comité Interministerial coordina con el Comité Parlamentario Temático de Derechos Humanos varias de sus actividades, incluida la formación de funcionarios públicos sobre la presentación de los informes del Estado parte.</w:t>
      </w:r>
    </w:p>
    <w:p w14:paraId="0E497676" w14:textId="77777777" w:rsidR="00333AFD" w:rsidRPr="00333AFD" w:rsidRDefault="00333AFD" w:rsidP="00333AFD">
      <w:pPr>
        <w:pStyle w:val="SingleTxtG"/>
      </w:pPr>
      <w:r w:rsidRPr="00333AFD">
        <w:t>98.</w:t>
      </w:r>
      <w:r w:rsidRPr="00333AFD">
        <w:tab/>
        <w:t>El Comité Interministerial ha iniciado la publicación de los informes del Estado parte que se han presentado a los órganos de tratados. También se ha elaborado un manual de capacitación sobre la presentación de informes del Estado parte a fin de garantizar la coherencia y uniformidad en su preparación.</w:t>
      </w:r>
    </w:p>
    <w:p w14:paraId="335255D9" w14:textId="1FDC8C60" w:rsidR="00333AFD" w:rsidRPr="00333AFD" w:rsidRDefault="00D63E71" w:rsidP="00D63E71">
      <w:pPr>
        <w:pStyle w:val="H23G"/>
      </w:pPr>
      <w:bookmarkStart w:id="44" w:name="_Toc87853314"/>
      <w:r>
        <w:tab/>
      </w:r>
      <w:r w:rsidR="00333AFD" w:rsidRPr="00333AFD">
        <w:tab/>
        <w:t>Sector de Justicia y Orden Público</w:t>
      </w:r>
      <w:bookmarkEnd w:id="44"/>
    </w:p>
    <w:p w14:paraId="78B43C85" w14:textId="77777777" w:rsidR="00333AFD" w:rsidRPr="00333AFD" w:rsidRDefault="00333AFD" w:rsidP="00333AFD">
      <w:pPr>
        <w:pStyle w:val="SingleTxtG"/>
      </w:pPr>
      <w:r w:rsidRPr="00333AFD">
        <w:t>99.</w:t>
      </w:r>
      <w:r w:rsidRPr="00333AFD">
        <w:tab/>
        <w:t xml:space="preserve">El Sector de Justicia y Orden Público existe desde 2012 y abarca las instituciones del poder ejecutivo, los organismos y departamentos gubernamentales, el poder judicial y las organizaciones de la sociedad civil basadas en la ley. Desde entonces, ha ganado cada vez más reconocimiento como plataforma para deliberar y coordinar las iniciativas de administración de justicia de los diferentes agentes de los tres poderes del Estado, reconociendo al mismo tiempo sus mandatos individuales e independientes. </w:t>
      </w:r>
    </w:p>
    <w:p w14:paraId="3582C097" w14:textId="77777777" w:rsidR="00333AFD" w:rsidRPr="00333AFD" w:rsidRDefault="00333AFD" w:rsidP="00333AFD">
      <w:pPr>
        <w:pStyle w:val="SingleTxtG"/>
      </w:pPr>
      <w:r w:rsidRPr="00333AFD">
        <w:t>100.</w:t>
      </w:r>
      <w:r w:rsidRPr="00333AFD">
        <w:tab/>
        <w:t xml:space="preserve">El Sector es, por lo tanto, una plataforma de colaboración que reúne a las instituciones pertinentes con un mandato en materia de administración de justicia para dialogar y elaborar estrategias conjuntas destinadas a mejorar el acceso de la ciudadanía a la justicia, lo cual es muy importante para promover los derechos humanos. </w:t>
      </w:r>
    </w:p>
    <w:p w14:paraId="74232783" w14:textId="6B020D79" w:rsidR="00333AFD" w:rsidRPr="00333AFD" w:rsidRDefault="00D63E71" w:rsidP="00D63E71">
      <w:pPr>
        <w:pStyle w:val="H23G"/>
      </w:pPr>
      <w:bookmarkStart w:id="45" w:name="_Toc87853315"/>
      <w:r>
        <w:tab/>
      </w:r>
      <w:r w:rsidR="00333AFD" w:rsidRPr="00333AFD">
        <w:tab/>
        <w:t>Comité Directivo Nacional del Examen Periódico Universal</w:t>
      </w:r>
      <w:bookmarkEnd w:id="45"/>
    </w:p>
    <w:p w14:paraId="03AFB173" w14:textId="77777777" w:rsidR="00333AFD" w:rsidRPr="00333AFD" w:rsidRDefault="00333AFD" w:rsidP="00333AFD">
      <w:pPr>
        <w:pStyle w:val="SingleTxtG"/>
      </w:pPr>
      <w:r w:rsidRPr="00333AFD">
        <w:t>101.</w:t>
      </w:r>
      <w:r w:rsidRPr="00333AFD">
        <w:tab/>
        <w:t>El Comité Directivo Nacional del Examen Periódico Universal (EPU) tiene la responsabilidad de supervisar y dirigir las actividades de aplicación de las recomendaciones del EPU. El Comité Directivo está compuesto por representantes de todas las partes interesadas, incluidos el Gobierno, las Comisiones Independientes, las organizaciones de la sociedad civil y el Programa de las Naciones Unidas para el Desarrollo (PNUD), que actúa como asesor técnico. El Ministro de Justicia y Asuntos Jurídicos y Parlamentarios preside el Comité Directivo y el Ministerio presta los servicios de secretaría nacional del EPU.</w:t>
      </w:r>
    </w:p>
    <w:p w14:paraId="063728C7" w14:textId="48CBC98D" w:rsidR="00333AFD" w:rsidRPr="00333AFD" w:rsidRDefault="00D63E71" w:rsidP="00D63E71">
      <w:pPr>
        <w:pStyle w:val="H23G"/>
      </w:pPr>
      <w:bookmarkStart w:id="46" w:name="_Toc87853316"/>
      <w:r>
        <w:tab/>
      </w:r>
      <w:r w:rsidR="00333AFD" w:rsidRPr="00333AFD">
        <w:tab/>
        <w:t>Comité de Refugiados de Zimbabwe</w:t>
      </w:r>
      <w:bookmarkEnd w:id="46"/>
    </w:p>
    <w:p w14:paraId="0D23FCEA" w14:textId="77777777" w:rsidR="00333AFD" w:rsidRPr="00333AFD" w:rsidRDefault="00333AFD" w:rsidP="00333AFD">
      <w:pPr>
        <w:pStyle w:val="SingleTxtG"/>
      </w:pPr>
      <w:r w:rsidRPr="00333AFD">
        <w:t>102.</w:t>
      </w:r>
      <w:r w:rsidRPr="00333AFD">
        <w:tab/>
        <w:t xml:space="preserve">El Comité de Refugiados de Zimbabwe se creó en virtud de la Ley de Refugiados [capítulo 4:03] para evaluar las solicitudes de asilo a fin de determinar la condición de los solicitantes. La función principal del Comité es recibir y examinar las solicitudes de reconocimiento de la condición de refugiado que se le remiten. </w:t>
      </w:r>
    </w:p>
    <w:p w14:paraId="38AA4D56" w14:textId="4D0003F5" w:rsidR="00333AFD" w:rsidRPr="00333AFD" w:rsidRDefault="00D63E71" w:rsidP="00D63E71">
      <w:pPr>
        <w:pStyle w:val="H23G"/>
      </w:pPr>
      <w:bookmarkStart w:id="47" w:name="_Toc87853317"/>
      <w:r>
        <w:lastRenderedPageBreak/>
        <w:tab/>
      </w:r>
      <w:r w:rsidR="00333AFD" w:rsidRPr="00333AFD">
        <w:tab/>
        <w:t>Grupo de Trabajo Interministerial contra la Explotación Sexual de Niños en la Prostitución y enfoque multisectorial de la gestión de los delitos sexuales</w:t>
      </w:r>
      <w:bookmarkEnd w:id="47"/>
    </w:p>
    <w:p w14:paraId="7865BC26" w14:textId="77777777" w:rsidR="00333AFD" w:rsidRPr="00333AFD" w:rsidRDefault="00333AFD" w:rsidP="00333AFD">
      <w:pPr>
        <w:pStyle w:val="SingleTxtG"/>
      </w:pPr>
      <w:r w:rsidRPr="00333AFD">
        <w:t>103.</w:t>
      </w:r>
      <w:r w:rsidRPr="00333AFD">
        <w:tab/>
        <w:t xml:space="preserve">Para combatir los abusos sexuales de menores se crearon, entre otros, el Grupo de Trabajo Interministerial contra la Explotación Sexual de Niños en la Prostitución y el enfoque multisectorial de la gestión de los delitos sexuales. </w:t>
      </w:r>
    </w:p>
    <w:p w14:paraId="71EFEAD3" w14:textId="6DEF5D8B" w:rsidR="00333AFD" w:rsidRPr="00333AFD" w:rsidRDefault="00D63E71" w:rsidP="00D63E71">
      <w:pPr>
        <w:pStyle w:val="H23G"/>
      </w:pPr>
      <w:bookmarkStart w:id="48" w:name="_Toc87853318"/>
      <w:r>
        <w:tab/>
      </w:r>
      <w:r w:rsidR="00333AFD" w:rsidRPr="00333AFD">
        <w:tab/>
        <w:t>Consejo para el Bienestar del Niño</w:t>
      </w:r>
      <w:bookmarkEnd w:id="48"/>
    </w:p>
    <w:p w14:paraId="1C108595" w14:textId="77777777" w:rsidR="00333AFD" w:rsidRPr="00333AFD" w:rsidRDefault="00333AFD" w:rsidP="00333AFD">
      <w:pPr>
        <w:pStyle w:val="SingleTxtG"/>
      </w:pPr>
      <w:r w:rsidRPr="00333AFD">
        <w:t>104.</w:t>
      </w:r>
      <w:r w:rsidRPr="00333AFD">
        <w:tab/>
        <w:t>El Consejo para el Bienestar del Niño es un comité creado en virtud de la Ley de la Infancia. Su mandato principal es asesorar al Ministro en cuestiones de bienestar infantil. Asimismo, busca promover y alentar la coordinación de las actividades de las organizaciones que tienen como objetivo la promoción y protección de los derechos del niño. Además, administra el Fondo para el Bienestar Infantil. El Consejo también celebra reuniones trimestrales con los principales ministerios pertinentes. El Consejo está compuesto de:</w:t>
      </w:r>
    </w:p>
    <w:p w14:paraId="40E17261" w14:textId="6656C4C6" w:rsidR="00333AFD" w:rsidRPr="00333AFD" w:rsidRDefault="00333AFD" w:rsidP="00333AFD">
      <w:pPr>
        <w:pStyle w:val="SingleTxtG"/>
      </w:pPr>
      <w:r w:rsidRPr="00333AFD">
        <w:tab/>
        <w:t>a)</w:t>
      </w:r>
      <w:r w:rsidRPr="00333AFD">
        <w:tab/>
      </w:r>
      <w:r w:rsidR="001B23A7" w:rsidRPr="00333AFD">
        <w:t xml:space="preserve">Un </w:t>
      </w:r>
      <w:r w:rsidRPr="00333AFD">
        <w:t xml:space="preserve">representante de cada uno de los ministerios encargados de la educación, la sanidad, la inscripción de nacimientos y defunciones, la justicia, la administración local y la creación de empleo; </w:t>
      </w:r>
    </w:p>
    <w:p w14:paraId="23EDD77F" w14:textId="7216DF3B" w:rsidR="00333AFD" w:rsidRPr="00333AFD" w:rsidRDefault="00333AFD" w:rsidP="00333AFD">
      <w:pPr>
        <w:pStyle w:val="SingleTxtG"/>
      </w:pPr>
      <w:r w:rsidRPr="00333AFD">
        <w:tab/>
        <w:t>b)</w:t>
      </w:r>
      <w:r w:rsidRPr="00333AFD">
        <w:tab/>
      </w:r>
      <w:r w:rsidR="001B23A7" w:rsidRPr="00333AFD">
        <w:t xml:space="preserve">Un </w:t>
      </w:r>
      <w:r w:rsidRPr="00333AFD">
        <w:t xml:space="preserve">representante de la policía; </w:t>
      </w:r>
    </w:p>
    <w:p w14:paraId="7670D7F5" w14:textId="0551CB17" w:rsidR="00333AFD" w:rsidRPr="00333AFD" w:rsidRDefault="00333AFD" w:rsidP="00333AFD">
      <w:pPr>
        <w:pStyle w:val="SingleTxtG"/>
      </w:pPr>
      <w:r w:rsidRPr="00333AFD">
        <w:tab/>
        <w:t>c)</w:t>
      </w:r>
      <w:r w:rsidRPr="00333AFD">
        <w:tab/>
      </w:r>
      <w:r w:rsidR="001B23A7" w:rsidRPr="00333AFD">
        <w:t xml:space="preserve">Seis </w:t>
      </w:r>
      <w:r w:rsidRPr="00333AFD">
        <w:t xml:space="preserve">representantes de organizaciones voluntarias privadas o de otras organizaciones que el Ministro considere se ocupan de cuestiones relacionadas con el bienestar y la crianza de los niños; </w:t>
      </w:r>
    </w:p>
    <w:p w14:paraId="6219D461" w14:textId="59E1D996" w:rsidR="00333AFD" w:rsidRPr="00333AFD" w:rsidRDefault="00333AFD" w:rsidP="00333AFD">
      <w:pPr>
        <w:pStyle w:val="SingleTxtG"/>
      </w:pPr>
      <w:r w:rsidRPr="00333AFD">
        <w:tab/>
        <w:t>d)</w:t>
      </w:r>
      <w:r w:rsidRPr="00333AFD">
        <w:tab/>
      </w:r>
      <w:r w:rsidR="001B23A7" w:rsidRPr="00333AFD">
        <w:t xml:space="preserve">Un </w:t>
      </w:r>
      <w:r w:rsidRPr="00333AFD">
        <w:t>representante del Consejo Nacional de Jefes establecido en virtud del artículo 37 de la Ley de Líderes Tradicionales [capítulo 29:17];</w:t>
      </w:r>
    </w:p>
    <w:p w14:paraId="13F5692E" w14:textId="6C626E60" w:rsidR="00333AFD" w:rsidRPr="00333AFD" w:rsidRDefault="00333AFD" w:rsidP="00333AFD">
      <w:pPr>
        <w:pStyle w:val="SingleTxtG"/>
      </w:pPr>
      <w:r w:rsidRPr="00333AFD">
        <w:tab/>
        <w:t>e)</w:t>
      </w:r>
      <w:r w:rsidRPr="00333AFD">
        <w:tab/>
      </w:r>
      <w:r w:rsidR="001B23A7" w:rsidRPr="00333AFD">
        <w:t xml:space="preserve">Un </w:t>
      </w:r>
      <w:r w:rsidRPr="00333AFD">
        <w:t xml:space="preserve">representante de una asociación que el Ministro considere representa a las autoridades locales; </w:t>
      </w:r>
    </w:p>
    <w:p w14:paraId="48D0B851" w14:textId="596CFA72" w:rsidR="00333AFD" w:rsidRPr="00333AFD" w:rsidRDefault="00333AFD" w:rsidP="00333AFD">
      <w:pPr>
        <w:pStyle w:val="SingleTxtG"/>
      </w:pPr>
      <w:r w:rsidRPr="00333AFD">
        <w:tab/>
        <w:t>f)</w:t>
      </w:r>
      <w:r w:rsidRPr="00333AFD">
        <w:tab/>
      </w:r>
      <w:r w:rsidR="001B23A7" w:rsidRPr="00333AFD">
        <w:t xml:space="preserve">El </w:t>
      </w:r>
      <w:r w:rsidRPr="00333AFD">
        <w:t>Director.</w:t>
      </w:r>
    </w:p>
    <w:p w14:paraId="0A3BD485" w14:textId="77777777" w:rsidR="00333AFD" w:rsidRPr="00333AFD" w:rsidRDefault="00333AFD" w:rsidP="00333AFD">
      <w:pPr>
        <w:pStyle w:val="SingleTxtG"/>
      </w:pPr>
      <w:r w:rsidRPr="00333AFD">
        <w:t>105.</w:t>
      </w:r>
      <w:r w:rsidRPr="00333AFD">
        <w:tab/>
        <w:t>En consonancia con el proceso de armonización en curso, el proyecto de ley de modificación de la legislación sobre la infancia propone modificar el nombre del Consejo para el Bienestar del Niño por el de Consejo de Protección y Bienestar de la Infancia. Además, se propone aumentar el número de miembros del Consejo, al que se sumarían tres representantes del Parlamento Infantil y dos representantes de organizaciones de progenitores de niños con discapacidad. Las funciones del Consejo son:</w:t>
      </w:r>
    </w:p>
    <w:p w14:paraId="3454A4AB" w14:textId="186482D9" w:rsidR="00333AFD" w:rsidRPr="00333AFD" w:rsidRDefault="00333AFD" w:rsidP="00333AFD">
      <w:pPr>
        <w:pStyle w:val="SingleTxtG"/>
      </w:pPr>
      <w:r w:rsidRPr="00333AFD">
        <w:tab/>
        <w:t>a)</w:t>
      </w:r>
      <w:r w:rsidRPr="00333AFD">
        <w:tab/>
      </w:r>
      <w:r w:rsidR="001B23A7" w:rsidRPr="00333AFD">
        <w:t xml:space="preserve">Asesorar </w:t>
      </w:r>
      <w:r w:rsidRPr="00333AFD">
        <w:t>al Ministro y a toda otra persona que el Consejo considere oportuno sobre cualquier asunto relacionado con el bienestar de la infancia;</w:t>
      </w:r>
    </w:p>
    <w:p w14:paraId="2E3E105C" w14:textId="0A91A8AD" w:rsidR="00333AFD" w:rsidRPr="00333AFD" w:rsidRDefault="00333AFD" w:rsidP="00333AFD">
      <w:pPr>
        <w:pStyle w:val="SingleTxtG"/>
      </w:pPr>
      <w:r w:rsidRPr="00333AFD">
        <w:tab/>
        <w:t>b)</w:t>
      </w:r>
      <w:r w:rsidRPr="00333AFD">
        <w:tab/>
      </w:r>
      <w:r w:rsidR="001B23A7" w:rsidRPr="00333AFD">
        <w:t xml:space="preserve">Supervisar </w:t>
      </w:r>
      <w:r w:rsidRPr="00333AFD">
        <w:t>la situación general de los menores necesitados de atención y tratar de velar por el adelanto de su bienestar y sus derechos;</w:t>
      </w:r>
    </w:p>
    <w:p w14:paraId="1E0663E7" w14:textId="60E1AE59" w:rsidR="00333AFD" w:rsidRPr="00333AFD" w:rsidRDefault="00333AFD" w:rsidP="00333AFD">
      <w:pPr>
        <w:pStyle w:val="SingleTxtG"/>
      </w:pPr>
      <w:r w:rsidRPr="00333AFD">
        <w:tab/>
        <w:t>c)</w:t>
      </w:r>
      <w:r w:rsidRPr="00333AFD">
        <w:tab/>
      </w:r>
      <w:r w:rsidR="001B23A7" w:rsidRPr="00333AFD">
        <w:t xml:space="preserve">Promover </w:t>
      </w:r>
      <w:r w:rsidRPr="00333AFD">
        <w:t xml:space="preserve">y alentar la coordinación de las actividades de las organizaciones que tienen por objeto la promoción y protección de los derechos del niño; </w:t>
      </w:r>
    </w:p>
    <w:p w14:paraId="76335D85" w14:textId="5BAB661F" w:rsidR="00333AFD" w:rsidRPr="00333AFD" w:rsidRDefault="00333AFD" w:rsidP="00333AFD">
      <w:pPr>
        <w:pStyle w:val="SingleTxtG"/>
      </w:pPr>
      <w:r w:rsidRPr="00333AFD">
        <w:tab/>
        <w:t>d)</w:t>
      </w:r>
      <w:r w:rsidRPr="00333AFD">
        <w:tab/>
      </w:r>
      <w:r w:rsidR="001B23A7" w:rsidRPr="00333AFD">
        <w:t xml:space="preserve">Administrar </w:t>
      </w:r>
      <w:r w:rsidRPr="00333AFD">
        <w:t xml:space="preserve">el Fondo para el Bienestar Infantil; </w:t>
      </w:r>
    </w:p>
    <w:p w14:paraId="2B97B7E5" w14:textId="2C03981F" w:rsidR="00333AFD" w:rsidRPr="00333AFD" w:rsidRDefault="00333AFD" w:rsidP="00333AFD">
      <w:pPr>
        <w:pStyle w:val="SingleTxtG"/>
      </w:pPr>
      <w:r w:rsidRPr="00333AFD">
        <w:tab/>
        <w:t>e)</w:t>
      </w:r>
      <w:r w:rsidRPr="00333AFD">
        <w:tab/>
      </w:r>
      <w:r w:rsidR="001B23A7" w:rsidRPr="00333AFD">
        <w:t xml:space="preserve">Desempeñar </w:t>
      </w:r>
      <w:r w:rsidRPr="00333AFD">
        <w:t>toda otra función que le encomiende el Ministro.</w:t>
      </w:r>
    </w:p>
    <w:p w14:paraId="76769A57" w14:textId="4669F137" w:rsidR="00333AFD" w:rsidRPr="00333AFD" w:rsidRDefault="00333AFD" w:rsidP="00333AFD">
      <w:pPr>
        <w:pStyle w:val="SingleTxtG"/>
      </w:pPr>
      <w:r w:rsidRPr="00333AFD">
        <w:t>106.</w:t>
      </w:r>
      <w:r w:rsidRPr="00333AFD">
        <w:tab/>
        <w:t>El proyecto de ley también pretende incorporar al Consejo la nueva función de recibir las denuncias de los niños y utilizarlas para concebir medidas de protección de la infancia y promover los derechos del niño.</w:t>
      </w:r>
    </w:p>
    <w:p w14:paraId="3F0BE6C1" w14:textId="0D1DEBC1" w:rsidR="00333AFD" w:rsidRPr="00333AFD" w:rsidRDefault="00D63E71" w:rsidP="00D63E71">
      <w:pPr>
        <w:pStyle w:val="H23G"/>
      </w:pPr>
      <w:bookmarkStart w:id="49" w:name="_Toc87853319"/>
      <w:r>
        <w:tab/>
      </w:r>
      <w:r w:rsidR="00333AFD" w:rsidRPr="00333AFD">
        <w:tab/>
        <w:t xml:space="preserve">Parlamento Infantil </w:t>
      </w:r>
      <w:bookmarkEnd w:id="49"/>
    </w:p>
    <w:p w14:paraId="46A04A5D" w14:textId="69579289" w:rsidR="00333AFD" w:rsidRPr="00333AFD" w:rsidRDefault="00333AFD" w:rsidP="00333AFD">
      <w:pPr>
        <w:pStyle w:val="SingleTxtG"/>
      </w:pPr>
      <w:r w:rsidRPr="00333AFD">
        <w:t>107.</w:t>
      </w:r>
      <w:r w:rsidRPr="00333AFD">
        <w:tab/>
        <w:t xml:space="preserve">El Parlamento Infantil está integrado por representantes de 210 circunscripciones electorales de las 10 provincias del país. Cada circunscripción estará representada por un niño o una niña. El Parlamento Infantil está concebido como un gobierno en la sombra en el que los participantes ocupan cargos que reflejan el Gobierno real. La plataforma permite que los niños debatan sobre temas de actualidad que los afectan. El Parlamento Infantil de Zimbabwe es una institución creada para que se tengan en cuenta y se respeten las opiniones de los niños, como se estipula en el artículo 12 de la Convención sobre los Derechos del Niño, aprobada </w:t>
      </w:r>
      <w:r w:rsidRPr="00333AFD">
        <w:lastRenderedPageBreak/>
        <w:t>y ratificada por Zimbabwe. Las opiniones y la participación de los niños en la toma de decisiones son fundamentales para la realización de sus derechos.</w:t>
      </w:r>
    </w:p>
    <w:p w14:paraId="0E5199DF" w14:textId="4FEA0675" w:rsidR="00333AFD" w:rsidRPr="00333AFD" w:rsidRDefault="00D63E71" w:rsidP="00D63E71">
      <w:pPr>
        <w:pStyle w:val="H23G"/>
      </w:pPr>
      <w:bookmarkStart w:id="50" w:name="_Toc87853320"/>
      <w:r>
        <w:tab/>
      </w:r>
      <w:r w:rsidR="00333AFD" w:rsidRPr="00333AFD">
        <w:tab/>
        <w:t>Junta sobre Personas Mayores y Junta Nacional sobre Discapacidad</w:t>
      </w:r>
      <w:bookmarkEnd w:id="50"/>
    </w:p>
    <w:p w14:paraId="6B88A972" w14:textId="77777777" w:rsidR="00333AFD" w:rsidRPr="00333AFD" w:rsidRDefault="00333AFD" w:rsidP="00333AFD">
      <w:pPr>
        <w:pStyle w:val="SingleTxtG"/>
      </w:pPr>
      <w:r w:rsidRPr="00333AFD">
        <w:t>108.</w:t>
      </w:r>
      <w:r w:rsidRPr="00333AFD">
        <w:tab/>
        <w:t xml:space="preserve">La Junta sobre Personas Mayores, establecida en virtud de la Ley de las Personas Mayores y la Junta Nacional sobre Discapacidad, establecida en virtud de la Ley relativa a las Personas con Discapacidad [capítulo 17:01] fueron creadas con el mandato de hacer realidad, promover y proteger los derechos de las personas mayores y de las personas con discapacidad, respectivamente. </w:t>
      </w:r>
    </w:p>
    <w:p w14:paraId="74D96569" w14:textId="60068AF2" w:rsidR="00333AFD" w:rsidRPr="00333AFD" w:rsidRDefault="00D63E71" w:rsidP="00D63E71">
      <w:pPr>
        <w:pStyle w:val="H23G"/>
      </w:pPr>
      <w:bookmarkStart w:id="51" w:name="_Toc87853321"/>
      <w:r>
        <w:tab/>
      </w:r>
      <w:r w:rsidR="00333AFD" w:rsidRPr="00333AFD">
        <w:tab/>
        <w:t>Comité Interministerial sobre Migración y Desarrollo</w:t>
      </w:r>
      <w:bookmarkEnd w:id="51"/>
    </w:p>
    <w:p w14:paraId="531455AB" w14:textId="77777777" w:rsidR="00333AFD" w:rsidRPr="00333AFD" w:rsidRDefault="00333AFD" w:rsidP="00333AFD">
      <w:pPr>
        <w:pStyle w:val="SingleTxtG"/>
        <w:rPr>
          <w:b/>
        </w:rPr>
      </w:pPr>
      <w:r w:rsidRPr="00333AFD">
        <w:t>109.</w:t>
      </w:r>
      <w:r w:rsidRPr="00333AFD">
        <w:tab/>
        <w:t xml:space="preserve">El Comité Interministerial sobre Migración y Desarrollo se creó en el marco de la aplicación del acuerdo entre el Gobierno de Zimbabwe y la Unión Europea, firmado en nombre del Gobierno por el Ministerio de Finanzas y Desarrollo Económico. El Ministerio del Interior y de Patrimonio Cultural tiene el mandato de coordinar sus actividades. Las funciones del Comité Interministerial son las siguientes: </w:t>
      </w:r>
    </w:p>
    <w:p w14:paraId="4E2769F2" w14:textId="244AF4E8" w:rsidR="00333AFD" w:rsidRPr="00333AFD" w:rsidRDefault="00333AFD" w:rsidP="00333AFD">
      <w:pPr>
        <w:pStyle w:val="SingleTxtG"/>
      </w:pPr>
      <w:r w:rsidRPr="00333AFD">
        <w:tab/>
        <w:t>a)</w:t>
      </w:r>
      <w:r w:rsidRPr="00333AFD">
        <w:tab/>
      </w:r>
      <w:r w:rsidR="001B23A7" w:rsidRPr="00333AFD">
        <w:t xml:space="preserve">Coordinar </w:t>
      </w:r>
      <w:r w:rsidRPr="00333AFD">
        <w:t>los esfuerzos de todos los ministerios competentes del Gobierno que tienen el mandato de gestionar algún aspecto de la migración;</w:t>
      </w:r>
    </w:p>
    <w:p w14:paraId="5918472C" w14:textId="6D25D890" w:rsidR="00333AFD" w:rsidRPr="00333AFD" w:rsidRDefault="00333AFD" w:rsidP="00810014">
      <w:pPr>
        <w:pStyle w:val="SingleTxtG"/>
        <w:spacing w:after="130"/>
        <w:rPr>
          <w:b/>
        </w:rPr>
      </w:pPr>
      <w:r w:rsidRPr="00333AFD">
        <w:tab/>
        <w:t>b)</w:t>
      </w:r>
      <w:r w:rsidRPr="00333AFD">
        <w:tab/>
      </w:r>
      <w:r w:rsidR="001B23A7" w:rsidRPr="00333AFD">
        <w:t xml:space="preserve">Elaborar </w:t>
      </w:r>
      <w:r w:rsidRPr="00333AFD">
        <w:t>la política nacional de migración y la matriz de aplicación;</w:t>
      </w:r>
    </w:p>
    <w:p w14:paraId="136F5028" w14:textId="5FF74264" w:rsidR="00333AFD" w:rsidRPr="001B23A7" w:rsidRDefault="00333AFD" w:rsidP="00810014">
      <w:pPr>
        <w:pStyle w:val="SingleTxtG"/>
        <w:spacing w:after="130"/>
        <w:rPr>
          <w:bCs/>
        </w:rPr>
      </w:pPr>
      <w:r w:rsidRPr="00333AFD">
        <w:tab/>
        <w:t>c)</w:t>
      </w:r>
      <w:r w:rsidRPr="00333AFD">
        <w:tab/>
      </w:r>
      <w:r w:rsidR="001B23A7" w:rsidRPr="00333AFD">
        <w:t xml:space="preserve">Revisar </w:t>
      </w:r>
      <w:r w:rsidRPr="00333AFD">
        <w:t>la legislación en materia de migración y recomendar modificaciones a esta;</w:t>
      </w:r>
    </w:p>
    <w:p w14:paraId="3062DAF6" w14:textId="3B2F5801" w:rsidR="00333AFD" w:rsidRPr="00333AFD" w:rsidRDefault="00333AFD" w:rsidP="00810014">
      <w:pPr>
        <w:pStyle w:val="SingleTxtG"/>
        <w:spacing w:after="130"/>
        <w:rPr>
          <w:b/>
        </w:rPr>
      </w:pPr>
      <w:r w:rsidRPr="00333AFD">
        <w:tab/>
        <w:t>d)</w:t>
      </w:r>
      <w:r w:rsidRPr="00333AFD">
        <w:tab/>
      </w:r>
      <w:r w:rsidR="001B23A7" w:rsidRPr="00333AFD">
        <w:t xml:space="preserve">Convocar </w:t>
      </w:r>
      <w:r w:rsidRPr="00333AFD">
        <w:t>reuniones trimestrales todos los años para que los miembros tomen conocimiento de los progresos realizados y de los retos afrontados en la aplicación y administración de las cuestiones migratorias;</w:t>
      </w:r>
    </w:p>
    <w:p w14:paraId="5B76CD55" w14:textId="72CBFF39" w:rsidR="00333AFD" w:rsidRPr="00333AFD" w:rsidRDefault="00333AFD" w:rsidP="00810014">
      <w:pPr>
        <w:pStyle w:val="SingleTxtG"/>
        <w:spacing w:after="130"/>
        <w:rPr>
          <w:b/>
        </w:rPr>
      </w:pPr>
      <w:r w:rsidRPr="00333AFD">
        <w:tab/>
        <w:t>e)</w:t>
      </w:r>
      <w:r w:rsidRPr="00333AFD">
        <w:tab/>
      </w:r>
      <w:r w:rsidR="001B23A7" w:rsidRPr="00333AFD">
        <w:t xml:space="preserve">Proponer </w:t>
      </w:r>
      <w:r w:rsidRPr="00333AFD">
        <w:t>reformas de políticas en la administración de los asuntos relacionados con la migración;</w:t>
      </w:r>
    </w:p>
    <w:p w14:paraId="77B01808" w14:textId="1EB16639" w:rsidR="00333AFD" w:rsidRPr="00333AFD" w:rsidRDefault="00333AFD" w:rsidP="00810014">
      <w:pPr>
        <w:pStyle w:val="SingleTxtG"/>
        <w:spacing w:after="130"/>
        <w:rPr>
          <w:b/>
        </w:rPr>
      </w:pPr>
      <w:r w:rsidRPr="00333AFD">
        <w:tab/>
        <w:t>f)</w:t>
      </w:r>
      <w:r w:rsidRPr="00333AFD">
        <w:tab/>
      </w:r>
      <w:r w:rsidR="001B23A7" w:rsidRPr="00333AFD">
        <w:t xml:space="preserve">Sensibilizar </w:t>
      </w:r>
      <w:r w:rsidRPr="00333AFD">
        <w:t xml:space="preserve">sobre las leyes y políticas de migración; </w:t>
      </w:r>
    </w:p>
    <w:p w14:paraId="3996E929" w14:textId="4978E07D" w:rsidR="00333AFD" w:rsidRPr="00333AFD" w:rsidRDefault="00333AFD" w:rsidP="00810014">
      <w:pPr>
        <w:pStyle w:val="SingleTxtG"/>
        <w:spacing w:after="130"/>
      </w:pPr>
      <w:r w:rsidRPr="00333AFD">
        <w:tab/>
        <w:t>g)</w:t>
      </w:r>
      <w:r w:rsidRPr="00333AFD">
        <w:tab/>
      </w:r>
      <w:r w:rsidR="001B23A7" w:rsidRPr="00333AFD">
        <w:t xml:space="preserve">Coordinar </w:t>
      </w:r>
      <w:r w:rsidRPr="00333AFD">
        <w:t>las relaciones con las organizaciones locales, regionales y continentales que se ocupan de las cuestiones de la migración.</w:t>
      </w:r>
    </w:p>
    <w:p w14:paraId="6D7BA647" w14:textId="760D5AF3" w:rsidR="00333AFD" w:rsidRPr="00333AFD" w:rsidRDefault="00D63E71" w:rsidP="00D63E71">
      <w:pPr>
        <w:pStyle w:val="H23G"/>
      </w:pPr>
      <w:bookmarkStart w:id="52" w:name="_Toc87853322"/>
      <w:r>
        <w:tab/>
      </w:r>
      <w:r w:rsidR="00333AFD" w:rsidRPr="00333AFD">
        <w:tab/>
        <w:t>Oficina del Asesor Especial de la Presidencia sobre Cuestiones de Discapacidad</w:t>
      </w:r>
      <w:bookmarkEnd w:id="52"/>
    </w:p>
    <w:p w14:paraId="3BA6F092" w14:textId="77777777" w:rsidR="00333AFD" w:rsidRPr="00333AFD" w:rsidRDefault="00333AFD" w:rsidP="00333AFD">
      <w:pPr>
        <w:pStyle w:val="SingleTxtG"/>
      </w:pPr>
      <w:r w:rsidRPr="00333AFD">
        <w:t>110.</w:t>
      </w:r>
      <w:r w:rsidRPr="00333AFD">
        <w:tab/>
        <w:t>El Presidente nombró el Asesor Especial de la Presidencia y el Gabinete, cuyas funciones son asesorar al Presidente en materia de discapacidad y coordinar los asuntos relacionados con la discapacidad dentro del Gobierno.</w:t>
      </w:r>
    </w:p>
    <w:p w14:paraId="0E67F7C5" w14:textId="796711D6" w:rsidR="00333AFD" w:rsidRPr="00333AFD" w:rsidRDefault="00D63E71" w:rsidP="00D63E71">
      <w:pPr>
        <w:pStyle w:val="H23G"/>
      </w:pPr>
      <w:bookmarkStart w:id="53" w:name="_Toc87853323"/>
      <w:r>
        <w:tab/>
      </w:r>
      <w:r w:rsidR="00333AFD" w:rsidRPr="00333AFD">
        <w:tab/>
        <w:t>Comité Interministerial sobre la Trata de Personas</w:t>
      </w:r>
      <w:bookmarkEnd w:id="53"/>
    </w:p>
    <w:p w14:paraId="4598F52B" w14:textId="77777777" w:rsidR="00333AFD" w:rsidRPr="00333AFD" w:rsidRDefault="00333AFD" w:rsidP="00810014">
      <w:pPr>
        <w:pStyle w:val="SingleTxtG"/>
        <w:spacing w:after="130"/>
      </w:pPr>
      <w:r w:rsidRPr="00333AFD">
        <w:t>111.</w:t>
      </w:r>
      <w:r w:rsidRPr="00333AFD">
        <w:tab/>
        <w:t>El Comité Interministerial sobre la Trata de Personas se estableció en virtud del artículo 9 de la Ley contra la Trata de Personas [capítulo 9:25]. Sus funciones son:</w:t>
      </w:r>
    </w:p>
    <w:p w14:paraId="180239BB" w14:textId="3473B8B9" w:rsidR="00333AFD" w:rsidRPr="00333AFD" w:rsidRDefault="00333AFD" w:rsidP="00810014">
      <w:pPr>
        <w:pStyle w:val="SingleTxtG"/>
        <w:spacing w:after="130"/>
      </w:pPr>
      <w:r w:rsidRPr="00333AFD">
        <w:tab/>
        <w:t>a)</w:t>
      </w:r>
      <w:r w:rsidRPr="00333AFD">
        <w:tab/>
      </w:r>
      <w:r w:rsidR="001B23A7" w:rsidRPr="00333AFD">
        <w:t xml:space="preserve">Formular </w:t>
      </w:r>
      <w:r w:rsidRPr="00333AFD">
        <w:t xml:space="preserve">un plan de acción nacional contra la trata de personas para períodos de un año o más, según lo considere oportuno, supervisar su aplicación y presentar informes al respecto; </w:t>
      </w:r>
    </w:p>
    <w:p w14:paraId="286D7CDF" w14:textId="6299B0D1" w:rsidR="00333AFD" w:rsidRPr="00333AFD" w:rsidRDefault="00333AFD" w:rsidP="00810014">
      <w:pPr>
        <w:pStyle w:val="SingleTxtG"/>
        <w:spacing w:after="130"/>
      </w:pPr>
      <w:r w:rsidRPr="00333AFD">
        <w:tab/>
        <w:t>b)</w:t>
      </w:r>
      <w:r w:rsidRPr="00333AFD">
        <w:tab/>
      </w:r>
      <w:r w:rsidR="001B23A7" w:rsidRPr="00333AFD">
        <w:t xml:space="preserve">Coordinar </w:t>
      </w:r>
      <w:r w:rsidRPr="00333AFD">
        <w:t xml:space="preserve">con los organismos gubernamentales pertinentes el fomento de la rehabilitación y reintegración de las víctimas; </w:t>
      </w:r>
    </w:p>
    <w:p w14:paraId="0B5C4ADC" w14:textId="3CA2C3D0" w:rsidR="00333AFD" w:rsidRPr="00333AFD" w:rsidRDefault="00333AFD" w:rsidP="00810014">
      <w:pPr>
        <w:pStyle w:val="SingleTxtG"/>
        <w:spacing w:after="130"/>
      </w:pPr>
      <w:r w:rsidRPr="00333AFD">
        <w:tab/>
        <w:t>c)</w:t>
      </w:r>
      <w:r w:rsidRPr="00333AFD">
        <w:tab/>
      </w:r>
      <w:r w:rsidR="001B23A7" w:rsidRPr="00333AFD">
        <w:t xml:space="preserve">Tomar </w:t>
      </w:r>
      <w:r w:rsidRPr="00333AFD">
        <w:t xml:space="preserve">conocimiento de las medidas adecuadas para adoptar o aplicar las novedades y las normas internacionales y regionales sobre la prevención de la trata de personas y la lucha contra ella; </w:t>
      </w:r>
    </w:p>
    <w:p w14:paraId="6EB09736" w14:textId="43BFE26E" w:rsidR="00333AFD" w:rsidRPr="00333AFD" w:rsidRDefault="00333AFD" w:rsidP="00810014">
      <w:pPr>
        <w:pStyle w:val="SingleTxtG"/>
        <w:spacing w:after="130"/>
      </w:pPr>
      <w:r w:rsidRPr="00333AFD">
        <w:tab/>
        <w:t>d)</w:t>
      </w:r>
      <w:r w:rsidRPr="00333AFD">
        <w:tab/>
      </w:r>
      <w:r w:rsidR="001B23A7" w:rsidRPr="00333AFD">
        <w:t xml:space="preserve">Realizar </w:t>
      </w:r>
      <w:r w:rsidRPr="00333AFD">
        <w:t xml:space="preserve">todo lo que se le encomienda en virtud de esta Ley y del plan de acción nacional contra la trata de personas, y por el Ministro en cumplimiento de esta Ley; y proponer y promover estrategias para prevenir y combatir la trata de personas; </w:t>
      </w:r>
    </w:p>
    <w:p w14:paraId="07A5E2CA" w14:textId="474D5028" w:rsidR="00333AFD" w:rsidRPr="00333AFD" w:rsidRDefault="00333AFD" w:rsidP="00810014">
      <w:pPr>
        <w:pStyle w:val="SingleTxtG"/>
        <w:spacing w:after="130"/>
      </w:pPr>
      <w:r w:rsidRPr="00333AFD">
        <w:tab/>
        <w:t>e)</w:t>
      </w:r>
      <w:r w:rsidRPr="00333AFD">
        <w:tab/>
      </w:r>
      <w:r w:rsidR="001B23A7" w:rsidRPr="00333AFD">
        <w:t xml:space="preserve">Asesorar </w:t>
      </w:r>
      <w:r w:rsidRPr="00333AFD">
        <w:t xml:space="preserve">sobre la investigación y el enjuiciamiento de los casos de trata de personas; </w:t>
      </w:r>
    </w:p>
    <w:p w14:paraId="01FA0FB7" w14:textId="4035A414" w:rsidR="00333AFD" w:rsidRPr="00333AFD" w:rsidRDefault="00333AFD" w:rsidP="00810014">
      <w:pPr>
        <w:pStyle w:val="SingleTxtG"/>
        <w:spacing w:after="130"/>
      </w:pPr>
      <w:r w:rsidRPr="00333AFD">
        <w:lastRenderedPageBreak/>
        <w:tab/>
        <w:t>f)</w:t>
      </w:r>
      <w:r w:rsidRPr="00333AFD">
        <w:tab/>
      </w:r>
      <w:r w:rsidR="001B23A7" w:rsidRPr="00333AFD">
        <w:t xml:space="preserve">Introducir </w:t>
      </w:r>
      <w:r w:rsidRPr="00333AFD">
        <w:t>y aplicar programas de sensibilización pública u otras medidas destinadas a informar y educar a la población sobre cuestiones relacionadas con la trata de personas, especialmente la de mujeres y niños, en particular sobre las causas que la fomentan, y los métodos que suelen utilizar los traficantes para atraer o coaccionar a las víctimas con fines de trata o para mantenerlas cautivas, entre otros.</w:t>
      </w:r>
    </w:p>
    <w:p w14:paraId="71399906" w14:textId="02243ECC" w:rsidR="00333AFD" w:rsidRPr="00333AFD" w:rsidRDefault="00D63E71" w:rsidP="00D63E71">
      <w:pPr>
        <w:pStyle w:val="H1G"/>
      </w:pPr>
      <w:bookmarkStart w:id="54" w:name="_Toc87853324"/>
      <w:r>
        <w:tab/>
      </w:r>
      <w:r w:rsidR="00333AFD" w:rsidRPr="00333AFD">
        <w:tab/>
        <w:t>Competencia de otros tribunales de derechos humanos</w:t>
      </w:r>
      <w:bookmarkEnd w:id="54"/>
    </w:p>
    <w:p w14:paraId="49B06834" w14:textId="4389DBEB" w:rsidR="00333AFD" w:rsidRPr="00333AFD" w:rsidRDefault="00D63E71" w:rsidP="00D63E71">
      <w:pPr>
        <w:pStyle w:val="H23G"/>
      </w:pPr>
      <w:bookmarkStart w:id="55" w:name="_Toc87853325"/>
      <w:r>
        <w:tab/>
      </w:r>
      <w:r w:rsidR="00333AFD" w:rsidRPr="00333AFD">
        <w:tab/>
        <w:t>Comisión Africana de Derechos Humanos y de los Pueblos</w:t>
      </w:r>
      <w:bookmarkEnd w:id="55"/>
    </w:p>
    <w:p w14:paraId="0F9A6863" w14:textId="77777777" w:rsidR="00333AFD" w:rsidRPr="00333AFD" w:rsidRDefault="00333AFD" w:rsidP="00333AFD">
      <w:pPr>
        <w:pStyle w:val="SingleTxtG"/>
      </w:pPr>
      <w:r w:rsidRPr="00333AFD">
        <w:t>112.</w:t>
      </w:r>
      <w:r w:rsidRPr="00333AFD">
        <w:tab/>
        <w:t>Zimbabwe es Estado parte en la Carta Africana de Derechos Humanos y de los Pueblos, y del tratado que establece la Comisión Africana de Derechos Humanos y de los Pueblos como mecanismo de presentación de informes. La Comisión tiene el mandato de recibir las denuncias de las organizaciones y personas que alegan cualquier vulneración de los derechos humanos.</w:t>
      </w:r>
    </w:p>
    <w:p w14:paraId="31A35B1C" w14:textId="77777777" w:rsidR="00333AFD" w:rsidRPr="00333AFD" w:rsidRDefault="00333AFD" w:rsidP="00333AFD">
      <w:pPr>
        <w:pStyle w:val="SingleTxtG"/>
      </w:pPr>
      <w:r w:rsidRPr="00333AFD">
        <w:t>113.</w:t>
      </w:r>
      <w:r w:rsidRPr="00333AFD">
        <w:tab/>
        <w:t>El Gobierno de Zimbabwe ha tramitado 15 casos de presunta tortura y penas inhumanas y degradantes que se habían presentado ante la Comisión desde 2008. Se trata de los casos de Jestina Mukoko, Pascal Gonzo, Gandi Mudzingwa, Preta Kaseke, Fidelis Charamba, Audrey Zimbudzana, Underson Manyere, Brodreck Takwira, Zacharia Nkomo, Concillia Chinanzvavana, Violet Mupfura Nehwe y otro, Chimoto Mukwezaramba Zulu, Collen Mutemagau y Mupfuranhewe Nigel.</w:t>
      </w:r>
    </w:p>
    <w:p w14:paraId="62EAFD0A" w14:textId="77777777" w:rsidR="00333AFD" w:rsidRPr="00333AFD" w:rsidRDefault="00333AFD" w:rsidP="00333AFD">
      <w:pPr>
        <w:pStyle w:val="SingleTxtG"/>
      </w:pPr>
      <w:r w:rsidRPr="00333AFD">
        <w:t>114.</w:t>
      </w:r>
      <w:r w:rsidRPr="00333AFD">
        <w:tab/>
        <w:t xml:space="preserve">Jestina Mukoko recibió 150.000 dólares de los Estados Unidos en concepto de indemnización mediante un acta de conciliación. En los 14 casos restantes, el Gobierno ha llegado a un acuerdo para pagar 80.000 dólares de los Estados Unidos a cada uno de los demandantes como arreglo final y definitivo. </w:t>
      </w:r>
    </w:p>
    <w:p w14:paraId="6BFA477D" w14:textId="77777777" w:rsidR="00333AFD" w:rsidRPr="00333AFD" w:rsidRDefault="00333AFD" w:rsidP="00333AFD">
      <w:pPr>
        <w:pStyle w:val="SingleTxtG"/>
      </w:pPr>
      <w:r w:rsidRPr="00333AFD">
        <w:t>115.</w:t>
      </w:r>
      <w:r w:rsidRPr="00333AFD">
        <w:tab/>
        <w:t xml:space="preserve">El Gobierno está trabajando para ratificar el Estatuto por el que se Establece el Tribunal Africano de Derechos Humanos y de los Pueblos. </w:t>
      </w:r>
    </w:p>
    <w:p w14:paraId="7B9584F6" w14:textId="77777777" w:rsidR="00333AFD" w:rsidRPr="00333AFD" w:rsidRDefault="00333AFD" w:rsidP="00D63E71">
      <w:pPr>
        <w:pStyle w:val="HChG"/>
      </w:pPr>
      <w:bookmarkStart w:id="56" w:name="_Toc87853326"/>
      <w:r w:rsidRPr="00333AFD">
        <w:tab/>
        <w:t>III.</w:t>
      </w:r>
      <w:r w:rsidRPr="00333AFD">
        <w:tab/>
        <w:t>Marco de la promoción de los derechos humanos a nivel nacional</w:t>
      </w:r>
      <w:bookmarkEnd w:id="56"/>
    </w:p>
    <w:p w14:paraId="321AC9A1" w14:textId="1AC6AEFA" w:rsidR="00333AFD" w:rsidRPr="00333AFD" w:rsidRDefault="00D63E71" w:rsidP="00D63E71">
      <w:pPr>
        <w:pStyle w:val="H23G"/>
      </w:pPr>
      <w:bookmarkStart w:id="57" w:name="_Toc87853327"/>
      <w:r>
        <w:tab/>
      </w:r>
      <w:r w:rsidR="00333AFD" w:rsidRPr="00333AFD">
        <w:tab/>
        <w:t>Campañas de sensibilización sobre la Constitución</w:t>
      </w:r>
      <w:bookmarkEnd w:id="57"/>
    </w:p>
    <w:p w14:paraId="48B5ED7F" w14:textId="77777777" w:rsidR="00333AFD" w:rsidRPr="00333AFD" w:rsidRDefault="00333AFD" w:rsidP="00333AFD">
      <w:pPr>
        <w:pStyle w:val="SingleTxtG"/>
      </w:pPr>
      <w:r w:rsidRPr="00333AFD">
        <w:t>116.</w:t>
      </w:r>
      <w:r w:rsidRPr="00333AFD">
        <w:tab/>
        <w:t xml:space="preserve">De conformidad con el artículo 7 de la Constitución, el Estado debe promover la sensibilización pública acerca de la Constitución, en particular traduciéndola a todos los idiomas oficiales y difundiéndola lo más ampliamente posible, enseñándola en las escuelas y como parte de los planes de estudios de los servicios de seguridad, la administración pública y los miembros y empleados de instituciones públicas. La Constitución también alienta a todas las personas, instituciones y organismos del Gobierno, así como a las organizaciones, a realizar campañas de sensibilización y difundir los conocimientos sobre la Constitución en toda la sociedad. </w:t>
      </w:r>
    </w:p>
    <w:p w14:paraId="0664E9F9" w14:textId="77777777" w:rsidR="00333AFD" w:rsidRPr="00333AFD" w:rsidRDefault="00333AFD" w:rsidP="00333AFD">
      <w:pPr>
        <w:pStyle w:val="SingleTxtG"/>
      </w:pPr>
      <w:r w:rsidRPr="00333AFD">
        <w:t>117.</w:t>
      </w:r>
      <w:r w:rsidRPr="00333AFD">
        <w:tab/>
        <w:t xml:space="preserve">En Zimbabwe hay 16 idiomas reconocidos oficialmente y, a la fecha, el Gobierno ha traducido y difundido la Constitución a todos ellos. </w:t>
      </w:r>
    </w:p>
    <w:p w14:paraId="687097D9" w14:textId="77777777" w:rsidR="00333AFD" w:rsidRPr="00333AFD" w:rsidRDefault="00333AFD" w:rsidP="00333AFD">
      <w:pPr>
        <w:pStyle w:val="SingleTxtG"/>
      </w:pPr>
      <w:r w:rsidRPr="00333AFD">
        <w:t>118.</w:t>
      </w:r>
      <w:r w:rsidRPr="00333AFD">
        <w:tab/>
        <w:t>El Gobierno está llevando a cabo campañas permanentes de sensibilización sobre la Constitución en todas las provincias y distritos del país. En diversos talleres, los participantes reciben conocimientos acerca de la Constitución, los derechos humanos y otras cuestiones conexas. Esto contribuirá en gran medida a aumentar los conocimientos sobre los derechos humanos de la población en general. También se distribuyen entre el público presente ejemplares de la Constitución en todos los idiomas. Las campañas ya han llegado a las diez provincias del país.</w:t>
      </w:r>
    </w:p>
    <w:p w14:paraId="427E47FC" w14:textId="77777777" w:rsidR="00333AFD" w:rsidRPr="00333AFD" w:rsidRDefault="00333AFD" w:rsidP="00333AFD">
      <w:pPr>
        <w:pStyle w:val="SingleTxtG"/>
      </w:pPr>
      <w:r w:rsidRPr="00333AFD">
        <w:t>119.</w:t>
      </w:r>
      <w:r w:rsidRPr="00333AFD">
        <w:tab/>
        <w:t xml:space="preserve">En 2019 el Ministerio inició la distribución de ejemplares traducidos de la Constitución, así como actividades de sensibilización al respecto, en las zonas donde se habla mayoritariamente cada idioma. Las reuniones estaban dirigidas a las partes interesadas de cada comunidad, como los jefes de aldea, los consejeros, los docentes y los coordinadores diocesanos, entre otros, para que siguieran difundiendo los conocimientos acerca de la </w:t>
      </w:r>
      <w:r w:rsidRPr="00333AFD">
        <w:lastRenderedPageBreak/>
        <w:t xml:space="preserve">Constitución en sus comunidades. Durante esas reuniones se distribuyeron 1.559 ejemplares de la Constitución y se entregaron 36.251 ejemplares a los coordinadores diocesanos, a las partes interesadas y a los líderes de la comunidad para su posterior distribución. </w:t>
      </w:r>
    </w:p>
    <w:p w14:paraId="6560D209" w14:textId="17CDFE40" w:rsidR="00333AFD" w:rsidRPr="00333AFD" w:rsidRDefault="00D63E71" w:rsidP="00D63E71">
      <w:pPr>
        <w:pStyle w:val="H23G"/>
      </w:pPr>
      <w:r w:rsidRPr="00D63E71">
        <w:rPr>
          <w:b w:val="0"/>
          <w:bCs/>
        </w:rPr>
        <w:tab/>
      </w:r>
      <w:r w:rsidRPr="00D63E71">
        <w:rPr>
          <w:b w:val="0"/>
          <w:bCs/>
        </w:rPr>
        <w:tab/>
      </w:r>
      <w:r w:rsidR="00333AFD" w:rsidRPr="00D63E71">
        <w:rPr>
          <w:b w:val="0"/>
          <w:bCs/>
        </w:rPr>
        <w:t>Cuadro 10</w:t>
      </w:r>
      <w:r w:rsidRPr="00D63E71">
        <w:rPr>
          <w:b w:val="0"/>
          <w:bCs/>
        </w:rPr>
        <w:br/>
      </w:r>
      <w:r w:rsidR="00333AFD" w:rsidRPr="00333AFD">
        <w:t>Número total previsto y real de participantes en las reuniones de difusión</w:t>
      </w:r>
    </w:p>
    <w:tbl>
      <w:tblPr>
        <w:tblW w:w="7368" w:type="dxa"/>
        <w:tblInd w:w="1134" w:type="dxa"/>
        <w:tblBorders>
          <w:top w:val="single" w:sz="4" w:space="0" w:color="auto"/>
        </w:tblBorders>
        <w:tblLayout w:type="fixed"/>
        <w:tblCellMar>
          <w:left w:w="0" w:type="dxa"/>
          <w:right w:w="28" w:type="dxa"/>
        </w:tblCellMar>
        <w:tblLook w:val="04A0" w:firstRow="1" w:lastRow="0" w:firstColumn="1" w:lastColumn="0" w:noHBand="0" w:noVBand="1"/>
      </w:tblPr>
      <w:tblGrid>
        <w:gridCol w:w="567"/>
        <w:gridCol w:w="1543"/>
        <w:gridCol w:w="1313"/>
        <w:gridCol w:w="1315"/>
        <w:gridCol w:w="1315"/>
        <w:gridCol w:w="1315"/>
      </w:tblGrid>
      <w:tr w:rsidR="00D63E71" w:rsidRPr="00D63E71" w14:paraId="257E2927" w14:textId="77777777" w:rsidTr="00D63E71">
        <w:trPr>
          <w:trHeight w:val="240"/>
          <w:tblHeader/>
        </w:trPr>
        <w:tc>
          <w:tcPr>
            <w:tcW w:w="567" w:type="dxa"/>
            <w:tcBorders>
              <w:top w:val="single" w:sz="4" w:space="0" w:color="auto"/>
              <w:bottom w:val="single" w:sz="12" w:space="0" w:color="auto"/>
            </w:tcBorders>
            <w:shd w:val="clear" w:color="auto" w:fill="auto"/>
            <w:vAlign w:val="bottom"/>
          </w:tcPr>
          <w:p w14:paraId="4E6692B0" w14:textId="72E4CC71"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3D4091">
              <w:rPr>
                <w:i/>
                <w:iCs/>
                <w:sz w:val="16"/>
              </w:rPr>
              <w:t>ero</w:t>
            </w:r>
          </w:p>
        </w:tc>
        <w:tc>
          <w:tcPr>
            <w:tcW w:w="1543" w:type="dxa"/>
            <w:tcBorders>
              <w:top w:val="single" w:sz="4" w:space="0" w:color="auto"/>
              <w:bottom w:val="single" w:sz="12" w:space="0" w:color="auto"/>
            </w:tcBorders>
            <w:shd w:val="clear" w:color="auto" w:fill="auto"/>
            <w:vAlign w:val="bottom"/>
          </w:tcPr>
          <w:p w14:paraId="50165310"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left"/>
              <w:rPr>
                <w:i/>
                <w:sz w:val="16"/>
              </w:rPr>
            </w:pPr>
            <w:r w:rsidRPr="00333AFD">
              <w:rPr>
                <w:i/>
                <w:iCs/>
                <w:sz w:val="16"/>
              </w:rPr>
              <w:t>Diócesis</w:t>
            </w:r>
          </w:p>
        </w:tc>
        <w:tc>
          <w:tcPr>
            <w:tcW w:w="1313" w:type="dxa"/>
            <w:tcBorders>
              <w:top w:val="single" w:sz="4" w:space="0" w:color="auto"/>
              <w:bottom w:val="single" w:sz="12" w:space="0" w:color="auto"/>
            </w:tcBorders>
            <w:shd w:val="clear" w:color="auto" w:fill="auto"/>
            <w:vAlign w:val="bottom"/>
          </w:tcPr>
          <w:p w14:paraId="037D6096"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right"/>
              <w:rPr>
                <w:i/>
                <w:sz w:val="16"/>
              </w:rPr>
            </w:pPr>
            <w:r w:rsidRPr="00333AFD">
              <w:rPr>
                <w:i/>
                <w:iCs/>
                <w:sz w:val="16"/>
              </w:rPr>
              <w:t>Mujeres</w:t>
            </w:r>
          </w:p>
        </w:tc>
        <w:tc>
          <w:tcPr>
            <w:tcW w:w="1315" w:type="dxa"/>
            <w:tcBorders>
              <w:top w:val="single" w:sz="4" w:space="0" w:color="auto"/>
              <w:bottom w:val="single" w:sz="12" w:space="0" w:color="auto"/>
            </w:tcBorders>
            <w:shd w:val="clear" w:color="auto" w:fill="auto"/>
            <w:vAlign w:val="bottom"/>
          </w:tcPr>
          <w:p w14:paraId="7BEF10D0"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right"/>
              <w:rPr>
                <w:i/>
                <w:sz w:val="16"/>
              </w:rPr>
            </w:pPr>
            <w:r w:rsidRPr="00333AFD">
              <w:rPr>
                <w:i/>
                <w:iCs/>
                <w:sz w:val="16"/>
              </w:rPr>
              <w:t>Hombres</w:t>
            </w:r>
          </w:p>
        </w:tc>
        <w:tc>
          <w:tcPr>
            <w:tcW w:w="1315" w:type="dxa"/>
            <w:tcBorders>
              <w:top w:val="single" w:sz="4" w:space="0" w:color="auto"/>
              <w:bottom w:val="single" w:sz="12" w:space="0" w:color="auto"/>
            </w:tcBorders>
            <w:shd w:val="clear" w:color="auto" w:fill="auto"/>
            <w:vAlign w:val="bottom"/>
          </w:tcPr>
          <w:p w14:paraId="1D64EFDB"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right"/>
              <w:rPr>
                <w:i/>
                <w:sz w:val="16"/>
              </w:rPr>
            </w:pPr>
            <w:r w:rsidRPr="00333AFD">
              <w:rPr>
                <w:i/>
                <w:iCs/>
                <w:sz w:val="16"/>
              </w:rPr>
              <w:t>Total previsto</w:t>
            </w:r>
          </w:p>
        </w:tc>
        <w:tc>
          <w:tcPr>
            <w:tcW w:w="1315" w:type="dxa"/>
            <w:tcBorders>
              <w:top w:val="single" w:sz="4" w:space="0" w:color="auto"/>
              <w:bottom w:val="single" w:sz="12" w:space="0" w:color="auto"/>
            </w:tcBorders>
            <w:shd w:val="clear" w:color="auto" w:fill="auto"/>
            <w:vAlign w:val="bottom"/>
          </w:tcPr>
          <w:p w14:paraId="44525470"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right"/>
              <w:rPr>
                <w:i/>
                <w:sz w:val="16"/>
              </w:rPr>
            </w:pPr>
            <w:r w:rsidRPr="00333AFD">
              <w:rPr>
                <w:i/>
                <w:iCs/>
                <w:sz w:val="16"/>
              </w:rPr>
              <w:t>Total real</w:t>
            </w:r>
          </w:p>
        </w:tc>
      </w:tr>
      <w:tr w:rsidR="00D63E71" w:rsidRPr="00333AFD" w14:paraId="1A46EA5F" w14:textId="77777777" w:rsidTr="00D63E71">
        <w:trPr>
          <w:trHeight w:val="240"/>
        </w:trPr>
        <w:tc>
          <w:tcPr>
            <w:tcW w:w="567" w:type="dxa"/>
            <w:shd w:val="clear" w:color="auto" w:fill="auto"/>
          </w:tcPr>
          <w:p w14:paraId="05855241"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1.</w:t>
            </w:r>
          </w:p>
        </w:tc>
        <w:tc>
          <w:tcPr>
            <w:tcW w:w="1543" w:type="dxa"/>
            <w:shd w:val="clear" w:color="auto" w:fill="auto"/>
            <w:vAlign w:val="bottom"/>
          </w:tcPr>
          <w:p w14:paraId="66B1413B"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Masvingo</w:t>
            </w:r>
          </w:p>
        </w:tc>
        <w:tc>
          <w:tcPr>
            <w:tcW w:w="1313" w:type="dxa"/>
            <w:shd w:val="clear" w:color="auto" w:fill="auto"/>
            <w:vAlign w:val="bottom"/>
          </w:tcPr>
          <w:p w14:paraId="392073EC"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231</w:t>
            </w:r>
          </w:p>
        </w:tc>
        <w:tc>
          <w:tcPr>
            <w:tcW w:w="1315" w:type="dxa"/>
            <w:shd w:val="clear" w:color="auto" w:fill="auto"/>
            <w:vAlign w:val="bottom"/>
          </w:tcPr>
          <w:p w14:paraId="2D0BE626"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150</w:t>
            </w:r>
          </w:p>
        </w:tc>
        <w:tc>
          <w:tcPr>
            <w:tcW w:w="1315" w:type="dxa"/>
            <w:shd w:val="clear" w:color="auto" w:fill="auto"/>
            <w:vAlign w:val="bottom"/>
          </w:tcPr>
          <w:p w14:paraId="3C89093C"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375</w:t>
            </w:r>
          </w:p>
        </w:tc>
        <w:tc>
          <w:tcPr>
            <w:tcW w:w="1315" w:type="dxa"/>
            <w:shd w:val="clear" w:color="auto" w:fill="auto"/>
            <w:vAlign w:val="bottom"/>
          </w:tcPr>
          <w:p w14:paraId="70341CEF"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381</w:t>
            </w:r>
          </w:p>
        </w:tc>
      </w:tr>
      <w:tr w:rsidR="00D63E71" w:rsidRPr="00333AFD" w14:paraId="00426671" w14:textId="77777777" w:rsidTr="00D63E71">
        <w:trPr>
          <w:trHeight w:val="240"/>
        </w:trPr>
        <w:tc>
          <w:tcPr>
            <w:tcW w:w="567" w:type="dxa"/>
            <w:shd w:val="clear" w:color="auto" w:fill="auto"/>
          </w:tcPr>
          <w:p w14:paraId="2D9A0791"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2.</w:t>
            </w:r>
          </w:p>
        </w:tc>
        <w:tc>
          <w:tcPr>
            <w:tcW w:w="1543" w:type="dxa"/>
            <w:shd w:val="clear" w:color="auto" w:fill="auto"/>
            <w:vAlign w:val="bottom"/>
          </w:tcPr>
          <w:p w14:paraId="09212357"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Mutare</w:t>
            </w:r>
          </w:p>
        </w:tc>
        <w:tc>
          <w:tcPr>
            <w:tcW w:w="1313" w:type="dxa"/>
            <w:shd w:val="clear" w:color="auto" w:fill="auto"/>
            <w:vAlign w:val="bottom"/>
          </w:tcPr>
          <w:p w14:paraId="57557607"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145</w:t>
            </w:r>
          </w:p>
        </w:tc>
        <w:tc>
          <w:tcPr>
            <w:tcW w:w="1315" w:type="dxa"/>
            <w:shd w:val="clear" w:color="auto" w:fill="auto"/>
            <w:vAlign w:val="bottom"/>
          </w:tcPr>
          <w:p w14:paraId="049DD7F1"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85</w:t>
            </w:r>
          </w:p>
        </w:tc>
        <w:tc>
          <w:tcPr>
            <w:tcW w:w="1315" w:type="dxa"/>
            <w:shd w:val="clear" w:color="auto" w:fill="auto"/>
            <w:vAlign w:val="bottom"/>
          </w:tcPr>
          <w:p w14:paraId="3671F385"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200</w:t>
            </w:r>
          </w:p>
        </w:tc>
        <w:tc>
          <w:tcPr>
            <w:tcW w:w="1315" w:type="dxa"/>
            <w:shd w:val="clear" w:color="auto" w:fill="auto"/>
            <w:vAlign w:val="bottom"/>
          </w:tcPr>
          <w:p w14:paraId="4C980D48"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230</w:t>
            </w:r>
          </w:p>
        </w:tc>
      </w:tr>
      <w:tr w:rsidR="00D63E71" w:rsidRPr="00333AFD" w14:paraId="7A1800B0" w14:textId="77777777" w:rsidTr="00D63E71">
        <w:trPr>
          <w:trHeight w:val="240"/>
        </w:trPr>
        <w:tc>
          <w:tcPr>
            <w:tcW w:w="567" w:type="dxa"/>
            <w:shd w:val="clear" w:color="auto" w:fill="auto"/>
          </w:tcPr>
          <w:p w14:paraId="0E60A404"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3.</w:t>
            </w:r>
          </w:p>
        </w:tc>
        <w:tc>
          <w:tcPr>
            <w:tcW w:w="1543" w:type="dxa"/>
            <w:shd w:val="clear" w:color="auto" w:fill="auto"/>
            <w:vAlign w:val="bottom"/>
          </w:tcPr>
          <w:p w14:paraId="2C80F251"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Hwange</w:t>
            </w:r>
          </w:p>
        </w:tc>
        <w:tc>
          <w:tcPr>
            <w:tcW w:w="1313" w:type="dxa"/>
            <w:shd w:val="clear" w:color="auto" w:fill="auto"/>
            <w:vAlign w:val="bottom"/>
          </w:tcPr>
          <w:p w14:paraId="69DCCC7F"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81</w:t>
            </w:r>
          </w:p>
        </w:tc>
        <w:tc>
          <w:tcPr>
            <w:tcW w:w="1315" w:type="dxa"/>
            <w:shd w:val="clear" w:color="auto" w:fill="auto"/>
            <w:vAlign w:val="bottom"/>
          </w:tcPr>
          <w:p w14:paraId="569E0398"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147</w:t>
            </w:r>
          </w:p>
        </w:tc>
        <w:tc>
          <w:tcPr>
            <w:tcW w:w="1315" w:type="dxa"/>
            <w:shd w:val="clear" w:color="auto" w:fill="auto"/>
            <w:vAlign w:val="bottom"/>
          </w:tcPr>
          <w:p w14:paraId="06FCC7CC"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400</w:t>
            </w:r>
          </w:p>
        </w:tc>
        <w:tc>
          <w:tcPr>
            <w:tcW w:w="1315" w:type="dxa"/>
            <w:shd w:val="clear" w:color="auto" w:fill="auto"/>
            <w:vAlign w:val="bottom"/>
          </w:tcPr>
          <w:p w14:paraId="2A898DF7"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228</w:t>
            </w:r>
          </w:p>
        </w:tc>
      </w:tr>
      <w:tr w:rsidR="00D63E71" w:rsidRPr="00333AFD" w14:paraId="6ACC5DB9" w14:textId="77777777" w:rsidTr="00D63E71">
        <w:trPr>
          <w:trHeight w:val="240"/>
        </w:trPr>
        <w:tc>
          <w:tcPr>
            <w:tcW w:w="567" w:type="dxa"/>
            <w:shd w:val="clear" w:color="auto" w:fill="auto"/>
          </w:tcPr>
          <w:p w14:paraId="05DF567A"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4.</w:t>
            </w:r>
          </w:p>
        </w:tc>
        <w:tc>
          <w:tcPr>
            <w:tcW w:w="1543" w:type="dxa"/>
            <w:shd w:val="clear" w:color="auto" w:fill="auto"/>
            <w:vAlign w:val="bottom"/>
          </w:tcPr>
          <w:p w14:paraId="64054795"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Gokwe</w:t>
            </w:r>
          </w:p>
        </w:tc>
        <w:tc>
          <w:tcPr>
            <w:tcW w:w="1313" w:type="dxa"/>
            <w:shd w:val="clear" w:color="auto" w:fill="auto"/>
            <w:vAlign w:val="bottom"/>
          </w:tcPr>
          <w:p w14:paraId="399800FC"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136</w:t>
            </w:r>
          </w:p>
        </w:tc>
        <w:tc>
          <w:tcPr>
            <w:tcW w:w="1315" w:type="dxa"/>
            <w:shd w:val="clear" w:color="auto" w:fill="auto"/>
            <w:vAlign w:val="bottom"/>
          </w:tcPr>
          <w:p w14:paraId="176AA5EE"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144</w:t>
            </w:r>
          </w:p>
        </w:tc>
        <w:tc>
          <w:tcPr>
            <w:tcW w:w="1315" w:type="dxa"/>
            <w:shd w:val="clear" w:color="auto" w:fill="auto"/>
            <w:vAlign w:val="bottom"/>
          </w:tcPr>
          <w:p w14:paraId="716C61E4"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200</w:t>
            </w:r>
          </w:p>
        </w:tc>
        <w:tc>
          <w:tcPr>
            <w:tcW w:w="1315" w:type="dxa"/>
            <w:shd w:val="clear" w:color="auto" w:fill="auto"/>
            <w:vAlign w:val="bottom"/>
          </w:tcPr>
          <w:p w14:paraId="65F45E23"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280</w:t>
            </w:r>
          </w:p>
        </w:tc>
      </w:tr>
      <w:tr w:rsidR="00D63E71" w:rsidRPr="00333AFD" w14:paraId="3344A6F4" w14:textId="77777777" w:rsidTr="00D63E71">
        <w:trPr>
          <w:trHeight w:val="240"/>
        </w:trPr>
        <w:tc>
          <w:tcPr>
            <w:tcW w:w="567" w:type="dxa"/>
            <w:tcBorders>
              <w:bottom w:val="single" w:sz="4" w:space="0" w:color="auto"/>
            </w:tcBorders>
            <w:shd w:val="clear" w:color="auto" w:fill="auto"/>
          </w:tcPr>
          <w:p w14:paraId="3D346975"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5.</w:t>
            </w:r>
          </w:p>
        </w:tc>
        <w:tc>
          <w:tcPr>
            <w:tcW w:w="1543" w:type="dxa"/>
            <w:tcBorders>
              <w:bottom w:val="single" w:sz="4" w:space="0" w:color="auto"/>
            </w:tcBorders>
            <w:shd w:val="clear" w:color="auto" w:fill="auto"/>
            <w:vAlign w:val="bottom"/>
          </w:tcPr>
          <w:p w14:paraId="1EBE9309"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Bulawayo</w:t>
            </w:r>
          </w:p>
        </w:tc>
        <w:tc>
          <w:tcPr>
            <w:tcW w:w="1313" w:type="dxa"/>
            <w:tcBorders>
              <w:bottom w:val="single" w:sz="4" w:space="0" w:color="auto"/>
            </w:tcBorders>
            <w:shd w:val="clear" w:color="auto" w:fill="auto"/>
            <w:vAlign w:val="bottom"/>
          </w:tcPr>
          <w:p w14:paraId="101B7878"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254</w:t>
            </w:r>
          </w:p>
        </w:tc>
        <w:tc>
          <w:tcPr>
            <w:tcW w:w="1315" w:type="dxa"/>
            <w:tcBorders>
              <w:bottom w:val="single" w:sz="4" w:space="0" w:color="auto"/>
            </w:tcBorders>
            <w:shd w:val="clear" w:color="auto" w:fill="auto"/>
            <w:vAlign w:val="bottom"/>
          </w:tcPr>
          <w:p w14:paraId="08E94FEA"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186</w:t>
            </w:r>
          </w:p>
        </w:tc>
        <w:tc>
          <w:tcPr>
            <w:tcW w:w="1315" w:type="dxa"/>
            <w:tcBorders>
              <w:bottom w:val="single" w:sz="4" w:space="0" w:color="auto"/>
            </w:tcBorders>
            <w:shd w:val="clear" w:color="auto" w:fill="auto"/>
            <w:vAlign w:val="bottom"/>
          </w:tcPr>
          <w:p w14:paraId="79AB7FF2"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300</w:t>
            </w:r>
          </w:p>
        </w:tc>
        <w:tc>
          <w:tcPr>
            <w:tcW w:w="1315" w:type="dxa"/>
            <w:tcBorders>
              <w:bottom w:val="single" w:sz="4" w:space="0" w:color="auto"/>
            </w:tcBorders>
            <w:shd w:val="clear" w:color="auto" w:fill="auto"/>
            <w:vAlign w:val="bottom"/>
          </w:tcPr>
          <w:p w14:paraId="4358731B" w14:textId="77777777" w:rsidR="00333AFD" w:rsidRPr="00333AFD" w:rsidRDefault="00333AFD" w:rsidP="00D63E71">
            <w:pPr>
              <w:pStyle w:val="SingleTxtG"/>
              <w:tabs>
                <w:tab w:val="clear" w:pos="1701"/>
                <w:tab w:val="clear" w:pos="2268"/>
                <w:tab w:val="clear" w:pos="2835"/>
              </w:tabs>
              <w:adjustRightInd w:val="0"/>
              <w:spacing w:before="40" w:after="40" w:line="220" w:lineRule="exact"/>
              <w:ind w:left="113" w:right="0"/>
              <w:jc w:val="right"/>
              <w:rPr>
                <w:sz w:val="18"/>
              </w:rPr>
            </w:pPr>
            <w:r w:rsidRPr="00333AFD">
              <w:rPr>
                <w:sz w:val="18"/>
              </w:rPr>
              <w:t>440</w:t>
            </w:r>
          </w:p>
        </w:tc>
      </w:tr>
      <w:tr w:rsidR="00D63E71" w:rsidRPr="00D63E71" w14:paraId="6D3008EB" w14:textId="77777777" w:rsidTr="00D63E71">
        <w:trPr>
          <w:trHeight w:val="240"/>
        </w:trPr>
        <w:tc>
          <w:tcPr>
            <w:tcW w:w="2110" w:type="dxa"/>
            <w:gridSpan w:val="2"/>
            <w:tcBorders>
              <w:top w:val="single" w:sz="4" w:space="0" w:color="auto"/>
              <w:bottom w:val="single" w:sz="12" w:space="0" w:color="auto"/>
            </w:tcBorders>
            <w:shd w:val="clear" w:color="auto" w:fill="auto"/>
          </w:tcPr>
          <w:p w14:paraId="6BC5B7CE" w14:textId="77777777" w:rsidR="00333AFD" w:rsidRPr="00333AFD" w:rsidRDefault="00333AFD" w:rsidP="00D63E71">
            <w:pPr>
              <w:pStyle w:val="SingleTxtG"/>
              <w:tabs>
                <w:tab w:val="clear" w:pos="1701"/>
                <w:tab w:val="clear" w:pos="2268"/>
                <w:tab w:val="clear" w:pos="2835"/>
              </w:tabs>
              <w:spacing w:before="80" w:after="80" w:line="220" w:lineRule="exact"/>
              <w:ind w:left="283" w:right="0"/>
              <w:jc w:val="left"/>
              <w:rPr>
                <w:b/>
                <w:sz w:val="18"/>
              </w:rPr>
            </w:pPr>
            <w:r w:rsidRPr="00333AFD">
              <w:rPr>
                <w:b/>
                <w:bCs/>
                <w:sz w:val="18"/>
              </w:rPr>
              <w:t xml:space="preserve">Total </w:t>
            </w:r>
          </w:p>
        </w:tc>
        <w:tc>
          <w:tcPr>
            <w:tcW w:w="1313" w:type="dxa"/>
            <w:tcBorders>
              <w:top w:val="single" w:sz="4" w:space="0" w:color="auto"/>
              <w:bottom w:val="single" w:sz="12" w:space="0" w:color="auto"/>
            </w:tcBorders>
            <w:shd w:val="clear" w:color="auto" w:fill="auto"/>
            <w:vAlign w:val="bottom"/>
          </w:tcPr>
          <w:p w14:paraId="1B293986" w14:textId="77777777" w:rsidR="00333AFD" w:rsidRPr="00333AFD" w:rsidRDefault="00333AFD" w:rsidP="00D63E71">
            <w:pPr>
              <w:pStyle w:val="SingleTxtG"/>
              <w:tabs>
                <w:tab w:val="clear" w:pos="1701"/>
                <w:tab w:val="clear" w:pos="2268"/>
                <w:tab w:val="clear" w:pos="2835"/>
              </w:tabs>
              <w:adjustRightInd w:val="0"/>
              <w:spacing w:before="80" w:after="80" w:line="220" w:lineRule="exact"/>
              <w:ind w:left="0" w:right="0"/>
              <w:jc w:val="right"/>
              <w:rPr>
                <w:b/>
                <w:sz w:val="18"/>
              </w:rPr>
            </w:pPr>
            <w:r w:rsidRPr="00333AFD">
              <w:rPr>
                <w:b/>
                <w:bCs/>
                <w:sz w:val="18"/>
              </w:rPr>
              <w:t>847</w:t>
            </w:r>
          </w:p>
        </w:tc>
        <w:tc>
          <w:tcPr>
            <w:tcW w:w="1315" w:type="dxa"/>
            <w:tcBorders>
              <w:top w:val="single" w:sz="4" w:space="0" w:color="auto"/>
              <w:bottom w:val="single" w:sz="12" w:space="0" w:color="auto"/>
            </w:tcBorders>
            <w:shd w:val="clear" w:color="auto" w:fill="auto"/>
            <w:vAlign w:val="bottom"/>
          </w:tcPr>
          <w:p w14:paraId="17907B83" w14:textId="77777777" w:rsidR="00333AFD" w:rsidRPr="00333AFD" w:rsidRDefault="00333AFD" w:rsidP="00D63E71">
            <w:pPr>
              <w:pStyle w:val="SingleTxtG"/>
              <w:tabs>
                <w:tab w:val="clear" w:pos="1701"/>
                <w:tab w:val="clear" w:pos="2268"/>
                <w:tab w:val="clear" w:pos="2835"/>
              </w:tabs>
              <w:adjustRightInd w:val="0"/>
              <w:spacing w:before="80" w:after="80" w:line="220" w:lineRule="exact"/>
              <w:ind w:left="0" w:right="0"/>
              <w:jc w:val="right"/>
              <w:rPr>
                <w:b/>
                <w:sz w:val="18"/>
              </w:rPr>
            </w:pPr>
            <w:r w:rsidRPr="00333AFD">
              <w:rPr>
                <w:b/>
                <w:bCs/>
                <w:sz w:val="18"/>
              </w:rPr>
              <w:t>712</w:t>
            </w:r>
          </w:p>
        </w:tc>
        <w:tc>
          <w:tcPr>
            <w:tcW w:w="1315" w:type="dxa"/>
            <w:tcBorders>
              <w:top w:val="single" w:sz="4" w:space="0" w:color="auto"/>
              <w:bottom w:val="single" w:sz="12" w:space="0" w:color="auto"/>
            </w:tcBorders>
            <w:shd w:val="clear" w:color="auto" w:fill="auto"/>
            <w:vAlign w:val="bottom"/>
          </w:tcPr>
          <w:p w14:paraId="1CDEFC0D" w14:textId="77777777" w:rsidR="00333AFD" w:rsidRPr="00333AFD" w:rsidRDefault="00333AFD" w:rsidP="00D63E71">
            <w:pPr>
              <w:pStyle w:val="SingleTxtG"/>
              <w:tabs>
                <w:tab w:val="clear" w:pos="1701"/>
                <w:tab w:val="clear" w:pos="2268"/>
                <w:tab w:val="clear" w:pos="2835"/>
              </w:tabs>
              <w:adjustRightInd w:val="0"/>
              <w:spacing w:before="80" w:after="80" w:line="220" w:lineRule="exact"/>
              <w:ind w:left="0" w:right="0"/>
              <w:jc w:val="right"/>
              <w:rPr>
                <w:b/>
                <w:sz w:val="18"/>
              </w:rPr>
            </w:pPr>
            <w:r w:rsidRPr="00333AFD">
              <w:rPr>
                <w:b/>
                <w:bCs/>
                <w:sz w:val="18"/>
              </w:rPr>
              <w:t>1 475</w:t>
            </w:r>
          </w:p>
        </w:tc>
        <w:tc>
          <w:tcPr>
            <w:tcW w:w="1315" w:type="dxa"/>
            <w:tcBorders>
              <w:top w:val="single" w:sz="4" w:space="0" w:color="auto"/>
              <w:bottom w:val="single" w:sz="12" w:space="0" w:color="auto"/>
            </w:tcBorders>
            <w:shd w:val="clear" w:color="auto" w:fill="auto"/>
            <w:vAlign w:val="bottom"/>
          </w:tcPr>
          <w:p w14:paraId="31783FB0" w14:textId="77777777" w:rsidR="00333AFD" w:rsidRPr="00333AFD" w:rsidRDefault="00333AFD" w:rsidP="00D63E71">
            <w:pPr>
              <w:pStyle w:val="SingleTxtG"/>
              <w:tabs>
                <w:tab w:val="clear" w:pos="1701"/>
                <w:tab w:val="clear" w:pos="2268"/>
                <w:tab w:val="clear" w:pos="2835"/>
              </w:tabs>
              <w:adjustRightInd w:val="0"/>
              <w:spacing w:before="80" w:after="80" w:line="220" w:lineRule="exact"/>
              <w:ind w:left="0" w:right="0"/>
              <w:jc w:val="right"/>
              <w:rPr>
                <w:b/>
                <w:sz w:val="18"/>
              </w:rPr>
            </w:pPr>
            <w:r w:rsidRPr="00333AFD">
              <w:rPr>
                <w:b/>
                <w:bCs/>
                <w:sz w:val="18"/>
              </w:rPr>
              <w:t>1 559</w:t>
            </w:r>
          </w:p>
        </w:tc>
      </w:tr>
    </w:tbl>
    <w:p w14:paraId="66D3123C" w14:textId="77777777" w:rsidR="00333AFD" w:rsidRPr="00333AFD" w:rsidRDefault="00333AFD" w:rsidP="00810014">
      <w:pPr>
        <w:pStyle w:val="SingleTxtG"/>
        <w:keepNext/>
        <w:keepLines/>
        <w:spacing w:before="240"/>
      </w:pPr>
      <w:r w:rsidRPr="00333AFD">
        <w:t>120.</w:t>
      </w:r>
      <w:r w:rsidRPr="00333AFD">
        <w:tab/>
        <w:t xml:space="preserve">Además, la Constitución, en su artículo 7, alienta a todas las personas y organizaciones a realizar campañas de sensibilización y difundir conocimientos acerca de la Constitución en toda la sociedad. El Ministerio de Justicia celebró reuniones de promoción en todas las ciudades provinciales del país impartiendo conocimientos sobre la Constitución y distribuyendo ejemplares de esta a la ciudadanía. Actualmente, esta noble actividad se está extendiendo a los distritos del país. Hasta ahora se ha llegado a casi todos los distritos, con excepción de cinco. </w:t>
      </w:r>
    </w:p>
    <w:p w14:paraId="30A21DA0" w14:textId="3D06D2EB" w:rsidR="00333AFD" w:rsidRPr="00333AFD" w:rsidRDefault="00D63E71" w:rsidP="00D63E71">
      <w:pPr>
        <w:pStyle w:val="H23G"/>
      </w:pPr>
      <w:r w:rsidRPr="00D63E71">
        <w:rPr>
          <w:b w:val="0"/>
          <w:bCs/>
        </w:rPr>
        <w:tab/>
      </w:r>
      <w:r w:rsidRPr="00D63E71">
        <w:rPr>
          <w:b w:val="0"/>
          <w:bCs/>
        </w:rPr>
        <w:tab/>
      </w:r>
      <w:r w:rsidR="00333AFD" w:rsidRPr="00D63E71">
        <w:rPr>
          <w:b w:val="0"/>
          <w:bCs/>
        </w:rPr>
        <w:t>Cuadro 11</w:t>
      </w:r>
      <w:r w:rsidRPr="00D63E71">
        <w:rPr>
          <w:b w:val="0"/>
          <w:bCs/>
        </w:rPr>
        <w:br/>
      </w:r>
      <w:r w:rsidR="00333AFD" w:rsidRPr="00333AFD">
        <w:t>Número total de personas alcanzadas en cada provincia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00"/>
        <w:gridCol w:w="4019"/>
        <w:gridCol w:w="2551"/>
      </w:tblGrid>
      <w:tr w:rsidR="00D63E71" w:rsidRPr="00D63E71" w14:paraId="7F703516" w14:textId="77777777" w:rsidTr="00D63E71">
        <w:trPr>
          <w:trHeight w:val="240"/>
          <w:tblHeader/>
        </w:trPr>
        <w:tc>
          <w:tcPr>
            <w:tcW w:w="800" w:type="dxa"/>
            <w:tcBorders>
              <w:top w:val="single" w:sz="4" w:space="0" w:color="auto"/>
              <w:bottom w:val="single" w:sz="12" w:space="0" w:color="auto"/>
            </w:tcBorders>
            <w:shd w:val="clear" w:color="auto" w:fill="auto"/>
            <w:vAlign w:val="bottom"/>
          </w:tcPr>
          <w:p w14:paraId="56575745" w14:textId="586E3787"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3D4091">
              <w:rPr>
                <w:i/>
                <w:iCs/>
                <w:sz w:val="16"/>
              </w:rPr>
              <w:t>ero</w:t>
            </w:r>
          </w:p>
        </w:tc>
        <w:tc>
          <w:tcPr>
            <w:tcW w:w="4019" w:type="dxa"/>
            <w:tcBorders>
              <w:top w:val="single" w:sz="4" w:space="0" w:color="auto"/>
              <w:bottom w:val="single" w:sz="12" w:space="0" w:color="auto"/>
            </w:tcBorders>
            <w:shd w:val="clear" w:color="auto" w:fill="auto"/>
            <w:vAlign w:val="bottom"/>
          </w:tcPr>
          <w:p w14:paraId="6FBBCB3A"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left"/>
              <w:rPr>
                <w:i/>
                <w:sz w:val="16"/>
              </w:rPr>
            </w:pPr>
            <w:r w:rsidRPr="00333AFD">
              <w:rPr>
                <w:i/>
                <w:iCs/>
                <w:sz w:val="16"/>
              </w:rPr>
              <w:t>Provincia</w:t>
            </w:r>
          </w:p>
        </w:tc>
        <w:tc>
          <w:tcPr>
            <w:tcW w:w="2551" w:type="dxa"/>
            <w:tcBorders>
              <w:top w:val="single" w:sz="4" w:space="0" w:color="auto"/>
              <w:bottom w:val="single" w:sz="12" w:space="0" w:color="auto"/>
            </w:tcBorders>
            <w:shd w:val="clear" w:color="auto" w:fill="auto"/>
            <w:vAlign w:val="bottom"/>
          </w:tcPr>
          <w:p w14:paraId="1270761F" w14:textId="77777777" w:rsidR="00333AFD" w:rsidRPr="00333AFD" w:rsidRDefault="00333AFD" w:rsidP="00D63E71">
            <w:pPr>
              <w:pStyle w:val="SingleTxtG"/>
              <w:tabs>
                <w:tab w:val="clear" w:pos="1701"/>
                <w:tab w:val="clear" w:pos="2268"/>
                <w:tab w:val="clear" w:pos="2835"/>
              </w:tabs>
              <w:spacing w:before="80" w:after="80" w:line="200" w:lineRule="exact"/>
              <w:ind w:left="57" w:right="28"/>
              <w:jc w:val="right"/>
              <w:rPr>
                <w:i/>
                <w:sz w:val="16"/>
              </w:rPr>
            </w:pPr>
            <w:r w:rsidRPr="00333AFD">
              <w:rPr>
                <w:i/>
                <w:iCs/>
                <w:sz w:val="16"/>
              </w:rPr>
              <w:t>Número de personas alcanzadas</w:t>
            </w:r>
          </w:p>
        </w:tc>
      </w:tr>
      <w:tr w:rsidR="00D63E71" w:rsidRPr="00333AFD" w14:paraId="1485E9BD" w14:textId="77777777" w:rsidTr="00D63E71">
        <w:trPr>
          <w:trHeight w:val="240"/>
        </w:trPr>
        <w:tc>
          <w:tcPr>
            <w:tcW w:w="800" w:type="dxa"/>
            <w:shd w:val="clear" w:color="auto" w:fill="auto"/>
          </w:tcPr>
          <w:p w14:paraId="391DAE09"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1.</w:t>
            </w:r>
          </w:p>
        </w:tc>
        <w:tc>
          <w:tcPr>
            <w:tcW w:w="4019" w:type="dxa"/>
            <w:shd w:val="clear" w:color="auto" w:fill="auto"/>
            <w:vAlign w:val="bottom"/>
          </w:tcPr>
          <w:p w14:paraId="42AA6D4E"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Bulawayo</w:t>
            </w:r>
          </w:p>
        </w:tc>
        <w:tc>
          <w:tcPr>
            <w:tcW w:w="2551" w:type="dxa"/>
            <w:shd w:val="clear" w:color="auto" w:fill="auto"/>
            <w:vAlign w:val="bottom"/>
          </w:tcPr>
          <w:p w14:paraId="1F30219B"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15 700</w:t>
            </w:r>
          </w:p>
        </w:tc>
      </w:tr>
      <w:tr w:rsidR="00D63E71" w:rsidRPr="00333AFD" w14:paraId="7BF6F47F" w14:textId="77777777" w:rsidTr="00D63E71">
        <w:trPr>
          <w:trHeight w:val="240"/>
        </w:trPr>
        <w:tc>
          <w:tcPr>
            <w:tcW w:w="800" w:type="dxa"/>
            <w:shd w:val="clear" w:color="auto" w:fill="auto"/>
          </w:tcPr>
          <w:p w14:paraId="7064B480"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2.</w:t>
            </w:r>
          </w:p>
        </w:tc>
        <w:tc>
          <w:tcPr>
            <w:tcW w:w="4019" w:type="dxa"/>
            <w:shd w:val="clear" w:color="auto" w:fill="auto"/>
            <w:vAlign w:val="bottom"/>
          </w:tcPr>
          <w:p w14:paraId="626D7F38"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Harare</w:t>
            </w:r>
          </w:p>
        </w:tc>
        <w:tc>
          <w:tcPr>
            <w:tcW w:w="2551" w:type="dxa"/>
            <w:shd w:val="clear" w:color="auto" w:fill="auto"/>
            <w:vAlign w:val="bottom"/>
          </w:tcPr>
          <w:p w14:paraId="1DB676C4"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19 020</w:t>
            </w:r>
          </w:p>
        </w:tc>
      </w:tr>
      <w:tr w:rsidR="00D63E71" w:rsidRPr="00333AFD" w14:paraId="2CD62077" w14:textId="77777777" w:rsidTr="00D63E71">
        <w:trPr>
          <w:trHeight w:val="240"/>
        </w:trPr>
        <w:tc>
          <w:tcPr>
            <w:tcW w:w="800" w:type="dxa"/>
            <w:shd w:val="clear" w:color="auto" w:fill="auto"/>
          </w:tcPr>
          <w:p w14:paraId="4C0EAE49"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3.</w:t>
            </w:r>
          </w:p>
        </w:tc>
        <w:tc>
          <w:tcPr>
            <w:tcW w:w="4019" w:type="dxa"/>
            <w:shd w:val="clear" w:color="auto" w:fill="auto"/>
            <w:vAlign w:val="bottom"/>
          </w:tcPr>
          <w:p w14:paraId="6A4113FD"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Manicalandia</w:t>
            </w:r>
          </w:p>
        </w:tc>
        <w:tc>
          <w:tcPr>
            <w:tcW w:w="2551" w:type="dxa"/>
            <w:shd w:val="clear" w:color="auto" w:fill="auto"/>
            <w:vAlign w:val="bottom"/>
          </w:tcPr>
          <w:p w14:paraId="5DA8B935"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14 300</w:t>
            </w:r>
          </w:p>
        </w:tc>
      </w:tr>
      <w:tr w:rsidR="00D63E71" w:rsidRPr="00333AFD" w14:paraId="537F79B2" w14:textId="77777777" w:rsidTr="00D63E71">
        <w:trPr>
          <w:trHeight w:val="240"/>
        </w:trPr>
        <w:tc>
          <w:tcPr>
            <w:tcW w:w="800" w:type="dxa"/>
            <w:shd w:val="clear" w:color="auto" w:fill="auto"/>
          </w:tcPr>
          <w:p w14:paraId="2DA83286"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4.</w:t>
            </w:r>
          </w:p>
        </w:tc>
        <w:tc>
          <w:tcPr>
            <w:tcW w:w="4019" w:type="dxa"/>
            <w:shd w:val="clear" w:color="auto" w:fill="auto"/>
            <w:vAlign w:val="bottom"/>
          </w:tcPr>
          <w:p w14:paraId="28A7087C"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Mashonalandia Central</w:t>
            </w:r>
          </w:p>
        </w:tc>
        <w:tc>
          <w:tcPr>
            <w:tcW w:w="2551" w:type="dxa"/>
            <w:shd w:val="clear" w:color="auto" w:fill="auto"/>
            <w:vAlign w:val="bottom"/>
          </w:tcPr>
          <w:p w14:paraId="2AFD53AA"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10 000</w:t>
            </w:r>
          </w:p>
        </w:tc>
      </w:tr>
      <w:tr w:rsidR="00D63E71" w:rsidRPr="00333AFD" w14:paraId="3DD0DC2E" w14:textId="77777777" w:rsidTr="00D63E71">
        <w:trPr>
          <w:trHeight w:val="240"/>
        </w:trPr>
        <w:tc>
          <w:tcPr>
            <w:tcW w:w="800" w:type="dxa"/>
            <w:shd w:val="clear" w:color="auto" w:fill="auto"/>
          </w:tcPr>
          <w:p w14:paraId="5C6C92CE"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5.</w:t>
            </w:r>
          </w:p>
        </w:tc>
        <w:tc>
          <w:tcPr>
            <w:tcW w:w="4019" w:type="dxa"/>
            <w:shd w:val="clear" w:color="auto" w:fill="auto"/>
            <w:vAlign w:val="bottom"/>
          </w:tcPr>
          <w:p w14:paraId="4C48CD50"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Mashonalandia Occidental</w:t>
            </w:r>
          </w:p>
        </w:tc>
        <w:tc>
          <w:tcPr>
            <w:tcW w:w="2551" w:type="dxa"/>
            <w:shd w:val="clear" w:color="auto" w:fill="auto"/>
            <w:vAlign w:val="bottom"/>
          </w:tcPr>
          <w:p w14:paraId="1FF96628"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10 754</w:t>
            </w:r>
          </w:p>
        </w:tc>
      </w:tr>
      <w:tr w:rsidR="00D63E71" w:rsidRPr="00333AFD" w14:paraId="027E3114" w14:textId="77777777" w:rsidTr="00D63E71">
        <w:trPr>
          <w:trHeight w:val="240"/>
        </w:trPr>
        <w:tc>
          <w:tcPr>
            <w:tcW w:w="800" w:type="dxa"/>
            <w:shd w:val="clear" w:color="auto" w:fill="auto"/>
          </w:tcPr>
          <w:p w14:paraId="109BADC6"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6.</w:t>
            </w:r>
          </w:p>
        </w:tc>
        <w:tc>
          <w:tcPr>
            <w:tcW w:w="4019" w:type="dxa"/>
            <w:shd w:val="clear" w:color="auto" w:fill="auto"/>
            <w:vAlign w:val="bottom"/>
          </w:tcPr>
          <w:p w14:paraId="3F664F55"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Mashonalandia Oriental</w:t>
            </w:r>
          </w:p>
        </w:tc>
        <w:tc>
          <w:tcPr>
            <w:tcW w:w="2551" w:type="dxa"/>
            <w:shd w:val="clear" w:color="auto" w:fill="auto"/>
            <w:vAlign w:val="bottom"/>
          </w:tcPr>
          <w:p w14:paraId="52FE57E1"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12 598</w:t>
            </w:r>
          </w:p>
        </w:tc>
      </w:tr>
      <w:tr w:rsidR="00D63E71" w:rsidRPr="00333AFD" w14:paraId="3AEB320A" w14:textId="77777777" w:rsidTr="00D63E71">
        <w:trPr>
          <w:trHeight w:val="240"/>
        </w:trPr>
        <w:tc>
          <w:tcPr>
            <w:tcW w:w="800" w:type="dxa"/>
            <w:shd w:val="clear" w:color="auto" w:fill="auto"/>
          </w:tcPr>
          <w:p w14:paraId="3E2D73AE"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7.</w:t>
            </w:r>
          </w:p>
        </w:tc>
        <w:tc>
          <w:tcPr>
            <w:tcW w:w="4019" w:type="dxa"/>
            <w:shd w:val="clear" w:color="auto" w:fill="auto"/>
            <w:vAlign w:val="bottom"/>
          </w:tcPr>
          <w:p w14:paraId="70BBA284"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Matabelelandia Meridional</w:t>
            </w:r>
          </w:p>
        </w:tc>
        <w:tc>
          <w:tcPr>
            <w:tcW w:w="2551" w:type="dxa"/>
            <w:shd w:val="clear" w:color="auto" w:fill="auto"/>
            <w:vAlign w:val="bottom"/>
          </w:tcPr>
          <w:p w14:paraId="69569DA8"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11 600</w:t>
            </w:r>
          </w:p>
        </w:tc>
      </w:tr>
      <w:tr w:rsidR="00D63E71" w:rsidRPr="00333AFD" w14:paraId="6F817CE3" w14:textId="77777777" w:rsidTr="00D63E71">
        <w:trPr>
          <w:trHeight w:val="240"/>
        </w:trPr>
        <w:tc>
          <w:tcPr>
            <w:tcW w:w="800" w:type="dxa"/>
            <w:shd w:val="clear" w:color="auto" w:fill="auto"/>
          </w:tcPr>
          <w:p w14:paraId="6BEB74B5"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8.</w:t>
            </w:r>
          </w:p>
        </w:tc>
        <w:tc>
          <w:tcPr>
            <w:tcW w:w="4019" w:type="dxa"/>
            <w:shd w:val="clear" w:color="auto" w:fill="auto"/>
            <w:vAlign w:val="bottom"/>
          </w:tcPr>
          <w:p w14:paraId="42E9441B"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Matabelelandia Septentrional</w:t>
            </w:r>
          </w:p>
        </w:tc>
        <w:tc>
          <w:tcPr>
            <w:tcW w:w="2551" w:type="dxa"/>
            <w:shd w:val="clear" w:color="auto" w:fill="auto"/>
            <w:vAlign w:val="bottom"/>
          </w:tcPr>
          <w:p w14:paraId="09E69F7F"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10 429</w:t>
            </w:r>
          </w:p>
        </w:tc>
      </w:tr>
      <w:tr w:rsidR="00D63E71" w:rsidRPr="00333AFD" w14:paraId="72F0E846" w14:textId="77777777" w:rsidTr="00D63E71">
        <w:trPr>
          <w:trHeight w:val="240"/>
        </w:trPr>
        <w:tc>
          <w:tcPr>
            <w:tcW w:w="800" w:type="dxa"/>
            <w:shd w:val="clear" w:color="auto" w:fill="auto"/>
          </w:tcPr>
          <w:p w14:paraId="55A101AE"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9</w:t>
            </w:r>
          </w:p>
        </w:tc>
        <w:tc>
          <w:tcPr>
            <w:tcW w:w="4019" w:type="dxa"/>
            <w:shd w:val="clear" w:color="auto" w:fill="auto"/>
            <w:vAlign w:val="bottom"/>
          </w:tcPr>
          <w:p w14:paraId="1CCA5BBC"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Midlands</w:t>
            </w:r>
          </w:p>
        </w:tc>
        <w:tc>
          <w:tcPr>
            <w:tcW w:w="2551" w:type="dxa"/>
            <w:shd w:val="clear" w:color="auto" w:fill="auto"/>
            <w:vAlign w:val="bottom"/>
          </w:tcPr>
          <w:p w14:paraId="1A2E07E0"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14 976</w:t>
            </w:r>
          </w:p>
        </w:tc>
      </w:tr>
      <w:tr w:rsidR="00D63E71" w:rsidRPr="00333AFD" w14:paraId="23A0F7F8" w14:textId="77777777" w:rsidTr="00D63E71">
        <w:trPr>
          <w:trHeight w:val="240"/>
        </w:trPr>
        <w:tc>
          <w:tcPr>
            <w:tcW w:w="800" w:type="dxa"/>
            <w:tcBorders>
              <w:bottom w:val="single" w:sz="4" w:space="0" w:color="auto"/>
            </w:tcBorders>
            <w:shd w:val="clear" w:color="auto" w:fill="auto"/>
          </w:tcPr>
          <w:p w14:paraId="1F0BC5B6"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10.</w:t>
            </w:r>
          </w:p>
        </w:tc>
        <w:tc>
          <w:tcPr>
            <w:tcW w:w="4019" w:type="dxa"/>
            <w:tcBorders>
              <w:bottom w:val="single" w:sz="4" w:space="0" w:color="auto"/>
            </w:tcBorders>
            <w:shd w:val="clear" w:color="auto" w:fill="auto"/>
            <w:vAlign w:val="bottom"/>
          </w:tcPr>
          <w:p w14:paraId="21AC8965"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Masvingo</w:t>
            </w:r>
          </w:p>
        </w:tc>
        <w:tc>
          <w:tcPr>
            <w:tcW w:w="2551" w:type="dxa"/>
            <w:tcBorders>
              <w:bottom w:val="single" w:sz="4" w:space="0" w:color="auto"/>
            </w:tcBorders>
            <w:shd w:val="clear" w:color="auto" w:fill="auto"/>
            <w:vAlign w:val="bottom"/>
          </w:tcPr>
          <w:p w14:paraId="731FBCF5"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13 430</w:t>
            </w:r>
          </w:p>
        </w:tc>
      </w:tr>
      <w:tr w:rsidR="00D63E71" w:rsidRPr="00D63E71" w14:paraId="73121F1C" w14:textId="77777777" w:rsidTr="00D63E71">
        <w:trPr>
          <w:trHeight w:val="240"/>
        </w:trPr>
        <w:tc>
          <w:tcPr>
            <w:tcW w:w="4819" w:type="dxa"/>
            <w:gridSpan w:val="2"/>
            <w:tcBorders>
              <w:top w:val="single" w:sz="4" w:space="0" w:color="auto"/>
              <w:bottom w:val="single" w:sz="12" w:space="0" w:color="auto"/>
            </w:tcBorders>
            <w:shd w:val="clear" w:color="auto" w:fill="auto"/>
          </w:tcPr>
          <w:p w14:paraId="7155AD66" w14:textId="77777777" w:rsidR="00333AFD" w:rsidRPr="00333AFD" w:rsidRDefault="00333AFD" w:rsidP="00D63E71">
            <w:pPr>
              <w:pStyle w:val="SingleTxtG"/>
              <w:tabs>
                <w:tab w:val="clear" w:pos="1701"/>
                <w:tab w:val="clear" w:pos="2268"/>
                <w:tab w:val="clear" w:pos="2835"/>
              </w:tabs>
              <w:spacing w:before="80" w:after="80" w:line="220" w:lineRule="exact"/>
              <w:ind w:left="283" w:right="0"/>
              <w:jc w:val="left"/>
              <w:rPr>
                <w:b/>
                <w:sz w:val="18"/>
              </w:rPr>
            </w:pPr>
            <w:r w:rsidRPr="00333AFD">
              <w:rPr>
                <w:b/>
                <w:bCs/>
                <w:sz w:val="18"/>
              </w:rPr>
              <w:t xml:space="preserve">Total </w:t>
            </w:r>
          </w:p>
        </w:tc>
        <w:tc>
          <w:tcPr>
            <w:tcW w:w="2551" w:type="dxa"/>
            <w:tcBorders>
              <w:top w:val="single" w:sz="4" w:space="0" w:color="auto"/>
              <w:bottom w:val="single" w:sz="12" w:space="0" w:color="auto"/>
            </w:tcBorders>
            <w:shd w:val="clear" w:color="auto" w:fill="auto"/>
            <w:vAlign w:val="bottom"/>
          </w:tcPr>
          <w:p w14:paraId="7EEA06C1" w14:textId="77777777" w:rsidR="00333AFD" w:rsidRPr="00333AFD" w:rsidRDefault="00333AFD" w:rsidP="00D63E71">
            <w:pPr>
              <w:pStyle w:val="SingleTxtG"/>
              <w:tabs>
                <w:tab w:val="clear" w:pos="1701"/>
                <w:tab w:val="clear" w:pos="2268"/>
                <w:tab w:val="clear" w:pos="2835"/>
              </w:tabs>
              <w:spacing w:before="80" w:after="80" w:line="220" w:lineRule="exact"/>
              <w:ind w:left="57" w:right="28"/>
              <w:jc w:val="right"/>
              <w:rPr>
                <w:b/>
                <w:sz w:val="18"/>
              </w:rPr>
            </w:pPr>
            <w:r w:rsidRPr="00333AFD">
              <w:rPr>
                <w:b/>
                <w:bCs/>
                <w:sz w:val="18"/>
              </w:rPr>
              <w:t>132 807</w:t>
            </w:r>
          </w:p>
        </w:tc>
      </w:tr>
    </w:tbl>
    <w:p w14:paraId="19405EE6" w14:textId="77777777" w:rsidR="00333AFD" w:rsidRPr="00333AFD" w:rsidRDefault="00333AFD" w:rsidP="00D63E71">
      <w:pPr>
        <w:pStyle w:val="SingleTxtG"/>
        <w:spacing w:before="240"/>
      </w:pPr>
      <w:r w:rsidRPr="00333AFD">
        <w:t>121.</w:t>
      </w:r>
      <w:r w:rsidRPr="00333AFD">
        <w:tab/>
        <w:t>El departamento participó todos los años en la Feria Internacional de Comercio de Zimbabwe y en la Exposición Agrícola de Zimbabwe, donde tuvo la oportunidad de compartir los conocimientos acerca de la Constitución con los miembros de la sociedad, así como de distribuir ejemplares de esta.</w:t>
      </w:r>
    </w:p>
    <w:p w14:paraId="78375DEB" w14:textId="33CE7971" w:rsidR="00333AFD" w:rsidRPr="00333AFD" w:rsidRDefault="00D63E71" w:rsidP="00D63E71">
      <w:pPr>
        <w:pStyle w:val="H23G"/>
      </w:pPr>
      <w:r w:rsidRPr="00D63E71">
        <w:rPr>
          <w:b w:val="0"/>
          <w:bCs/>
        </w:rPr>
        <w:tab/>
      </w:r>
      <w:r w:rsidRPr="00D63E71">
        <w:rPr>
          <w:b w:val="0"/>
          <w:bCs/>
        </w:rPr>
        <w:tab/>
      </w:r>
      <w:r w:rsidR="00333AFD" w:rsidRPr="00D63E71">
        <w:rPr>
          <w:b w:val="0"/>
          <w:bCs/>
        </w:rPr>
        <w:t>Cuadro 12</w:t>
      </w:r>
      <w:r w:rsidRPr="00D63E71">
        <w:rPr>
          <w:b w:val="0"/>
          <w:bCs/>
        </w:rPr>
        <w:br/>
      </w:r>
      <w:r w:rsidR="00333AFD" w:rsidRPr="00333AFD">
        <w:t>Número de personas alcanzadas en la Feria Internacional de Comercio de</w:t>
      </w:r>
      <w:r w:rsidR="003D4091">
        <w:t> </w:t>
      </w:r>
      <w:r w:rsidR="00333AFD" w:rsidRPr="00333AFD">
        <w:t>Zimbabwe</w:t>
      </w:r>
      <w:r w:rsidR="003D4091">
        <w:t> </w:t>
      </w:r>
      <w:r w:rsidR="00333AFD" w:rsidRPr="00333AFD">
        <w:t>desde la entrada en vigor de la Constitución, por año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80"/>
        <w:gridCol w:w="3170"/>
        <w:gridCol w:w="3520"/>
      </w:tblGrid>
      <w:tr w:rsidR="00D63E71" w:rsidRPr="00D63E71" w14:paraId="77BADCF3" w14:textId="77777777" w:rsidTr="00D63E71">
        <w:trPr>
          <w:trHeight w:val="240"/>
          <w:tblHeader/>
        </w:trPr>
        <w:tc>
          <w:tcPr>
            <w:tcW w:w="680" w:type="dxa"/>
            <w:tcBorders>
              <w:top w:val="single" w:sz="4" w:space="0" w:color="auto"/>
              <w:bottom w:val="single" w:sz="12" w:space="0" w:color="auto"/>
            </w:tcBorders>
            <w:shd w:val="clear" w:color="auto" w:fill="auto"/>
            <w:vAlign w:val="bottom"/>
          </w:tcPr>
          <w:p w14:paraId="7F1AF388" w14:textId="382936A1"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3D4091">
              <w:rPr>
                <w:i/>
                <w:iCs/>
                <w:sz w:val="16"/>
              </w:rPr>
              <w:t>ero</w:t>
            </w:r>
          </w:p>
        </w:tc>
        <w:tc>
          <w:tcPr>
            <w:tcW w:w="3170" w:type="dxa"/>
            <w:tcBorders>
              <w:top w:val="single" w:sz="4" w:space="0" w:color="auto"/>
              <w:bottom w:val="single" w:sz="12" w:space="0" w:color="auto"/>
            </w:tcBorders>
            <w:shd w:val="clear" w:color="auto" w:fill="auto"/>
            <w:vAlign w:val="bottom"/>
          </w:tcPr>
          <w:p w14:paraId="47FDAFA7"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left"/>
              <w:rPr>
                <w:i/>
                <w:sz w:val="16"/>
              </w:rPr>
            </w:pPr>
            <w:r w:rsidRPr="00333AFD">
              <w:rPr>
                <w:i/>
                <w:iCs/>
                <w:sz w:val="16"/>
              </w:rPr>
              <w:t>Año</w:t>
            </w:r>
          </w:p>
        </w:tc>
        <w:tc>
          <w:tcPr>
            <w:tcW w:w="3520" w:type="dxa"/>
            <w:tcBorders>
              <w:top w:val="single" w:sz="4" w:space="0" w:color="auto"/>
              <w:bottom w:val="single" w:sz="12" w:space="0" w:color="auto"/>
            </w:tcBorders>
            <w:shd w:val="clear" w:color="auto" w:fill="auto"/>
            <w:vAlign w:val="bottom"/>
          </w:tcPr>
          <w:p w14:paraId="6A486E42" w14:textId="77777777" w:rsidR="00333AFD" w:rsidRPr="00333AFD" w:rsidRDefault="00333AFD" w:rsidP="00D63E71">
            <w:pPr>
              <w:pStyle w:val="SingleTxtG"/>
              <w:tabs>
                <w:tab w:val="clear" w:pos="1701"/>
                <w:tab w:val="clear" w:pos="2268"/>
                <w:tab w:val="clear" w:pos="2835"/>
              </w:tabs>
              <w:spacing w:before="80" w:after="80" w:line="200" w:lineRule="exact"/>
              <w:ind w:left="113" w:right="28"/>
              <w:jc w:val="right"/>
              <w:rPr>
                <w:i/>
                <w:sz w:val="16"/>
              </w:rPr>
            </w:pPr>
            <w:r w:rsidRPr="00333AFD">
              <w:rPr>
                <w:i/>
                <w:iCs/>
                <w:sz w:val="16"/>
              </w:rPr>
              <w:t>Número aproximado de personas alcanzadas</w:t>
            </w:r>
          </w:p>
        </w:tc>
      </w:tr>
      <w:tr w:rsidR="00D63E71" w:rsidRPr="00333AFD" w14:paraId="4F24C207" w14:textId="77777777" w:rsidTr="00D63E71">
        <w:trPr>
          <w:trHeight w:val="240"/>
        </w:trPr>
        <w:tc>
          <w:tcPr>
            <w:tcW w:w="680" w:type="dxa"/>
            <w:shd w:val="clear" w:color="auto" w:fill="auto"/>
          </w:tcPr>
          <w:p w14:paraId="60E9B554"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1.</w:t>
            </w:r>
          </w:p>
        </w:tc>
        <w:tc>
          <w:tcPr>
            <w:tcW w:w="3170" w:type="dxa"/>
            <w:shd w:val="clear" w:color="auto" w:fill="auto"/>
            <w:vAlign w:val="bottom"/>
          </w:tcPr>
          <w:p w14:paraId="00DE53D3"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2013</w:t>
            </w:r>
          </w:p>
        </w:tc>
        <w:tc>
          <w:tcPr>
            <w:tcW w:w="3520" w:type="dxa"/>
            <w:shd w:val="clear" w:color="auto" w:fill="auto"/>
            <w:vAlign w:val="bottom"/>
          </w:tcPr>
          <w:p w14:paraId="6C42863D"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5 000</w:t>
            </w:r>
          </w:p>
        </w:tc>
      </w:tr>
      <w:tr w:rsidR="00D63E71" w:rsidRPr="00333AFD" w14:paraId="1A64A09D" w14:textId="77777777" w:rsidTr="00D63E71">
        <w:trPr>
          <w:trHeight w:val="240"/>
        </w:trPr>
        <w:tc>
          <w:tcPr>
            <w:tcW w:w="680" w:type="dxa"/>
            <w:shd w:val="clear" w:color="auto" w:fill="auto"/>
          </w:tcPr>
          <w:p w14:paraId="50347343"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2.</w:t>
            </w:r>
          </w:p>
        </w:tc>
        <w:tc>
          <w:tcPr>
            <w:tcW w:w="3170" w:type="dxa"/>
            <w:shd w:val="clear" w:color="auto" w:fill="auto"/>
            <w:vAlign w:val="bottom"/>
          </w:tcPr>
          <w:p w14:paraId="0736C0B0"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2014</w:t>
            </w:r>
          </w:p>
        </w:tc>
        <w:tc>
          <w:tcPr>
            <w:tcW w:w="3520" w:type="dxa"/>
            <w:shd w:val="clear" w:color="auto" w:fill="auto"/>
            <w:vAlign w:val="bottom"/>
          </w:tcPr>
          <w:p w14:paraId="5A8AD044"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7 000</w:t>
            </w:r>
          </w:p>
        </w:tc>
      </w:tr>
      <w:tr w:rsidR="00D63E71" w:rsidRPr="00333AFD" w14:paraId="5E688C11" w14:textId="77777777" w:rsidTr="00D63E71">
        <w:trPr>
          <w:trHeight w:val="240"/>
        </w:trPr>
        <w:tc>
          <w:tcPr>
            <w:tcW w:w="680" w:type="dxa"/>
            <w:shd w:val="clear" w:color="auto" w:fill="auto"/>
          </w:tcPr>
          <w:p w14:paraId="21726DB2"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3.</w:t>
            </w:r>
          </w:p>
        </w:tc>
        <w:tc>
          <w:tcPr>
            <w:tcW w:w="3170" w:type="dxa"/>
            <w:shd w:val="clear" w:color="auto" w:fill="auto"/>
            <w:vAlign w:val="bottom"/>
          </w:tcPr>
          <w:p w14:paraId="3DE70428"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2015</w:t>
            </w:r>
          </w:p>
        </w:tc>
        <w:tc>
          <w:tcPr>
            <w:tcW w:w="3520" w:type="dxa"/>
            <w:shd w:val="clear" w:color="auto" w:fill="auto"/>
            <w:vAlign w:val="bottom"/>
          </w:tcPr>
          <w:p w14:paraId="629738BD"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7 800</w:t>
            </w:r>
          </w:p>
        </w:tc>
      </w:tr>
      <w:tr w:rsidR="00D63E71" w:rsidRPr="00333AFD" w14:paraId="2E72B349" w14:textId="77777777" w:rsidTr="00D63E71">
        <w:trPr>
          <w:trHeight w:val="240"/>
        </w:trPr>
        <w:tc>
          <w:tcPr>
            <w:tcW w:w="680" w:type="dxa"/>
            <w:shd w:val="clear" w:color="auto" w:fill="auto"/>
          </w:tcPr>
          <w:p w14:paraId="6BD2471C"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lastRenderedPageBreak/>
              <w:t>4.</w:t>
            </w:r>
          </w:p>
        </w:tc>
        <w:tc>
          <w:tcPr>
            <w:tcW w:w="3170" w:type="dxa"/>
            <w:shd w:val="clear" w:color="auto" w:fill="auto"/>
            <w:vAlign w:val="bottom"/>
          </w:tcPr>
          <w:p w14:paraId="7CFEDC54"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2016</w:t>
            </w:r>
          </w:p>
        </w:tc>
        <w:tc>
          <w:tcPr>
            <w:tcW w:w="3520" w:type="dxa"/>
            <w:shd w:val="clear" w:color="auto" w:fill="auto"/>
            <w:vAlign w:val="bottom"/>
          </w:tcPr>
          <w:p w14:paraId="585776BA"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6 400</w:t>
            </w:r>
          </w:p>
        </w:tc>
      </w:tr>
      <w:tr w:rsidR="00D63E71" w:rsidRPr="00333AFD" w14:paraId="42262B30" w14:textId="77777777" w:rsidTr="00D63E71">
        <w:trPr>
          <w:trHeight w:val="240"/>
        </w:trPr>
        <w:tc>
          <w:tcPr>
            <w:tcW w:w="680" w:type="dxa"/>
            <w:shd w:val="clear" w:color="auto" w:fill="auto"/>
          </w:tcPr>
          <w:p w14:paraId="0154B8B6"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5.</w:t>
            </w:r>
          </w:p>
        </w:tc>
        <w:tc>
          <w:tcPr>
            <w:tcW w:w="3170" w:type="dxa"/>
            <w:shd w:val="clear" w:color="auto" w:fill="auto"/>
            <w:vAlign w:val="bottom"/>
          </w:tcPr>
          <w:p w14:paraId="2A3ED2A5"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2017</w:t>
            </w:r>
          </w:p>
        </w:tc>
        <w:tc>
          <w:tcPr>
            <w:tcW w:w="3520" w:type="dxa"/>
            <w:shd w:val="clear" w:color="auto" w:fill="auto"/>
            <w:vAlign w:val="bottom"/>
          </w:tcPr>
          <w:p w14:paraId="4723C415"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8 670</w:t>
            </w:r>
          </w:p>
        </w:tc>
      </w:tr>
      <w:tr w:rsidR="00D63E71" w:rsidRPr="00333AFD" w14:paraId="5072CD7E" w14:textId="77777777" w:rsidTr="00D63E71">
        <w:trPr>
          <w:trHeight w:val="240"/>
        </w:trPr>
        <w:tc>
          <w:tcPr>
            <w:tcW w:w="680" w:type="dxa"/>
            <w:shd w:val="clear" w:color="auto" w:fill="auto"/>
          </w:tcPr>
          <w:p w14:paraId="4D53B298"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6.</w:t>
            </w:r>
          </w:p>
        </w:tc>
        <w:tc>
          <w:tcPr>
            <w:tcW w:w="3170" w:type="dxa"/>
            <w:shd w:val="clear" w:color="auto" w:fill="auto"/>
            <w:vAlign w:val="bottom"/>
          </w:tcPr>
          <w:p w14:paraId="1EF7491D"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2018</w:t>
            </w:r>
          </w:p>
        </w:tc>
        <w:tc>
          <w:tcPr>
            <w:tcW w:w="3520" w:type="dxa"/>
            <w:shd w:val="clear" w:color="auto" w:fill="auto"/>
            <w:vAlign w:val="bottom"/>
          </w:tcPr>
          <w:p w14:paraId="0FBC937D"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5 900</w:t>
            </w:r>
          </w:p>
        </w:tc>
      </w:tr>
      <w:tr w:rsidR="00D63E71" w:rsidRPr="00333AFD" w14:paraId="11A508B3" w14:textId="77777777" w:rsidTr="00D63E71">
        <w:trPr>
          <w:trHeight w:val="240"/>
        </w:trPr>
        <w:tc>
          <w:tcPr>
            <w:tcW w:w="680" w:type="dxa"/>
            <w:tcBorders>
              <w:bottom w:val="single" w:sz="4" w:space="0" w:color="auto"/>
            </w:tcBorders>
            <w:shd w:val="clear" w:color="auto" w:fill="auto"/>
          </w:tcPr>
          <w:p w14:paraId="5F42459F"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7.</w:t>
            </w:r>
          </w:p>
        </w:tc>
        <w:tc>
          <w:tcPr>
            <w:tcW w:w="3170" w:type="dxa"/>
            <w:tcBorders>
              <w:bottom w:val="single" w:sz="4" w:space="0" w:color="auto"/>
            </w:tcBorders>
            <w:shd w:val="clear" w:color="auto" w:fill="auto"/>
            <w:vAlign w:val="bottom"/>
          </w:tcPr>
          <w:p w14:paraId="0C75BF5A"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2019</w:t>
            </w:r>
          </w:p>
        </w:tc>
        <w:tc>
          <w:tcPr>
            <w:tcW w:w="3520" w:type="dxa"/>
            <w:tcBorders>
              <w:bottom w:val="single" w:sz="4" w:space="0" w:color="auto"/>
            </w:tcBorders>
            <w:shd w:val="clear" w:color="auto" w:fill="auto"/>
            <w:vAlign w:val="bottom"/>
          </w:tcPr>
          <w:p w14:paraId="1C3AAA54" w14:textId="77777777" w:rsidR="00333AFD" w:rsidRPr="00333AFD" w:rsidRDefault="00333AFD" w:rsidP="00D63E71">
            <w:pPr>
              <w:pStyle w:val="SingleTxtG"/>
              <w:tabs>
                <w:tab w:val="clear" w:pos="1701"/>
                <w:tab w:val="clear" w:pos="2268"/>
                <w:tab w:val="clear" w:pos="2835"/>
              </w:tabs>
              <w:spacing w:before="40" w:after="40" w:line="220" w:lineRule="exact"/>
              <w:ind w:left="113" w:right="28"/>
              <w:jc w:val="right"/>
              <w:rPr>
                <w:sz w:val="18"/>
              </w:rPr>
            </w:pPr>
            <w:r w:rsidRPr="00333AFD">
              <w:rPr>
                <w:sz w:val="18"/>
              </w:rPr>
              <w:t>6 600</w:t>
            </w:r>
          </w:p>
        </w:tc>
      </w:tr>
      <w:tr w:rsidR="00D63E71" w:rsidRPr="00D63E71" w14:paraId="59011EA4" w14:textId="77777777" w:rsidTr="00D63E71">
        <w:trPr>
          <w:trHeight w:val="240"/>
        </w:trPr>
        <w:tc>
          <w:tcPr>
            <w:tcW w:w="3850" w:type="dxa"/>
            <w:gridSpan w:val="2"/>
            <w:tcBorders>
              <w:top w:val="single" w:sz="4" w:space="0" w:color="auto"/>
              <w:bottom w:val="single" w:sz="12" w:space="0" w:color="auto"/>
            </w:tcBorders>
            <w:shd w:val="clear" w:color="auto" w:fill="auto"/>
          </w:tcPr>
          <w:p w14:paraId="034B66A4" w14:textId="77777777" w:rsidR="00333AFD" w:rsidRPr="00333AFD" w:rsidRDefault="00333AFD" w:rsidP="00D63E71">
            <w:pPr>
              <w:pStyle w:val="SingleTxtG"/>
              <w:tabs>
                <w:tab w:val="clear" w:pos="1701"/>
                <w:tab w:val="clear" w:pos="2268"/>
                <w:tab w:val="clear" w:pos="2835"/>
              </w:tabs>
              <w:spacing w:before="80" w:after="80" w:line="220" w:lineRule="exact"/>
              <w:ind w:left="283" w:right="0"/>
              <w:jc w:val="left"/>
              <w:rPr>
                <w:b/>
                <w:sz w:val="18"/>
              </w:rPr>
            </w:pPr>
            <w:r w:rsidRPr="00333AFD">
              <w:rPr>
                <w:b/>
                <w:bCs/>
                <w:sz w:val="18"/>
              </w:rPr>
              <w:t xml:space="preserve">Total </w:t>
            </w:r>
          </w:p>
        </w:tc>
        <w:tc>
          <w:tcPr>
            <w:tcW w:w="3520" w:type="dxa"/>
            <w:tcBorders>
              <w:top w:val="single" w:sz="4" w:space="0" w:color="auto"/>
              <w:bottom w:val="single" w:sz="12" w:space="0" w:color="auto"/>
            </w:tcBorders>
            <w:shd w:val="clear" w:color="auto" w:fill="auto"/>
            <w:vAlign w:val="bottom"/>
          </w:tcPr>
          <w:p w14:paraId="7EAD4A1C" w14:textId="77777777" w:rsidR="00333AFD" w:rsidRPr="00333AFD" w:rsidRDefault="00333AFD" w:rsidP="00D63E71">
            <w:pPr>
              <w:pStyle w:val="SingleTxtG"/>
              <w:tabs>
                <w:tab w:val="clear" w:pos="1701"/>
                <w:tab w:val="clear" w:pos="2268"/>
                <w:tab w:val="clear" w:pos="2835"/>
              </w:tabs>
              <w:spacing w:before="80" w:after="80" w:line="220" w:lineRule="exact"/>
              <w:ind w:left="0" w:right="28"/>
              <w:jc w:val="right"/>
              <w:rPr>
                <w:b/>
                <w:sz w:val="18"/>
              </w:rPr>
            </w:pPr>
            <w:r w:rsidRPr="00333AFD">
              <w:rPr>
                <w:b/>
                <w:bCs/>
                <w:sz w:val="18"/>
              </w:rPr>
              <w:t>47 370</w:t>
            </w:r>
          </w:p>
        </w:tc>
      </w:tr>
    </w:tbl>
    <w:p w14:paraId="1E7C6F71" w14:textId="04A8023C" w:rsidR="00333AFD" w:rsidRPr="00333AFD" w:rsidRDefault="00D63E71" w:rsidP="00D63E71">
      <w:pPr>
        <w:pStyle w:val="H23G"/>
      </w:pPr>
      <w:r w:rsidRPr="00D63E71">
        <w:rPr>
          <w:b w:val="0"/>
          <w:bCs/>
        </w:rPr>
        <w:tab/>
      </w:r>
      <w:r w:rsidRPr="00D63E71">
        <w:rPr>
          <w:b w:val="0"/>
          <w:bCs/>
        </w:rPr>
        <w:tab/>
      </w:r>
      <w:r w:rsidR="00333AFD" w:rsidRPr="00D63E71">
        <w:rPr>
          <w:b w:val="0"/>
          <w:bCs/>
        </w:rPr>
        <w:t>Cuadro 13</w:t>
      </w:r>
      <w:r w:rsidRPr="00D63E71">
        <w:rPr>
          <w:b w:val="0"/>
          <w:bCs/>
        </w:rPr>
        <w:br/>
      </w:r>
      <w:r w:rsidR="00333AFD" w:rsidRPr="00333AFD">
        <w:t>Número de personas alcanzadas en la Exposición Agrícola de Zimbabwe desde la</w:t>
      </w:r>
      <w:r w:rsidR="003D4091">
        <w:t> </w:t>
      </w:r>
      <w:r w:rsidR="00333AFD" w:rsidRPr="00333AFD">
        <w:t>entrada en vigor de la Constitución, por año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80"/>
        <w:gridCol w:w="3170"/>
        <w:gridCol w:w="3520"/>
      </w:tblGrid>
      <w:tr w:rsidR="00D63E71" w:rsidRPr="00D63E71" w14:paraId="4C7F5A0A" w14:textId="77777777" w:rsidTr="00D63E71">
        <w:trPr>
          <w:trHeight w:val="240"/>
          <w:tblHeader/>
        </w:trPr>
        <w:tc>
          <w:tcPr>
            <w:tcW w:w="680" w:type="dxa"/>
            <w:tcBorders>
              <w:top w:val="single" w:sz="4" w:space="0" w:color="auto"/>
              <w:bottom w:val="single" w:sz="12" w:space="0" w:color="auto"/>
            </w:tcBorders>
            <w:shd w:val="clear" w:color="auto" w:fill="auto"/>
            <w:vAlign w:val="bottom"/>
          </w:tcPr>
          <w:p w14:paraId="26CBF395" w14:textId="5AD1D056" w:rsidR="00333AFD" w:rsidRPr="00333AFD" w:rsidRDefault="00333AFD" w:rsidP="00D63E71">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3D4091">
              <w:rPr>
                <w:i/>
                <w:iCs/>
                <w:sz w:val="16"/>
              </w:rPr>
              <w:t>ero</w:t>
            </w:r>
          </w:p>
        </w:tc>
        <w:tc>
          <w:tcPr>
            <w:tcW w:w="3170" w:type="dxa"/>
            <w:tcBorders>
              <w:top w:val="single" w:sz="4" w:space="0" w:color="auto"/>
              <w:bottom w:val="single" w:sz="12" w:space="0" w:color="auto"/>
            </w:tcBorders>
            <w:shd w:val="clear" w:color="auto" w:fill="auto"/>
            <w:vAlign w:val="bottom"/>
          </w:tcPr>
          <w:p w14:paraId="794C5113" w14:textId="77777777" w:rsidR="00333AFD" w:rsidRPr="00333AFD" w:rsidRDefault="00333AFD" w:rsidP="00D63E71">
            <w:pPr>
              <w:pStyle w:val="SingleTxtG"/>
              <w:tabs>
                <w:tab w:val="clear" w:pos="1701"/>
                <w:tab w:val="clear" w:pos="2268"/>
                <w:tab w:val="clear" w:pos="2835"/>
              </w:tabs>
              <w:spacing w:before="80" w:after="80" w:line="200" w:lineRule="exact"/>
              <w:ind w:left="113" w:right="0"/>
              <w:jc w:val="left"/>
              <w:rPr>
                <w:i/>
                <w:sz w:val="16"/>
              </w:rPr>
            </w:pPr>
            <w:r w:rsidRPr="00333AFD">
              <w:rPr>
                <w:i/>
                <w:iCs/>
                <w:sz w:val="16"/>
              </w:rPr>
              <w:t>Año</w:t>
            </w:r>
          </w:p>
        </w:tc>
        <w:tc>
          <w:tcPr>
            <w:tcW w:w="3520" w:type="dxa"/>
            <w:tcBorders>
              <w:top w:val="single" w:sz="4" w:space="0" w:color="auto"/>
              <w:bottom w:val="single" w:sz="12" w:space="0" w:color="auto"/>
            </w:tcBorders>
            <w:shd w:val="clear" w:color="auto" w:fill="auto"/>
            <w:vAlign w:val="bottom"/>
          </w:tcPr>
          <w:p w14:paraId="7FCF3DB6" w14:textId="77777777" w:rsidR="00333AFD" w:rsidRPr="00333AFD" w:rsidRDefault="00333AFD" w:rsidP="00D63E71">
            <w:pPr>
              <w:pStyle w:val="SingleTxtG"/>
              <w:tabs>
                <w:tab w:val="clear" w:pos="1701"/>
                <w:tab w:val="clear" w:pos="2268"/>
                <w:tab w:val="clear" w:pos="2835"/>
              </w:tabs>
              <w:spacing w:before="80" w:after="80" w:line="200" w:lineRule="exact"/>
              <w:ind w:left="57" w:right="28"/>
              <w:jc w:val="right"/>
              <w:rPr>
                <w:i/>
                <w:sz w:val="16"/>
              </w:rPr>
            </w:pPr>
            <w:r w:rsidRPr="00333AFD">
              <w:rPr>
                <w:i/>
                <w:iCs/>
                <w:sz w:val="16"/>
              </w:rPr>
              <w:t>Número aproximado de personas alcanzadas</w:t>
            </w:r>
          </w:p>
        </w:tc>
      </w:tr>
      <w:tr w:rsidR="00D63E71" w:rsidRPr="00333AFD" w14:paraId="75A57513" w14:textId="77777777" w:rsidTr="00D63E71">
        <w:trPr>
          <w:trHeight w:val="240"/>
        </w:trPr>
        <w:tc>
          <w:tcPr>
            <w:tcW w:w="680" w:type="dxa"/>
            <w:shd w:val="clear" w:color="auto" w:fill="auto"/>
          </w:tcPr>
          <w:p w14:paraId="7600D9DB"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1.</w:t>
            </w:r>
          </w:p>
        </w:tc>
        <w:tc>
          <w:tcPr>
            <w:tcW w:w="3170" w:type="dxa"/>
            <w:shd w:val="clear" w:color="auto" w:fill="auto"/>
            <w:vAlign w:val="bottom"/>
          </w:tcPr>
          <w:p w14:paraId="19B29E4C"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2013</w:t>
            </w:r>
          </w:p>
        </w:tc>
        <w:tc>
          <w:tcPr>
            <w:tcW w:w="3520" w:type="dxa"/>
            <w:shd w:val="clear" w:color="auto" w:fill="auto"/>
            <w:vAlign w:val="bottom"/>
          </w:tcPr>
          <w:p w14:paraId="746F8746"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6 000</w:t>
            </w:r>
          </w:p>
        </w:tc>
      </w:tr>
      <w:tr w:rsidR="00D63E71" w:rsidRPr="00333AFD" w14:paraId="0E957FF3" w14:textId="77777777" w:rsidTr="00D63E71">
        <w:trPr>
          <w:trHeight w:val="240"/>
        </w:trPr>
        <w:tc>
          <w:tcPr>
            <w:tcW w:w="680" w:type="dxa"/>
            <w:shd w:val="clear" w:color="auto" w:fill="auto"/>
          </w:tcPr>
          <w:p w14:paraId="6789426D"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2.</w:t>
            </w:r>
          </w:p>
        </w:tc>
        <w:tc>
          <w:tcPr>
            <w:tcW w:w="3170" w:type="dxa"/>
            <w:shd w:val="clear" w:color="auto" w:fill="auto"/>
            <w:vAlign w:val="bottom"/>
          </w:tcPr>
          <w:p w14:paraId="17C6386D"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2014</w:t>
            </w:r>
          </w:p>
        </w:tc>
        <w:tc>
          <w:tcPr>
            <w:tcW w:w="3520" w:type="dxa"/>
            <w:shd w:val="clear" w:color="auto" w:fill="auto"/>
            <w:vAlign w:val="bottom"/>
          </w:tcPr>
          <w:p w14:paraId="2A6F657F"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7 500</w:t>
            </w:r>
          </w:p>
        </w:tc>
      </w:tr>
      <w:tr w:rsidR="00D63E71" w:rsidRPr="00333AFD" w14:paraId="6F3E3312" w14:textId="77777777" w:rsidTr="00D63E71">
        <w:trPr>
          <w:trHeight w:val="240"/>
        </w:trPr>
        <w:tc>
          <w:tcPr>
            <w:tcW w:w="680" w:type="dxa"/>
            <w:shd w:val="clear" w:color="auto" w:fill="auto"/>
          </w:tcPr>
          <w:p w14:paraId="185A3358"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3.</w:t>
            </w:r>
          </w:p>
        </w:tc>
        <w:tc>
          <w:tcPr>
            <w:tcW w:w="3170" w:type="dxa"/>
            <w:shd w:val="clear" w:color="auto" w:fill="auto"/>
            <w:vAlign w:val="bottom"/>
          </w:tcPr>
          <w:p w14:paraId="577074EF"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2015</w:t>
            </w:r>
          </w:p>
        </w:tc>
        <w:tc>
          <w:tcPr>
            <w:tcW w:w="3520" w:type="dxa"/>
            <w:shd w:val="clear" w:color="auto" w:fill="auto"/>
            <w:vAlign w:val="bottom"/>
          </w:tcPr>
          <w:p w14:paraId="1042D6FC"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6 800</w:t>
            </w:r>
          </w:p>
        </w:tc>
      </w:tr>
      <w:tr w:rsidR="00D63E71" w:rsidRPr="00333AFD" w14:paraId="00DD2302" w14:textId="77777777" w:rsidTr="00D63E71">
        <w:trPr>
          <w:trHeight w:val="240"/>
        </w:trPr>
        <w:tc>
          <w:tcPr>
            <w:tcW w:w="680" w:type="dxa"/>
            <w:shd w:val="clear" w:color="auto" w:fill="auto"/>
          </w:tcPr>
          <w:p w14:paraId="403A3C37"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4.</w:t>
            </w:r>
          </w:p>
        </w:tc>
        <w:tc>
          <w:tcPr>
            <w:tcW w:w="3170" w:type="dxa"/>
            <w:shd w:val="clear" w:color="auto" w:fill="auto"/>
            <w:vAlign w:val="bottom"/>
          </w:tcPr>
          <w:p w14:paraId="1524DB6E"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2016</w:t>
            </w:r>
          </w:p>
        </w:tc>
        <w:tc>
          <w:tcPr>
            <w:tcW w:w="3520" w:type="dxa"/>
            <w:shd w:val="clear" w:color="auto" w:fill="auto"/>
            <w:vAlign w:val="bottom"/>
          </w:tcPr>
          <w:p w14:paraId="4202CF72"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7 400</w:t>
            </w:r>
          </w:p>
        </w:tc>
      </w:tr>
      <w:tr w:rsidR="00D63E71" w:rsidRPr="00333AFD" w14:paraId="1245A2AC" w14:textId="77777777" w:rsidTr="00D63E71">
        <w:trPr>
          <w:trHeight w:val="240"/>
        </w:trPr>
        <w:tc>
          <w:tcPr>
            <w:tcW w:w="680" w:type="dxa"/>
            <w:shd w:val="clear" w:color="auto" w:fill="auto"/>
          </w:tcPr>
          <w:p w14:paraId="3E94A7FE"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5.</w:t>
            </w:r>
          </w:p>
        </w:tc>
        <w:tc>
          <w:tcPr>
            <w:tcW w:w="3170" w:type="dxa"/>
            <w:shd w:val="clear" w:color="auto" w:fill="auto"/>
            <w:vAlign w:val="bottom"/>
          </w:tcPr>
          <w:p w14:paraId="67FD91D1"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2017</w:t>
            </w:r>
          </w:p>
        </w:tc>
        <w:tc>
          <w:tcPr>
            <w:tcW w:w="3520" w:type="dxa"/>
            <w:shd w:val="clear" w:color="auto" w:fill="auto"/>
            <w:vAlign w:val="bottom"/>
          </w:tcPr>
          <w:p w14:paraId="05CFDC5E"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9 600</w:t>
            </w:r>
          </w:p>
        </w:tc>
      </w:tr>
      <w:tr w:rsidR="00D63E71" w:rsidRPr="00333AFD" w14:paraId="0E5C1DF8" w14:textId="77777777" w:rsidTr="00D63E71">
        <w:trPr>
          <w:trHeight w:val="240"/>
        </w:trPr>
        <w:tc>
          <w:tcPr>
            <w:tcW w:w="680" w:type="dxa"/>
            <w:shd w:val="clear" w:color="auto" w:fill="auto"/>
          </w:tcPr>
          <w:p w14:paraId="147E4D85"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6.</w:t>
            </w:r>
          </w:p>
        </w:tc>
        <w:tc>
          <w:tcPr>
            <w:tcW w:w="3170" w:type="dxa"/>
            <w:shd w:val="clear" w:color="auto" w:fill="auto"/>
            <w:vAlign w:val="bottom"/>
          </w:tcPr>
          <w:p w14:paraId="4C70A129"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2018</w:t>
            </w:r>
          </w:p>
        </w:tc>
        <w:tc>
          <w:tcPr>
            <w:tcW w:w="3520" w:type="dxa"/>
            <w:shd w:val="clear" w:color="auto" w:fill="auto"/>
            <w:vAlign w:val="bottom"/>
          </w:tcPr>
          <w:p w14:paraId="17E3846E"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6 400</w:t>
            </w:r>
          </w:p>
        </w:tc>
      </w:tr>
      <w:tr w:rsidR="00D63E71" w:rsidRPr="00333AFD" w14:paraId="2DF1E333" w14:textId="77777777" w:rsidTr="00D63E71">
        <w:trPr>
          <w:trHeight w:val="240"/>
        </w:trPr>
        <w:tc>
          <w:tcPr>
            <w:tcW w:w="680" w:type="dxa"/>
            <w:tcBorders>
              <w:bottom w:val="single" w:sz="4" w:space="0" w:color="auto"/>
            </w:tcBorders>
            <w:shd w:val="clear" w:color="auto" w:fill="auto"/>
          </w:tcPr>
          <w:p w14:paraId="7EF67ACC" w14:textId="77777777" w:rsidR="00333AFD" w:rsidRPr="00333AFD" w:rsidRDefault="00333AFD" w:rsidP="00D63E71">
            <w:pPr>
              <w:pStyle w:val="SingleTxtG"/>
              <w:tabs>
                <w:tab w:val="clear" w:pos="1701"/>
                <w:tab w:val="clear" w:pos="2268"/>
                <w:tab w:val="clear" w:pos="2835"/>
              </w:tabs>
              <w:spacing w:before="40" w:after="40" w:line="220" w:lineRule="exact"/>
              <w:ind w:left="0" w:right="0"/>
              <w:jc w:val="left"/>
              <w:rPr>
                <w:sz w:val="18"/>
              </w:rPr>
            </w:pPr>
            <w:r w:rsidRPr="00333AFD">
              <w:rPr>
                <w:sz w:val="18"/>
              </w:rPr>
              <w:t>7.</w:t>
            </w:r>
          </w:p>
        </w:tc>
        <w:tc>
          <w:tcPr>
            <w:tcW w:w="3170" w:type="dxa"/>
            <w:tcBorders>
              <w:bottom w:val="single" w:sz="4" w:space="0" w:color="auto"/>
            </w:tcBorders>
            <w:shd w:val="clear" w:color="auto" w:fill="auto"/>
            <w:vAlign w:val="bottom"/>
          </w:tcPr>
          <w:p w14:paraId="50D1DDCB" w14:textId="77777777" w:rsidR="00333AFD" w:rsidRPr="00333AFD" w:rsidRDefault="00333AFD" w:rsidP="00D63E71">
            <w:pPr>
              <w:pStyle w:val="SingleTxtG"/>
              <w:tabs>
                <w:tab w:val="clear" w:pos="1701"/>
                <w:tab w:val="clear" w:pos="2268"/>
                <w:tab w:val="clear" w:pos="2835"/>
              </w:tabs>
              <w:spacing w:before="40" w:after="40" w:line="220" w:lineRule="exact"/>
              <w:ind w:left="113" w:right="0"/>
              <w:jc w:val="left"/>
              <w:rPr>
                <w:sz w:val="18"/>
              </w:rPr>
            </w:pPr>
            <w:r w:rsidRPr="00333AFD">
              <w:rPr>
                <w:sz w:val="18"/>
              </w:rPr>
              <w:t>2019</w:t>
            </w:r>
          </w:p>
        </w:tc>
        <w:tc>
          <w:tcPr>
            <w:tcW w:w="3520" w:type="dxa"/>
            <w:tcBorders>
              <w:bottom w:val="single" w:sz="4" w:space="0" w:color="auto"/>
            </w:tcBorders>
            <w:shd w:val="clear" w:color="auto" w:fill="auto"/>
            <w:vAlign w:val="bottom"/>
          </w:tcPr>
          <w:p w14:paraId="1E368DFD" w14:textId="77777777" w:rsidR="00333AFD" w:rsidRPr="00333AFD" w:rsidRDefault="00333AFD" w:rsidP="00D63E71">
            <w:pPr>
              <w:pStyle w:val="SingleTxtG"/>
              <w:tabs>
                <w:tab w:val="clear" w:pos="1701"/>
                <w:tab w:val="clear" w:pos="2268"/>
                <w:tab w:val="clear" w:pos="2835"/>
              </w:tabs>
              <w:spacing w:before="40" w:after="40" w:line="220" w:lineRule="exact"/>
              <w:ind w:left="57" w:right="28"/>
              <w:jc w:val="right"/>
              <w:rPr>
                <w:sz w:val="18"/>
              </w:rPr>
            </w:pPr>
            <w:r w:rsidRPr="00333AFD">
              <w:rPr>
                <w:sz w:val="18"/>
              </w:rPr>
              <w:t>5 700</w:t>
            </w:r>
          </w:p>
        </w:tc>
      </w:tr>
      <w:tr w:rsidR="00D63E71" w:rsidRPr="00D63E71" w14:paraId="36F65635" w14:textId="77777777" w:rsidTr="00D63E71">
        <w:trPr>
          <w:trHeight w:val="240"/>
        </w:trPr>
        <w:tc>
          <w:tcPr>
            <w:tcW w:w="3850" w:type="dxa"/>
            <w:gridSpan w:val="2"/>
            <w:tcBorders>
              <w:top w:val="single" w:sz="4" w:space="0" w:color="auto"/>
              <w:bottom w:val="single" w:sz="12" w:space="0" w:color="auto"/>
            </w:tcBorders>
            <w:shd w:val="clear" w:color="auto" w:fill="auto"/>
          </w:tcPr>
          <w:p w14:paraId="33A5EF86" w14:textId="3E325A1F" w:rsidR="00333AFD" w:rsidRPr="00333AFD" w:rsidRDefault="00333AFD" w:rsidP="00D63E71">
            <w:pPr>
              <w:pStyle w:val="SingleTxtG"/>
              <w:tabs>
                <w:tab w:val="clear" w:pos="1701"/>
                <w:tab w:val="clear" w:pos="2268"/>
                <w:tab w:val="clear" w:pos="2835"/>
              </w:tabs>
              <w:spacing w:before="80" w:after="80" w:line="220" w:lineRule="exact"/>
              <w:ind w:left="283" w:right="0"/>
              <w:jc w:val="left"/>
              <w:rPr>
                <w:b/>
                <w:sz w:val="18"/>
              </w:rPr>
            </w:pPr>
            <w:r w:rsidRPr="00333AFD">
              <w:rPr>
                <w:b/>
                <w:bCs/>
                <w:sz w:val="18"/>
              </w:rPr>
              <w:t>Total</w:t>
            </w:r>
          </w:p>
        </w:tc>
        <w:tc>
          <w:tcPr>
            <w:tcW w:w="3520" w:type="dxa"/>
            <w:tcBorders>
              <w:top w:val="single" w:sz="4" w:space="0" w:color="auto"/>
              <w:bottom w:val="single" w:sz="12" w:space="0" w:color="auto"/>
            </w:tcBorders>
            <w:shd w:val="clear" w:color="auto" w:fill="auto"/>
            <w:vAlign w:val="bottom"/>
          </w:tcPr>
          <w:p w14:paraId="7FE2B2E7" w14:textId="77777777" w:rsidR="00333AFD" w:rsidRPr="00333AFD" w:rsidRDefault="00333AFD" w:rsidP="00D63E71">
            <w:pPr>
              <w:pStyle w:val="SingleTxtG"/>
              <w:tabs>
                <w:tab w:val="clear" w:pos="1701"/>
                <w:tab w:val="clear" w:pos="2268"/>
                <w:tab w:val="clear" w:pos="2835"/>
              </w:tabs>
              <w:spacing w:before="80" w:after="80" w:line="220" w:lineRule="exact"/>
              <w:ind w:left="57" w:right="28"/>
              <w:jc w:val="right"/>
              <w:rPr>
                <w:b/>
                <w:sz w:val="18"/>
              </w:rPr>
            </w:pPr>
            <w:r w:rsidRPr="00333AFD">
              <w:rPr>
                <w:b/>
                <w:bCs/>
                <w:sz w:val="18"/>
              </w:rPr>
              <w:t>49 400</w:t>
            </w:r>
          </w:p>
        </w:tc>
      </w:tr>
    </w:tbl>
    <w:p w14:paraId="235606B3" w14:textId="77777777" w:rsidR="00333AFD" w:rsidRPr="00333AFD" w:rsidRDefault="00333AFD" w:rsidP="00D63E71">
      <w:pPr>
        <w:pStyle w:val="SingleTxtG"/>
        <w:spacing w:before="240"/>
      </w:pPr>
      <w:r w:rsidRPr="00333AFD">
        <w:t>122.</w:t>
      </w:r>
      <w:r w:rsidRPr="00333AFD">
        <w:tab/>
        <w:t>También hay otras plataformas de difusión de conocimientos acerca de la Constitución, como conferencias públicas, muestras provinciales y exposiciones en instituciones terciarias.</w:t>
      </w:r>
    </w:p>
    <w:p w14:paraId="11332C38" w14:textId="28A06143" w:rsidR="00333AFD" w:rsidRPr="00333AFD" w:rsidRDefault="00333AFD" w:rsidP="00333AFD">
      <w:pPr>
        <w:pStyle w:val="H23G"/>
      </w:pPr>
      <w:r w:rsidRPr="00B16ECC">
        <w:rPr>
          <w:b w:val="0"/>
          <w:bCs/>
        </w:rPr>
        <w:tab/>
      </w:r>
      <w:r w:rsidRPr="00B16ECC">
        <w:rPr>
          <w:b w:val="0"/>
          <w:bCs/>
        </w:rPr>
        <w:tab/>
        <w:t>Cuadro 14</w:t>
      </w:r>
      <w:r w:rsidRPr="00B16ECC">
        <w:rPr>
          <w:b w:val="0"/>
          <w:bCs/>
        </w:rPr>
        <w:br/>
      </w:r>
      <w:r w:rsidRPr="00333AFD">
        <w:t>Número aproximado de personas alcanzadas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02"/>
        <w:gridCol w:w="3876"/>
        <w:gridCol w:w="2692"/>
      </w:tblGrid>
      <w:tr w:rsidR="00333AFD" w:rsidRPr="00333AFD" w14:paraId="7D804684" w14:textId="77777777" w:rsidTr="003D4091">
        <w:trPr>
          <w:trHeight w:val="240"/>
          <w:tblHeader/>
        </w:trPr>
        <w:tc>
          <w:tcPr>
            <w:tcW w:w="802" w:type="dxa"/>
            <w:tcBorders>
              <w:top w:val="single" w:sz="4" w:space="0" w:color="auto"/>
              <w:bottom w:val="single" w:sz="12" w:space="0" w:color="auto"/>
            </w:tcBorders>
            <w:shd w:val="clear" w:color="auto" w:fill="auto"/>
            <w:vAlign w:val="bottom"/>
          </w:tcPr>
          <w:p w14:paraId="73342294" w14:textId="4ADB120C"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Núm</w:t>
            </w:r>
            <w:r w:rsidR="003D4091">
              <w:rPr>
                <w:i/>
                <w:iCs/>
                <w:sz w:val="16"/>
              </w:rPr>
              <w:t>ero</w:t>
            </w:r>
          </w:p>
        </w:tc>
        <w:tc>
          <w:tcPr>
            <w:tcW w:w="3876" w:type="dxa"/>
            <w:tcBorders>
              <w:top w:val="single" w:sz="4" w:space="0" w:color="auto"/>
              <w:bottom w:val="single" w:sz="12" w:space="0" w:color="auto"/>
            </w:tcBorders>
            <w:shd w:val="clear" w:color="auto" w:fill="auto"/>
            <w:vAlign w:val="bottom"/>
          </w:tcPr>
          <w:p w14:paraId="321F777C" w14:textId="77777777" w:rsidR="00333AFD" w:rsidRPr="00333AFD" w:rsidRDefault="00333AFD" w:rsidP="003D4091">
            <w:pPr>
              <w:pStyle w:val="SingleTxtG"/>
              <w:tabs>
                <w:tab w:val="clear" w:pos="1701"/>
                <w:tab w:val="clear" w:pos="2268"/>
                <w:tab w:val="clear" w:pos="2835"/>
              </w:tabs>
              <w:spacing w:before="80" w:after="80" w:line="200" w:lineRule="exact"/>
              <w:ind w:left="113" w:right="0"/>
              <w:jc w:val="left"/>
              <w:rPr>
                <w:i/>
                <w:sz w:val="16"/>
              </w:rPr>
            </w:pPr>
            <w:r w:rsidRPr="00333AFD">
              <w:rPr>
                <w:i/>
                <w:iCs/>
                <w:sz w:val="16"/>
              </w:rPr>
              <w:t>Esfera de conocimientos</w:t>
            </w:r>
          </w:p>
        </w:tc>
        <w:tc>
          <w:tcPr>
            <w:tcW w:w="2692" w:type="dxa"/>
            <w:tcBorders>
              <w:top w:val="single" w:sz="4" w:space="0" w:color="auto"/>
              <w:bottom w:val="single" w:sz="12" w:space="0" w:color="auto"/>
            </w:tcBorders>
            <w:shd w:val="clear" w:color="auto" w:fill="auto"/>
            <w:vAlign w:val="bottom"/>
          </w:tcPr>
          <w:p w14:paraId="7C37A34A" w14:textId="77777777" w:rsidR="00333AFD" w:rsidRPr="00333AFD" w:rsidRDefault="00333AFD" w:rsidP="003D4091">
            <w:pPr>
              <w:pStyle w:val="SingleTxtG"/>
              <w:tabs>
                <w:tab w:val="clear" w:pos="1701"/>
                <w:tab w:val="clear" w:pos="2268"/>
                <w:tab w:val="clear" w:pos="2835"/>
              </w:tabs>
              <w:spacing w:before="80" w:after="80" w:line="200" w:lineRule="exact"/>
              <w:ind w:left="57" w:right="28"/>
              <w:jc w:val="right"/>
              <w:rPr>
                <w:i/>
                <w:sz w:val="16"/>
              </w:rPr>
            </w:pPr>
            <w:r w:rsidRPr="00333AFD">
              <w:rPr>
                <w:i/>
                <w:iCs/>
                <w:sz w:val="16"/>
              </w:rPr>
              <w:t>Número de personas alcanzadas</w:t>
            </w:r>
          </w:p>
        </w:tc>
      </w:tr>
      <w:tr w:rsidR="00333AFD" w:rsidRPr="00333AFD" w14:paraId="651E30E2" w14:textId="77777777" w:rsidTr="003D4091">
        <w:trPr>
          <w:trHeight w:val="240"/>
        </w:trPr>
        <w:tc>
          <w:tcPr>
            <w:tcW w:w="802" w:type="dxa"/>
            <w:shd w:val="clear" w:color="auto" w:fill="auto"/>
          </w:tcPr>
          <w:p w14:paraId="6FA600D6"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1.</w:t>
            </w:r>
          </w:p>
        </w:tc>
        <w:tc>
          <w:tcPr>
            <w:tcW w:w="3876" w:type="dxa"/>
            <w:shd w:val="clear" w:color="auto" w:fill="auto"/>
            <w:vAlign w:val="bottom"/>
          </w:tcPr>
          <w:p w14:paraId="4E7AF5D9" w14:textId="77777777" w:rsidR="00333AFD" w:rsidRPr="00333AFD" w:rsidRDefault="00333AFD" w:rsidP="003D4091">
            <w:pPr>
              <w:pStyle w:val="SingleTxtG"/>
              <w:tabs>
                <w:tab w:val="clear" w:pos="1701"/>
                <w:tab w:val="clear" w:pos="2268"/>
                <w:tab w:val="clear" w:pos="2835"/>
              </w:tabs>
              <w:spacing w:before="40" w:after="40" w:line="220" w:lineRule="exact"/>
              <w:ind w:left="113" w:right="0"/>
              <w:jc w:val="left"/>
              <w:rPr>
                <w:sz w:val="18"/>
              </w:rPr>
            </w:pPr>
            <w:r w:rsidRPr="00333AFD">
              <w:rPr>
                <w:sz w:val="18"/>
              </w:rPr>
              <w:t>Reuniones de difusión</w:t>
            </w:r>
          </w:p>
        </w:tc>
        <w:tc>
          <w:tcPr>
            <w:tcW w:w="2692" w:type="dxa"/>
            <w:shd w:val="clear" w:color="auto" w:fill="auto"/>
            <w:vAlign w:val="bottom"/>
          </w:tcPr>
          <w:p w14:paraId="5E365315" w14:textId="77777777" w:rsidR="00333AFD" w:rsidRPr="00333AFD" w:rsidRDefault="00333AFD" w:rsidP="003D4091">
            <w:pPr>
              <w:pStyle w:val="SingleTxtG"/>
              <w:tabs>
                <w:tab w:val="clear" w:pos="1701"/>
                <w:tab w:val="clear" w:pos="2268"/>
                <w:tab w:val="clear" w:pos="2835"/>
              </w:tabs>
              <w:spacing w:before="40" w:after="40" w:line="220" w:lineRule="exact"/>
              <w:ind w:left="57" w:right="28"/>
              <w:jc w:val="right"/>
              <w:rPr>
                <w:sz w:val="18"/>
              </w:rPr>
            </w:pPr>
            <w:r w:rsidRPr="00333AFD">
              <w:rPr>
                <w:sz w:val="18"/>
              </w:rPr>
              <w:t>1 559</w:t>
            </w:r>
          </w:p>
        </w:tc>
      </w:tr>
      <w:tr w:rsidR="00333AFD" w:rsidRPr="00333AFD" w14:paraId="33C0EEF5" w14:textId="77777777" w:rsidTr="003D4091">
        <w:trPr>
          <w:trHeight w:val="240"/>
        </w:trPr>
        <w:tc>
          <w:tcPr>
            <w:tcW w:w="802" w:type="dxa"/>
            <w:shd w:val="clear" w:color="auto" w:fill="auto"/>
          </w:tcPr>
          <w:p w14:paraId="5246294A"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2.</w:t>
            </w:r>
          </w:p>
        </w:tc>
        <w:tc>
          <w:tcPr>
            <w:tcW w:w="3876" w:type="dxa"/>
            <w:shd w:val="clear" w:color="auto" w:fill="auto"/>
            <w:vAlign w:val="bottom"/>
          </w:tcPr>
          <w:p w14:paraId="68AAD7E5" w14:textId="77777777" w:rsidR="00333AFD" w:rsidRPr="00333AFD" w:rsidRDefault="00333AFD" w:rsidP="003D4091">
            <w:pPr>
              <w:pStyle w:val="SingleTxtG"/>
              <w:tabs>
                <w:tab w:val="clear" w:pos="1701"/>
                <w:tab w:val="clear" w:pos="2268"/>
                <w:tab w:val="clear" w:pos="2835"/>
              </w:tabs>
              <w:spacing w:before="40" w:after="40" w:line="220" w:lineRule="exact"/>
              <w:ind w:left="113" w:right="0"/>
              <w:jc w:val="left"/>
              <w:rPr>
                <w:sz w:val="18"/>
              </w:rPr>
            </w:pPr>
            <w:r w:rsidRPr="00333AFD">
              <w:rPr>
                <w:sz w:val="18"/>
              </w:rPr>
              <w:t>Reuniones provinciales y distritales de promoción</w:t>
            </w:r>
          </w:p>
        </w:tc>
        <w:tc>
          <w:tcPr>
            <w:tcW w:w="2692" w:type="dxa"/>
            <w:shd w:val="clear" w:color="auto" w:fill="auto"/>
            <w:vAlign w:val="bottom"/>
          </w:tcPr>
          <w:p w14:paraId="7D294820" w14:textId="77777777" w:rsidR="00333AFD" w:rsidRPr="00333AFD" w:rsidRDefault="00333AFD" w:rsidP="003D4091">
            <w:pPr>
              <w:pStyle w:val="SingleTxtG"/>
              <w:tabs>
                <w:tab w:val="clear" w:pos="1701"/>
                <w:tab w:val="clear" w:pos="2268"/>
                <w:tab w:val="clear" w:pos="2835"/>
              </w:tabs>
              <w:spacing w:before="40" w:after="40" w:line="220" w:lineRule="exact"/>
              <w:ind w:left="57" w:right="28"/>
              <w:jc w:val="right"/>
              <w:rPr>
                <w:sz w:val="18"/>
              </w:rPr>
            </w:pPr>
            <w:r w:rsidRPr="00333AFD">
              <w:rPr>
                <w:sz w:val="18"/>
              </w:rPr>
              <w:t>132 807</w:t>
            </w:r>
          </w:p>
        </w:tc>
      </w:tr>
      <w:tr w:rsidR="00333AFD" w:rsidRPr="00333AFD" w14:paraId="1F379C46" w14:textId="77777777" w:rsidTr="003D4091">
        <w:trPr>
          <w:trHeight w:val="240"/>
        </w:trPr>
        <w:tc>
          <w:tcPr>
            <w:tcW w:w="802" w:type="dxa"/>
            <w:shd w:val="clear" w:color="auto" w:fill="auto"/>
          </w:tcPr>
          <w:p w14:paraId="0B9C063F"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3.</w:t>
            </w:r>
          </w:p>
        </w:tc>
        <w:tc>
          <w:tcPr>
            <w:tcW w:w="3876" w:type="dxa"/>
            <w:shd w:val="clear" w:color="auto" w:fill="auto"/>
            <w:vAlign w:val="bottom"/>
          </w:tcPr>
          <w:p w14:paraId="7BA85F2C" w14:textId="77777777" w:rsidR="00333AFD" w:rsidRPr="00333AFD" w:rsidRDefault="00333AFD" w:rsidP="003D4091">
            <w:pPr>
              <w:pStyle w:val="SingleTxtG"/>
              <w:tabs>
                <w:tab w:val="clear" w:pos="1701"/>
                <w:tab w:val="clear" w:pos="2268"/>
                <w:tab w:val="clear" w:pos="2835"/>
              </w:tabs>
              <w:spacing w:before="40" w:after="40" w:line="220" w:lineRule="exact"/>
              <w:ind w:left="113" w:right="0"/>
              <w:jc w:val="left"/>
              <w:rPr>
                <w:sz w:val="18"/>
              </w:rPr>
            </w:pPr>
            <w:r w:rsidRPr="00333AFD">
              <w:rPr>
                <w:sz w:val="18"/>
              </w:rPr>
              <w:t>Feria Internacional de Comercio de Zimbabwe</w:t>
            </w:r>
          </w:p>
        </w:tc>
        <w:tc>
          <w:tcPr>
            <w:tcW w:w="2692" w:type="dxa"/>
            <w:shd w:val="clear" w:color="auto" w:fill="auto"/>
            <w:vAlign w:val="bottom"/>
          </w:tcPr>
          <w:p w14:paraId="05581559" w14:textId="77777777" w:rsidR="00333AFD" w:rsidRPr="00333AFD" w:rsidRDefault="00333AFD" w:rsidP="003D4091">
            <w:pPr>
              <w:pStyle w:val="SingleTxtG"/>
              <w:tabs>
                <w:tab w:val="clear" w:pos="1701"/>
                <w:tab w:val="clear" w:pos="2268"/>
                <w:tab w:val="clear" w:pos="2835"/>
              </w:tabs>
              <w:spacing w:before="40" w:after="40" w:line="220" w:lineRule="exact"/>
              <w:ind w:left="57" w:right="28"/>
              <w:jc w:val="right"/>
              <w:rPr>
                <w:sz w:val="18"/>
              </w:rPr>
            </w:pPr>
            <w:r w:rsidRPr="00333AFD">
              <w:rPr>
                <w:sz w:val="18"/>
              </w:rPr>
              <w:t>47 370</w:t>
            </w:r>
          </w:p>
        </w:tc>
      </w:tr>
      <w:tr w:rsidR="00333AFD" w:rsidRPr="00333AFD" w14:paraId="25FCD51C" w14:textId="77777777" w:rsidTr="003D4091">
        <w:trPr>
          <w:trHeight w:val="240"/>
        </w:trPr>
        <w:tc>
          <w:tcPr>
            <w:tcW w:w="802" w:type="dxa"/>
            <w:tcBorders>
              <w:bottom w:val="single" w:sz="4" w:space="0" w:color="auto"/>
            </w:tcBorders>
            <w:shd w:val="clear" w:color="auto" w:fill="auto"/>
          </w:tcPr>
          <w:p w14:paraId="3372F1F6"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4.</w:t>
            </w:r>
          </w:p>
        </w:tc>
        <w:tc>
          <w:tcPr>
            <w:tcW w:w="3876" w:type="dxa"/>
            <w:tcBorders>
              <w:bottom w:val="single" w:sz="4" w:space="0" w:color="auto"/>
            </w:tcBorders>
            <w:shd w:val="clear" w:color="auto" w:fill="auto"/>
            <w:vAlign w:val="bottom"/>
          </w:tcPr>
          <w:p w14:paraId="5BB93D9C" w14:textId="77777777" w:rsidR="00333AFD" w:rsidRPr="00333AFD" w:rsidRDefault="00333AFD" w:rsidP="003D4091">
            <w:pPr>
              <w:pStyle w:val="SingleTxtG"/>
              <w:tabs>
                <w:tab w:val="clear" w:pos="1701"/>
                <w:tab w:val="clear" w:pos="2268"/>
                <w:tab w:val="clear" w:pos="2835"/>
              </w:tabs>
              <w:spacing w:before="40" w:after="40" w:line="220" w:lineRule="exact"/>
              <w:ind w:left="113" w:right="0"/>
              <w:jc w:val="left"/>
              <w:rPr>
                <w:sz w:val="18"/>
              </w:rPr>
            </w:pPr>
            <w:r w:rsidRPr="00333AFD">
              <w:rPr>
                <w:sz w:val="18"/>
              </w:rPr>
              <w:t>Exposición Agrícola de Zimbabwe</w:t>
            </w:r>
          </w:p>
        </w:tc>
        <w:tc>
          <w:tcPr>
            <w:tcW w:w="2692" w:type="dxa"/>
            <w:tcBorders>
              <w:bottom w:val="single" w:sz="4" w:space="0" w:color="auto"/>
            </w:tcBorders>
            <w:shd w:val="clear" w:color="auto" w:fill="auto"/>
            <w:vAlign w:val="bottom"/>
          </w:tcPr>
          <w:p w14:paraId="6C7D824E" w14:textId="77777777" w:rsidR="00333AFD" w:rsidRPr="00333AFD" w:rsidRDefault="00333AFD" w:rsidP="003D4091">
            <w:pPr>
              <w:pStyle w:val="SingleTxtG"/>
              <w:tabs>
                <w:tab w:val="clear" w:pos="1701"/>
                <w:tab w:val="clear" w:pos="2268"/>
                <w:tab w:val="clear" w:pos="2835"/>
              </w:tabs>
              <w:spacing w:before="40" w:after="40" w:line="220" w:lineRule="exact"/>
              <w:ind w:left="57" w:right="28"/>
              <w:jc w:val="right"/>
              <w:rPr>
                <w:sz w:val="18"/>
              </w:rPr>
            </w:pPr>
            <w:r w:rsidRPr="00333AFD">
              <w:rPr>
                <w:sz w:val="18"/>
              </w:rPr>
              <w:t>49 400</w:t>
            </w:r>
          </w:p>
        </w:tc>
      </w:tr>
      <w:tr w:rsidR="00333AFD" w:rsidRPr="003D4091" w14:paraId="321C7032" w14:textId="77777777" w:rsidTr="003D4091">
        <w:trPr>
          <w:trHeight w:val="240"/>
        </w:trPr>
        <w:tc>
          <w:tcPr>
            <w:tcW w:w="4678" w:type="dxa"/>
            <w:gridSpan w:val="2"/>
            <w:tcBorders>
              <w:top w:val="single" w:sz="4" w:space="0" w:color="auto"/>
              <w:bottom w:val="single" w:sz="12" w:space="0" w:color="auto"/>
            </w:tcBorders>
            <w:shd w:val="clear" w:color="auto" w:fill="auto"/>
          </w:tcPr>
          <w:p w14:paraId="6F8866DD" w14:textId="77777777" w:rsidR="00333AFD" w:rsidRPr="00333AFD" w:rsidRDefault="00333AFD" w:rsidP="003D4091">
            <w:pPr>
              <w:pStyle w:val="SingleTxtG"/>
              <w:tabs>
                <w:tab w:val="clear" w:pos="1701"/>
                <w:tab w:val="clear" w:pos="2268"/>
                <w:tab w:val="clear" w:pos="2835"/>
              </w:tabs>
              <w:spacing w:before="80" w:after="80" w:line="220" w:lineRule="exact"/>
              <w:ind w:left="283" w:right="0"/>
              <w:jc w:val="left"/>
              <w:rPr>
                <w:b/>
                <w:sz w:val="18"/>
              </w:rPr>
            </w:pPr>
            <w:r w:rsidRPr="00333AFD">
              <w:rPr>
                <w:b/>
                <w:bCs/>
                <w:sz w:val="18"/>
              </w:rPr>
              <w:t xml:space="preserve">Total </w:t>
            </w:r>
          </w:p>
        </w:tc>
        <w:tc>
          <w:tcPr>
            <w:tcW w:w="2692" w:type="dxa"/>
            <w:tcBorders>
              <w:top w:val="single" w:sz="4" w:space="0" w:color="auto"/>
              <w:bottom w:val="single" w:sz="12" w:space="0" w:color="auto"/>
            </w:tcBorders>
            <w:shd w:val="clear" w:color="auto" w:fill="auto"/>
            <w:vAlign w:val="bottom"/>
          </w:tcPr>
          <w:p w14:paraId="5EDF285D" w14:textId="77777777" w:rsidR="00333AFD" w:rsidRPr="00333AFD" w:rsidRDefault="00333AFD" w:rsidP="003D4091">
            <w:pPr>
              <w:pStyle w:val="SingleTxtG"/>
              <w:tabs>
                <w:tab w:val="clear" w:pos="1701"/>
                <w:tab w:val="clear" w:pos="2268"/>
                <w:tab w:val="clear" w:pos="2835"/>
              </w:tabs>
              <w:spacing w:before="80" w:after="80" w:line="220" w:lineRule="exact"/>
              <w:ind w:left="57" w:right="28"/>
              <w:jc w:val="right"/>
              <w:rPr>
                <w:b/>
                <w:sz w:val="18"/>
              </w:rPr>
            </w:pPr>
            <w:r w:rsidRPr="00333AFD">
              <w:rPr>
                <w:b/>
                <w:bCs/>
                <w:sz w:val="18"/>
              </w:rPr>
              <w:t>231 136</w:t>
            </w:r>
          </w:p>
        </w:tc>
      </w:tr>
    </w:tbl>
    <w:p w14:paraId="08090409" w14:textId="02E99A5E" w:rsidR="00333AFD" w:rsidRPr="00333AFD" w:rsidRDefault="00333AFD" w:rsidP="00333AFD">
      <w:pPr>
        <w:pStyle w:val="SingleTxtG"/>
        <w:spacing w:before="240"/>
      </w:pPr>
      <w:r w:rsidRPr="00333AFD">
        <w:t>123.</w:t>
      </w:r>
      <w:r w:rsidRPr="00333AFD">
        <w:tab/>
        <w:t>Para hacer operativo el pacto mundial sobre los refugiados, en diciembre de 2019 se celebró el primer Foro Mundial sobre los Refugiados, en el que el Gobierno de Zimbabwe asumió siete compromisos. En octubre de 2019, en la serie de sesiones de alto nivel sobre apatridia, el Gobierno asumió otros siete compromisos. Este segmento de alto nivel tuvo lugar como parte del período de sesiones del Comité Ejecutivo de la Oficina del Alto Comisionado de las Naciones Unidas para los Refugiados (ACNUR) de octubre de 2019 y marcó la mitad del período de la campaña #IBelong, destinada a poner fin a la apatridia.</w:t>
      </w:r>
    </w:p>
    <w:p w14:paraId="5CEC86E3" w14:textId="60C86578" w:rsidR="00333AFD" w:rsidRPr="00333AFD" w:rsidRDefault="00333AFD" w:rsidP="00333AFD">
      <w:pPr>
        <w:pStyle w:val="SingleTxtG"/>
      </w:pPr>
      <w:r w:rsidRPr="00333AFD">
        <w:t>124.</w:t>
      </w:r>
      <w:r w:rsidRPr="00333AFD">
        <w:tab/>
        <w:t>El Gobierno de Zimbabwe se comprometió a revisar y actualizar el marco jurídico y político sobre refugiados y solicitantes de asilo; a promover y aumentar el acceso a la educación terciaria, no solo para los refugiados y solicitantes de asilo sino también para las comunidades de acogida; a fortalecer la capacidad institucional del registro civil nacional; a facilitar los procedimientos de asilo; y a mejorar las oportunidades de autosuficiencia para los refugiados, la adaptación al cambio climático y la inclusión de los refugiados y solicitantes de asilo en los programas deportivos y culturales.</w:t>
      </w:r>
    </w:p>
    <w:p w14:paraId="78FFA673" w14:textId="56D3BF98" w:rsidR="00333AFD" w:rsidRPr="00333AFD" w:rsidRDefault="00333AFD" w:rsidP="00333AFD">
      <w:pPr>
        <w:pStyle w:val="H23G"/>
      </w:pPr>
      <w:bookmarkStart w:id="58" w:name="_Toc87853328"/>
      <w:r>
        <w:lastRenderedPageBreak/>
        <w:tab/>
      </w:r>
      <w:r w:rsidRPr="00333AFD">
        <w:tab/>
        <w:t>Acceso a la justicia</w:t>
      </w:r>
      <w:bookmarkEnd w:id="58"/>
    </w:p>
    <w:p w14:paraId="02A190E1" w14:textId="146A13F3" w:rsidR="00333AFD" w:rsidRPr="00333AFD" w:rsidRDefault="00333AFD" w:rsidP="00333AFD">
      <w:pPr>
        <w:pStyle w:val="SingleTxtG"/>
      </w:pPr>
      <w:r w:rsidRPr="00333AFD">
        <w:t>125.</w:t>
      </w:r>
      <w:r w:rsidRPr="00333AFD">
        <w:tab/>
        <w:t>Los refugiados y solicitantes de asilo tienen el mismo acceso a los tribunales que los nacionales del país. El Gobierno ha desplegado a la policía en el campamento de refugiados de Tongogara y los casos que se han llevado a los tribunales incluyen casos de violencia de género que afectan a mujeres y niñas.</w:t>
      </w:r>
    </w:p>
    <w:p w14:paraId="0B3FA809" w14:textId="448C00B5" w:rsidR="00333AFD" w:rsidRPr="00333AFD" w:rsidRDefault="00333AFD" w:rsidP="00333AFD">
      <w:pPr>
        <w:pStyle w:val="H23G"/>
      </w:pPr>
      <w:bookmarkStart w:id="59" w:name="_Toc87853329"/>
      <w:r>
        <w:tab/>
      </w:r>
      <w:r w:rsidRPr="00333AFD">
        <w:tab/>
        <w:t>Acceso a la documentación del estado civil</w:t>
      </w:r>
      <w:bookmarkEnd w:id="59"/>
    </w:p>
    <w:p w14:paraId="241E1FC4" w14:textId="1D15FABC" w:rsidR="00333AFD" w:rsidRPr="00333AFD" w:rsidRDefault="00333AFD" w:rsidP="00333AFD">
      <w:pPr>
        <w:pStyle w:val="SingleTxtG"/>
      </w:pPr>
      <w:r w:rsidRPr="00333AFD">
        <w:t>126.</w:t>
      </w:r>
      <w:r w:rsidRPr="00333AFD">
        <w:tab/>
        <w:t>El Gobierno sigue velando por que se registre a los niños refugiados y se les expidan partidas de nacimiento. Esto se ha mantenido a lo largo de los años; sin embargo, debido a la pandemia, estos servicios se han suspendido en la mayor parte del país.</w:t>
      </w:r>
    </w:p>
    <w:p w14:paraId="32B5590B" w14:textId="109D20E0" w:rsidR="00333AFD" w:rsidRPr="00333AFD" w:rsidRDefault="00333AFD" w:rsidP="00333AFD">
      <w:pPr>
        <w:pStyle w:val="SingleTxtG"/>
      </w:pPr>
      <w:r w:rsidRPr="00333AFD">
        <w:t>127.</w:t>
      </w:r>
      <w:r w:rsidRPr="00333AFD">
        <w:tab/>
        <w:t>En 2019, el Gobierno de Zimbabwe, por medio del Registro Civil, expidió o sustituyó la documentación relativa al estado civil perdida a los desplazados internos afectados por el ciclón Idai en los distritos de Chimanimani y Chipinge. Se expidieron más de 65.000</w:t>
      </w:r>
      <w:r w:rsidR="00991740">
        <w:t> </w:t>
      </w:r>
      <w:r w:rsidRPr="00333AFD">
        <w:t>documentos durante los tres meses del ejercicio de registro móvil, entre otros, documentos de identidad y partidas de nacimiento y defunción.</w:t>
      </w:r>
    </w:p>
    <w:p w14:paraId="7225C416" w14:textId="7702DCFB" w:rsidR="00333AFD" w:rsidRPr="00333AFD" w:rsidRDefault="00333AFD" w:rsidP="00333AFD">
      <w:pPr>
        <w:pStyle w:val="H23G"/>
      </w:pPr>
      <w:bookmarkStart w:id="60" w:name="_Toc87853330"/>
      <w:r>
        <w:tab/>
      </w:r>
      <w:r w:rsidRPr="00333AFD">
        <w:tab/>
        <w:t>Acceso a los servicios de salud</w:t>
      </w:r>
      <w:bookmarkEnd w:id="60"/>
    </w:p>
    <w:p w14:paraId="2DE07452" w14:textId="77777777" w:rsidR="00333AFD" w:rsidRPr="00333AFD" w:rsidRDefault="00333AFD" w:rsidP="00333AFD">
      <w:pPr>
        <w:pStyle w:val="SingleTxtG"/>
      </w:pPr>
      <w:r w:rsidRPr="00333AFD">
        <w:t>128.</w:t>
      </w:r>
      <w:r w:rsidRPr="00333AFD">
        <w:tab/>
        <w:t>Los refugiados y solicitantes de asilo están plenamente integrados en el sistema sanitario nacional. Esto permite el acceso a los servicios nacionales de sanidad a nivel distrital, provincial y nacional sin discriminación. Se realizan ecografías a las mujeres embarazadas de conformidad con los protocolos sanitarios nacionales para reducir los casos de muerte neonatal y materna.</w:t>
      </w:r>
    </w:p>
    <w:p w14:paraId="16DB3473" w14:textId="43E47E72" w:rsidR="00333AFD" w:rsidRPr="00333AFD" w:rsidRDefault="00333AFD" w:rsidP="00333AFD">
      <w:pPr>
        <w:pStyle w:val="SingleTxtG"/>
      </w:pPr>
      <w:r w:rsidRPr="00333AFD">
        <w:t>129.</w:t>
      </w:r>
      <w:r w:rsidRPr="00333AFD">
        <w:tab/>
        <w:t>Los refugiados y solicitantes de asilo están incluidos en los planes nacionales de respuesta, entre otras cosas en relación con la COVID-19, y el centro de atención primaria del campamento de refugiados de Tongogara recibe suministros médicos y formación del personal por el Gobierno de Zimbabwe. Asimismo, las continuas huelgas de los trabajadores</w:t>
      </w:r>
      <w:r w:rsidR="00810014">
        <w:t> </w:t>
      </w:r>
      <w:r w:rsidRPr="00333AFD">
        <w:t>sanitarios han provocado un aumento de las derivaciones de refugiados y solicitantes de asilo a proveedores de asistencia sanitaria privados, especialmente en las zonas urbanas.</w:t>
      </w:r>
    </w:p>
    <w:p w14:paraId="7277DE44" w14:textId="43E99FF9" w:rsidR="00333AFD" w:rsidRPr="00333AFD" w:rsidRDefault="00333AFD" w:rsidP="00333AFD">
      <w:pPr>
        <w:pStyle w:val="H23G"/>
      </w:pPr>
      <w:bookmarkStart w:id="61" w:name="_Toc87853331"/>
      <w:r>
        <w:tab/>
      </w:r>
      <w:r w:rsidRPr="00333AFD">
        <w:tab/>
        <w:t>Acceso a la educación</w:t>
      </w:r>
      <w:bookmarkEnd w:id="61"/>
    </w:p>
    <w:p w14:paraId="7B96C345" w14:textId="4D6C88AF" w:rsidR="00333AFD" w:rsidRPr="00333AFD" w:rsidRDefault="00333AFD" w:rsidP="00333AFD">
      <w:pPr>
        <w:pStyle w:val="SingleTxtG"/>
      </w:pPr>
      <w:r w:rsidRPr="00333AFD">
        <w:t>130.</w:t>
      </w:r>
      <w:r w:rsidRPr="00333AFD">
        <w:tab/>
        <w:t>Los refugiados y solicitantes de asilo están plenamente integrados en el sistema educativo nacional. Los niños refugiados gozan del derecho a la educación consagrado en la Convención sobre los Derechos del Niño. El Ministerio de Educación Primaria y Secundaria apoya a las escuelas del campamento de refugiados mediante el despliegue de docentes a quienes el Gobierno paga el sueldo. Los refugiados también tienen acceso a las escuelas locales y algunos reciben ayuda para asistir a internados.</w:t>
      </w:r>
    </w:p>
    <w:p w14:paraId="61CE35E9" w14:textId="57C48F45" w:rsidR="00333AFD" w:rsidRPr="00333AFD" w:rsidRDefault="00333AFD" w:rsidP="00333AFD">
      <w:pPr>
        <w:pStyle w:val="SingleTxtG"/>
      </w:pPr>
      <w:r w:rsidRPr="00333AFD">
        <w:t>131.</w:t>
      </w:r>
      <w:r w:rsidRPr="00333AFD">
        <w:tab/>
        <w:t>Los refugiados tienen acceso a las universidades públicas, del que se benefician muchas jóvenes refugiadas.</w:t>
      </w:r>
    </w:p>
    <w:p w14:paraId="3EF7119F" w14:textId="2AB920E9" w:rsidR="00333AFD" w:rsidRPr="00333AFD" w:rsidRDefault="00333AFD" w:rsidP="00333AFD">
      <w:pPr>
        <w:pStyle w:val="SingleTxtG"/>
      </w:pPr>
      <w:r w:rsidRPr="00333AFD">
        <w:t>132.</w:t>
      </w:r>
      <w:r w:rsidRPr="00333AFD">
        <w:tab/>
        <w:t>El Gobierno ha ofrecido diversas oportunidades de apoyo para los estudiantes refugiados.</w:t>
      </w:r>
    </w:p>
    <w:p w14:paraId="276BE2C5" w14:textId="1B305221" w:rsidR="00333AFD" w:rsidRPr="00333AFD" w:rsidRDefault="00333AFD" w:rsidP="00333AFD">
      <w:pPr>
        <w:pStyle w:val="H23G"/>
      </w:pPr>
      <w:bookmarkStart w:id="62" w:name="_Toc87853332"/>
      <w:r>
        <w:tab/>
      </w:r>
      <w:r w:rsidRPr="00333AFD">
        <w:tab/>
        <w:t>Violencia de género</w:t>
      </w:r>
      <w:bookmarkEnd w:id="62"/>
    </w:p>
    <w:p w14:paraId="70E76985" w14:textId="77777777" w:rsidR="00333AFD" w:rsidRPr="00333AFD" w:rsidRDefault="00333AFD" w:rsidP="00333AFD">
      <w:pPr>
        <w:pStyle w:val="SingleTxtG"/>
      </w:pPr>
      <w:r w:rsidRPr="00333AFD">
        <w:t>133.</w:t>
      </w:r>
      <w:r w:rsidRPr="00333AFD">
        <w:tab/>
        <w:t>El Gobierno, a través de sus diversos ministerios, entre ellos los Ministerios de Administración Pública, Trabajo y Bienestar Social y de Asuntos de la Mujer, apoya la formación del personal y de los refugiados sobre la violencia de género. Esta colaboración se extiende al trabajo con las organizaciones de personas con discapacidad para sensibilizar acerca de los derechos de estas personas a los refugiados y solicitantes de asilo. Esto incluye la colaboración con el Consejo de Personas con Discapacidad de Zimbabwe. Su oficina en Chipinge facilitará la formación de personas con discapacidad para sensibilizarlas acerca de la violencia de género, incluidas las vías de denuncia y derivación disponibles. Además, colaborará con el Ministerio de Asuntos de la Mujer, Comunidad y Fomento de las Pequeñas y Medianas Empresas para garantizar la formación en materia de violencia de género del personal que trabaja en el campamento de refugiados de Tongogara, centrándose en el marco jurídico de Zimbabwe y en las técnicas básicas de entrevista y asesoramiento.</w:t>
      </w:r>
    </w:p>
    <w:p w14:paraId="78C7F7DE" w14:textId="77777777" w:rsidR="00333AFD" w:rsidRPr="00333AFD" w:rsidRDefault="00333AFD" w:rsidP="00333AFD">
      <w:pPr>
        <w:pStyle w:val="SingleTxtG"/>
      </w:pPr>
      <w:r w:rsidRPr="00333AFD">
        <w:lastRenderedPageBreak/>
        <w:t>134.</w:t>
      </w:r>
      <w:r w:rsidRPr="00333AFD">
        <w:tab/>
        <w:t>En asociación con el Banco Africano de Desarrollo, se ha mejorado la iluminación del campamento y sus alrededores para reducir el riesgo de violencia de género, especialmente para las mujeres y los niños. El proyecto también presta apoyo a las necesidades de las mujeres en relación con los medios de subsistencia.</w:t>
      </w:r>
    </w:p>
    <w:p w14:paraId="2A7CF6DC" w14:textId="115E03BA" w:rsidR="00333AFD" w:rsidRPr="00333AFD" w:rsidRDefault="00333AFD" w:rsidP="00333AFD">
      <w:pPr>
        <w:pStyle w:val="H23G"/>
      </w:pPr>
      <w:bookmarkStart w:id="63" w:name="_Toc87853333"/>
      <w:r>
        <w:tab/>
      </w:r>
      <w:r w:rsidRPr="00333AFD">
        <w:tab/>
        <w:t>Personas con discapacidad</w:t>
      </w:r>
      <w:bookmarkEnd w:id="63"/>
    </w:p>
    <w:p w14:paraId="17172F77" w14:textId="5EC1B283" w:rsidR="00333AFD" w:rsidRPr="00333AFD" w:rsidRDefault="00333AFD" w:rsidP="00333AFD">
      <w:pPr>
        <w:pStyle w:val="SingleTxtG"/>
      </w:pPr>
      <w:r w:rsidRPr="00333AFD">
        <w:t>135.</w:t>
      </w:r>
      <w:r w:rsidRPr="00333AFD">
        <w:tab/>
        <w:t>El Gobierno garantizó la participación de los refugiados con discapacidad en las consultas provinciales sobre el proyecto de política nacional de discapacidad y el proyecto de ley sobre personas con discapacidad, celebradas en Mutare. Esas consultas ofrecieron la oportunidad para que los refugiados comprendieran mejor la Convención sobre los Derechos de las Personas con Discapacidad, el proyecto de política nacional sobre discapacidad y el proyecto de ley de personas con discapacidad.</w:t>
      </w:r>
    </w:p>
    <w:p w14:paraId="6F849E07" w14:textId="47EA316B" w:rsidR="00333AFD" w:rsidRPr="00333AFD" w:rsidRDefault="00333AFD" w:rsidP="00810014">
      <w:pPr>
        <w:pStyle w:val="H23G"/>
      </w:pPr>
      <w:bookmarkStart w:id="64" w:name="_Toc87853334"/>
      <w:r>
        <w:tab/>
      </w:r>
      <w:r w:rsidRPr="00333AFD">
        <w:tab/>
        <w:t>Acceso a los alimentos</w:t>
      </w:r>
      <w:bookmarkEnd w:id="64"/>
    </w:p>
    <w:p w14:paraId="4DAF5C6B" w14:textId="7E76A9F0" w:rsidR="00333AFD" w:rsidRPr="00333AFD" w:rsidRDefault="00333AFD" w:rsidP="00810014">
      <w:pPr>
        <w:pStyle w:val="SingleTxtG"/>
        <w:keepNext/>
        <w:keepLines/>
      </w:pPr>
      <w:r w:rsidRPr="00333AFD">
        <w:t>136.</w:t>
      </w:r>
      <w:r w:rsidRPr="00333AFD">
        <w:tab/>
        <w:t>El Gobierno presta apoyo a los refugiados y solicitantes de asilo mediante donaciones de alimentos, dando prioridad a las personas con necesidades específicas, como las personas con discapacidad, los menores no acompañados o separados, y las mujeres y niñas en situación de riesgo.</w:t>
      </w:r>
    </w:p>
    <w:p w14:paraId="5B7941AC" w14:textId="296254C0" w:rsidR="00333AFD" w:rsidRPr="00333AFD" w:rsidRDefault="00333AFD" w:rsidP="00333AFD">
      <w:pPr>
        <w:pStyle w:val="H23G"/>
      </w:pPr>
      <w:bookmarkStart w:id="65" w:name="_Toc87853335"/>
      <w:r>
        <w:tab/>
      </w:r>
      <w:r w:rsidRPr="00333AFD">
        <w:tab/>
        <w:t>Inscripción individual</w:t>
      </w:r>
      <w:bookmarkEnd w:id="65"/>
    </w:p>
    <w:p w14:paraId="55D9444A" w14:textId="3C5A0744" w:rsidR="00333AFD" w:rsidRPr="00333AFD" w:rsidRDefault="00333AFD" w:rsidP="00333AFD">
      <w:pPr>
        <w:pStyle w:val="SingleTxtG"/>
      </w:pPr>
      <w:r w:rsidRPr="00333AFD">
        <w:t>137.</w:t>
      </w:r>
      <w:r w:rsidRPr="00333AFD">
        <w:tab/>
        <w:t>El Gobierno de Zimbabwe, en colaboración con el ACNUR, está inscribiendo a todos los refugiados y solicitantes de asilo en un registro. Se reúnen datos desglosados por sexo, edad y género, lo que es fundamental para la programación.</w:t>
      </w:r>
    </w:p>
    <w:p w14:paraId="0B1DBECD" w14:textId="33ECF8C0" w:rsidR="00333AFD" w:rsidRPr="00333AFD" w:rsidRDefault="00333AFD" w:rsidP="00333AFD">
      <w:pPr>
        <w:pStyle w:val="H23G"/>
      </w:pPr>
      <w:bookmarkStart w:id="66" w:name="_Toc87853336"/>
      <w:r>
        <w:tab/>
      </w:r>
      <w:r w:rsidRPr="00333AFD">
        <w:tab/>
        <w:t>Determinación de la condición de refugiado</w:t>
      </w:r>
      <w:bookmarkEnd w:id="66"/>
    </w:p>
    <w:p w14:paraId="0F2D71E0" w14:textId="77777777" w:rsidR="00333AFD" w:rsidRPr="00333AFD" w:rsidRDefault="00333AFD" w:rsidP="00333AFD">
      <w:pPr>
        <w:pStyle w:val="SingleTxtG"/>
      </w:pPr>
      <w:r w:rsidRPr="00333AFD">
        <w:t>138.</w:t>
      </w:r>
      <w:r w:rsidRPr="00333AFD">
        <w:tab/>
        <w:t xml:space="preserve">El Gobierno, por conducto del Comité de Refugiados de Zimbabwe, entrevista a los solicitantes de asilo para determinar su elegibilidad y asigna prioridad a las personas con discapacidad, a las mujeres no acompañadas y separadas de sus familias, así como a los supervivientes de la tortura o la violencia, que en algunos casos son mujeres. Las entrevistas son realizadas por entrevistadores e intérpretes del mismo sexo. </w:t>
      </w:r>
    </w:p>
    <w:p w14:paraId="5D766914" w14:textId="77777777" w:rsidR="00333AFD" w:rsidRPr="00333AFD" w:rsidRDefault="00333AFD" w:rsidP="00333AFD">
      <w:pPr>
        <w:pStyle w:val="SingleTxtG"/>
      </w:pPr>
      <w:r w:rsidRPr="00333AFD">
        <w:t>139.</w:t>
      </w:r>
      <w:r w:rsidRPr="00333AFD">
        <w:tab/>
        <w:t>Se ha incorporado la Carta de Derechos en los nuevos planes de estudios para iniciar la sensibilización acerca de los derechos humanos a una edad temprana.</w:t>
      </w:r>
    </w:p>
    <w:p w14:paraId="22AA01C7" w14:textId="77777777" w:rsidR="00333AFD" w:rsidRPr="00333AFD" w:rsidRDefault="00333AFD" w:rsidP="00333AFD">
      <w:pPr>
        <w:pStyle w:val="SingleTxtG"/>
      </w:pPr>
      <w:r w:rsidRPr="00333AFD">
        <w:t>140.</w:t>
      </w:r>
      <w:r w:rsidRPr="00333AFD">
        <w:tab/>
        <w:t>Se imparte formación en derechos humanos a jueces, funcionarios de prisiones, fiscales, funcionarios de inmigración, policías, abogados, médicos, profesores, trabajadores sociales y miembros de las fuerzas armadas. El manual de formación de la policía ha incorporado los derechos humanos como asignatura que se enseña al ingresar en la fuerza y como parte del desarrollo profesional continuo.</w:t>
      </w:r>
    </w:p>
    <w:p w14:paraId="6F12FD24" w14:textId="77777777" w:rsidR="00333AFD" w:rsidRPr="00333AFD" w:rsidRDefault="00333AFD" w:rsidP="00333AFD">
      <w:pPr>
        <w:pStyle w:val="SingleTxtG"/>
      </w:pPr>
      <w:r w:rsidRPr="00333AFD">
        <w:t>141.</w:t>
      </w:r>
      <w:r w:rsidRPr="00333AFD">
        <w:tab/>
        <w:t>El manual de formación en derechos humanos para agentes de policía tiene un componente de derechos humanos que incluye la enseñanza a los agentes sobre los instrumentos jurídicos internacionales pertinentes, en particular los que se refieren a los derechos humanos de las personas detenidas y arrestadas. Estos derechos incluyen el derecho a la representación jurídica, la presunción de inocencia y el derecho a ser llevado ante un tribunal dentro de las 48 horas de la detención.</w:t>
      </w:r>
    </w:p>
    <w:p w14:paraId="468643B7" w14:textId="77777777" w:rsidR="00333AFD" w:rsidRPr="00333AFD" w:rsidRDefault="00333AFD" w:rsidP="00333AFD">
      <w:pPr>
        <w:pStyle w:val="SingleTxtG"/>
      </w:pPr>
      <w:r w:rsidRPr="00333AFD">
        <w:t>142.</w:t>
      </w:r>
      <w:r w:rsidRPr="00333AFD">
        <w:tab/>
        <w:t>Para promover el derecho de reunión y de asociación en el mercado de trabajo, el Gobierno, con la ayuda de los asociados para el desarrollo, ha formado a 17 jueces, 32 jueces de primera instancia, 97 asesores, 170 funcionarios laborales y 40 funcionarios jurídicos sobre las normas internacionales del trabajo y los derechos a la libertad de reunión y de asociación.</w:t>
      </w:r>
    </w:p>
    <w:p w14:paraId="27E0A437" w14:textId="77777777" w:rsidR="00333AFD" w:rsidRPr="00333AFD" w:rsidRDefault="00333AFD" w:rsidP="00333AFD">
      <w:pPr>
        <w:pStyle w:val="SingleTxtG"/>
      </w:pPr>
      <w:r w:rsidRPr="00333AFD">
        <w:t>143.</w:t>
      </w:r>
      <w:r w:rsidRPr="00333AFD">
        <w:tab/>
        <w:t>La mayoría de los programas de grado de las universidades incluye la formación en derechos humanos, por lo general en las facultades de derecho y de humanidades.</w:t>
      </w:r>
    </w:p>
    <w:p w14:paraId="7008988F" w14:textId="0F9AC0FC" w:rsidR="00333AFD" w:rsidRPr="00333AFD" w:rsidRDefault="00333AFD" w:rsidP="0068173A">
      <w:pPr>
        <w:pStyle w:val="SingleTxtG"/>
        <w:spacing w:after="130"/>
      </w:pPr>
      <w:r w:rsidRPr="00333AFD">
        <w:t>144.</w:t>
      </w:r>
      <w:r w:rsidRPr="00333AFD">
        <w:tab/>
        <w:t xml:space="preserve">El Gobierno promueve la libertad de los medios de comunicación de difundir información sobre los derechos humanos. El artículo 61 4) a) a c) establece que todos los medios de comunicación de propiedad estatal deben tener la libertad de determinar de forma independiente el contenido editorial de sus emisiones u otras comunicaciones, ser imparciales </w:t>
      </w:r>
      <w:r w:rsidRPr="00333AFD">
        <w:lastRenderedPageBreak/>
        <w:t>y ofrecer una oportunidad justa para la presentación de puntos de vista divergentes y opiniones disidentes. Además, el artículo 62 2) obliga al Estado a difundir información vital para la protección de los derechos; en particular, los medios de comunicación de Zimbabwe tienen derecho a acceder a toda información que esté en manos de cualquier persona, incluido el Estado, en la medida en que sea necesaria para el disfrute o la protección de un derecho.</w:t>
      </w:r>
    </w:p>
    <w:p w14:paraId="14D1AA33" w14:textId="77777777" w:rsidR="00333AFD" w:rsidRPr="00333AFD" w:rsidRDefault="00333AFD" w:rsidP="0068173A">
      <w:pPr>
        <w:pStyle w:val="SingleTxtG"/>
        <w:spacing w:after="130"/>
      </w:pPr>
      <w:r w:rsidRPr="00333AFD">
        <w:t>145.</w:t>
      </w:r>
      <w:r w:rsidRPr="00333AFD">
        <w:tab/>
        <w:t xml:space="preserve">El Gobierno crea un entorno propicio para que los agentes no gubernamentales participen en la protección y promoción de los derechos humanos. Las organizaciones no gubernamentales y otros agentes de promoción y protección de los derechos humanos se registran en virtud de la Ley de Organizaciones Voluntarias Privadas [capítulo 17:05] y la Ley de Registros de Escrituras [capítulo 20:05], mientras que algunas son reconocidas en virtud del derecho anglosajón. Hay 1.498 organizaciones voluntarias privadas registradas, de las cuales 91 promueven los derechos de las personas con discapacidad y 263 se ocupan de la protección de la infancia. </w:t>
      </w:r>
    </w:p>
    <w:p w14:paraId="4A7B30EE" w14:textId="482E512D" w:rsidR="00333AFD" w:rsidRPr="00333AFD" w:rsidRDefault="00333AFD" w:rsidP="00333AFD">
      <w:pPr>
        <w:pStyle w:val="H23G"/>
      </w:pPr>
      <w:bookmarkStart w:id="67" w:name="_Toc87853337"/>
      <w:r>
        <w:tab/>
      </w:r>
      <w:r w:rsidRPr="00333AFD">
        <w:tab/>
        <w:t>Competencia de los mecanismos regionales de derechos humanos</w:t>
      </w:r>
      <w:bookmarkEnd w:id="67"/>
    </w:p>
    <w:p w14:paraId="73110275" w14:textId="77777777" w:rsidR="00333AFD" w:rsidRPr="00333AFD" w:rsidRDefault="00333AFD" w:rsidP="00333AFD">
      <w:pPr>
        <w:pStyle w:val="SingleTxtG"/>
      </w:pPr>
      <w:r w:rsidRPr="00333AFD">
        <w:t>146.</w:t>
      </w:r>
      <w:r w:rsidRPr="00333AFD">
        <w:tab/>
        <w:t xml:space="preserve">Zimbabwe es parte en varios tratados regionales de derechos humanos, como ya se ha mencionado. La Carta Africana de Derechos Humanos y de los Pueblos cuenta con un mecanismo de denuncias individuales, gestionado por la Comisión Africana de Derechos Humanos y de los Pueblos. </w:t>
      </w:r>
    </w:p>
    <w:p w14:paraId="6E984733" w14:textId="77777777" w:rsidR="00333AFD" w:rsidRPr="00333AFD" w:rsidRDefault="00333AFD" w:rsidP="00333AFD">
      <w:pPr>
        <w:pStyle w:val="HChG"/>
      </w:pPr>
      <w:bookmarkStart w:id="68" w:name="_Toc87853338"/>
      <w:r w:rsidRPr="00333AFD">
        <w:tab/>
        <w:t>IV.</w:t>
      </w:r>
      <w:r w:rsidRPr="00333AFD">
        <w:tab/>
        <w:t>Proceso de presentación de informes a nivel nacional</w:t>
      </w:r>
      <w:bookmarkEnd w:id="68"/>
    </w:p>
    <w:p w14:paraId="62F063BD" w14:textId="77777777" w:rsidR="00333AFD" w:rsidRPr="00333AFD" w:rsidRDefault="00333AFD" w:rsidP="00333AFD">
      <w:pPr>
        <w:pStyle w:val="SingleTxtG"/>
      </w:pPr>
      <w:r w:rsidRPr="00333AFD">
        <w:t>147.</w:t>
      </w:r>
      <w:r w:rsidRPr="00333AFD">
        <w:tab/>
        <w:t>El Comité Interministerial de Derechos Humanos y Derecho Internacional Humanitario reúne y recopila datos de las instituciones gubernamentales, incluidos el poder judicial y el Parlamento. Se realizan reuniones consultivas con las partes interesadas en las que se debaten los proyectos de informe con las principales partes interesadas de las instituciones, departamentos y ministerios gubernamentales y las organizaciones de la sociedad civil y del ámbito de los derechos humanos a nivel nacional. Se realizan talleres de redacción, dirigidos principalmente por el subcomité correspondiente del Comité Interministerial. Una vez incorporados los comentarios recibidos en las consultas con las partes interesadas y los talleres de redacción, el Comité Interministerial en pleno valida el informe del Estado parte. Después de esto, los jefes de los ministerios lo aprueban como fiel reflejo de la situación de los derechos humanos en Zimbabwe. Posteriormente, se presenta el informe al Gabinete para su aprobación, tras lo cual se lo envía al Ministerio de Asuntos Exteriores y Comercio Internacional para que se lo transmita a la Misión Permanente de Zimbabwe ante las Naciones Unidas en Ginebra, que lo enviará al órgano del tratado pertinente.</w:t>
      </w:r>
    </w:p>
    <w:p w14:paraId="3B2F3F60" w14:textId="20B994D1" w:rsidR="00333AFD" w:rsidRPr="00333AFD" w:rsidRDefault="00333AFD" w:rsidP="00333AFD">
      <w:pPr>
        <w:pStyle w:val="H23G"/>
      </w:pPr>
      <w:bookmarkStart w:id="69" w:name="_Toc87853339"/>
      <w:r>
        <w:tab/>
      </w:r>
      <w:r w:rsidRPr="00333AFD">
        <w:tab/>
        <w:t>Existencia de una estructura nacional de coordinación para la presentación de</w:t>
      </w:r>
      <w:r w:rsidR="003D4091">
        <w:t> </w:t>
      </w:r>
      <w:r w:rsidRPr="00333AFD">
        <w:t>informes en virtud de tratados</w:t>
      </w:r>
      <w:bookmarkEnd w:id="69"/>
    </w:p>
    <w:p w14:paraId="1E9F0711" w14:textId="77777777" w:rsidR="00333AFD" w:rsidRPr="00333AFD" w:rsidRDefault="00333AFD" w:rsidP="0068173A">
      <w:pPr>
        <w:pStyle w:val="SingleTxtG"/>
        <w:spacing w:after="130"/>
      </w:pPr>
      <w:r w:rsidRPr="00333AFD">
        <w:t>148.</w:t>
      </w:r>
      <w:r w:rsidRPr="00333AFD">
        <w:tab/>
        <w:t>Con objeto de promover los derechos humanos, los Comités Parlamentarios de Cartera y Temáticos mencionados anteriormente consultan a la población sobre el contenido de todos los proyectos de ley que se presentan ante el Parlamento. El Comité Interministerial de Derechos Humanos y Derecho Internacional Humanitario coordina con el Comité Parlamentario Temático de Derechos Humanos varias de sus actividades, incluida la formación de funcionarios públicos sobre la presentación de los informes del Estado parte.</w:t>
      </w:r>
    </w:p>
    <w:p w14:paraId="55DECBB3" w14:textId="77777777" w:rsidR="00333AFD" w:rsidRPr="00333AFD" w:rsidRDefault="00333AFD" w:rsidP="0068173A">
      <w:pPr>
        <w:pStyle w:val="SingleTxtG"/>
        <w:spacing w:after="130"/>
      </w:pPr>
      <w:r w:rsidRPr="00333AFD">
        <w:t>149.</w:t>
      </w:r>
      <w:r w:rsidRPr="00333AFD">
        <w:tab/>
        <w:t>El Comité Interministerial ha emprendido la publicación de los informes del Estado parte que se han presentado a los órganos de tratados. También se ha elaborado un manual de formación sobre la presentación de informes del Estado parte para garantizar la coherencia y la uniformidad en su preparación.</w:t>
      </w:r>
    </w:p>
    <w:p w14:paraId="5F397887" w14:textId="77777777" w:rsidR="00333AFD" w:rsidRPr="00333AFD" w:rsidRDefault="00333AFD" w:rsidP="0068173A">
      <w:pPr>
        <w:pStyle w:val="SingleTxtG"/>
        <w:spacing w:after="130"/>
      </w:pPr>
      <w:r w:rsidRPr="00333AFD">
        <w:t>150.</w:t>
      </w:r>
      <w:r w:rsidRPr="00333AFD">
        <w:tab/>
        <w:t>Además, el Comité Interministerial está dividido en subcomités basados en esferas temáticas que recaen bajo los mandatos de los diferentes ministerios y departamentos miembros, que tienen la libertad de consultar a las partes interesadas de su sector.</w:t>
      </w:r>
    </w:p>
    <w:p w14:paraId="3AD1BF77" w14:textId="77777777" w:rsidR="00333AFD" w:rsidRPr="00333AFD" w:rsidRDefault="00333AFD" w:rsidP="0068173A">
      <w:pPr>
        <w:pStyle w:val="SingleTxtG"/>
        <w:keepNext/>
        <w:keepLines/>
      </w:pPr>
      <w:r w:rsidRPr="00333AFD">
        <w:lastRenderedPageBreak/>
        <w:t>151.</w:t>
      </w:r>
      <w:r w:rsidRPr="00333AFD">
        <w:tab/>
        <w:t>Otras medidas adoptadas para promover los derechos humanos incluyen el establecimiento de mecanismos de igualdad de género, mecanismos de derechos del niño y el Órgano para la Recuperación, Reconciliación e Integración Nacional, entre otros, como se describe en el primer informe nacional de Zimbabwe en el marco del EPU (2011).</w:t>
      </w:r>
    </w:p>
    <w:p w14:paraId="0BECB935" w14:textId="0BEFB051" w:rsidR="00333AFD" w:rsidRPr="00333AFD" w:rsidRDefault="00333AFD" w:rsidP="00333AFD">
      <w:pPr>
        <w:pStyle w:val="HChG"/>
      </w:pPr>
      <w:bookmarkStart w:id="70" w:name="_Toc87853340"/>
      <w:r>
        <w:tab/>
      </w:r>
      <w:r w:rsidRPr="00333AFD">
        <w:tab/>
        <w:t>Parte 3</w:t>
      </w:r>
      <w:r>
        <w:br/>
      </w:r>
      <w:r w:rsidRPr="00333AFD">
        <w:t>Información sobre no discriminación, igualdad y recursos eficaces</w:t>
      </w:r>
      <w:bookmarkEnd w:id="70"/>
    </w:p>
    <w:p w14:paraId="1389DE4E" w14:textId="722200CD" w:rsidR="00333AFD" w:rsidRPr="00333AFD" w:rsidRDefault="00333AFD" w:rsidP="00333AFD">
      <w:pPr>
        <w:pStyle w:val="H1G"/>
      </w:pPr>
      <w:bookmarkStart w:id="71" w:name="_Toc87853341"/>
      <w:r>
        <w:tab/>
      </w:r>
      <w:r w:rsidRPr="00333AFD">
        <w:tab/>
        <w:t>No discriminación e igualdad</w:t>
      </w:r>
      <w:bookmarkEnd w:id="71"/>
    </w:p>
    <w:p w14:paraId="2B2204B8" w14:textId="08BA6785" w:rsidR="00333AFD" w:rsidRPr="00333AFD" w:rsidRDefault="00333AFD" w:rsidP="00333AFD">
      <w:pPr>
        <w:pStyle w:val="H23G"/>
      </w:pPr>
      <w:bookmarkStart w:id="72" w:name="_Toc87853342"/>
      <w:r>
        <w:tab/>
      </w:r>
      <w:r w:rsidRPr="00333AFD">
        <w:tab/>
        <w:t>Marco constitucional</w:t>
      </w:r>
      <w:bookmarkEnd w:id="72"/>
    </w:p>
    <w:p w14:paraId="531BCB07" w14:textId="7FCB6F94" w:rsidR="00333AFD" w:rsidRPr="00333AFD" w:rsidRDefault="00333AFD" w:rsidP="0068173A">
      <w:pPr>
        <w:pStyle w:val="SingleTxtG"/>
        <w:spacing w:after="130"/>
      </w:pPr>
      <w:r w:rsidRPr="00333AFD">
        <w:t>152.</w:t>
      </w:r>
      <w:r w:rsidRPr="00333AFD">
        <w:tab/>
        <w:t>El artículo 56 1) de la Constitución de 2013 establece que todas las personas son iguales ante la ley y tienen derecho a los mismos beneficios y protección de la ley. La Constitución garantiza la aplicación de este derecho mediante el afianzamiento de la independencia, la imparcialidad y la eficacia de los tribunales</w:t>
      </w:r>
      <w:r w:rsidRPr="00333AFD">
        <w:rPr>
          <w:sz w:val="18"/>
          <w:szCs w:val="18"/>
          <w:vertAlign w:val="superscript"/>
        </w:rPr>
        <w:footnoteReference w:id="2"/>
      </w:r>
      <w:r w:rsidRPr="00333AFD">
        <w:t xml:space="preserve"> y ha conferido autoridad a los funcionarios judiciales para cumplir su mandato de salvaguardar los derechos humanos y libertades fundamentales, así como el estado de derecho. Además, ha consagrado el derecho a comparecer ante los tribunales y a ser oído</w:t>
      </w:r>
      <w:r w:rsidRPr="00333AFD">
        <w:rPr>
          <w:sz w:val="18"/>
          <w:szCs w:val="18"/>
          <w:vertAlign w:val="superscript"/>
        </w:rPr>
        <w:footnoteReference w:id="3"/>
      </w:r>
      <w:r w:rsidRPr="00333AFD">
        <w:t xml:space="preserve"> mientras se demanda por cualquier derecho o libertad vulnerado, ya sea a título personal</w:t>
      </w:r>
      <w:r w:rsidRPr="00333AFD">
        <w:rPr>
          <w:sz w:val="18"/>
          <w:szCs w:val="18"/>
          <w:vertAlign w:val="superscript"/>
        </w:rPr>
        <w:footnoteReference w:id="4"/>
      </w:r>
      <w:r w:rsidRPr="00333AFD">
        <w:t>, en nombre de otra persona</w:t>
      </w:r>
      <w:r w:rsidRPr="00333AFD">
        <w:rPr>
          <w:sz w:val="18"/>
          <w:szCs w:val="18"/>
          <w:vertAlign w:val="superscript"/>
        </w:rPr>
        <w:footnoteReference w:id="5"/>
      </w:r>
      <w:r w:rsidRPr="00333AFD">
        <w:t>, como grupo de personas</w:t>
      </w:r>
      <w:r w:rsidRPr="00333AFD">
        <w:rPr>
          <w:sz w:val="18"/>
          <w:szCs w:val="18"/>
          <w:vertAlign w:val="superscript"/>
        </w:rPr>
        <w:footnoteReference w:id="6"/>
      </w:r>
      <w:r w:rsidRPr="00333AFD">
        <w:t>, como asociación</w:t>
      </w:r>
      <w:r w:rsidRPr="00333AFD">
        <w:rPr>
          <w:sz w:val="18"/>
          <w:szCs w:val="18"/>
          <w:vertAlign w:val="superscript"/>
        </w:rPr>
        <w:footnoteReference w:id="7"/>
      </w:r>
      <w:r w:rsidRPr="00333AFD">
        <w:t xml:space="preserve"> o en el interés público</w:t>
      </w:r>
      <w:r w:rsidRPr="00333AFD">
        <w:rPr>
          <w:sz w:val="18"/>
          <w:szCs w:val="18"/>
          <w:vertAlign w:val="superscript"/>
        </w:rPr>
        <w:footnoteReference w:id="8"/>
      </w:r>
      <w:r w:rsidRPr="00333AFD">
        <w:t>.</w:t>
      </w:r>
    </w:p>
    <w:p w14:paraId="6C48B09E" w14:textId="77777777" w:rsidR="00333AFD" w:rsidRPr="00333AFD" w:rsidRDefault="00333AFD" w:rsidP="0068173A">
      <w:pPr>
        <w:pStyle w:val="SingleTxtG"/>
        <w:spacing w:after="130"/>
      </w:pPr>
      <w:r w:rsidRPr="00333AFD">
        <w:t>153.</w:t>
      </w:r>
      <w:r w:rsidRPr="00333AFD">
        <w:tab/>
        <w:t>Además, el artículo 56 6) de la Constitución obliga al Estado a adoptar medidas razonables, legislativas y de otro tipo, para promover la consecución de la igualdad y proteger o hacer progresar a las personas o clases de personas que se hayan visto desfavorecidas por una discriminación injusta.</w:t>
      </w:r>
    </w:p>
    <w:p w14:paraId="3BAC9EE0" w14:textId="77777777" w:rsidR="00333AFD" w:rsidRPr="00333AFD" w:rsidRDefault="00333AFD" w:rsidP="0068173A">
      <w:pPr>
        <w:pStyle w:val="SingleTxtG"/>
        <w:spacing w:after="130"/>
      </w:pPr>
      <w:r w:rsidRPr="00333AFD">
        <w:t>154.</w:t>
      </w:r>
      <w:r w:rsidRPr="00333AFD">
        <w:tab/>
        <w:t>El artículo 56 3) de la Constitución garantiza que toda persona tiene derecho a no ser tratada de forma injustamente discriminatoria por motivos de nacionalidad, raza, color, tribu, lugar de nacimiento, origen étnico o social, lengua, clase, creencia religiosa, afiliación política, opinión, costumbre, cultura, sexo, género, estado civil, edad, embarazo, discapacidad o situación económica o social, o por haber nacido dentro o fuera del matrimonio.</w:t>
      </w:r>
    </w:p>
    <w:p w14:paraId="6857CC6B" w14:textId="77777777" w:rsidR="00333AFD" w:rsidRPr="00333AFD" w:rsidRDefault="00333AFD" w:rsidP="0068173A">
      <w:pPr>
        <w:pStyle w:val="SingleTxtG"/>
        <w:spacing w:after="130"/>
      </w:pPr>
      <w:r w:rsidRPr="00333AFD">
        <w:t>155.</w:t>
      </w:r>
      <w:r w:rsidRPr="00333AFD">
        <w:tab/>
        <w:t>En particular, los artículos 120 y 124 de la Constitución prevén la representación y la participación de las mujeres en la política a través de una cuota reservada para las mujeres en la Asamblea Nacional y la representación proporcional en el Senado. La Ley Electoral [capítulo 2:13] se modificó en 2014 para reflejar las disposiciones de los artículos 120 y 124 de la Constitución. Además, el artículo 17 b) ii) de la Constitución estipula que las mujeres deberían constituir al menos la mitad de los miembros de todas las comisiones y otros organismos gubernamentales, electivos o designados, establecidos por ella o en virtud de cualquier ley del Parlamento. El artículo 80 1) garantiza a las mujeres el derecho a la igualdad de oportunidades en los planos político, económico, cultural y social.</w:t>
      </w:r>
    </w:p>
    <w:p w14:paraId="0B4A04EF" w14:textId="77777777" w:rsidR="00333AFD" w:rsidRPr="00333AFD" w:rsidRDefault="00333AFD" w:rsidP="00333AFD">
      <w:pPr>
        <w:pStyle w:val="SingleTxtG"/>
      </w:pPr>
      <w:r w:rsidRPr="00333AFD">
        <w:t>156.</w:t>
      </w:r>
      <w:r w:rsidRPr="00333AFD">
        <w:tab/>
        <w:t xml:space="preserve">El sistema de Zimbabwe permite la adopción de medidas especiales que garanticen el disfrute pleno y en pie de igualdad de los derechos humanos, en particular a las mujeres. Los artículos 3 1) g) y 17 1) a) a c) establecen que el Estado debe promover el pleno equilibrio de género en la sociedad zimbabuense y, específicamente, debe fomentar la participación cabal de las mujeres en todas las esferas de la sociedad zimbabuense sobre la base de la igualdad con los hombres. Además, debe adoptar las medidas legislativas y de otra índole </w:t>
      </w:r>
      <w:r w:rsidRPr="00333AFD">
        <w:lastRenderedPageBreak/>
        <w:t xml:space="preserve">necesarias para garantizar que ambos géneros estén representados por igual en todas las instituciones y organismos de gobierno a todos los niveles. </w:t>
      </w:r>
    </w:p>
    <w:p w14:paraId="31ABF30E" w14:textId="77777777" w:rsidR="00333AFD" w:rsidRPr="00333AFD" w:rsidRDefault="00333AFD" w:rsidP="00333AFD">
      <w:pPr>
        <w:pStyle w:val="SingleTxtG"/>
      </w:pPr>
      <w:r w:rsidRPr="00333AFD">
        <w:t>157.</w:t>
      </w:r>
      <w:r w:rsidRPr="00333AFD">
        <w:tab/>
        <w:t>Asimismo, actualmente la política del Gobierno es que las mujeres deberían constituir al menos la mitad de los miembros de todas las comisiones y otros organismos gubernamentales, electivos o designados, establecidos por la Constitución o en virtud de esta, o por cualquier ley del Parlamento; así como del Estado y de todas las instituciones y organismos del Gobierno a todos los niveles. El Gobierno está obligado a tomar medidas prácticas para garantizar que las mujeres tengan acceso a recursos como la tierra en igualdad de condiciones que los hombres. El Estado está obligado por la Constitución a tomar medidas positivas para rectificar la discriminación y los desequilibrios de género a fin de corregir las desigualdades causadas por las prácticas y políticas del pasado.</w:t>
      </w:r>
    </w:p>
    <w:p w14:paraId="2C983CB3" w14:textId="77777777" w:rsidR="00333AFD" w:rsidRPr="00333AFD" w:rsidRDefault="00333AFD" w:rsidP="00333AFD">
      <w:pPr>
        <w:pStyle w:val="SingleTxtG"/>
      </w:pPr>
      <w:r w:rsidRPr="00333AFD">
        <w:t>158.</w:t>
      </w:r>
      <w:r w:rsidRPr="00333AFD">
        <w:tab/>
        <w:t xml:space="preserve">En particular, el artículo 56 2) de la Constitución exige al Gobierno que garantice a las mujeres y los hombres la igualdad de trato, incluido el derecho a la igualdad de oportunidades en la vida política, económica, cultural y social. Además, el artículo 17 de la Constitución impone al Estado la obligación de promover el pleno equilibrio de género en la sociedad zimbabuense y, en particular, le requiere que garantice que ambos géneros estén representados por igual en todas las instituciones y organismos del Gobierno a todos los niveles. </w:t>
      </w:r>
    </w:p>
    <w:p w14:paraId="675D65FB" w14:textId="77777777" w:rsidR="00333AFD" w:rsidRPr="00333AFD" w:rsidRDefault="00333AFD" w:rsidP="00333AFD">
      <w:pPr>
        <w:pStyle w:val="SingleTxtG"/>
      </w:pPr>
      <w:r w:rsidRPr="00333AFD">
        <w:t>159.</w:t>
      </w:r>
      <w:r w:rsidRPr="00333AFD">
        <w:tab/>
        <w:t>En consecuencia, el artículo 80 de la Constitución prohíbe todas las leyes, costumbres, tradiciones y prácticas culturales que vulneren los derechos de las mujeres conferidos por la Constitución y les otorga los mismos derechos que a los hombres en materia de costumbres y tutela en la familia. Además, el artículo 26 establece la igualdad de derechos y obligaciones de los cónyuges en el matrimonio y en su disolución.</w:t>
      </w:r>
    </w:p>
    <w:p w14:paraId="051E4EEA" w14:textId="77777777" w:rsidR="00333AFD" w:rsidRPr="00333AFD" w:rsidRDefault="00333AFD" w:rsidP="00333AFD">
      <w:pPr>
        <w:pStyle w:val="SingleTxtG"/>
      </w:pPr>
      <w:r w:rsidRPr="00333AFD">
        <w:t>160.</w:t>
      </w:r>
      <w:r w:rsidRPr="00333AFD">
        <w:tab/>
        <w:t>Además, el artículo 245 de la Constitución establece la Comisión de Género de Zimbabwe, que tiene el mandato, entre otras cosas, de supervisar la aplicación de la igualdad de género y de los programas cono lo dispone la Constitución. La Ley de la Comisión de Género de Zimbabwe [capítulo 10:31] se promulgó en 2016 para poner en funcionamiento la Comisión.</w:t>
      </w:r>
    </w:p>
    <w:p w14:paraId="76C61CBA" w14:textId="6518EFF5" w:rsidR="00333AFD" w:rsidRPr="00333AFD" w:rsidRDefault="00333AFD" w:rsidP="00333AFD">
      <w:pPr>
        <w:pStyle w:val="H23G"/>
      </w:pPr>
      <w:bookmarkStart w:id="73" w:name="_Toc87853343"/>
      <w:r>
        <w:tab/>
      </w:r>
      <w:r w:rsidRPr="00333AFD">
        <w:tab/>
        <w:t>Marco legislativo</w:t>
      </w:r>
      <w:bookmarkEnd w:id="73"/>
    </w:p>
    <w:p w14:paraId="294914D7" w14:textId="301E06F5" w:rsidR="00333AFD" w:rsidRPr="00333AFD" w:rsidRDefault="00333AFD" w:rsidP="00333AFD">
      <w:pPr>
        <w:pStyle w:val="SingleTxtG"/>
      </w:pPr>
      <w:r w:rsidRPr="00333AFD">
        <w:t>161.</w:t>
      </w:r>
      <w:r w:rsidRPr="00333AFD">
        <w:tab/>
        <w:t>Zimbabwe ha promulgado varias leyes para prevenir la discriminación, la principal de las cuales es la Ley de Prevención de la Discriminación [capítulo 8:16], por la que se derogaron la Ley de Locales Públicos (Prevención de la Discriminación Racial) [capítulo</w:t>
      </w:r>
      <w:r w:rsidR="00131DCB">
        <w:t>  </w:t>
      </w:r>
      <w:r w:rsidRPr="00333AFD">
        <w:t>8:12] y la Ley de Bienes Inmuebles (Prevención de la Discriminación) [capítulo</w:t>
      </w:r>
      <w:r w:rsidR="00131DCB">
        <w:t> </w:t>
      </w:r>
      <w:r w:rsidRPr="00333AFD">
        <w:t xml:space="preserve">10:12]. </w:t>
      </w:r>
    </w:p>
    <w:p w14:paraId="73B14CF3" w14:textId="2FF6BD95" w:rsidR="00333AFD" w:rsidRPr="00333AFD" w:rsidRDefault="00333AFD" w:rsidP="00333AFD">
      <w:pPr>
        <w:pStyle w:val="SingleTxtG"/>
      </w:pPr>
      <w:r w:rsidRPr="00333AFD">
        <w:t>162.</w:t>
      </w:r>
      <w:r w:rsidRPr="00333AFD">
        <w:tab/>
        <w:t>Asimismo, las siguientes leyes, entre otras, complementan la ley principal: Ley de Justicia Administrativa [capítulo 10:28], Ley del Trabajo [capítulo 28:01], Ley de Organizaciones Ilícitas [capítulo 11:13], Ley de Banca [capítulo 24:01], Ley de Sociedades de Construcción [capítulo 24:02], Ley de Seguros [capítulo 24:07], Ley de Educación [capítulo 25:04], Ley de Agentes Inmobiliarios [capítulo 27:05], Ley relativa a las Personas con Discapacidad [capítulo 17:01], Ley de la Comisión de Género de Zimbabwe [capítulo</w:t>
      </w:r>
      <w:r w:rsidR="001E5646">
        <w:t> </w:t>
      </w:r>
      <w:r w:rsidRPr="00333AFD">
        <w:t>10:31], Ley Electoral [capítulo 2:13] y Ley de Organizaciones Voluntarias Privadas [capítulo 17:05].</w:t>
      </w:r>
    </w:p>
    <w:p w14:paraId="73E2061A" w14:textId="77777777" w:rsidR="00333AFD" w:rsidRPr="00333AFD" w:rsidRDefault="00333AFD" w:rsidP="00333AFD">
      <w:pPr>
        <w:pStyle w:val="SingleTxtG"/>
      </w:pPr>
      <w:r w:rsidRPr="00333AFD">
        <w:t>163.</w:t>
      </w:r>
      <w:r w:rsidRPr="00333AFD">
        <w:tab/>
        <w:t xml:space="preserve">La Ley de Prevención de la Discriminación [capítulo 8:16] se hace eco del espíritu arraigado en la Constitución. Principalmente prohíbe la discriminación por motivos de raza, tribu, lugar de origen, origen nacional o étnico, opinión política, color, credo o género, y la promoción de dicha discriminación. Además, garantiza el litigio penal y civil de los infractores y su enjuiciamiento, condena y sentencia. El delito de discriminación conlleva una pena tanto de multa como de prisión. La víctima de una conducta tan repugnante tiene la opción de recurrir a la vía civil, lo que también le reportará una indemnización y reparación en concepto de restitución. </w:t>
      </w:r>
    </w:p>
    <w:p w14:paraId="41110F27" w14:textId="77777777" w:rsidR="00333AFD" w:rsidRPr="00333AFD" w:rsidRDefault="00333AFD" w:rsidP="00333AFD">
      <w:pPr>
        <w:pStyle w:val="SingleTxtG"/>
      </w:pPr>
      <w:r w:rsidRPr="00333AFD">
        <w:t>164.</w:t>
      </w:r>
      <w:r w:rsidRPr="00333AFD">
        <w:tab/>
        <w:t>Entre las conductas que se consideran repugnantes y, por tanto, están prohibidas por la Ley por los motivos anteriormente expuestos, figuran las siguientes:</w:t>
      </w:r>
    </w:p>
    <w:p w14:paraId="467F20D0" w14:textId="28070FD5" w:rsidR="00333AFD" w:rsidRPr="00333AFD" w:rsidRDefault="00333AFD" w:rsidP="00333AFD">
      <w:pPr>
        <w:pStyle w:val="SingleTxtG"/>
      </w:pPr>
      <w:r w:rsidRPr="00333AFD">
        <w:tab/>
        <w:t>a)</w:t>
      </w:r>
      <w:r w:rsidRPr="00333AFD">
        <w:tab/>
      </w:r>
      <w:r w:rsidR="001B23A7" w:rsidRPr="00333AFD">
        <w:t xml:space="preserve">La </w:t>
      </w:r>
      <w:r w:rsidRPr="00333AFD">
        <w:t>negativa a admitir a cualquier persona o clase de personas a cualquier local público;</w:t>
      </w:r>
    </w:p>
    <w:p w14:paraId="161A96A5" w14:textId="6EB40D62" w:rsidR="00333AFD" w:rsidRPr="00333AFD" w:rsidRDefault="00333AFD" w:rsidP="00333AFD">
      <w:pPr>
        <w:pStyle w:val="SingleTxtG"/>
      </w:pPr>
      <w:r w:rsidRPr="00333AFD">
        <w:lastRenderedPageBreak/>
        <w:tab/>
        <w:t>b)</w:t>
      </w:r>
      <w:r w:rsidRPr="00333AFD">
        <w:tab/>
      </w:r>
      <w:r w:rsidR="001B23A7" w:rsidRPr="00333AFD">
        <w:t xml:space="preserve">La </w:t>
      </w:r>
      <w:r w:rsidRPr="00333AFD">
        <w:t xml:space="preserve">negativa a suministrar o prestar cualquier mercancía, servicio o instalación a cualquier persona o clase de personas por los mismos motivos, que por lo tanto es un delito; </w:t>
      </w:r>
    </w:p>
    <w:p w14:paraId="1511EB92" w14:textId="1A03916A" w:rsidR="00333AFD" w:rsidRPr="00333AFD" w:rsidRDefault="00333AFD" w:rsidP="00333AFD">
      <w:pPr>
        <w:pStyle w:val="SingleTxtG"/>
      </w:pPr>
      <w:r w:rsidRPr="00333AFD">
        <w:tab/>
        <w:t>c)</w:t>
      </w:r>
      <w:r w:rsidRPr="00333AFD">
        <w:tab/>
      </w:r>
      <w:r w:rsidR="001B23A7" w:rsidRPr="00333AFD">
        <w:t xml:space="preserve">La </w:t>
      </w:r>
      <w:r w:rsidRPr="00333AFD">
        <w:t>denegación de la admisión de cualquier persona o clase de personas a cualquier local público o el suministro o la prestación de cualquier mercancía, servicio o instalación;</w:t>
      </w:r>
    </w:p>
    <w:p w14:paraId="6B86F948" w14:textId="751E7A95" w:rsidR="00333AFD" w:rsidRPr="00333AFD" w:rsidRDefault="00333AFD" w:rsidP="00333AFD">
      <w:pPr>
        <w:pStyle w:val="SingleTxtG"/>
      </w:pPr>
      <w:r w:rsidRPr="00333AFD">
        <w:tab/>
        <w:t>d)</w:t>
      </w:r>
      <w:r w:rsidRPr="00333AFD">
        <w:tab/>
      </w:r>
      <w:r w:rsidR="001B23A7" w:rsidRPr="00333AFD">
        <w:t xml:space="preserve">La </w:t>
      </w:r>
      <w:r w:rsidRPr="00333AFD">
        <w:t>negativa a vender, alquilar o enajenar de otro modo, o a negociar la venta, el alquiler u otra enajenación de cualquier bien inmueble, que también es un delito punible;</w:t>
      </w:r>
    </w:p>
    <w:p w14:paraId="341636AB" w14:textId="2C30ED0D" w:rsidR="00333AFD" w:rsidRPr="00333AFD" w:rsidRDefault="00333AFD" w:rsidP="00333AFD">
      <w:pPr>
        <w:pStyle w:val="SingleTxtG"/>
      </w:pPr>
      <w:r w:rsidRPr="00333AFD">
        <w:tab/>
        <w:t>e)</w:t>
      </w:r>
      <w:r w:rsidRPr="00333AFD">
        <w:tab/>
      </w:r>
      <w:r w:rsidR="001B23A7" w:rsidRPr="00333AFD">
        <w:t xml:space="preserve">El </w:t>
      </w:r>
      <w:r w:rsidRPr="00333AFD">
        <w:t xml:space="preserve">hecho de publicar o hacer que se publique un aviso, un anuncio o una declaración en relación con la venta, el alquiler u otra enajenación de cualquier bien inmueble, que indique, expresa o implícitamente, la falta de voluntad de vender, alquilar o enajenar de otro modo ese bien; </w:t>
      </w:r>
    </w:p>
    <w:p w14:paraId="533C0D2B" w14:textId="41FD6739" w:rsidR="00333AFD" w:rsidRPr="00333AFD" w:rsidRDefault="00333AFD" w:rsidP="00333AFD">
      <w:pPr>
        <w:pStyle w:val="SingleTxtG"/>
      </w:pPr>
      <w:r w:rsidRPr="00333AFD">
        <w:tab/>
        <w:t>f)</w:t>
      </w:r>
      <w:r w:rsidRPr="00333AFD">
        <w:tab/>
      </w:r>
      <w:r w:rsidR="001B23A7" w:rsidRPr="00333AFD">
        <w:t xml:space="preserve">La </w:t>
      </w:r>
      <w:r w:rsidRPr="00333AFD">
        <w:t xml:space="preserve">negativa de una organización financiera, sus empleados o sus agentes a conceder un préstamo u otra ayuda financiera; </w:t>
      </w:r>
    </w:p>
    <w:p w14:paraId="41D21CAA" w14:textId="5D163BA6" w:rsidR="00333AFD" w:rsidRPr="00333AFD" w:rsidRDefault="00333AFD" w:rsidP="00131DCB">
      <w:pPr>
        <w:pStyle w:val="SingleTxtG"/>
        <w:spacing w:after="130"/>
      </w:pPr>
      <w:r w:rsidRPr="00333AFD">
        <w:tab/>
        <w:t>g)</w:t>
      </w:r>
      <w:r w:rsidRPr="00333AFD">
        <w:tab/>
      </w:r>
      <w:r w:rsidR="001B23A7" w:rsidRPr="00333AFD">
        <w:t xml:space="preserve">La </w:t>
      </w:r>
      <w:r w:rsidRPr="00333AFD">
        <w:t xml:space="preserve">difusión a sabiendas de declaraciones basadas en la superioridad o el odio raciales si hay un riesgo sustancial de que esa declaración pueda afectar negativamente a la reputación, los derechos y las libertades de otras personas en Zimbabwe o el hecho de hacer cualquier declaración o cualquier otra cosa que razonablemente pueda incitar o fomentar la discriminación; </w:t>
      </w:r>
    </w:p>
    <w:p w14:paraId="34A26AC5" w14:textId="1ACD0F6C" w:rsidR="00333AFD" w:rsidRPr="00333AFD" w:rsidRDefault="00333AFD" w:rsidP="00131DCB">
      <w:pPr>
        <w:pStyle w:val="SingleTxtG"/>
        <w:spacing w:after="130"/>
      </w:pPr>
      <w:r w:rsidRPr="00333AFD">
        <w:tab/>
        <w:t>h)</w:t>
      </w:r>
      <w:r w:rsidRPr="00333AFD">
        <w:tab/>
      </w:r>
      <w:r w:rsidR="001B23A7" w:rsidRPr="00333AFD">
        <w:t xml:space="preserve">La </w:t>
      </w:r>
      <w:r w:rsidRPr="00333AFD">
        <w:t>denegación en Zimbabwe de la admisión de cualquier niño a cualquier escuela; o la discriminación contra cualquier niño mediante la imposición de condiciones onerosas en relación con la admisión a cualquier escuela.</w:t>
      </w:r>
    </w:p>
    <w:p w14:paraId="55E6C635" w14:textId="2AE9C435" w:rsidR="00333AFD" w:rsidRPr="00333AFD" w:rsidRDefault="00333AFD" w:rsidP="00333AFD">
      <w:pPr>
        <w:pStyle w:val="H23G"/>
      </w:pPr>
      <w:bookmarkStart w:id="74" w:name="_Toc87853344"/>
      <w:r>
        <w:tab/>
      </w:r>
      <w:r w:rsidRPr="00333AFD">
        <w:tab/>
        <w:t>Otras medidas</w:t>
      </w:r>
      <w:bookmarkEnd w:id="74"/>
    </w:p>
    <w:p w14:paraId="114EB367" w14:textId="77777777" w:rsidR="00333AFD" w:rsidRPr="00333AFD" w:rsidRDefault="00333AFD" w:rsidP="00131DCB">
      <w:pPr>
        <w:pStyle w:val="SingleTxtG"/>
        <w:spacing w:after="130"/>
      </w:pPr>
      <w:r w:rsidRPr="00333AFD">
        <w:t>165.</w:t>
      </w:r>
      <w:r w:rsidRPr="00333AFD">
        <w:tab/>
        <w:t>El Gobierno sigue realizando campañas mediante reuniones de alto nivel de promoción de la Constitución, exposiciones locales y exposiciones y ferias a nivel nacional, provincial y de distrito para sensibilizar acerca de las disposiciones constitucionales relativas a la igualdad de representación.</w:t>
      </w:r>
    </w:p>
    <w:p w14:paraId="13452939" w14:textId="77777777" w:rsidR="00333AFD" w:rsidRPr="00333AFD" w:rsidRDefault="00333AFD" w:rsidP="00131DCB">
      <w:pPr>
        <w:pStyle w:val="SingleTxtG"/>
        <w:spacing w:after="130"/>
      </w:pPr>
      <w:r w:rsidRPr="00333AFD">
        <w:t>166.</w:t>
      </w:r>
      <w:r w:rsidRPr="00333AFD">
        <w:tab/>
        <w:t>El Gobierno también ha adoptado las siguientes medidas:</w:t>
      </w:r>
    </w:p>
    <w:p w14:paraId="5F4B2907" w14:textId="5D93C0CE" w:rsidR="00333AFD" w:rsidRPr="00333AFD" w:rsidRDefault="00333AFD" w:rsidP="00131DCB">
      <w:pPr>
        <w:pStyle w:val="SingleTxtG"/>
        <w:spacing w:after="130"/>
      </w:pPr>
      <w:r w:rsidRPr="00333AFD">
        <w:tab/>
        <w:t>a)</w:t>
      </w:r>
      <w:r w:rsidRPr="00333AFD">
        <w:tab/>
      </w:r>
      <w:r w:rsidR="001B23A7" w:rsidRPr="00333AFD">
        <w:t xml:space="preserve">La </w:t>
      </w:r>
      <w:r w:rsidRPr="00333AFD">
        <w:t>revisión de la legislación que crea juntas, consejos, autoridades e instituciones para garantizar una representación equitativa de hombres y mujeres en todas las juntas, electivas y no electivas, y en todas las instituciones gubernamentales;</w:t>
      </w:r>
    </w:p>
    <w:p w14:paraId="6171C9A8" w14:textId="48D4AB95" w:rsidR="00333AFD" w:rsidRPr="00333AFD" w:rsidRDefault="00333AFD" w:rsidP="00131DCB">
      <w:pPr>
        <w:pStyle w:val="SingleTxtG"/>
        <w:spacing w:after="130"/>
      </w:pPr>
      <w:r w:rsidRPr="00333AFD">
        <w:tab/>
        <w:t>b)</w:t>
      </w:r>
      <w:r w:rsidRPr="00333AFD">
        <w:tab/>
      </w:r>
      <w:r w:rsidR="001B23A7" w:rsidRPr="00333AFD">
        <w:t xml:space="preserve">La </w:t>
      </w:r>
      <w:r w:rsidRPr="00333AFD">
        <w:t>formulación de la Estrategia de Mujeres en la Política y la Adopción de Decisiones. Se trata de un marco de acción afirmativa diseñado para lograr el equilibrio de género en la política y en las instancias decisorias. La Estrategia está en consonancia con la Constitución y prevé medidas para garantizar la representación equitativa de hombres y mujeres en la política y en otras instancias decisorias clave;</w:t>
      </w:r>
    </w:p>
    <w:p w14:paraId="6552233F" w14:textId="77BDC24B" w:rsidR="00333AFD" w:rsidRPr="00333AFD" w:rsidRDefault="00333AFD" w:rsidP="00131DCB">
      <w:pPr>
        <w:pStyle w:val="SingleTxtG"/>
        <w:spacing w:after="130"/>
      </w:pPr>
      <w:r w:rsidRPr="00333AFD">
        <w:tab/>
        <w:t>c)</w:t>
      </w:r>
      <w:r w:rsidRPr="00333AFD">
        <w:tab/>
      </w:r>
      <w:r w:rsidR="001B23A7" w:rsidRPr="00333AFD">
        <w:t xml:space="preserve">Programas </w:t>
      </w:r>
      <w:r w:rsidRPr="00333AFD">
        <w:t>de fomento de la capacidad dirigidos a mujeres líderes o que aspiran a serlo. Estos programas tienen como objetivo mejorar la asertividad y la confianza en el liderazgo de las mujeres para garantizar la igualdad de participación;</w:t>
      </w:r>
    </w:p>
    <w:p w14:paraId="1B1F1356" w14:textId="288A22F6" w:rsidR="00333AFD" w:rsidRPr="00333AFD" w:rsidRDefault="00333AFD" w:rsidP="00131DCB">
      <w:pPr>
        <w:pStyle w:val="SingleTxtG"/>
        <w:spacing w:after="130"/>
      </w:pPr>
      <w:r w:rsidRPr="00333AFD">
        <w:tab/>
        <w:t>d)</w:t>
      </w:r>
      <w:r w:rsidRPr="00333AFD">
        <w:tab/>
      </w:r>
      <w:r w:rsidR="001B23A7" w:rsidRPr="00333AFD">
        <w:t xml:space="preserve">Medidas </w:t>
      </w:r>
      <w:r w:rsidRPr="00333AFD">
        <w:t>especiales de carácter temporal en relación con el aumento de la representación de mujeres en ambas cámaras del Parlamento (artículos 120 2) y 124 1) b) de la Constitución);</w:t>
      </w:r>
    </w:p>
    <w:p w14:paraId="12358FDB" w14:textId="06D4FE5C" w:rsidR="00333AFD" w:rsidRPr="00333AFD" w:rsidRDefault="00333AFD" w:rsidP="00131DCB">
      <w:pPr>
        <w:pStyle w:val="SingleTxtG"/>
        <w:spacing w:after="130"/>
      </w:pPr>
      <w:r w:rsidRPr="00333AFD">
        <w:tab/>
        <w:t>e)</w:t>
      </w:r>
      <w:r w:rsidRPr="00333AFD">
        <w:tab/>
      </w:r>
      <w:r w:rsidR="001B23A7" w:rsidRPr="00333AFD">
        <w:t xml:space="preserve">El </w:t>
      </w:r>
      <w:r w:rsidRPr="00333AFD">
        <w:t xml:space="preserve">establecimiento de la Comisión de Género de Zimbabwe con el mandato de supervisar las cuestiones relativas a la igualdad de género a fin de garantizarla según lo dispuesto en la Constitución, la recomendación de programas de acción afirmativa para lograr la igualdad de género y la realización de investigaciones sobre cuestiones relacionadas con el género y la justicia social, y la recomendación de cambios en las leyes y prácticas que conducen a la discriminación de género, entre otras cosas; </w:t>
      </w:r>
    </w:p>
    <w:p w14:paraId="2BDC6E38" w14:textId="7E6580D7" w:rsidR="00333AFD" w:rsidRPr="00333AFD" w:rsidRDefault="00333AFD" w:rsidP="00131DCB">
      <w:pPr>
        <w:pStyle w:val="SingleTxtG"/>
        <w:spacing w:after="130"/>
      </w:pPr>
      <w:r w:rsidRPr="00333AFD">
        <w:tab/>
        <w:t>f)</w:t>
      </w:r>
      <w:r w:rsidRPr="00333AFD">
        <w:tab/>
      </w:r>
      <w:r w:rsidR="001B23A7" w:rsidRPr="00333AFD">
        <w:t xml:space="preserve">Como </w:t>
      </w:r>
      <w:r w:rsidRPr="00333AFD">
        <w:t>resultado de estas intervenciones, Zimbabwe ha registrado un aumento de la participación de mujeres en la toma de decisiones, como se ilustra en los cuadros a continuación.</w:t>
      </w:r>
    </w:p>
    <w:p w14:paraId="583C4143" w14:textId="71F6FA35" w:rsidR="00333AFD" w:rsidRPr="00333AFD" w:rsidRDefault="00333AFD" w:rsidP="00333AFD">
      <w:pPr>
        <w:pStyle w:val="H23G"/>
      </w:pPr>
      <w:r w:rsidRPr="00333AFD">
        <w:rPr>
          <w:b w:val="0"/>
          <w:bCs/>
        </w:rPr>
        <w:lastRenderedPageBreak/>
        <w:tab/>
      </w:r>
      <w:r w:rsidRPr="00333AFD">
        <w:rPr>
          <w:b w:val="0"/>
          <w:bCs/>
        </w:rPr>
        <w:tab/>
        <w:t>Cuadro 15</w:t>
      </w:r>
      <w:r w:rsidRPr="00333AFD">
        <w:rPr>
          <w:b w:val="0"/>
          <w:bCs/>
        </w:rPr>
        <w:br/>
      </w:r>
      <w:r w:rsidRPr="00333AFD">
        <w:t>Participación de mujeres en la política</w:t>
      </w:r>
    </w:p>
    <w:p w14:paraId="1AA09137" w14:textId="77777777" w:rsidR="00333AFD" w:rsidRPr="00333AFD" w:rsidRDefault="00333AFD" w:rsidP="00333AFD">
      <w:pPr>
        <w:pStyle w:val="SingleTxtG"/>
      </w:pPr>
      <w:r w:rsidRPr="00333AFD">
        <w:rPr>
          <w:noProof/>
        </w:rPr>
        <w:drawing>
          <wp:inline distT="0" distB="0" distL="0" distR="0" wp14:anchorId="58E0340A" wp14:editId="1126EE13">
            <wp:extent cx="4678438" cy="2159358"/>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6131" cy="2232142"/>
                    </a:xfrm>
                    <a:prstGeom prst="rect">
                      <a:avLst/>
                    </a:prstGeom>
                    <a:noFill/>
                    <a:ln>
                      <a:noFill/>
                    </a:ln>
                  </pic:spPr>
                </pic:pic>
              </a:graphicData>
            </a:graphic>
          </wp:inline>
        </w:drawing>
      </w:r>
    </w:p>
    <w:p w14:paraId="1CEFB7B6" w14:textId="77777777" w:rsidR="00333AFD" w:rsidRPr="00333AFD" w:rsidRDefault="00333AFD" w:rsidP="006A1449">
      <w:pPr>
        <w:pStyle w:val="SingleTxtG"/>
        <w:spacing w:before="120" w:after="240"/>
        <w:ind w:firstLine="170"/>
        <w:jc w:val="left"/>
        <w:rPr>
          <w:sz w:val="18"/>
          <w:szCs w:val="18"/>
        </w:rPr>
      </w:pPr>
      <w:r w:rsidRPr="00333AFD">
        <w:rPr>
          <w:i/>
          <w:iCs/>
          <w:sz w:val="18"/>
          <w:szCs w:val="18"/>
        </w:rPr>
        <w:t xml:space="preserve">Fuente: </w:t>
      </w:r>
      <w:r w:rsidRPr="00333AFD">
        <w:rPr>
          <w:sz w:val="18"/>
          <w:szCs w:val="18"/>
        </w:rPr>
        <w:t>Parlamento de Zimbabwe, 2016.</w:t>
      </w:r>
    </w:p>
    <w:p w14:paraId="22F0BCE5" w14:textId="43D30A7F" w:rsidR="00333AFD" w:rsidRPr="00333AFD" w:rsidRDefault="00333AFD" w:rsidP="00333AFD">
      <w:pPr>
        <w:pStyle w:val="H23G"/>
      </w:pPr>
      <w:r w:rsidRPr="00333AFD">
        <w:rPr>
          <w:b w:val="0"/>
          <w:bCs/>
        </w:rPr>
        <w:tab/>
      </w:r>
      <w:r w:rsidRPr="00333AFD">
        <w:rPr>
          <w:b w:val="0"/>
          <w:bCs/>
        </w:rPr>
        <w:tab/>
        <w:t>Cuadro 16</w:t>
      </w:r>
      <w:r w:rsidRPr="00333AFD">
        <w:rPr>
          <w:b w:val="0"/>
          <w:bCs/>
        </w:rPr>
        <w:br/>
      </w:r>
      <w:r w:rsidRPr="00333AFD">
        <w:t>Representación de mujeres en el Parlamento y el Senado de Zimbabwe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36"/>
        <w:gridCol w:w="682"/>
        <w:gridCol w:w="992"/>
        <w:gridCol w:w="1649"/>
        <w:gridCol w:w="761"/>
        <w:gridCol w:w="992"/>
        <w:gridCol w:w="1558"/>
      </w:tblGrid>
      <w:tr w:rsidR="00333AFD" w:rsidRPr="00333AFD" w14:paraId="56B3A6CA" w14:textId="77777777" w:rsidTr="003D4091">
        <w:trPr>
          <w:trHeight w:val="240"/>
          <w:tblHeader/>
        </w:trPr>
        <w:tc>
          <w:tcPr>
            <w:tcW w:w="4059" w:type="dxa"/>
            <w:gridSpan w:val="4"/>
            <w:tcBorders>
              <w:top w:val="single" w:sz="4" w:space="0" w:color="auto"/>
              <w:bottom w:val="single" w:sz="4" w:space="0" w:color="auto"/>
              <w:right w:val="single" w:sz="24" w:space="0" w:color="FFFFFF" w:themeColor="background1"/>
            </w:tcBorders>
            <w:shd w:val="clear" w:color="auto" w:fill="auto"/>
            <w:vAlign w:val="bottom"/>
          </w:tcPr>
          <w:p w14:paraId="088B5039"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Parlamento</w:t>
            </w:r>
          </w:p>
        </w:tc>
        <w:tc>
          <w:tcPr>
            <w:tcW w:w="3311" w:type="dxa"/>
            <w:gridSpan w:val="3"/>
            <w:tcBorders>
              <w:top w:val="single" w:sz="4" w:space="0" w:color="auto"/>
              <w:left w:val="single" w:sz="24" w:space="0" w:color="FFFFFF" w:themeColor="background1"/>
              <w:bottom w:val="single" w:sz="4" w:space="0" w:color="auto"/>
            </w:tcBorders>
            <w:shd w:val="clear" w:color="auto" w:fill="auto"/>
            <w:vAlign w:val="bottom"/>
          </w:tcPr>
          <w:p w14:paraId="63914291"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Senado</w:t>
            </w:r>
          </w:p>
        </w:tc>
      </w:tr>
      <w:tr w:rsidR="00333AFD" w:rsidRPr="00333AFD" w14:paraId="2F3A7B38" w14:textId="77777777" w:rsidTr="003D4091">
        <w:trPr>
          <w:trHeight w:val="240"/>
        </w:trPr>
        <w:tc>
          <w:tcPr>
            <w:tcW w:w="736" w:type="dxa"/>
            <w:tcBorders>
              <w:top w:val="single" w:sz="4" w:space="0" w:color="auto"/>
              <w:bottom w:val="single" w:sz="12" w:space="0" w:color="auto"/>
            </w:tcBorders>
            <w:shd w:val="clear" w:color="auto" w:fill="auto"/>
          </w:tcPr>
          <w:p w14:paraId="451285B9"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left"/>
              <w:rPr>
                <w:i/>
                <w:iCs/>
                <w:sz w:val="16"/>
              </w:rPr>
            </w:pPr>
            <w:r w:rsidRPr="00333AFD">
              <w:rPr>
                <w:i/>
                <w:iCs/>
                <w:sz w:val="16"/>
              </w:rPr>
              <w:t>Año</w:t>
            </w:r>
          </w:p>
        </w:tc>
        <w:tc>
          <w:tcPr>
            <w:tcW w:w="682" w:type="dxa"/>
            <w:tcBorders>
              <w:top w:val="single" w:sz="4" w:space="0" w:color="auto"/>
              <w:bottom w:val="single" w:sz="12" w:space="0" w:color="auto"/>
            </w:tcBorders>
            <w:shd w:val="clear" w:color="auto" w:fill="auto"/>
          </w:tcPr>
          <w:p w14:paraId="72A0EB16" w14:textId="77777777" w:rsidR="00333AFD" w:rsidRPr="00333AFD" w:rsidRDefault="00333AFD" w:rsidP="006A1449">
            <w:pPr>
              <w:pStyle w:val="SingleTxtG"/>
              <w:tabs>
                <w:tab w:val="clear" w:pos="1701"/>
                <w:tab w:val="clear" w:pos="2268"/>
                <w:tab w:val="clear" w:pos="2835"/>
              </w:tabs>
              <w:spacing w:before="80" w:after="80" w:line="200" w:lineRule="exact"/>
              <w:ind w:left="0" w:right="28"/>
              <w:jc w:val="right"/>
              <w:rPr>
                <w:i/>
                <w:iCs/>
                <w:sz w:val="16"/>
              </w:rPr>
            </w:pPr>
            <w:r w:rsidRPr="00333AFD">
              <w:rPr>
                <w:i/>
                <w:iCs/>
                <w:sz w:val="16"/>
              </w:rPr>
              <w:t>Escaños</w:t>
            </w:r>
          </w:p>
        </w:tc>
        <w:tc>
          <w:tcPr>
            <w:tcW w:w="992" w:type="dxa"/>
            <w:tcBorders>
              <w:top w:val="single" w:sz="4" w:space="0" w:color="auto"/>
              <w:bottom w:val="single" w:sz="12" w:space="0" w:color="auto"/>
            </w:tcBorders>
            <w:shd w:val="clear" w:color="auto" w:fill="auto"/>
          </w:tcPr>
          <w:p w14:paraId="2267A5E0" w14:textId="77777777" w:rsidR="00333AFD" w:rsidRPr="00333AFD" w:rsidRDefault="00333AFD" w:rsidP="006A1449">
            <w:pPr>
              <w:pStyle w:val="SingleTxtG"/>
              <w:tabs>
                <w:tab w:val="clear" w:pos="1701"/>
                <w:tab w:val="clear" w:pos="2268"/>
                <w:tab w:val="clear" w:pos="2835"/>
              </w:tabs>
              <w:spacing w:before="80" w:after="80" w:line="200" w:lineRule="exact"/>
              <w:ind w:left="0" w:right="28"/>
              <w:jc w:val="right"/>
              <w:rPr>
                <w:i/>
                <w:iCs/>
                <w:sz w:val="16"/>
              </w:rPr>
            </w:pPr>
            <w:r w:rsidRPr="00333AFD">
              <w:rPr>
                <w:i/>
                <w:iCs/>
                <w:sz w:val="16"/>
              </w:rPr>
              <w:t>Mujeres</w:t>
            </w:r>
          </w:p>
        </w:tc>
        <w:tc>
          <w:tcPr>
            <w:tcW w:w="1649" w:type="dxa"/>
            <w:tcBorders>
              <w:top w:val="single" w:sz="4" w:space="0" w:color="auto"/>
              <w:bottom w:val="single" w:sz="12" w:space="0" w:color="auto"/>
              <w:right w:val="single" w:sz="24" w:space="0" w:color="FFFFFF" w:themeColor="background1"/>
            </w:tcBorders>
            <w:shd w:val="clear" w:color="auto" w:fill="auto"/>
          </w:tcPr>
          <w:p w14:paraId="7D535804" w14:textId="77777777" w:rsidR="00333AFD" w:rsidRPr="00333AFD" w:rsidRDefault="00333AFD" w:rsidP="006A1449">
            <w:pPr>
              <w:pStyle w:val="SingleTxtG"/>
              <w:tabs>
                <w:tab w:val="clear" w:pos="1701"/>
                <w:tab w:val="clear" w:pos="2268"/>
                <w:tab w:val="clear" w:pos="2835"/>
              </w:tabs>
              <w:spacing w:before="80" w:after="80" w:line="200" w:lineRule="exact"/>
              <w:ind w:left="0" w:right="28"/>
              <w:jc w:val="right"/>
              <w:rPr>
                <w:i/>
                <w:iCs/>
                <w:sz w:val="16"/>
              </w:rPr>
            </w:pPr>
            <w:r w:rsidRPr="00333AFD">
              <w:rPr>
                <w:i/>
                <w:iCs/>
                <w:sz w:val="16"/>
              </w:rPr>
              <w:t>Porcentaje de mujeres</w:t>
            </w:r>
          </w:p>
        </w:tc>
        <w:tc>
          <w:tcPr>
            <w:tcW w:w="761" w:type="dxa"/>
            <w:tcBorders>
              <w:top w:val="single" w:sz="4" w:space="0" w:color="auto"/>
              <w:left w:val="single" w:sz="24" w:space="0" w:color="FFFFFF" w:themeColor="background1"/>
              <w:bottom w:val="single" w:sz="12" w:space="0" w:color="auto"/>
            </w:tcBorders>
            <w:shd w:val="clear" w:color="auto" w:fill="auto"/>
            <w:vAlign w:val="bottom"/>
          </w:tcPr>
          <w:p w14:paraId="016482E6" w14:textId="77777777" w:rsidR="00333AFD" w:rsidRPr="00333AFD" w:rsidRDefault="00333AFD" w:rsidP="006A1449">
            <w:pPr>
              <w:pStyle w:val="SingleTxtG"/>
              <w:tabs>
                <w:tab w:val="clear" w:pos="1701"/>
                <w:tab w:val="clear" w:pos="2268"/>
                <w:tab w:val="clear" w:pos="2835"/>
              </w:tabs>
              <w:spacing w:before="80" w:after="80" w:line="200" w:lineRule="exact"/>
              <w:ind w:left="0" w:right="28"/>
              <w:jc w:val="right"/>
              <w:rPr>
                <w:i/>
                <w:iCs/>
                <w:sz w:val="16"/>
              </w:rPr>
            </w:pPr>
            <w:r w:rsidRPr="00333AFD">
              <w:rPr>
                <w:i/>
                <w:iCs/>
                <w:sz w:val="16"/>
              </w:rPr>
              <w:t>Escaños</w:t>
            </w:r>
          </w:p>
        </w:tc>
        <w:tc>
          <w:tcPr>
            <w:tcW w:w="992" w:type="dxa"/>
            <w:tcBorders>
              <w:top w:val="single" w:sz="4" w:space="0" w:color="auto"/>
              <w:bottom w:val="single" w:sz="12" w:space="0" w:color="auto"/>
            </w:tcBorders>
            <w:shd w:val="clear" w:color="auto" w:fill="auto"/>
            <w:vAlign w:val="bottom"/>
          </w:tcPr>
          <w:p w14:paraId="07FE6555" w14:textId="77777777" w:rsidR="00333AFD" w:rsidRPr="00333AFD" w:rsidRDefault="00333AFD" w:rsidP="006A1449">
            <w:pPr>
              <w:pStyle w:val="SingleTxtG"/>
              <w:tabs>
                <w:tab w:val="clear" w:pos="1701"/>
                <w:tab w:val="clear" w:pos="2268"/>
                <w:tab w:val="clear" w:pos="2835"/>
              </w:tabs>
              <w:spacing w:before="80" w:after="80" w:line="200" w:lineRule="exact"/>
              <w:ind w:left="0" w:right="28"/>
              <w:jc w:val="right"/>
              <w:rPr>
                <w:i/>
                <w:iCs/>
                <w:sz w:val="16"/>
              </w:rPr>
            </w:pPr>
            <w:r w:rsidRPr="00333AFD">
              <w:rPr>
                <w:i/>
                <w:iCs/>
                <w:sz w:val="16"/>
              </w:rPr>
              <w:t>Mujeres</w:t>
            </w:r>
          </w:p>
        </w:tc>
        <w:tc>
          <w:tcPr>
            <w:tcW w:w="1558" w:type="dxa"/>
            <w:tcBorders>
              <w:top w:val="single" w:sz="4" w:space="0" w:color="auto"/>
              <w:bottom w:val="single" w:sz="12" w:space="0" w:color="auto"/>
            </w:tcBorders>
            <w:shd w:val="clear" w:color="auto" w:fill="auto"/>
            <w:vAlign w:val="bottom"/>
          </w:tcPr>
          <w:p w14:paraId="45823510" w14:textId="77777777" w:rsidR="00333AFD" w:rsidRPr="00333AFD" w:rsidRDefault="00333AFD" w:rsidP="006A1449">
            <w:pPr>
              <w:pStyle w:val="SingleTxtG"/>
              <w:tabs>
                <w:tab w:val="clear" w:pos="1701"/>
                <w:tab w:val="clear" w:pos="2268"/>
                <w:tab w:val="clear" w:pos="2835"/>
              </w:tabs>
              <w:spacing w:before="80" w:after="80" w:line="200" w:lineRule="exact"/>
              <w:ind w:left="0" w:right="28"/>
              <w:jc w:val="right"/>
              <w:rPr>
                <w:i/>
                <w:iCs/>
                <w:sz w:val="16"/>
              </w:rPr>
            </w:pPr>
            <w:r w:rsidRPr="00333AFD">
              <w:rPr>
                <w:i/>
                <w:iCs/>
                <w:sz w:val="16"/>
              </w:rPr>
              <w:t>Porcentaje de mujeres</w:t>
            </w:r>
          </w:p>
        </w:tc>
      </w:tr>
      <w:tr w:rsidR="00333AFD" w:rsidRPr="00333AFD" w14:paraId="39109A7A" w14:textId="77777777" w:rsidTr="006A1449">
        <w:trPr>
          <w:trHeight w:val="240"/>
        </w:trPr>
        <w:tc>
          <w:tcPr>
            <w:tcW w:w="736" w:type="dxa"/>
            <w:tcBorders>
              <w:top w:val="single" w:sz="12" w:space="0" w:color="auto"/>
            </w:tcBorders>
            <w:shd w:val="clear" w:color="auto" w:fill="auto"/>
          </w:tcPr>
          <w:p w14:paraId="7195F1C0"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2012</w:t>
            </w:r>
          </w:p>
        </w:tc>
        <w:tc>
          <w:tcPr>
            <w:tcW w:w="682" w:type="dxa"/>
            <w:tcBorders>
              <w:top w:val="single" w:sz="12" w:space="0" w:color="auto"/>
            </w:tcBorders>
            <w:shd w:val="clear" w:color="auto" w:fill="auto"/>
          </w:tcPr>
          <w:p w14:paraId="20684DDC"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214</w:t>
            </w:r>
          </w:p>
        </w:tc>
        <w:tc>
          <w:tcPr>
            <w:tcW w:w="992" w:type="dxa"/>
            <w:tcBorders>
              <w:top w:val="single" w:sz="12" w:space="0" w:color="auto"/>
            </w:tcBorders>
            <w:shd w:val="clear" w:color="auto" w:fill="auto"/>
          </w:tcPr>
          <w:p w14:paraId="5C7FB52E"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32</w:t>
            </w:r>
          </w:p>
        </w:tc>
        <w:tc>
          <w:tcPr>
            <w:tcW w:w="1649" w:type="dxa"/>
            <w:tcBorders>
              <w:top w:val="single" w:sz="12" w:space="0" w:color="auto"/>
            </w:tcBorders>
            <w:shd w:val="clear" w:color="auto" w:fill="auto"/>
          </w:tcPr>
          <w:p w14:paraId="2A5691C2"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15</w:t>
            </w:r>
          </w:p>
        </w:tc>
        <w:tc>
          <w:tcPr>
            <w:tcW w:w="761" w:type="dxa"/>
            <w:tcBorders>
              <w:top w:val="single" w:sz="12" w:space="0" w:color="auto"/>
            </w:tcBorders>
            <w:shd w:val="clear" w:color="auto" w:fill="auto"/>
            <w:vAlign w:val="bottom"/>
          </w:tcPr>
          <w:p w14:paraId="56229678"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99</w:t>
            </w:r>
          </w:p>
        </w:tc>
        <w:tc>
          <w:tcPr>
            <w:tcW w:w="992" w:type="dxa"/>
            <w:tcBorders>
              <w:top w:val="single" w:sz="12" w:space="0" w:color="auto"/>
            </w:tcBorders>
            <w:shd w:val="clear" w:color="auto" w:fill="auto"/>
            <w:vAlign w:val="bottom"/>
          </w:tcPr>
          <w:p w14:paraId="07F34F04"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24</w:t>
            </w:r>
          </w:p>
        </w:tc>
        <w:tc>
          <w:tcPr>
            <w:tcW w:w="1558" w:type="dxa"/>
            <w:tcBorders>
              <w:top w:val="single" w:sz="12" w:space="0" w:color="auto"/>
            </w:tcBorders>
            <w:shd w:val="clear" w:color="auto" w:fill="auto"/>
            <w:vAlign w:val="bottom"/>
          </w:tcPr>
          <w:p w14:paraId="1C2B02A1"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24</w:t>
            </w:r>
          </w:p>
        </w:tc>
      </w:tr>
      <w:tr w:rsidR="00333AFD" w:rsidRPr="00333AFD" w14:paraId="71B55D00" w14:textId="77777777" w:rsidTr="006A1449">
        <w:trPr>
          <w:trHeight w:val="240"/>
        </w:trPr>
        <w:tc>
          <w:tcPr>
            <w:tcW w:w="736" w:type="dxa"/>
            <w:shd w:val="clear" w:color="auto" w:fill="auto"/>
          </w:tcPr>
          <w:p w14:paraId="4D0318CE"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2013</w:t>
            </w:r>
          </w:p>
        </w:tc>
        <w:tc>
          <w:tcPr>
            <w:tcW w:w="682" w:type="dxa"/>
            <w:shd w:val="clear" w:color="auto" w:fill="auto"/>
          </w:tcPr>
          <w:p w14:paraId="0ADB728D"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270</w:t>
            </w:r>
          </w:p>
        </w:tc>
        <w:tc>
          <w:tcPr>
            <w:tcW w:w="992" w:type="dxa"/>
            <w:shd w:val="clear" w:color="auto" w:fill="auto"/>
          </w:tcPr>
          <w:p w14:paraId="1FC64B4A"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85</w:t>
            </w:r>
          </w:p>
        </w:tc>
        <w:tc>
          <w:tcPr>
            <w:tcW w:w="1649" w:type="dxa"/>
            <w:shd w:val="clear" w:color="auto" w:fill="auto"/>
          </w:tcPr>
          <w:p w14:paraId="154314FA"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31</w:t>
            </w:r>
          </w:p>
        </w:tc>
        <w:tc>
          <w:tcPr>
            <w:tcW w:w="761" w:type="dxa"/>
            <w:shd w:val="clear" w:color="auto" w:fill="auto"/>
            <w:vAlign w:val="bottom"/>
          </w:tcPr>
          <w:p w14:paraId="49886C0C"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80</w:t>
            </w:r>
          </w:p>
        </w:tc>
        <w:tc>
          <w:tcPr>
            <w:tcW w:w="992" w:type="dxa"/>
            <w:shd w:val="clear" w:color="auto" w:fill="auto"/>
            <w:vAlign w:val="bottom"/>
          </w:tcPr>
          <w:p w14:paraId="11A5EF2A"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38</w:t>
            </w:r>
          </w:p>
        </w:tc>
        <w:tc>
          <w:tcPr>
            <w:tcW w:w="1558" w:type="dxa"/>
            <w:shd w:val="clear" w:color="auto" w:fill="auto"/>
            <w:vAlign w:val="bottom"/>
          </w:tcPr>
          <w:p w14:paraId="25D4D9D4"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48</w:t>
            </w:r>
          </w:p>
        </w:tc>
      </w:tr>
      <w:tr w:rsidR="00333AFD" w:rsidRPr="00333AFD" w14:paraId="280314A0" w14:textId="77777777" w:rsidTr="006A1449">
        <w:trPr>
          <w:trHeight w:val="240"/>
        </w:trPr>
        <w:tc>
          <w:tcPr>
            <w:tcW w:w="736" w:type="dxa"/>
            <w:shd w:val="clear" w:color="auto" w:fill="auto"/>
          </w:tcPr>
          <w:p w14:paraId="55BDB1AD"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2014</w:t>
            </w:r>
          </w:p>
        </w:tc>
        <w:tc>
          <w:tcPr>
            <w:tcW w:w="682" w:type="dxa"/>
            <w:shd w:val="clear" w:color="auto" w:fill="auto"/>
          </w:tcPr>
          <w:p w14:paraId="69560A3E"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270</w:t>
            </w:r>
          </w:p>
        </w:tc>
        <w:tc>
          <w:tcPr>
            <w:tcW w:w="992" w:type="dxa"/>
            <w:shd w:val="clear" w:color="auto" w:fill="auto"/>
          </w:tcPr>
          <w:p w14:paraId="24D3E8E8"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86</w:t>
            </w:r>
          </w:p>
        </w:tc>
        <w:tc>
          <w:tcPr>
            <w:tcW w:w="1649" w:type="dxa"/>
            <w:shd w:val="clear" w:color="auto" w:fill="auto"/>
          </w:tcPr>
          <w:p w14:paraId="709AD3D6"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32</w:t>
            </w:r>
          </w:p>
        </w:tc>
        <w:tc>
          <w:tcPr>
            <w:tcW w:w="761" w:type="dxa"/>
            <w:shd w:val="clear" w:color="auto" w:fill="auto"/>
            <w:vAlign w:val="bottom"/>
          </w:tcPr>
          <w:p w14:paraId="7EBDA47C"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80</w:t>
            </w:r>
          </w:p>
        </w:tc>
        <w:tc>
          <w:tcPr>
            <w:tcW w:w="992" w:type="dxa"/>
            <w:shd w:val="clear" w:color="auto" w:fill="auto"/>
            <w:vAlign w:val="bottom"/>
          </w:tcPr>
          <w:p w14:paraId="4C5C310B"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38</w:t>
            </w:r>
          </w:p>
        </w:tc>
        <w:tc>
          <w:tcPr>
            <w:tcW w:w="1558" w:type="dxa"/>
            <w:shd w:val="clear" w:color="auto" w:fill="auto"/>
            <w:vAlign w:val="bottom"/>
          </w:tcPr>
          <w:p w14:paraId="07D2408D"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48</w:t>
            </w:r>
          </w:p>
        </w:tc>
      </w:tr>
      <w:tr w:rsidR="00333AFD" w:rsidRPr="00333AFD" w14:paraId="7EE88BAD" w14:textId="77777777" w:rsidTr="006A1449">
        <w:trPr>
          <w:trHeight w:val="240"/>
        </w:trPr>
        <w:tc>
          <w:tcPr>
            <w:tcW w:w="736" w:type="dxa"/>
            <w:tcBorders>
              <w:bottom w:val="single" w:sz="12" w:space="0" w:color="auto"/>
            </w:tcBorders>
            <w:shd w:val="clear" w:color="auto" w:fill="auto"/>
          </w:tcPr>
          <w:p w14:paraId="193B08D5"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2015</w:t>
            </w:r>
          </w:p>
        </w:tc>
        <w:tc>
          <w:tcPr>
            <w:tcW w:w="682" w:type="dxa"/>
            <w:tcBorders>
              <w:bottom w:val="single" w:sz="12" w:space="0" w:color="auto"/>
            </w:tcBorders>
            <w:shd w:val="clear" w:color="auto" w:fill="auto"/>
          </w:tcPr>
          <w:p w14:paraId="08CE8A88"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270</w:t>
            </w:r>
          </w:p>
        </w:tc>
        <w:tc>
          <w:tcPr>
            <w:tcW w:w="992" w:type="dxa"/>
            <w:tcBorders>
              <w:bottom w:val="single" w:sz="12" w:space="0" w:color="auto"/>
            </w:tcBorders>
            <w:shd w:val="clear" w:color="auto" w:fill="auto"/>
          </w:tcPr>
          <w:p w14:paraId="76A52AE4"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86</w:t>
            </w:r>
          </w:p>
        </w:tc>
        <w:tc>
          <w:tcPr>
            <w:tcW w:w="1649" w:type="dxa"/>
            <w:tcBorders>
              <w:bottom w:val="single" w:sz="12" w:space="0" w:color="auto"/>
            </w:tcBorders>
            <w:shd w:val="clear" w:color="auto" w:fill="auto"/>
          </w:tcPr>
          <w:p w14:paraId="396B6277"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32</w:t>
            </w:r>
          </w:p>
        </w:tc>
        <w:tc>
          <w:tcPr>
            <w:tcW w:w="761" w:type="dxa"/>
            <w:tcBorders>
              <w:bottom w:val="single" w:sz="12" w:space="0" w:color="auto"/>
            </w:tcBorders>
            <w:shd w:val="clear" w:color="auto" w:fill="auto"/>
            <w:vAlign w:val="bottom"/>
          </w:tcPr>
          <w:p w14:paraId="67AD4FF6"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80</w:t>
            </w:r>
          </w:p>
        </w:tc>
        <w:tc>
          <w:tcPr>
            <w:tcW w:w="992" w:type="dxa"/>
            <w:tcBorders>
              <w:bottom w:val="single" w:sz="12" w:space="0" w:color="auto"/>
            </w:tcBorders>
            <w:shd w:val="clear" w:color="auto" w:fill="auto"/>
            <w:vAlign w:val="bottom"/>
          </w:tcPr>
          <w:p w14:paraId="7EE17D4F"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38</w:t>
            </w:r>
          </w:p>
        </w:tc>
        <w:tc>
          <w:tcPr>
            <w:tcW w:w="1558" w:type="dxa"/>
            <w:tcBorders>
              <w:bottom w:val="single" w:sz="12" w:space="0" w:color="auto"/>
            </w:tcBorders>
            <w:shd w:val="clear" w:color="auto" w:fill="auto"/>
            <w:vAlign w:val="bottom"/>
          </w:tcPr>
          <w:p w14:paraId="2B9143F3" w14:textId="77777777" w:rsidR="00333AFD" w:rsidRPr="00333AFD" w:rsidRDefault="00333AFD" w:rsidP="006A1449">
            <w:pPr>
              <w:pStyle w:val="SingleTxtG"/>
              <w:tabs>
                <w:tab w:val="clear" w:pos="1701"/>
                <w:tab w:val="clear" w:pos="2268"/>
                <w:tab w:val="clear" w:pos="2835"/>
              </w:tabs>
              <w:spacing w:before="40" w:after="40" w:line="220" w:lineRule="exact"/>
              <w:ind w:left="0" w:right="28"/>
              <w:jc w:val="right"/>
              <w:rPr>
                <w:sz w:val="18"/>
              </w:rPr>
            </w:pPr>
            <w:r w:rsidRPr="00333AFD">
              <w:rPr>
                <w:sz w:val="18"/>
              </w:rPr>
              <w:t>48</w:t>
            </w:r>
          </w:p>
        </w:tc>
      </w:tr>
    </w:tbl>
    <w:p w14:paraId="49B447F4" w14:textId="3D91FB3F" w:rsidR="00333AFD" w:rsidRPr="00333AFD" w:rsidRDefault="00333AFD" w:rsidP="006A1449">
      <w:pPr>
        <w:pStyle w:val="SingleTxtG"/>
        <w:spacing w:before="120" w:after="240"/>
        <w:ind w:firstLine="170"/>
        <w:jc w:val="left"/>
        <w:rPr>
          <w:sz w:val="18"/>
          <w:szCs w:val="18"/>
        </w:rPr>
      </w:pPr>
      <w:r w:rsidRPr="00333AFD">
        <w:rPr>
          <w:i/>
          <w:iCs/>
          <w:sz w:val="18"/>
          <w:szCs w:val="18"/>
        </w:rPr>
        <w:t>Fuente:</w:t>
      </w:r>
      <w:r w:rsidRPr="00333AFD">
        <w:rPr>
          <w:sz w:val="18"/>
          <w:szCs w:val="18"/>
        </w:rPr>
        <w:t xml:space="preserve"> Parlamento de Zimbabwe, 2016.</w:t>
      </w:r>
    </w:p>
    <w:p w14:paraId="3FF6B62D" w14:textId="1006D239" w:rsidR="00333AFD" w:rsidRPr="00333AFD" w:rsidRDefault="00333AFD" w:rsidP="006A1449">
      <w:pPr>
        <w:pStyle w:val="H23G"/>
        <w:ind w:left="0" w:right="566" w:firstLine="0"/>
      </w:pPr>
      <w:r w:rsidRPr="00333AFD">
        <w:rPr>
          <w:b w:val="0"/>
          <w:bCs/>
        </w:rPr>
        <w:t>Cuadro 17</w:t>
      </w:r>
      <w:r w:rsidRPr="00333AFD">
        <w:rPr>
          <w:b w:val="0"/>
          <w:bCs/>
        </w:rPr>
        <w:br/>
      </w:r>
      <w:r w:rsidRPr="00333AFD">
        <w:t>Personal en instancias decisorias en los Servicios Penitenciarios y Correccionales de Zimbabwe por rango y sexo, 2013, 2014 y 2015</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2338"/>
        <w:gridCol w:w="639"/>
        <w:gridCol w:w="705"/>
        <w:gridCol w:w="476"/>
        <w:gridCol w:w="662"/>
        <w:gridCol w:w="682"/>
        <w:gridCol w:w="489"/>
        <w:gridCol w:w="630"/>
        <w:gridCol w:w="700"/>
        <w:gridCol w:w="504"/>
        <w:gridCol w:w="644"/>
        <w:gridCol w:w="686"/>
        <w:gridCol w:w="484"/>
      </w:tblGrid>
      <w:tr w:rsidR="00333AFD" w:rsidRPr="00333AFD" w14:paraId="3C8553FB" w14:textId="77777777" w:rsidTr="003D4091">
        <w:trPr>
          <w:trHeight w:val="240"/>
          <w:tblHeader/>
        </w:trPr>
        <w:tc>
          <w:tcPr>
            <w:tcW w:w="2338" w:type="dxa"/>
            <w:vMerge w:val="restart"/>
            <w:tcBorders>
              <w:top w:val="single" w:sz="4" w:space="0" w:color="auto"/>
              <w:bottom w:val="single" w:sz="4" w:space="0" w:color="auto"/>
            </w:tcBorders>
            <w:shd w:val="clear" w:color="auto" w:fill="auto"/>
            <w:noWrap/>
            <w:vAlign w:val="bottom"/>
            <w:hideMark/>
          </w:tcPr>
          <w:p w14:paraId="76B7C10C"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Puesto</w:t>
            </w:r>
          </w:p>
        </w:tc>
        <w:tc>
          <w:tcPr>
            <w:tcW w:w="182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0275EE5C"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2013</w:t>
            </w:r>
          </w:p>
        </w:tc>
        <w:tc>
          <w:tcPr>
            <w:tcW w:w="183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14602C9"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2014</w:t>
            </w:r>
          </w:p>
        </w:tc>
        <w:tc>
          <w:tcPr>
            <w:tcW w:w="18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5E597CF"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2015</w:t>
            </w:r>
          </w:p>
        </w:tc>
        <w:tc>
          <w:tcPr>
            <w:tcW w:w="1814" w:type="dxa"/>
            <w:gridSpan w:val="3"/>
            <w:tcBorders>
              <w:top w:val="single" w:sz="4" w:space="0" w:color="auto"/>
              <w:left w:val="single" w:sz="24" w:space="0" w:color="FFFFFF" w:themeColor="background1"/>
              <w:bottom w:val="single" w:sz="4" w:space="0" w:color="auto"/>
            </w:tcBorders>
            <w:shd w:val="clear" w:color="auto" w:fill="auto"/>
            <w:vAlign w:val="bottom"/>
          </w:tcPr>
          <w:p w14:paraId="03FDD948"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sz w:val="16"/>
              </w:rPr>
            </w:pPr>
            <w:r w:rsidRPr="00333AFD">
              <w:rPr>
                <w:i/>
                <w:iCs/>
                <w:sz w:val="16"/>
              </w:rPr>
              <w:t>2021</w:t>
            </w:r>
          </w:p>
        </w:tc>
      </w:tr>
      <w:tr w:rsidR="006A1449" w:rsidRPr="00333AFD" w14:paraId="4F6A879E" w14:textId="77777777" w:rsidTr="00943077">
        <w:trPr>
          <w:trHeight w:val="240"/>
          <w:tblHeader/>
        </w:trPr>
        <w:tc>
          <w:tcPr>
            <w:tcW w:w="2338" w:type="dxa"/>
            <w:vMerge/>
            <w:tcBorders>
              <w:top w:val="single" w:sz="4" w:space="0" w:color="auto"/>
              <w:bottom w:val="single" w:sz="12" w:space="0" w:color="auto"/>
            </w:tcBorders>
            <w:shd w:val="clear" w:color="auto" w:fill="auto"/>
            <w:noWrap/>
            <w:vAlign w:val="bottom"/>
            <w:hideMark/>
          </w:tcPr>
          <w:p w14:paraId="61F3A032"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p>
        </w:tc>
        <w:tc>
          <w:tcPr>
            <w:tcW w:w="639" w:type="dxa"/>
            <w:tcBorders>
              <w:top w:val="single" w:sz="4" w:space="0" w:color="auto"/>
              <w:bottom w:val="single" w:sz="12" w:space="0" w:color="auto"/>
            </w:tcBorders>
            <w:shd w:val="clear" w:color="auto" w:fill="auto"/>
            <w:noWrap/>
            <w:vAlign w:val="bottom"/>
            <w:hideMark/>
          </w:tcPr>
          <w:p w14:paraId="5A557A1A"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705" w:type="dxa"/>
            <w:tcBorders>
              <w:top w:val="single" w:sz="4" w:space="0" w:color="auto"/>
              <w:bottom w:val="single" w:sz="12" w:space="0" w:color="auto"/>
            </w:tcBorders>
            <w:shd w:val="clear" w:color="auto" w:fill="auto"/>
            <w:noWrap/>
            <w:vAlign w:val="bottom"/>
            <w:hideMark/>
          </w:tcPr>
          <w:p w14:paraId="1C3A0C6B"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c>
          <w:tcPr>
            <w:tcW w:w="476" w:type="dxa"/>
            <w:tcBorders>
              <w:top w:val="single" w:sz="4" w:space="0" w:color="auto"/>
              <w:bottom w:val="single" w:sz="12" w:space="0" w:color="auto"/>
              <w:right w:val="single" w:sz="24" w:space="0" w:color="FFFFFF" w:themeColor="background1"/>
            </w:tcBorders>
            <w:shd w:val="clear" w:color="auto" w:fill="auto"/>
            <w:noWrap/>
            <w:vAlign w:val="bottom"/>
            <w:hideMark/>
          </w:tcPr>
          <w:p w14:paraId="79FB1798"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Total</w:t>
            </w:r>
          </w:p>
        </w:tc>
        <w:tc>
          <w:tcPr>
            <w:tcW w:w="662" w:type="dxa"/>
            <w:tcBorders>
              <w:top w:val="single" w:sz="4" w:space="0" w:color="auto"/>
              <w:left w:val="single" w:sz="24" w:space="0" w:color="FFFFFF" w:themeColor="background1"/>
              <w:bottom w:val="single" w:sz="12" w:space="0" w:color="auto"/>
            </w:tcBorders>
            <w:shd w:val="clear" w:color="auto" w:fill="auto"/>
            <w:noWrap/>
            <w:vAlign w:val="bottom"/>
            <w:hideMark/>
          </w:tcPr>
          <w:p w14:paraId="30C5214C"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682" w:type="dxa"/>
            <w:tcBorders>
              <w:top w:val="single" w:sz="4" w:space="0" w:color="auto"/>
              <w:bottom w:val="single" w:sz="12" w:space="0" w:color="auto"/>
            </w:tcBorders>
            <w:shd w:val="clear" w:color="auto" w:fill="auto"/>
            <w:noWrap/>
            <w:vAlign w:val="bottom"/>
            <w:hideMark/>
          </w:tcPr>
          <w:p w14:paraId="159B3CD9"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c>
          <w:tcPr>
            <w:tcW w:w="489" w:type="dxa"/>
            <w:tcBorders>
              <w:top w:val="single" w:sz="4" w:space="0" w:color="auto"/>
              <w:bottom w:val="single" w:sz="12" w:space="0" w:color="auto"/>
              <w:right w:val="single" w:sz="24" w:space="0" w:color="FFFFFF" w:themeColor="background1"/>
            </w:tcBorders>
            <w:shd w:val="clear" w:color="auto" w:fill="auto"/>
            <w:noWrap/>
            <w:vAlign w:val="bottom"/>
            <w:hideMark/>
          </w:tcPr>
          <w:p w14:paraId="7F7A1B4F"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Total</w:t>
            </w:r>
          </w:p>
        </w:tc>
        <w:tc>
          <w:tcPr>
            <w:tcW w:w="630" w:type="dxa"/>
            <w:tcBorders>
              <w:top w:val="single" w:sz="4" w:space="0" w:color="auto"/>
              <w:left w:val="single" w:sz="24" w:space="0" w:color="FFFFFF" w:themeColor="background1"/>
              <w:bottom w:val="single" w:sz="12" w:space="0" w:color="auto"/>
            </w:tcBorders>
            <w:shd w:val="clear" w:color="auto" w:fill="auto"/>
            <w:noWrap/>
            <w:vAlign w:val="bottom"/>
            <w:hideMark/>
          </w:tcPr>
          <w:p w14:paraId="0A7694AC"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700" w:type="dxa"/>
            <w:tcBorders>
              <w:top w:val="single" w:sz="4" w:space="0" w:color="auto"/>
              <w:bottom w:val="single" w:sz="12" w:space="0" w:color="auto"/>
            </w:tcBorders>
            <w:shd w:val="clear" w:color="auto" w:fill="auto"/>
            <w:noWrap/>
            <w:vAlign w:val="bottom"/>
            <w:hideMark/>
          </w:tcPr>
          <w:p w14:paraId="02323E6A"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c>
          <w:tcPr>
            <w:tcW w:w="504" w:type="dxa"/>
            <w:tcBorders>
              <w:top w:val="single" w:sz="4" w:space="0" w:color="auto"/>
              <w:bottom w:val="single" w:sz="12" w:space="0" w:color="auto"/>
              <w:right w:val="single" w:sz="24" w:space="0" w:color="FFFFFF" w:themeColor="background1"/>
            </w:tcBorders>
            <w:shd w:val="clear" w:color="auto" w:fill="auto"/>
            <w:noWrap/>
            <w:vAlign w:val="bottom"/>
            <w:hideMark/>
          </w:tcPr>
          <w:p w14:paraId="5C911743"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Total</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45364C5E"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686" w:type="dxa"/>
            <w:tcBorders>
              <w:top w:val="single" w:sz="4" w:space="0" w:color="auto"/>
              <w:bottom w:val="single" w:sz="12" w:space="0" w:color="auto"/>
            </w:tcBorders>
            <w:shd w:val="clear" w:color="auto" w:fill="auto"/>
            <w:vAlign w:val="bottom"/>
          </w:tcPr>
          <w:p w14:paraId="4F1C99A0"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c>
          <w:tcPr>
            <w:tcW w:w="484" w:type="dxa"/>
            <w:tcBorders>
              <w:top w:val="single" w:sz="4" w:space="0" w:color="auto"/>
              <w:bottom w:val="single" w:sz="12" w:space="0" w:color="auto"/>
            </w:tcBorders>
            <w:shd w:val="clear" w:color="auto" w:fill="auto"/>
            <w:vAlign w:val="bottom"/>
          </w:tcPr>
          <w:p w14:paraId="173E630C"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Total</w:t>
            </w:r>
          </w:p>
        </w:tc>
      </w:tr>
      <w:tr w:rsidR="006A1449" w:rsidRPr="00333AFD" w14:paraId="5BAED717" w14:textId="77777777" w:rsidTr="00943077">
        <w:trPr>
          <w:trHeight w:val="240"/>
        </w:trPr>
        <w:tc>
          <w:tcPr>
            <w:tcW w:w="2338" w:type="dxa"/>
            <w:tcBorders>
              <w:top w:val="single" w:sz="12" w:space="0" w:color="auto"/>
            </w:tcBorders>
            <w:shd w:val="clear" w:color="auto" w:fill="auto"/>
            <w:noWrap/>
            <w:hideMark/>
          </w:tcPr>
          <w:p w14:paraId="44E1A472"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Comisionado General de Instituciones Penitenciarias</w:t>
            </w:r>
          </w:p>
        </w:tc>
        <w:tc>
          <w:tcPr>
            <w:tcW w:w="639" w:type="dxa"/>
            <w:tcBorders>
              <w:top w:val="single" w:sz="12" w:space="0" w:color="auto"/>
            </w:tcBorders>
            <w:shd w:val="clear" w:color="auto" w:fill="auto"/>
            <w:noWrap/>
            <w:vAlign w:val="bottom"/>
            <w:hideMark/>
          </w:tcPr>
          <w:p w14:paraId="1F6E806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05" w:type="dxa"/>
            <w:tcBorders>
              <w:top w:val="single" w:sz="12" w:space="0" w:color="auto"/>
            </w:tcBorders>
            <w:shd w:val="clear" w:color="auto" w:fill="auto"/>
            <w:noWrap/>
            <w:vAlign w:val="bottom"/>
            <w:hideMark/>
          </w:tcPr>
          <w:p w14:paraId="6D40EB3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476" w:type="dxa"/>
            <w:tcBorders>
              <w:top w:val="single" w:sz="12" w:space="0" w:color="auto"/>
            </w:tcBorders>
            <w:shd w:val="clear" w:color="auto" w:fill="auto"/>
            <w:noWrap/>
            <w:vAlign w:val="bottom"/>
            <w:hideMark/>
          </w:tcPr>
          <w:p w14:paraId="6E8BE01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662" w:type="dxa"/>
            <w:tcBorders>
              <w:top w:val="single" w:sz="12" w:space="0" w:color="auto"/>
            </w:tcBorders>
            <w:shd w:val="clear" w:color="auto" w:fill="auto"/>
            <w:noWrap/>
            <w:vAlign w:val="bottom"/>
            <w:hideMark/>
          </w:tcPr>
          <w:p w14:paraId="071FAC3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682" w:type="dxa"/>
            <w:tcBorders>
              <w:top w:val="single" w:sz="12" w:space="0" w:color="auto"/>
            </w:tcBorders>
            <w:shd w:val="clear" w:color="auto" w:fill="auto"/>
            <w:noWrap/>
            <w:vAlign w:val="bottom"/>
            <w:hideMark/>
          </w:tcPr>
          <w:p w14:paraId="651F85B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489" w:type="dxa"/>
            <w:tcBorders>
              <w:top w:val="single" w:sz="12" w:space="0" w:color="auto"/>
            </w:tcBorders>
            <w:shd w:val="clear" w:color="auto" w:fill="auto"/>
            <w:noWrap/>
            <w:vAlign w:val="bottom"/>
            <w:hideMark/>
          </w:tcPr>
          <w:p w14:paraId="05588F8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630" w:type="dxa"/>
            <w:tcBorders>
              <w:top w:val="single" w:sz="12" w:space="0" w:color="auto"/>
            </w:tcBorders>
            <w:shd w:val="clear" w:color="auto" w:fill="auto"/>
            <w:noWrap/>
            <w:vAlign w:val="bottom"/>
            <w:hideMark/>
          </w:tcPr>
          <w:p w14:paraId="3185DDD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00" w:type="dxa"/>
            <w:tcBorders>
              <w:top w:val="single" w:sz="12" w:space="0" w:color="auto"/>
            </w:tcBorders>
            <w:shd w:val="clear" w:color="auto" w:fill="auto"/>
            <w:noWrap/>
            <w:vAlign w:val="bottom"/>
            <w:hideMark/>
          </w:tcPr>
          <w:p w14:paraId="779B7D3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504" w:type="dxa"/>
            <w:tcBorders>
              <w:top w:val="single" w:sz="12" w:space="0" w:color="auto"/>
            </w:tcBorders>
            <w:shd w:val="clear" w:color="auto" w:fill="auto"/>
            <w:noWrap/>
            <w:vAlign w:val="bottom"/>
            <w:hideMark/>
          </w:tcPr>
          <w:p w14:paraId="23202643"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644" w:type="dxa"/>
            <w:tcBorders>
              <w:top w:val="single" w:sz="12" w:space="0" w:color="auto"/>
            </w:tcBorders>
            <w:shd w:val="clear" w:color="auto" w:fill="auto"/>
            <w:vAlign w:val="bottom"/>
          </w:tcPr>
          <w:p w14:paraId="2368AC7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686" w:type="dxa"/>
            <w:tcBorders>
              <w:top w:val="single" w:sz="12" w:space="0" w:color="auto"/>
            </w:tcBorders>
            <w:shd w:val="clear" w:color="auto" w:fill="auto"/>
            <w:vAlign w:val="bottom"/>
          </w:tcPr>
          <w:p w14:paraId="01ADEA3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484" w:type="dxa"/>
            <w:tcBorders>
              <w:top w:val="single" w:sz="12" w:space="0" w:color="auto"/>
            </w:tcBorders>
            <w:shd w:val="clear" w:color="auto" w:fill="auto"/>
            <w:vAlign w:val="bottom"/>
          </w:tcPr>
          <w:p w14:paraId="07FEF94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r>
      <w:tr w:rsidR="006A1449" w:rsidRPr="00333AFD" w14:paraId="5B927ADB" w14:textId="77777777" w:rsidTr="00943077">
        <w:trPr>
          <w:trHeight w:val="240"/>
        </w:trPr>
        <w:tc>
          <w:tcPr>
            <w:tcW w:w="2338" w:type="dxa"/>
            <w:shd w:val="clear" w:color="auto" w:fill="auto"/>
            <w:noWrap/>
            <w:hideMark/>
          </w:tcPr>
          <w:p w14:paraId="5D7E6F33"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Comisionado General Adjunto de Instituciones Penitenciarias</w:t>
            </w:r>
          </w:p>
        </w:tc>
        <w:tc>
          <w:tcPr>
            <w:tcW w:w="639" w:type="dxa"/>
            <w:shd w:val="clear" w:color="auto" w:fill="auto"/>
            <w:noWrap/>
            <w:vAlign w:val="bottom"/>
            <w:hideMark/>
          </w:tcPr>
          <w:p w14:paraId="567CF0FC"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05" w:type="dxa"/>
            <w:shd w:val="clear" w:color="auto" w:fill="auto"/>
            <w:noWrap/>
            <w:vAlign w:val="bottom"/>
            <w:hideMark/>
          </w:tcPr>
          <w:p w14:paraId="1235DE3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w:t>
            </w:r>
          </w:p>
        </w:tc>
        <w:tc>
          <w:tcPr>
            <w:tcW w:w="476" w:type="dxa"/>
            <w:shd w:val="clear" w:color="auto" w:fill="auto"/>
            <w:noWrap/>
            <w:vAlign w:val="bottom"/>
            <w:hideMark/>
          </w:tcPr>
          <w:p w14:paraId="379BE38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w:t>
            </w:r>
          </w:p>
        </w:tc>
        <w:tc>
          <w:tcPr>
            <w:tcW w:w="662" w:type="dxa"/>
            <w:shd w:val="clear" w:color="auto" w:fill="auto"/>
            <w:noWrap/>
            <w:vAlign w:val="bottom"/>
            <w:hideMark/>
          </w:tcPr>
          <w:p w14:paraId="7274F80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682" w:type="dxa"/>
            <w:shd w:val="clear" w:color="auto" w:fill="auto"/>
            <w:noWrap/>
            <w:vAlign w:val="bottom"/>
            <w:hideMark/>
          </w:tcPr>
          <w:p w14:paraId="0C5B142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w:t>
            </w:r>
          </w:p>
        </w:tc>
        <w:tc>
          <w:tcPr>
            <w:tcW w:w="489" w:type="dxa"/>
            <w:shd w:val="clear" w:color="auto" w:fill="auto"/>
            <w:noWrap/>
            <w:vAlign w:val="bottom"/>
            <w:hideMark/>
          </w:tcPr>
          <w:p w14:paraId="1D211BA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c>
          <w:tcPr>
            <w:tcW w:w="630" w:type="dxa"/>
            <w:shd w:val="clear" w:color="auto" w:fill="auto"/>
            <w:noWrap/>
            <w:vAlign w:val="bottom"/>
            <w:hideMark/>
          </w:tcPr>
          <w:p w14:paraId="1A2D7B7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00" w:type="dxa"/>
            <w:shd w:val="clear" w:color="auto" w:fill="auto"/>
            <w:noWrap/>
            <w:vAlign w:val="bottom"/>
            <w:hideMark/>
          </w:tcPr>
          <w:p w14:paraId="5DE6D38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w:t>
            </w:r>
          </w:p>
        </w:tc>
        <w:tc>
          <w:tcPr>
            <w:tcW w:w="504" w:type="dxa"/>
            <w:shd w:val="clear" w:color="auto" w:fill="auto"/>
            <w:noWrap/>
            <w:vAlign w:val="bottom"/>
            <w:hideMark/>
          </w:tcPr>
          <w:p w14:paraId="7B4EDF6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c>
          <w:tcPr>
            <w:tcW w:w="644" w:type="dxa"/>
            <w:shd w:val="clear" w:color="auto" w:fill="auto"/>
            <w:vAlign w:val="bottom"/>
          </w:tcPr>
          <w:p w14:paraId="1BDE479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w:t>
            </w:r>
          </w:p>
        </w:tc>
        <w:tc>
          <w:tcPr>
            <w:tcW w:w="686" w:type="dxa"/>
            <w:shd w:val="clear" w:color="auto" w:fill="auto"/>
            <w:vAlign w:val="bottom"/>
          </w:tcPr>
          <w:p w14:paraId="396C5FF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w:t>
            </w:r>
          </w:p>
        </w:tc>
        <w:tc>
          <w:tcPr>
            <w:tcW w:w="484" w:type="dxa"/>
            <w:shd w:val="clear" w:color="auto" w:fill="auto"/>
            <w:vAlign w:val="bottom"/>
          </w:tcPr>
          <w:p w14:paraId="0DAA5BD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r>
      <w:tr w:rsidR="006A1449" w:rsidRPr="00333AFD" w14:paraId="05C86485" w14:textId="77777777" w:rsidTr="00943077">
        <w:trPr>
          <w:trHeight w:val="240"/>
        </w:trPr>
        <w:tc>
          <w:tcPr>
            <w:tcW w:w="2338" w:type="dxa"/>
            <w:shd w:val="clear" w:color="auto" w:fill="auto"/>
            <w:noWrap/>
            <w:hideMark/>
          </w:tcPr>
          <w:p w14:paraId="1D801A66"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 xml:space="preserve">Comisionado </w:t>
            </w:r>
          </w:p>
        </w:tc>
        <w:tc>
          <w:tcPr>
            <w:tcW w:w="639" w:type="dxa"/>
            <w:shd w:val="clear" w:color="auto" w:fill="auto"/>
            <w:noWrap/>
            <w:vAlign w:val="bottom"/>
            <w:hideMark/>
          </w:tcPr>
          <w:p w14:paraId="568171A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05" w:type="dxa"/>
            <w:shd w:val="clear" w:color="auto" w:fill="auto"/>
            <w:noWrap/>
            <w:vAlign w:val="bottom"/>
            <w:hideMark/>
          </w:tcPr>
          <w:p w14:paraId="3EF2E3A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476" w:type="dxa"/>
            <w:shd w:val="clear" w:color="auto" w:fill="auto"/>
            <w:noWrap/>
            <w:vAlign w:val="bottom"/>
            <w:hideMark/>
          </w:tcPr>
          <w:p w14:paraId="07141D1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662" w:type="dxa"/>
            <w:shd w:val="clear" w:color="auto" w:fill="auto"/>
            <w:noWrap/>
            <w:vAlign w:val="bottom"/>
            <w:hideMark/>
          </w:tcPr>
          <w:p w14:paraId="29ABCCC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w:t>
            </w:r>
          </w:p>
        </w:tc>
        <w:tc>
          <w:tcPr>
            <w:tcW w:w="682" w:type="dxa"/>
            <w:shd w:val="clear" w:color="auto" w:fill="auto"/>
            <w:noWrap/>
            <w:vAlign w:val="bottom"/>
            <w:hideMark/>
          </w:tcPr>
          <w:p w14:paraId="3EDB993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c>
          <w:tcPr>
            <w:tcW w:w="489" w:type="dxa"/>
            <w:shd w:val="clear" w:color="auto" w:fill="auto"/>
            <w:noWrap/>
            <w:vAlign w:val="bottom"/>
            <w:hideMark/>
          </w:tcPr>
          <w:p w14:paraId="099222FC"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6</w:t>
            </w:r>
          </w:p>
        </w:tc>
        <w:tc>
          <w:tcPr>
            <w:tcW w:w="630" w:type="dxa"/>
            <w:shd w:val="clear" w:color="auto" w:fill="auto"/>
            <w:noWrap/>
            <w:vAlign w:val="bottom"/>
            <w:hideMark/>
          </w:tcPr>
          <w:p w14:paraId="4654DA04"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w:t>
            </w:r>
          </w:p>
        </w:tc>
        <w:tc>
          <w:tcPr>
            <w:tcW w:w="700" w:type="dxa"/>
            <w:shd w:val="clear" w:color="auto" w:fill="auto"/>
            <w:noWrap/>
            <w:vAlign w:val="bottom"/>
            <w:hideMark/>
          </w:tcPr>
          <w:p w14:paraId="403C955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w:t>
            </w:r>
          </w:p>
        </w:tc>
        <w:tc>
          <w:tcPr>
            <w:tcW w:w="504" w:type="dxa"/>
            <w:shd w:val="clear" w:color="auto" w:fill="auto"/>
            <w:noWrap/>
            <w:vAlign w:val="bottom"/>
            <w:hideMark/>
          </w:tcPr>
          <w:p w14:paraId="6F39BB7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644" w:type="dxa"/>
            <w:shd w:val="clear" w:color="auto" w:fill="auto"/>
            <w:vAlign w:val="bottom"/>
          </w:tcPr>
          <w:p w14:paraId="14D9990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c>
          <w:tcPr>
            <w:tcW w:w="686" w:type="dxa"/>
            <w:shd w:val="clear" w:color="auto" w:fill="auto"/>
            <w:vAlign w:val="bottom"/>
          </w:tcPr>
          <w:p w14:paraId="7AD152D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12</w:t>
            </w:r>
          </w:p>
        </w:tc>
        <w:tc>
          <w:tcPr>
            <w:tcW w:w="484" w:type="dxa"/>
            <w:shd w:val="clear" w:color="auto" w:fill="auto"/>
            <w:vAlign w:val="bottom"/>
          </w:tcPr>
          <w:p w14:paraId="4B653C5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16</w:t>
            </w:r>
          </w:p>
        </w:tc>
      </w:tr>
      <w:tr w:rsidR="006A1449" w:rsidRPr="00333AFD" w14:paraId="72FBDCDB" w14:textId="77777777" w:rsidTr="00943077">
        <w:trPr>
          <w:trHeight w:val="240"/>
        </w:trPr>
        <w:tc>
          <w:tcPr>
            <w:tcW w:w="2338" w:type="dxa"/>
            <w:shd w:val="clear" w:color="auto" w:fill="auto"/>
            <w:noWrap/>
            <w:hideMark/>
          </w:tcPr>
          <w:p w14:paraId="73C4FB69"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Comisionado Asistente</w:t>
            </w:r>
          </w:p>
        </w:tc>
        <w:tc>
          <w:tcPr>
            <w:tcW w:w="639" w:type="dxa"/>
            <w:shd w:val="clear" w:color="auto" w:fill="auto"/>
            <w:noWrap/>
            <w:vAlign w:val="bottom"/>
            <w:hideMark/>
          </w:tcPr>
          <w:p w14:paraId="66EDD4B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705" w:type="dxa"/>
            <w:shd w:val="clear" w:color="auto" w:fill="auto"/>
            <w:noWrap/>
            <w:vAlign w:val="bottom"/>
            <w:hideMark/>
          </w:tcPr>
          <w:p w14:paraId="4D066E2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w:t>
            </w:r>
          </w:p>
        </w:tc>
        <w:tc>
          <w:tcPr>
            <w:tcW w:w="476" w:type="dxa"/>
            <w:shd w:val="clear" w:color="auto" w:fill="auto"/>
            <w:noWrap/>
            <w:vAlign w:val="bottom"/>
            <w:hideMark/>
          </w:tcPr>
          <w:p w14:paraId="0ABBFFA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16</w:t>
            </w:r>
          </w:p>
        </w:tc>
        <w:tc>
          <w:tcPr>
            <w:tcW w:w="662" w:type="dxa"/>
            <w:shd w:val="clear" w:color="auto" w:fill="auto"/>
            <w:noWrap/>
            <w:vAlign w:val="bottom"/>
            <w:hideMark/>
          </w:tcPr>
          <w:p w14:paraId="694B28F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682" w:type="dxa"/>
            <w:shd w:val="clear" w:color="auto" w:fill="auto"/>
            <w:noWrap/>
            <w:vAlign w:val="bottom"/>
            <w:hideMark/>
          </w:tcPr>
          <w:p w14:paraId="0370802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8</w:t>
            </w:r>
          </w:p>
        </w:tc>
        <w:tc>
          <w:tcPr>
            <w:tcW w:w="489" w:type="dxa"/>
            <w:shd w:val="clear" w:color="auto" w:fill="auto"/>
            <w:noWrap/>
            <w:vAlign w:val="bottom"/>
            <w:hideMark/>
          </w:tcPr>
          <w:p w14:paraId="0DF01C0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13</w:t>
            </w:r>
          </w:p>
        </w:tc>
        <w:tc>
          <w:tcPr>
            <w:tcW w:w="630" w:type="dxa"/>
            <w:shd w:val="clear" w:color="auto" w:fill="auto"/>
            <w:noWrap/>
            <w:vAlign w:val="bottom"/>
            <w:hideMark/>
          </w:tcPr>
          <w:p w14:paraId="4F6FE83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c>
          <w:tcPr>
            <w:tcW w:w="700" w:type="dxa"/>
            <w:shd w:val="clear" w:color="auto" w:fill="auto"/>
            <w:noWrap/>
            <w:vAlign w:val="bottom"/>
            <w:hideMark/>
          </w:tcPr>
          <w:p w14:paraId="132BB41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27</w:t>
            </w:r>
          </w:p>
        </w:tc>
        <w:tc>
          <w:tcPr>
            <w:tcW w:w="504" w:type="dxa"/>
            <w:shd w:val="clear" w:color="auto" w:fill="auto"/>
            <w:noWrap/>
            <w:vAlign w:val="bottom"/>
            <w:hideMark/>
          </w:tcPr>
          <w:p w14:paraId="0EA8756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31</w:t>
            </w:r>
          </w:p>
        </w:tc>
        <w:tc>
          <w:tcPr>
            <w:tcW w:w="644" w:type="dxa"/>
            <w:shd w:val="clear" w:color="auto" w:fill="auto"/>
            <w:vAlign w:val="bottom"/>
          </w:tcPr>
          <w:p w14:paraId="6FABC55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20</w:t>
            </w:r>
          </w:p>
        </w:tc>
        <w:tc>
          <w:tcPr>
            <w:tcW w:w="686" w:type="dxa"/>
            <w:shd w:val="clear" w:color="auto" w:fill="auto"/>
            <w:vAlign w:val="bottom"/>
          </w:tcPr>
          <w:p w14:paraId="2BBF19F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9</w:t>
            </w:r>
          </w:p>
        </w:tc>
        <w:tc>
          <w:tcPr>
            <w:tcW w:w="484" w:type="dxa"/>
            <w:shd w:val="clear" w:color="auto" w:fill="auto"/>
            <w:vAlign w:val="bottom"/>
          </w:tcPr>
          <w:p w14:paraId="5D53CD6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29</w:t>
            </w:r>
          </w:p>
        </w:tc>
      </w:tr>
      <w:tr w:rsidR="006A1449" w:rsidRPr="00333AFD" w14:paraId="6E4F96CD" w14:textId="77777777" w:rsidTr="00943077">
        <w:trPr>
          <w:trHeight w:val="240"/>
        </w:trPr>
        <w:tc>
          <w:tcPr>
            <w:tcW w:w="2338" w:type="dxa"/>
            <w:shd w:val="clear" w:color="auto" w:fill="auto"/>
            <w:noWrap/>
            <w:hideMark/>
          </w:tcPr>
          <w:p w14:paraId="4354A1BD"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Comisario Principal</w:t>
            </w:r>
          </w:p>
        </w:tc>
        <w:tc>
          <w:tcPr>
            <w:tcW w:w="639" w:type="dxa"/>
            <w:shd w:val="clear" w:color="auto" w:fill="auto"/>
            <w:noWrap/>
            <w:vAlign w:val="bottom"/>
            <w:hideMark/>
          </w:tcPr>
          <w:p w14:paraId="20CDA3F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705" w:type="dxa"/>
            <w:shd w:val="clear" w:color="auto" w:fill="auto"/>
            <w:noWrap/>
            <w:vAlign w:val="bottom"/>
            <w:hideMark/>
          </w:tcPr>
          <w:p w14:paraId="0C17AEB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38</w:t>
            </w:r>
          </w:p>
        </w:tc>
        <w:tc>
          <w:tcPr>
            <w:tcW w:w="476" w:type="dxa"/>
            <w:shd w:val="clear" w:color="auto" w:fill="auto"/>
            <w:noWrap/>
            <w:vAlign w:val="bottom"/>
            <w:hideMark/>
          </w:tcPr>
          <w:p w14:paraId="0397867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43</w:t>
            </w:r>
          </w:p>
        </w:tc>
        <w:tc>
          <w:tcPr>
            <w:tcW w:w="662" w:type="dxa"/>
            <w:shd w:val="clear" w:color="auto" w:fill="auto"/>
            <w:noWrap/>
            <w:vAlign w:val="bottom"/>
            <w:hideMark/>
          </w:tcPr>
          <w:p w14:paraId="670E5C1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682" w:type="dxa"/>
            <w:shd w:val="clear" w:color="auto" w:fill="auto"/>
            <w:noWrap/>
            <w:vAlign w:val="bottom"/>
            <w:hideMark/>
          </w:tcPr>
          <w:p w14:paraId="2CEFEEE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39</w:t>
            </w:r>
          </w:p>
        </w:tc>
        <w:tc>
          <w:tcPr>
            <w:tcW w:w="489" w:type="dxa"/>
            <w:shd w:val="clear" w:color="auto" w:fill="auto"/>
            <w:noWrap/>
            <w:vAlign w:val="bottom"/>
            <w:hideMark/>
          </w:tcPr>
          <w:p w14:paraId="0BAC896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44</w:t>
            </w:r>
          </w:p>
        </w:tc>
        <w:tc>
          <w:tcPr>
            <w:tcW w:w="630" w:type="dxa"/>
            <w:shd w:val="clear" w:color="auto" w:fill="auto"/>
            <w:noWrap/>
            <w:vAlign w:val="bottom"/>
            <w:hideMark/>
          </w:tcPr>
          <w:p w14:paraId="75210A5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13</w:t>
            </w:r>
          </w:p>
        </w:tc>
        <w:tc>
          <w:tcPr>
            <w:tcW w:w="700" w:type="dxa"/>
            <w:shd w:val="clear" w:color="auto" w:fill="auto"/>
            <w:noWrap/>
            <w:vAlign w:val="bottom"/>
            <w:hideMark/>
          </w:tcPr>
          <w:p w14:paraId="0F95989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32</w:t>
            </w:r>
          </w:p>
        </w:tc>
        <w:tc>
          <w:tcPr>
            <w:tcW w:w="504" w:type="dxa"/>
            <w:shd w:val="clear" w:color="auto" w:fill="auto"/>
            <w:noWrap/>
            <w:vAlign w:val="bottom"/>
            <w:hideMark/>
          </w:tcPr>
          <w:p w14:paraId="790BF10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45</w:t>
            </w:r>
          </w:p>
        </w:tc>
        <w:tc>
          <w:tcPr>
            <w:tcW w:w="644" w:type="dxa"/>
            <w:shd w:val="clear" w:color="auto" w:fill="auto"/>
            <w:vAlign w:val="bottom"/>
          </w:tcPr>
          <w:p w14:paraId="5A2ABCBC"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10</w:t>
            </w:r>
          </w:p>
        </w:tc>
        <w:tc>
          <w:tcPr>
            <w:tcW w:w="686" w:type="dxa"/>
            <w:shd w:val="clear" w:color="auto" w:fill="auto"/>
            <w:vAlign w:val="bottom"/>
          </w:tcPr>
          <w:p w14:paraId="349769D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22</w:t>
            </w:r>
          </w:p>
        </w:tc>
        <w:tc>
          <w:tcPr>
            <w:tcW w:w="484" w:type="dxa"/>
            <w:shd w:val="clear" w:color="auto" w:fill="auto"/>
            <w:vAlign w:val="bottom"/>
          </w:tcPr>
          <w:p w14:paraId="2FC3318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32</w:t>
            </w:r>
          </w:p>
        </w:tc>
      </w:tr>
      <w:tr w:rsidR="006A1449" w:rsidRPr="00333AFD" w14:paraId="25B976EB" w14:textId="77777777" w:rsidTr="00943077">
        <w:trPr>
          <w:trHeight w:val="240"/>
        </w:trPr>
        <w:tc>
          <w:tcPr>
            <w:tcW w:w="2338" w:type="dxa"/>
            <w:shd w:val="clear" w:color="auto" w:fill="auto"/>
            <w:noWrap/>
            <w:hideMark/>
          </w:tcPr>
          <w:p w14:paraId="7E592E5B"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Comisario</w:t>
            </w:r>
          </w:p>
        </w:tc>
        <w:tc>
          <w:tcPr>
            <w:tcW w:w="639" w:type="dxa"/>
            <w:shd w:val="clear" w:color="auto" w:fill="auto"/>
            <w:noWrap/>
            <w:vAlign w:val="bottom"/>
            <w:hideMark/>
          </w:tcPr>
          <w:p w14:paraId="3E544AE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25</w:t>
            </w:r>
          </w:p>
        </w:tc>
        <w:tc>
          <w:tcPr>
            <w:tcW w:w="705" w:type="dxa"/>
            <w:shd w:val="clear" w:color="auto" w:fill="auto"/>
            <w:noWrap/>
            <w:vAlign w:val="bottom"/>
            <w:hideMark/>
          </w:tcPr>
          <w:p w14:paraId="42C949E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104</w:t>
            </w:r>
          </w:p>
        </w:tc>
        <w:tc>
          <w:tcPr>
            <w:tcW w:w="476" w:type="dxa"/>
            <w:shd w:val="clear" w:color="auto" w:fill="auto"/>
            <w:noWrap/>
            <w:vAlign w:val="bottom"/>
            <w:hideMark/>
          </w:tcPr>
          <w:p w14:paraId="3F258E5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129</w:t>
            </w:r>
          </w:p>
        </w:tc>
        <w:tc>
          <w:tcPr>
            <w:tcW w:w="662" w:type="dxa"/>
            <w:shd w:val="clear" w:color="auto" w:fill="auto"/>
            <w:noWrap/>
            <w:vAlign w:val="bottom"/>
            <w:hideMark/>
          </w:tcPr>
          <w:p w14:paraId="1ED294D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33</w:t>
            </w:r>
          </w:p>
        </w:tc>
        <w:tc>
          <w:tcPr>
            <w:tcW w:w="682" w:type="dxa"/>
            <w:shd w:val="clear" w:color="auto" w:fill="auto"/>
            <w:noWrap/>
            <w:vAlign w:val="bottom"/>
            <w:hideMark/>
          </w:tcPr>
          <w:p w14:paraId="0FA5ECC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121</w:t>
            </w:r>
          </w:p>
        </w:tc>
        <w:tc>
          <w:tcPr>
            <w:tcW w:w="489" w:type="dxa"/>
            <w:shd w:val="clear" w:color="auto" w:fill="auto"/>
            <w:noWrap/>
            <w:vAlign w:val="bottom"/>
            <w:hideMark/>
          </w:tcPr>
          <w:p w14:paraId="6B78755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154</w:t>
            </w:r>
          </w:p>
        </w:tc>
        <w:tc>
          <w:tcPr>
            <w:tcW w:w="630" w:type="dxa"/>
            <w:shd w:val="clear" w:color="auto" w:fill="auto"/>
            <w:noWrap/>
            <w:vAlign w:val="bottom"/>
            <w:hideMark/>
          </w:tcPr>
          <w:p w14:paraId="073B550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27</w:t>
            </w:r>
          </w:p>
        </w:tc>
        <w:tc>
          <w:tcPr>
            <w:tcW w:w="700" w:type="dxa"/>
            <w:shd w:val="clear" w:color="auto" w:fill="auto"/>
            <w:noWrap/>
            <w:vAlign w:val="bottom"/>
            <w:hideMark/>
          </w:tcPr>
          <w:p w14:paraId="0A3A3BF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114</w:t>
            </w:r>
          </w:p>
        </w:tc>
        <w:tc>
          <w:tcPr>
            <w:tcW w:w="504" w:type="dxa"/>
            <w:shd w:val="clear" w:color="auto" w:fill="auto"/>
            <w:noWrap/>
            <w:vAlign w:val="bottom"/>
            <w:hideMark/>
          </w:tcPr>
          <w:p w14:paraId="771B830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141</w:t>
            </w:r>
          </w:p>
        </w:tc>
        <w:tc>
          <w:tcPr>
            <w:tcW w:w="644" w:type="dxa"/>
            <w:shd w:val="clear" w:color="auto" w:fill="auto"/>
            <w:vAlign w:val="bottom"/>
          </w:tcPr>
          <w:p w14:paraId="757F10B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20</w:t>
            </w:r>
          </w:p>
        </w:tc>
        <w:tc>
          <w:tcPr>
            <w:tcW w:w="686" w:type="dxa"/>
            <w:shd w:val="clear" w:color="auto" w:fill="auto"/>
            <w:vAlign w:val="bottom"/>
          </w:tcPr>
          <w:p w14:paraId="26B02C1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112</w:t>
            </w:r>
          </w:p>
        </w:tc>
        <w:tc>
          <w:tcPr>
            <w:tcW w:w="484" w:type="dxa"/>
            <w:shd w:val="clear" w:color="auto" w:fill="auto"/>
            <w:vAlign w:val="bottom"/>
          </w:tcPr>
          <w:p w14:paraId="4F986DC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132</w:t>
            </w:r>
          </w:p>
        </w:tc>
      </w:tr>
      <w:tr w:rsidR="006A1449" w:rsidRPr="00333AFD" w14:paraId="2905BD3E" w14:textId="77777777" w:rsidTr="00943077">
        <w:trPr>
          <w:trHeight w:val="240"/>
        </w:trPr>
        <w:tc>
          <w:tcPr>
            <w:tcW w:w="2338" w:type="dxa"/>
            <w:shd w:val="clear" w:color="auto" w:fill="auto"/>
            <w:noWrap/>
            <w:hideMark/>
          </w:tcPr>
          <w:p w14:paraId="5713CB3E"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Oficial Jefe de Instituciones Correccionales</w:t>
            </w:r>
          </w:p>
        </w:tc>
        <w:tc>
          <w:tcPr>
            <w:tcW w:w="639" w:type="dxa"/>
            <w:shd w:val="clear" w:color="auto" w:fill="auto"/>
            <w:noWrap/>
            <w:vAlign w:val="bottom"/>
            <w:hideMark/>
          </w:tcPr>
          <w:p w14:paraId="2D68FA5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57</w:t>
            </w:r>
          </w:p>
        </w:tc>
        <w:tc>
          <w:tcPr>
            <w:tcW w:w="705" w:type="dxa"/>
            <w:shd w:val="clear" w:color="auto" w:fill="auto"/>
            <w:noWrap/>
            <w:vAlign w:val="bottom"/>
            <w:hideMark/>
          </w:tcPr>
          <w:p w14:paraId="2F59B0C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202</w:t>
            </w:r>
          </w:p>
        </w:tc>
        <w:tc>
          <w:tcPr>
            <w:tcW w:w="476" w:type="dxa"/>
            <w:shd w:val="clear" w:color="auto" w:fill="auto"/>
            <w:noWrap/>
            <w:vAlign w:val="bottom"/>
            <w:hideMark/>
          </w:tcPr>
          <w:p w14:paraId="1EDEB654"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259</w:t>
            </w:r>
          </w:p>
        </w:tc>
        <w:tc>
          <w:tcPr>
            <w:tcW w:w="662" w:type="dxa"/>
            <w:shd w:val="clear" w:color="auto" w:fill="auto"/>
            <w:noWrap/>
            <w:vAlign w:val="bottom"/>
            <w:hideMark/>
          </w:tcPr>
          <w:p w14:paraId="610582A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60</w:t>
            </w:r>
          </w:p>
        </w:tc>
        <w:tc>
          <w:tcPr>
            <w:tcW w:w="682" w:type="dxa"/>
            <w:shd w:val="clear" w:color="auto" w:fill="auto"/>
            <w:noWrap/>
            <w:vAlign w:val="bottom"/>
            <w:hideMark/>
          </w:tcPr>
          <w:p w14:paraId="2B729EE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221</w:t>
            </w:r>
          </w:p>
        </w:tc>
        <w:tc>
          <w:tcPr>
            <w:tcW w:w="489" w:type="dxa"/>
            <w:shd w:val="clear" w:color="auto" w:fill="auto"/>
            <w:noWrap/>
            <w:vAlign w:val="bottom"/>
            <w:hideMark/>
          </w:tcPr>
          <w:p w14:paraId="6746FA6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281</w:t>
            </w:r>
          </w:p>
        </w:tc>
        <w:tc>
          <w:tcPr>
            <w:tcW w:w="630" w:type="dxa"/>
            <w:shd w:val="clear" w:color="auto" w:fill="auto"/>
            <w:noWrap/>
            <w:vAlign w:val="bottom"/>
            <w:hideMark/>
          </w:tcPr>
          <w:p w14:paraId="29003BB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63</w:t>
            </w:r>
          </w:p>
        </w:tc>
        <w:tc>
          <w:tcPr>
            <w:tcW w:w="700" w:type="dxa"/>
            <w:shd w:val="clear" w:color="auto" w:fill="auto"/>
            <w:noWrap/>
            <w:vAlign w:val="bottom"/>
            <w:hideMark/>
          </w:tcPr>
          <w:p w14:paraId="0900E66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240</w:t>
            </w:r>
          </w:p>
        </w:tc>
        <w:tc>
          <w:tcPr>
            <w:tcW w:w="504" w:type="dxa"/>
            <w:shd w:val="clear" w:color="auto" w:fill="auto"/>
            <w:noWrap/>
            <w:vAlign w:val="bottom"/>
            <w:hideMark/>
          </w:tcPr>
          <w:p w14:paraId="0294CDD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303</w:t>
            </w:r>
          </w:p>
        </w:tc>
        <w:tc>
          <w:tcPr>
            <w:tcW w:w="644" w:type="dxa"/>
            <w:shd w:val="clear" w:color="auto" w:fill="auto"/>
            <w:vAlign w:val="bottom"/>
          </w:tcPr>
          <w:p w14:paraId="21A9C70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60</w:t>
            </w:r>
          </w:p>
        </w:tc>
        <w:tc>
          <w:tcPr>
            <w:tcW w:w="686" w:type="dxa"/>
            <w:shd w:val="clear" w:color="auto" w:fill="auto"/>
            <w:vAlign w:val="bottom"/>
          </w:tcPr>
          <w:p w14:paraId="09458FD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219</w:t>
            </w:r>
          </w:p>
        </w:tc>
        <w:tc>
          <w:tcPr>
            <w:tcW w:w="484" w:type="dxa"/>
            <w:shd w:val="clear" w:color="auto" w:fill="auto"/>
            <w:vAlign w:val="bottom"/>
          </w:tcPr>
          <w:p w14:paraId="4CAD223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279</w:t>
            </w:r>
          </w:p>
        </w:tc>
      </w:tr>
      <w:tr w:rsidR="006A1449" w:rsidRPr="00333AFD" w14:paraId="4F9C24FC" w14:textId="77777777" w:rsidTr="00943077">
        <w:trPr>
          <w:trHeight w:val="240"/>
        </w:trPr>
        <w:tc>
          <w:tcPr>
            <w:tcW w:w="2338" w:type="dxa"/>
            <w:tcBorders>
              <w:bottom w:val="single" w:sz="4" w:space="0" w:color="auto"/>
            </w:tcBorders>
            <w:shd w:val="clear" w:color="auto" w:fill="auto"/>
            <w:noWrap/>
            <w:hideMark/>
          </w:tcPr>
          <w:p w14:paraId="5C39CEA3"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Oficial Principal de Instituciones Correccionales</w:t>
            </w:r>
          </w:p>
        </w:tc>
        <w:tc>
          <w:tcPr>
            <w:tcW w:w="639" w:type="dxa"/>
            <w:tcBorders>
              <w:bottom w:val="single" w:sz="4" w:space="0" w:color="auto"/>
            </w:tcBorders>
            <w:shd w:val="clear" w:color="auto" w:fill="auto"/>
            <w:noWrap/>
            <w:vAlign w:val="bottom"/>
            <w:hideMark/>
          </w:tcPr>
          <w:p w14:paraId="30B9184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157</w:t>
            </w:r>
          </w:p>
        </w:tc>
        <w:tc>
          <w:tcPr>
            <w:tcW w:w="705" w:type="dxa"/>
            <w:tcBorders>
              <w:bottom w:val="single" w:sz="4" w:space="0" w:color="auto"/>
            </w:tcBorders>
            <w:shd w:val="clear" w:color="auto" w:fill="auto"/>
            <w:noWrap/>
            <w:vAlign w:val="bottom"/>
            <w:hideMark/>
          </w:tcPr>
          <w:p w14:paraId="47E47C0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369</w:t>
            </w:r>
          </w:p>
        </w:tc>
        <w:tc>
          <w:tcPr>
            <w:tcW w:w="476" w:type="dxa"/>
            <w:tcBorders>
              <w:bottom w:val="single" w:sz="4" w:space="0" w:color="auto"/>
            </w:tcBorders>
            <w:shd w:val="clear" w:color="auto" w:fill="auto"/>
            <w:noWrap/>
            <w:vAlign w:val="bottom"/>
            <w:hideMark/>
          </w:tcPr>
          <w:p w14:paraId="237739D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526</w:t>
            </w:r>
          </w:p>
        </w:tc>
        <w:tc>
          <w:tcPr>
            <w:tcW w:w="662" w:type="dxa"/>
            <w:tcBorders>
              <w:bottom w:val="single" w:sz="4" w:space="0" w:color="auto"/>
            </w:tcBorders>
            <w:shd w:val="clear" w:color="auto" w:fill="auto"/>
            <w:noWrap/>
            <w:vAlign w:val="bottom"/>
            <w:hideMark/>
          </w:tcPr>
          <w:p w14:paraId="2FF3AFE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173</w:t>
            </w:r>
          </w:p>
        </w:tc>
        <w:tc>
          <w:tcPr>
            <w:tcW w:w="682" w:type="dxa"/>
            <w:tcBorders>
              <w:bottom w:val="single" w:sz="4" w:space="0" w:color="auto"/>
            </w:tcBorders>
            <w:shd w:val="clear" w:color="auto" w:fill="auto"/>
            <w:noWrap/>
            <w:vAlign w:val="bottom"/>
            <w:hideMark/>
          </w:tcPr>
          <w:p w14:paraId="32AFD183"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398</w:t>
            </w:r>
          </w:p>
        </w:tc>
        <w:tc>
          <w:tcPr>
            <w:tcW w:w="489" w:type="dxa"/>
            <w:tcBorders>
              <w:bottom w:val="single" w:sz="4" w:space="0" w:color="auto"/>
            </w:tcBorders>
            <w:shd w:val="clear" w:color="auto" w:fill="auto"/>
            <w:noWrap/>
            <w:vAlign w:val="bottom"/>
            <w:hideMark/>
          </w:tcPr>
          <w:p w14:paraId="1E0568F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571</w:t>
            </w:r>
          </w:p>
        </w:tc>
        <w:tc>
          <w:tcPr>
            <w:tcW w:w="630" w:type="dxa"/>
            <w:tcBorders>
              <w:bottom w:val="single" w:sz="4" w:space="0" w:color="auto"/>
            </w:tcBorders>
            <w:shd w:val="clear" w:color="auto" w:fill="auto"/>
            <w:noWrap/>
            <w:vAlign w:val="bottom"/>
            <w:hideMark/>
          </w:tcPr>
          <w:p w14:paraId="509834B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161</w:t>
            </w:r>
          </w:p>
        </w:tc>
        <w:tc>
          <w:tcPr>
            <w:tcW w:w="700" w:type="dxa"/>
            <w:tcBorders>
              <w:bottom w:val="single" w:sz="4" w:space="0" w:color="auto"/>
            </w:tcBorders>
            <w:shd w:val="clear" w:color="auto" w:fill="auto"/>
            <w:noWrap/>
            <w:vAlign w:val="bottom"/>
            <w:hideMark/>
          </w:tcPr>
          <w:p w14:paraId="7A2BA67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403</w:t>
            </w:r>
          </w:p>
        </w:tc>
        <w:tc>
          <w:tcPr>
            <w:tcW w:w="504" w:type="dxa"/>
            <w:tcBorders>
              <w:bottom w:val="single" w:sz="4" w:space="0" w:color="auto"/>
            </w:tcBorders>
            <w:shd w:val="clear" w:color="auto" w:fill="auto"/>
            <w:noWrap/>
            <w:vAlign w:val="bottom"/>
            <w:hideMark/>
          </w:tcPr>
          <w:p w14:paraId="779E672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564</w:t>
            </w:r>
          </w:p>
        </w:tc>
        <w:tc>
          <w:tcPr>
            <w:tcW w:w="644" w:type="dxa"/>
            <w:tcBorders>
              <w:bottom w:val="single" w:sz="4" w:space="0" w:color="auto"/>
            </w:tcBorders>
            <w:shd w:val="clear" w:color="auto" w:fill="auto"/>
            <w:vAlign w:val="bottom"/>
          </w:tcPr>
          <w:p w14:paraId="12E8B62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162</w:t>
            </w:r>
          </w:p>
        </w:tc>
        <w:tc>
          <w:tcPr>
            <w:tcW w:w="686" w:type="dxa"/>
            <w:tcBorders>
              <w:bottom w:val="single" w:sz="4" w:space="0" w:color="auto"/>
            </w:tcBorders>
            <w:shd w:val="clear" w:color="auto" w:fill="auto"/>
            <w:vAlign w:val="bottom"/>
          </w:tcPr>
          <w:p w14:paraId="04A11F23"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385</w:t>
            </w:r>
          </w:p>
        </w:tc>
        <w:tc>
          <w:tcPr>
            <w:tcW w:w="484" w:type="dxa"/>
            <w:tcBorders>
              <w:bottom w:val="single" w:sz="4" w:space="0" w:color="auto"/>
            </w:tcBorders>
            <w:shd w:val="clear" w:color="auto" w:fill="auto"/>
            <w:vAlign w:val="bottom"/>
          </w:tcPr>
          <w:p w14:paraId="343425D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547</w:t>
            </w:r>
          </w:p>
        </w:tc>
      </w:tr>
      <w:tr w:rsidR="006A1449" w:rsidRPr="006A1449" w14:paraId="7D4C2163" w14:textId="77777777" w:rsidTr="00943077">
        <w:trPr>
          <w:trHeight w:val="240"/>
        </w:trPr>
        <w:tc>
          <w:tcPr>
            <w:tcW w:w="2338" w:type="dxa"/>
            <w:tcBorders>
              <w:top w:val="single" w:sz="4" w:space="0" w:color="auto"/>
              <w:bottom w:val="single" w:sz="12" w:space="0" w:color="auto"/>
            </w:tcBorders>
            <w:shd w:val="clear" w:color="auto" w:fill="auto"/>
            <w:noWrap/>
            <w:hideMark/>
          </w:tcPr>
          <w:p w14:paraId="3443B1C3" w14:textId="77777777" w:rsidR="00333AFD" w:rsidRPr="00333AFD" w:rsidRDefault="00333AFD" w:rsidP="006A1449">
            <w:pPr>
              <w:pStyle w:val="SingleTxtG"/>
              <w:tabs>
                <w:tab w:val="clear" w:pos="1701"/>
                <w:tab w:val="clear" w:pos="2268"/>
                <w:tab w:val="clear" w:pos="2835"/>
              </w:tabs>
              <w:spacing w:before="80" w:after="80" w:line="220" w:lineRule="exact"/>
              <w:ind w:left="283" w:right="0"/>
              <w:jc w:val="left"/>
              <w:rPr>
                <w:b/>
                <w:bCs/>
                <w:sz w:val="18"/>
              </w:rPr>
            </w:pPr>
            <w:r w:rsidRPr="00333AFD">
              <w:rPr>
                <w:b/>
                <w:bCs/>
                <w:sz w:val="18"/>
              </w:rPr>
              <w:t>Total</w:t>
            </w:r>
          </w:p>
        </w:tc>
        <w:tc>
          <w:tcPr>
            <w:tcW w:w="639" w:type="dxa"/>
            <w:tcBorders>
              <w:top w:val="single" w:sz="4" w:space="0" w:color="auto"/>
              <w:bottom w:val="single" w:sz="12" w:space="0" w:color="auto"/>
            </w:tcBorders>
            <w:shd w:val="clear" w:color="auto" w:fill="auto"/>
            <w:noWrap/>
            <w:vAlign w:val="bottom"/>
          </w:tcPr>
          <w:p w14:paraId="240753FE"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250</w:t>
            </w:r>
          </w:p>
        </w:tc>
        <w:tc>
          <w:tcPr>
            <w:tcW w:w="705" w:type="dxa"/>
            <w:tcBorders>
              <w:top w:val="single" w:sz="4" w:space="0" w:color="auto"/>
              <w:bottom w:val="single" w:sz="12" w:space="0" w:color="auto"/>
            </w:tcBorders>
            <w:shd w:val="clear" w:color="auto" w:fill="auto"/>
            <w:noWrap/>
            <w:vAlign w:val="bottom"/>
          </w:tcPr>
          <w:p w14:paraId="482DFC0F"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727</w:t>
            </w:r>
          </w:p>
        </w:tc>
        <w:tc>
          <w:tcPr>
            <w:tcW w:w="476" w:type="dxa"/>
            <w:tcBorders>
              <w:top w:val="single" w:sz="4" w:space="0" w:color="auto"/>
              <w:bottom w:val="single" w:sz="12" w:space="0" w:color="auto"/>
            </w:tcBorders>
            <w:shd w:val="clear" w:color="auto" w:fill="auto"/>
            <w:noWrap/>
            <w:vAlign w:val="bottom"/>
          </w:tcPr>
          <w:p w14:paraId="272B9B8D"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977</w:t>
            </w:r>
          </w:p>
        </w:tc>
        <w:tc>
          <w:tcPr>
            <w:tcW w:w="662" w:type="dxa"/>
            <w:tcBorders>
              <w:top w:val="single" w:sz="4" w:space="0" w:color="auto"/>
              <w:bottom w:val="single" w:sz="12" w:space="0" w:color="auto"/>
            </w:tcBorders>
            <w:shd w:val="clear" w:color="auto" w:fill="auto"/>
            <w:noWrap/>
            <w:vAlign w:val="bottom"/>
          </w:tcPr>
          <w:p w14:paraId="4EFB2A5E"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279</w:t>
            </w:r>
          </w:p>
        </w:tc>
        <w:tc>
          <w:tcPr>
            <w:tcW w:w="682" w:type="dxa"/>
            <w:tcBorders>
              <w:top w:val="single" w:sz="4" w:space="0" w:color="auto"/>
              <w:bottom w:val="single" w:sz="12" w:space="0" w:color="auto"/>
            </w:tcBorders>
            <w:shd w:val="clear" w:color="auto" w:fill="auto"/>
            <w:noWrap/>
            <w:vAlign w:val="bottom"/>
          </w:tcPr>
          <w:p w14:paraId="14953031"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795</w:t>
            </w:r>
          </w:p>
        </w:tc>
        <w:tc>
          <w:tcPr>
            <w:tcW w:w="489" w:type="dxa"/>
            <w:tcBorders>
              <w:top w:val="single" w:sz="4" w:space="0" w:color="auto"/>
              <w:bottom w:val="single" w:sz="12" w:space="0" w:color="auto"/>
            </w:tcBorders>
            <w:shd w:val="clear" w:color="auto" w:fill="auto"/>
            <w:noWrap/>
            <w:vAlign w:val="bottom"/>
          </w:tcPr>
          <w:p w14:paraId="3A668BB0" w14:textId="115C7DFD"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1</w:t>
            </w:r>
            <w:r w:rsidR="006A1449">
              <w:rPr>
                <w:b/>
                <w:bCs/>
                <w:sz w:val="18"/>
              </w:rPr>
              <w:t xml:space="preserve"> </w:t>
            </w:r>
            <w:r w:rsidRPr="00333AFD">
              <w:rPr>
                <w:b/>
                <w:bCs/>
                <w:sz w:val="18"/>
              </w:rPr>
              <w:t>074</w:t>
            </w:r>
          </w:p>
        </w:tc>
        <w:tc>
          <w:tcPr>
            <w:tcW w:w="630" w:type="dxa"/>
            <w:tcBorders>
              <w:top w:val="single" w:sz="4" w:space="0" w:color="auto"/>
              <w:bottom w:val="single" w:sz="12" w:space="0" w:color="auto"/>
            </w:tcBorders>
            <w:shd w:val="clear" w:color="auto" w:fill="auto"/>
            <w:noWrap/>
            <w:vAlign w:val="bottom"/>
          </w:tcPr>
          <w:p w14:paraId="0B09A825"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271</w:t>
            </w:r>
          </w:p>
        </w:tc>
        <w:tc>
          <w:tcPr>
            <w:tcW w:w="700" w:type="dxa"/>
            <w:tcBorders>
              <w:top w:val="single" w:sz="4" w:space="0" w:color="auto"/>
              <w:bottom w:val="single" w:sz="12" w:space="0" w:color="auto"/>
            </w:tcBorders>
            <w:shd w:val="clear" w:color="auto" w:fill="auto"/>
            <w:noWrap/>
            <w:vAlign w:val="bottom"/>
          </w:tcPr>
          <w:p w14:paraId="0C8458AE"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820</w:t>
            </w:r>
          </w:p>
        </w:tc>
        <w:tc>
          <w:tcPr>
            <w:tcW w:w="504" w:type="dxa"/>
            <w:tcBorders>
              <w:top w:val="single" w:sz="4" w:space="0" w:color="auto"/>
              <w:bottom w:val="single" w:sz="12" w:space="0" w:color="auto"/>
            </w:tcBorders>
            <w:shd w:val="clear" w:color="auto" w:fill="auto"/>
            <w:noWrap/>
            <w:vAlign w:val="bottom"/>
          </w:tcPr>
          <w:p w14:paraId="4C4AB864" w14:textId="2B0788E8"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1</w:t>
            </w:r>
            <w:r w:rsidR="006A1449">
              <w:rPr>
                <w:b/>
                <w:bCs/>
                <w:sz w:val="18"/>
              </w:rPr>
              <w:t xml:space="preserve"> </w:t>
            </w:r>
            <w:r w:rsidRPr="00333AFD">
              <w:rPr>
                <w:b/>
                <w:bCs/>
                <w:sz w:val="18"/>
              </w:rPr>
              <w:t>094</w:t>
            </w:r>
          </w:p>
        </w:tc>
        <w:tc>
          <w:tcPr>
            <w:tcW w:w="644" w:type="dxa"/>
            <w:tcBorders>
              <w:top w:val="single" w:sz="4" w:space="0" w:color="auto"/>
              <w:bottom w:val="single" w:sz="12" w:space="0" w:color="auto"/>
            </w:tcBorders>
            <w:shd w:val="clear" w:color="auto" w:fill="auto"/>
            <w:vAlign w:val="bottom"/>
          </w:tcPr>
          <w:p w14:paraId="6990C278"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248</w:t>
            </w:r>
          </w:p>
        </w:tc>
        <w:tc>
          <w:tcPr>
            <w:tcW w:w="686" w:type="dxa"/>
            <w:tcBorders>
              <w:top w:val="single" w:sz="4" w:space="0" w:color="auto"/>
              <w:bottom w:val="single" w:sz="12" w:space="0" w:color="auto"/>
            </w:tcBorders>
            <w:shd w:val="clear" w:color="auto" w:fill="auto"/>
            <w:vAlign w:val="bottom"/>
          </w:tcPr>
          <w:p w14:paraId="7181763E" w14:textId="77777777"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762</w:t>
            </w:r>
          </w:p>
        </w:tc>
        <w:tc>
          <w:tcPr>
            <w:tcW w:w="484" w:type="dxa"/>
            <w:tcBorders>
              <w:top w:val="single" w:sz="4" w:space="0" w:color="auto"/>
              <w:bottom w:val="single" w:sz="12" w:space="0" w:color="auto"/>
            </w:tcBorders>
            <w:shd w:val="clear" w:color="auto" w:fill="auto"/>
            <w:vAlign w:val="bottom"/>
          </w:tcPr>
          <w:p w14:paraId="0EA22402" w14:textId="5D1B0552" w:rsidR="00333AFD" w:rsidRPr="00333AFD" w:rsidRDefault="00333AFD" w:rsidP="006A1449">
            <w:pPr>
              <w:pStyle w:val="SingleTxtG"/>
              <w:tabs>
                <w:tab w:val="clear" w:pos="1701"/>
                <w:tab w:val="clear" w:pos="2268"/>
                <w:tab w:val="clear" w:pos="2835"/>
              </w:tabs>
              <w:spacing w:before="80" w:after="80" w:line="220" w:lineRule="exact"/>
              <w:ind w:left="28" w:right="28"/>
              <w:jc w:val="right"/>
              <w:rPr>
                <w:b/>
                <w:bCs/>
                <w:sz w:val="18"/>
              </w:rPr>
            </w:pPr>
            <w:r w:rsidRPr="00333AFD">
              <w:rPr>
                <w:b/>
                <w:bCs/>
                <w:sz w:val="18"/>
              </w:rPr>
              <w:t>1</w:t>
            </w:r>
            <w:r w:rsidR="006A1449">
              <w:rPr>
                <w:b/>
                <w:bCs/>
                <w:sz w:val="18"/>
              </w:rPr>
              <w:t xml:space="preserve"> </w:t>
            </w:r>
            <w:r w:rsidRPr="00333AFD">
              <w:rPr>
                <w:b/>
                <w:bCs/>
                <w:sz w:val="18"/>
              </w:rPr>
              <w:t>010</w:t>
            </w:r>
          </w:p>
        </w:tc>
      </w:tr>
    </w:tbl>
    <w:p w14:paraId="6CA9C9CC" w14:textId="77777777" w:rsidR="00333AFD" w:rsidRPr="00333AFD" w:rsidRDefault="00333AFD" w:rsidP="006A1449">
      <w:pPr>
        <w:pStyle w:val="SingleTxtG"/>
        <w:spacing w:before="120" w:after="240"/>
        <w:ind w:left="0" w:right="282" w:firstLine="170"/>
        <w:jc w:val="left"/>
        <w:rPr>
          <w:sz w:val="18"/>
          <w:szCs w:val="18"/>
        </w:rPr>
      </w:pPr>
      <w:r w:rsidRPr="00333AFD">
        <w:rPr>
          <w:i/>
          <w:iCs/>
          <w:sz w:val="18"/>
          <w:szCs w:val="18"/>
        </w:rPr>
        <w:t>Fuente:</w:t>
      </w:r>
      <w:r w:rsidRPr="00333AFD">
        <w:rPr>
          <w:sz w:val="18"/>
          <w:szCs w:val="18"/>
        </w:rPr>
        <w:t xml:space="preserve"> ZIMSTAT, </w:t>
      </w:r>
      <w:r w:rsidRPr="00333AFD">
        <w:rPr>
          <w:i/>
          <w:iCs/>
          <w:sz w:val="18"/>
          <w:szCs w:val="18"/>
        </w:rPr>
        <w:t>Zimbabwe Women and Men Report</w:t>
      </w:r>
      <w:r w:rsidRPr="00333AFD">
        <w:rPr>
          <w:sz w:val="18"/>
          <w:szCs w:val="18"/>
        </w:rPr>
        <w:t>, 2016. Servicios Penitenciarios y Correccionales de Zimbabwe, 2021.</w:t>
      </w:r>
    </w:p>
    <w:p w14:paraId="13CB241F" w14:textId="3BB9C313" w:rsidR="00333AFD" w:rsidRPr="00333AFD" w:rsidRDefault="00333AFD" w:rsidP="00333AFD">
      <w:pPr>
        <w:pStyle w:val="H23G"/>
      </w:pPr>
      <w:r w:rsidRPr="00333AFD">
        <w:rPr>
          <w:b w:val="0"/>
          <w:bCs/>
        </w:rPr>
        <w:lastRenderedPageBreak/>
        <w:tab/>
      </w:r>
      <w:r w:rsidRPr="00333AFD">
        <w:rPr>
          <w:b w:val="0"/>
          <w:bCs/>
        </w:rPr>
        <w:tab/>
        <w:t>Cuadro 18</w:t>
      </w:r>
      <w:r w:rsidRPr="00333AFD">
        <w:rPr>
          <w:b w:val="0"/>
          <w:bCs/>
        </w:rPr>
        <w:br/>
      </w:r>
      <w:r w:rsidRPr="00333AFD">
        <w:t>Distribución de puestos en el poder judicial por sexo, 2013-2015</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37"/>
        <w:gridCol w:w="1470"/>
        <w:gridCol w:w="674"/>
        <w:gridCol w:w="679"/>
        <w:gridCol w:w="678"/>
        <w:gridCol w:w="679"/>
        <w:gridCol w:w="678"/>
        <w:gridCol w:w="675"/>
      </w:tblGrid>
      <w:tr w:rsidR="00333AFD" w:rsidRPr="00333AFD" w14:paraId="5D1C0FF1" w14:textId="77777777" w:rsidTr="006A1449">
        <w:trPr>
          <w:trHeight w:val="240"/>
          <w:tblHeader/>
        </w:trPr>
        <w:tc>
          <w:tcPr>
            <w:tcW w:w="2127" w:type="dxa"/>
            <w:vMerge w:val="restart"/>
            <w:tcBorders>
              <w:top w:val="single" w:sz="4" w:space="0" w:color="auto"/>
              <w:bottom w:val="single" w:sz="4" w:space="0" w:color="auto"/>
            </w:tcBorders>
            <w:shd w:val="clear" w:color="auto" w:fill="auto"/>
            <w:noWrap/>
            <w:vAlign w:val="bottom"/>
            <w:hideMark/>
          </w:tcPr>
          <w:p w14:paraId="73357DBE"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p>
        </w:tc>
        <w:tc>
          <w:tcPr>
            <w:tcW w:w="1701" w:type="dxa"/>
            <w:vMerge w:val="restart"/>
            <w:tcBorders>
              <w:top w:val="single" w:sz="4" w:space="0" w:color="auto"/>
              <w:bottom w:val="single" w:sz="4" w:space="0" w:color="auto"/>
            </w:tcBorders>
            <w:shd w:val="clear" w:color="auto" w:fill="auto"/>
            <w:noWrap/>
            <w:vAlign w:val="bottom"/>
            <w:hideMark/>
          </w:tcPr>
          <w:p w14:paraId="6625E2F9" w14:textId="77777777" w:rsidR="00333AFD" w:rsidRPr="00333AFD" w:rsidRDefault="00333AFD" w:rsidP="006A1449">
            <w:pPr>
              <w:pStyle w:val="SingleTxtG"/>
              <w:tabs>
                <w:tab w:val="clear" w:pos="1701"/>
                <w:tab w:val="clear" w:pos="2268"/>
                <w:tab w:val="clear" w:pos="2835"/>
              </w:tabs>
              <w:spacing w:before="80" w:after="80" w:line="200" w:lineRule="exact"/>
              <w:ind w:left="85" w:right="0"/>
              <w:jc w:val="left"/>
              <w:rPr>
                <w:i/>
                <w:sz w:val="16"/>
              </w:rPr>
            </w:pPr>
            <w:r w:rsidRPr="00333AFD">
              <w:rPr>
                <w:i/>
                <w:iCs/>
                <w:sz w:val="16"/>
              </w:rPr>
              <w:t>Puesto</w:t>
            </w:r>
          </w:p>
        </w:tc>
        <w:tc>
          <w:tcPr>
            <w:tcW w:w="155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6815B86"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iCs/>
                <w:sz w:val="16"/>
              </w:rPr>
            </w:pPr>
            <w:r w:rsidRPr="00333AFD">
              <w:rPr>
                <w:i/>
                <w:iCs/>
                <w:sz w:val="16"/>
              </w:rPr>
              <w:t>2013</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BA10131"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iCs/>
                <w:sz w:val="16"/>
              </w:rPr>
            </w:pPr>
            <w:r w:rsidRPr="00333AFD">
              <w:rPr>
                <w:i/>
                <w:iCs/>
                <w:sz w:val="16"/>
              </w:rPr>
              <w:t>2014</w:t>
            </w:r>
          </w:p>
        </w:tc>
        <w:tc>
          <w:tcPr>
            <w:tcW w:w="1559"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AB782A7" w14:textId="77777777" w:rsidR="00333AFD" w:rsidRPr="00333AFD" w:rsidRDefault="00333AFD" w:rsidP="006A1449">
            <w:pPr>
              <w:pStyle w:val="SingleTxtG"/>
              <w:tabs>
                <w:tab w:val="clear" w:pos="1701"/>
                <w:tab w:val="clear" w:pos="2268"/>
                <w:tab w:val="clear" w:pos="2835"/>
              </w:tabs>
              <w:spacing w:before="80" w:after="80" w:line="200" w:lineRule="exact"/>
              <w:ind w:left="0" w:right="0"/>
              <w:jc w:val="center"/>
              <w:rPr>
                <w:i/>
                <w:iCs/>
                <w:sz w:val="16"/>
              </w:rPr>
            </w:pPr>
            <w:r w:rsidRPr="00333AFD">
              <w:rPr>
                <w:i/>
                <w:iCs/>
                <w:sz w:val="16"/>
              </w:rPr>
              <w:t>2015</w:t>
            </w:r>
          </w:p>
        </w:tc>
      </w:tr>
      <w:tr w:rsidR="00333AFD" w:rsidRPr="00333AFD" w14:paraId="0B9AD71F" w14:textId="77777777" w:rsidTr="006A1449">
        <w:trPr>
          <w:trHeight w:val="240"/>
          <w:tblHeader/>
        </w:trPr>
        <w:tc>
          <w:tcPr>
            <w:tcW w:w="2127" w:type="dxa"/>
            <w:vMerge/>
            <w:tcBorders>
              <w:top w:val="single" w:sz="4" w:space="0" w:color="auto"/>
              <w:bottom w:val="single" w:sz="12" w:space="0" w:color="auto"/>
            </w:tcBorders>
            <w:shd w:val="clear" w:color="auto" w:fill="auto"/>
            <w:noWrap/>
            <w:vAlign w:val="bottom"/>
            <w:hideMark/>
          </w:tcPr>
          <w:p w14:paraId="189C7123"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p>
        </w:tc>
        <w:tc>
          <w:tcPr>
            <w:tcW w:w="1701" w:type="dxa"/>
            <w:vMerge/>
            <w:tcBorders>
              <w:top w:val="single" w:sz="4" w:space="0" w:color="auto"/>
              <w:bottom w:val="single" w:sz="12" w:space="0" w:color="auto"/>
            </w:tcBorders>
            <w:shd w:val="clear" w:color="auto" w:fill="auto"/>
            <w:vAlign w:val="bottom"/>
            <w:hideMark/>
          </w:tcPr>
          <w:p w14:paraId="44AD045C"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p>
        </w:tc>
        <w:tc>
          <w:tcPr>
            <w:tcW w:w="779" w:type="dxa"/>
            <w:tcBorders>
              <w:top w:val="single" w:sz="4" w:space="0" w:color="auto"/>
              <w:bottom w:val="single" w:sz="12" w:space="0" w:color="auto"/>
            </w:tcBorders>
            <w:shd w:val="clear" w:color="auto" w:fill="auto"/>
            <w:noWrap/>
            <w:vAlign w:val="bottom"/>
            <w:hideMark/>
          </w:tcPr>
          <w:p w14:paraId="3C8D238D"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780" w:type="dxa"/>
            <w:tcBorders>
              <w:top w:val="single" w:sz="4" w:space="0" w:color="auto"/>
              <w:bottom w:val="single" w:sz="12" w:space="0" w:color="auto"/>
              <w:right w:val="single" w:sz="24" w:space="0" w:color="FFFFFF" w:themeColor="background1"/>
            </w:tcBorders>
            <w:shd w:val="clear" w:color="auto" w:fill="auto"/>
            <w:noWrap/>
            <w:vAlign w:val="bottom"/>
            <w:hideMark/>
          </w:tcPr>
          <w:p w14:paraId="0D99A1CE"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c>
          <w:tcPr>
            <w:tcW w:w="779" w:type="dxa"/>
            <w:tcBorders>
              <w:top w:val="single" w:sz="4" w:space="0" w:color="auto"/>
              <w:left w:val="single" w:sz="24" w:space="0" w:color="FFFFFF" w:themeColor="background1"/>
              <w:bottom w:val="single" w:sz="12" w:space="0" w:color="auto"/>
            </w:tcBorders>
            <w:shd w:val="clear" w:color="auto" w:fill="auto"/>
            <w:noWrap/>
            <w:vAlign w:val="bottom"/>
            <w:hideMark/>
          </w:tcPr>
          <w:p w14:paraId="59E11D8C"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780" w:type="dxa"/>
            <w:tcBorders>
              <w:top w:val="single" w:sz="4" w:space="0" w:color="auto"/>
              <w:bottom w:val="single" w:sz="12" w:space="0" w:color="auto"/>
              <w:right w:val="single" w:sz="24" w:space="0" w:color="FFFFFF" w:themeColor="background1"/>
            </w:tcBorders>
            <w:shd w:val="clear" w:color="auto" w:fill="auto"/>
            <w:noWrap/>
            <w:vAlign w:val="bottom"/>
            <w:hideMark/>
          </w:tcPr>
          <w:p w14:paraId="2C37692A"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c>
          <w:tcPr>
            <w:tcW w:w="779" w:type="dxa"/>
            <w:tcBorders>
              <w:top w:val="single" w:sz="4" w:space="0" w:color="auto"/>
              <w:left w:val="single" w:sz="24" w:space="0" w:color="FFFFFF" w:themeColor="background1"/>
              <w:bottom w:val="single" w:sz="12" w:space="0" w:color="auto"/>
            </w:tcBorders>
            <w:shd w:val="clear" w:color="auto" w:fill="auto"/>
            <w:noWrap/>
            <w:vAlign w:val="bottom"/>
            <w:hideMark/>
          </w:tcPr>
          <w:p w14:paraId="64CA39E9"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Mujeres</w:t>
            </w:r>
          </w:p>
        </w:tc>
        <w:tc>
          <w:tcPr>
            <w:tcW w:w="780" w:type="dxa"/>
            <w:tcBorders>
              <w:top w:val="single" w:sz="4" w:space="0" w:color="auto"/>
              <w:bottom w:val="single" w:sz="12" w:space="0" w:color="auto"/>
            </w:tcBorders>
            <w:shd w:val="clear" w:color="auto" w:fill="auto"/>
            <w:noWrap/>
            <w:vAlign w:val="bottom"/>
            <w:hideMark/>
          </w:tcPr>
          <w:p w14:paraId="3D1C8EB0" w14:textId="77777777" w:rsidR="00333AFD" w:rsidRPr="00333AFD" w:rsidRDefault="00333AFD" w:rsidP="006A1449">
            <w:pPr>
              <w:pStyle w:val="SingleTxtG"/>
              <w:tabs>
                <w:tab w:val="clear" w:pos="1701"/>
                <w:tab w:val="clear" w:pos="2268"/>
                <w:tab w:val="clear" w:pos="2835"/>
              </w:tabs>
              <w:spacing w:before="80" w:after="80" w:line="200" w:lineRule="exact"/>
              <w:ind w:left="28" w:right="28"/>
              <w:jc w:val="right"/>
              <w:rPr>
                <w:i/>
                <w:iCs/>
                <w:sz w:val="16"/>
              </w:rPr>
            </w:pPr>
            <w:r w:rsidRPr="00333AFD">
              <w:rPr>
                <w:i/>
                <w:iCs/>
                <w:sz w:val="16"/>
              </w:rPr>
              <w:t>Hombres</w:t>
            </w:r>
          </w:p>
        </w:tc>
      </w:tr>
      <w:tr w:rsidR="00333AFD" w:rsidRPr="00333AFD" w14:paraId="10053770" w14:textId="77777777" w:rsidTr="006A1449">
        <w:trPr>
          <w:trHeight w:val="240"/>
        </w:trPr>
        <w:tc>
          <w:tcPr>
            <w:tcW w:w="2127" w:type="dxa"/>
            <w:vMerge w:val="restart"/>
            <w:tcBorders>
              <w:top w:val="single" w:sz="12" w:space="0" w:color="auto"/>
            </w:tcBorders>
            <w:shd w:val="clear" w:color="auto" w:fill="auto"/>
            <w:noWrap/>
            <w:hideMark/>
          </w:tcPr>
          <w:p w14:paraId="4E3B8A4A"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Tribunal Supremo</w:t>
            </w:r>
          </w:p>
        </w:tc>
        <w:tc>
          <w:tcPr>
            <w:tcW w:w="1701" w:type="dxa"/>
            <w:tcBorders>
              <w:top w:val="single" w:sz="12" w:space="0" w:color="auto"/>
            </w:tcBorders>
            <w:shd w:val="clear" w:color="auto" w:fill="auto"/>
            <w:noWrap/>
            <w:hideMark/>
          </w:tcPr>
          <w:p w14:paraId="5D352467"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Presidente del Tribunal Supremo</w:t>
            </w:r>
          </w:p>
        </w:tc>
        <w:tc>
          <w:tcPr>
            <w:tcW w:w="779" w:type="dxa"/>
            <w:tcBorders>
              <w:top w:val="single" w:sz="12" w:space="0" w:color="auto"/>
            </w:tcBorders>
            <w:shd w:val="clear" w:color="auto" w:fill="auto"/>
            <w:noWrap/>
            <w:vAlign w:val="bottom"/>
            <w:hideMark/>
          </w:tcPr>
          <w:p w14:paraId="5AC2765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tcBorders>
              <w:top w:val="single" w:sz="12" w:space="0" w:color="auto"/>
            </w:tcBorders>
            <w:shd w:val="clear" w:color="auto" w:fill="auto"/>
            <w:noWrap/>
            <w:vAlign w:val="bottom"/>
            <w:hideMark/>
          </w:tcPr>
          <w:p w14:paraId="71437352"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79" w:type="dxa"/>
            <w:tcBorders>
              <w:top w:val="single" w:sz="12" w:space="0" w:color="auto"/>
            </w:tcBorders>
            <w:shd w:val="clear" w:color="auto" w:fill="auto"/>
            <w:noWrap/>
            <w:vAlign w:val="bottom"/>
            <w:hideMark/>
          </w:tcPr>
          <w:p w14:paraId="43AC111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tcBorders>
              <w:top w:val="single" w:sz="12" w:space="0" w:color="auto"/>
            </w:tcBorders>
            <w:shd w:val="clear" w:color="auto" w:fill="auto"/>
            <w:noWrap/>
            <w:vAlign w:val="bottom"/>
            <w:hideMark/>
          </w:tcPr>
          <w:p w14:paraId="3B1791D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79" w:type="dxa"/>
            <w:tcBorders>
              <w:top w:val="single" w:sz="12" w:space="0" w:color="auto"/>
            </w:tcBorders>
            <w:shd w:val="clear" w:color="auto" w:fill="auto"/>
            <w:noWrap/>
            <w:vAlign w:val="bottom"/>
            <w:hideMark/>
          </w:tcPr>
          <w:p w14:paraId="1241D433"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tcBorders>
              <w:top w:val="single" w:sz="12" w:space="0" w:color="auto"/>
            </w:tcBorders>
            <w:shd w:val="clear" w:color="auto" w:fill="auto"/>
            <w:noWrap/>
            <w:vAlign w:val="bottom"/>
            <w:hideMark/>
          </w:tcPr>
          <w:p w14:paraId="027650C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r>
      <w:tr w:rsidR="00333AFD" w:rsidRPr="00333AFD" w14:paraId="25E58276" w14:textId="77777777" w:rsidTr="006A1449">
        <w:trPr>
          <w:trHeight w:val="240"/>
        </w:trPr>
        <w:tc>
          <w:tcPr>
            <w:tcW w:w="2127" w:type="dxa"/>
            <w:vMerge/>
            <w:shd w:val="clear" w:color="auto" w:fill="auto"/>
            <w:hideMark/>
          </w:tcPr>
          <w:p w14:paraId="332C7B10"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noWrap/>
            <w:hideMark/>
          </w:tcPr>
          <w:p w14:paraId="4C79E835"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Vicepresidente del Tribunal Supremo</w:t>
            </w:r>
          </w:p>
        </w:tc>
        <w:tc>
          <w:tcPr>
            <w:tcW w:w="779" w:type="dxa"/>
            <w:shd w:val="clear" w:color="auto" w:fill="auto"/>
            <w:noWrap/>
            <w:vAlign w:val="bottom"/>
            <w:hideMark/>
          </w:tcPr>
          <w:p w14:paraId="7BCE197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shd w:val="clear" w:color="auto" w:fill="auto"/>
            <w:noWrap/>
            <w:vAlign w:val="bottom"/>
            <w:hideMark/>
          </w:tcPr>
          <w:p w14:paraId="2CB3A66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79" w:type="dxa"/>
            <w:shd w:val="clear" w:color="auto" w:fill="auto"/>
            <w:noWrap/>
            <w:vAlign w:val="bottom"/>
            <w:hideMark/>
          </w:tcPr>
          <w:p w14:paraId="03036B8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shd w:val="clear" w:color="auto" w:fill="auto"/>
            <w:noWrap/>
            <w:vAlign w:val="bottom"/>
            <w:hideMark/>
          </w:tcPr>
          <w:p w14:paraId="353FDC2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79" w:type="dxa"/>
            <w:shd w:val="clear" w:color="auto" w:fill="auto"/>
            <w:noWrap/>
            <w:vAlign w:val="bottom"/>
            <w:hideMark/>
          </w:tcPr>
          <w:p w14:paraId="6DEE798C"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shd w:val="clear" w:color="auto" w:fill="auto"/>
            <w:noWrap/>
            <w:vAlign w:val="bottom"/>
            <w:hideMark/>
          </w:tcPr>
          <w:p w14:paraId="70B9E07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r>
      <w:tr w:rsidR="00333AFD" w:rsidRPr="00333AFD" w14:paraId="69EFD2B4" w14:textId="77777777" w:rsidTr="006A1449">
        <w:trPr>
          <w:trHeight w:val="240"/>
        </w:trPr>
        <w:tc>
          <w:tcPr>
            <w:tcW w:w="2127" w:type="dxa"/>
            <w:vMerge/>
            <w:shd w:val="clear" w:color="auto" w:fill="auto"/>
            <w:hideMark/>
          </w:tcPr>
          <w:p w14:paraId="70CAB01F"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noWrap/>
            <w:hideMark/>
          </w:tcPr>
          <w:p w14:paraId="2AD38B80"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Jueces</w:t>
            </w:r>
          </w:p>
        </w:tc>
        <w:tc>
          <w:tcPr>
            <w:tcW w:w="779" w:type="dxa"/>
            <w:shd w:val="clear" w:color="auto" w:fill="auto"/>
            <w:noWrap/>
            <w:vAlign w:val="bottom"/>
            <w:hideMark/>
          </w:tcPr>
          <w:p w14:paraId="109B794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780" w:type="dxa"/>
            <w:shd w:val="clear" w:color="auto" w:fill="auto"/>
            <w:noWrap/>
            <w:vAlign w:val="bottom"/>
            <w:hideMark/>
          </w:tcPr>
          <w:p w14:paraId="37877E9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w:t>
            </w:r>
          </w:p>
        </w:tc>
        <w:tc>
          <w:tcPr>
            <w:tcW w:w="779" w:type="dxa"/>
            <w:shd w:val="clear" w:color="auto" w:fill="auto"/>
            <w:noWrap/>
            <w:vAlign w:val="bottom"/>
            <w:hideMark/>
          </w:tcPr>
          <w:p w14:paraId="641047BC"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780" w:type="dxa"/>
            <w:shd w:val="clear" w:color="auto" w:fill="auto"/>
            <w:noWrap/>
            <w:vAlign w:val="bottom"/>
            <w:hideMark/>
          </w:tcPr>
          <w:p w14:paraId="5F9CF22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3</w:t>
            </w:r>
          </w:p>
        </w:tc>
        <w:tc>
          <w:tcPr>
            <w:tcW w:w="779" w:type="dxa"/>
            <w:shd w:val="clear" w:color="auto" w:fill="auto"/>
            <w:noWrap/>
            <w:vAlign w:val="bottom"/>
            <w:hideMark/>
          </w:tcPr>
          <w:p w14:paraId="2303A45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6</w:t>
            </w:r>
          </w:p>
        </w:tc>
        <w:tc>
          <w:tcPr>
            <w:tcW w:w="780" w:type="dxa"/>
            <w:shd w:val="clear" w:color="auto" w:fill="auto"/>
            <w:noWrap/>
            <w:vAlign w:val="bottom"/>
            <w:hideMark/>
          </w:tcPr>
          <w:p w14:paraId="5DC50223"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r>
      <w:tr w:rsidR="00333AFD" w:rsidRPr="00333AFD" w14:paraId="302EE455" w14:textId="77777777" w:rsidTr="006A1449">
        <w:trPr>
          <w:trHeight w:val="240"/>
        </w:trPr>
        <w:tc>
          <w:tcPr>
            <w:tcW w:w="2127" w:type="dxa"/>
            <w:vMerge w:val="restart"/>
            <w:shd w:val="clear" w:color="auto" w:fill="auto"/>
            <w:noWrap/>
            <w:hideMark/>
          </w:tcPr>
          <w:p w14:paraId="30732300"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Tribunal Superior</w:t>
            </w:r>
          </w:p>
        </w:tc>
        <w:tc>
          <w:tcPr>
            <w:tcW w:w="1701" w:type="dxa"/>
            <w:shd w:val="clear" w:color="auto" w:fill="auto"/>
            <w:noWrap/>
            <w:hideMark/>
          </w:tcPr>
          <w:p w14:paraId="4C128826"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Juez Presidente</w:t>
            </w:r>
          </w:p>
        </w:tc>
        <w:tc>
          <w:tcPr>
            <w:tcW w:w="779" w:type="dxa"/>
            <w:shd w:val="clear" w:color="auto" w:fill="auto"/>
            <w:noWrap/>
            <w:vAlign w:val="bottom"/>
            <w:hideMark/>
          </w:tcPr>
          <w:p w14:paraId="7DFDE8C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shd w:val="clear" w:color="auto" w:fill="auto"/>
            <w:noWrap/>
            <w:vAlign w:val="bottom"/>
            <w:hideMark/>
          </w:tcPr>
          <w:p w14:paraId="10D8055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79" w:type="dxa"/>
            <w:shd w:val="clear" w:color="auto" w:fill="auto"/>
            <w:noWrap/>
            <w:vAlign w:val="bottom"/>
            <w:hideMark/>
          </w:tcPr>
          <w:p w14:paraId="4A52B05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shd w:val="clear" w:color="auto" w:fill="auto"/>
            <w:noWrap/>
            <w:vAlign w:val="bottom"/>
            <w:hideMark/>
          </w:tcPr>
          <w:p w14:paraId="6144584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79" w:type="dxa"/>
            <w:shd w:val="clear" w:color="auto" w:fill="auto"/>
            <w:noWrap/>
            <w:vAlign w:val="bottom"/>
            <w:hideMark/>
          </w:tcPr>
          <w:p w14:paraId="15FC08CB"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80" w:type="dxa"/>
            <w:shd w:val="clear" w:color="auto" w:fill="auto"/>
            <w:noWrap/>
            <w:vAlign w:val="bottom"/>
            <w:hideMark/>
          </w:tcPr>
          <w:p w14:paraId="00EA1B88"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r>
      <w:tr w:rsidR="00333AFD" w:rsidRPr="00333AFD" w14:paraId="0761A320" w14:textId="77777777" w:rsidTr="006A1449">
        <w:trPr>
          <w:trHeight w:val="240"/>
        </w:trPr>
        <w:tc>
          <w:tcPr>
            <w:tcW w:w="2127" w:type="dxa"/>
            <w:vMerge/>
            <w:shd w:val="clear" w:color="auto" w:fill="auto"/>
            <w:hideMark/>
          </w:tcPr>
          <w:p w14:paraId="11FA6600"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noWrap/>
            <w:hideMark/>
          </w:tcPr>
          <w:p w14:paraId="4E27DA2A"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Jueces</w:t>
            </w:r>
          </w:p>
        </w:tc>
        <w:tc>
          <w:tcPr>
            <w:tcW w:w="779" w:type="dxa"/>
            <w:shd w:val="clear" w:color="auto" w:fill="auto"/>
            <w:noWrap/>
            <w:vAlign w:val="bottom"/>
            <w:hideMark/>
          </w:tcPr>
          <w:p w14:paraId="69E95C6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w:t>
            </w:r>
          </w:p>
        </w:tc>
        <w:tc>
          <w:tcPr>
            <w:tcW w:w="780" w:type="dxa"/>
            <w:shd w:val="clear" w:color="auto" w:fill="auto"/>
            <w:noWrap/>
            <w:vAlign w:val="bottom"/>
            <w:hideMark/>
          </w:tcPr>
          <w:p w14:paraId="3889D29A"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18</w:t>
            </w:r>
          </w:p>
        </w:tc>
        <w:tc>
          <w:tcPr>
            <w:tcW w:w="779" w:type="dxa"/>
            <w:shd w:val="clear" w:color="auto" w:fill="auto"/>
            <w:noWrap/>
            <w:vAlign w:val="bottom"/>
            <w:hideMark/>
          </w:tcPr>
          <w:p w14:paraId="1A611DD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w:t>
            </w:r>
          </w:p>
        </w:tc>
        <w:tc>
          <w:tcPr>
            <w:tcW w:w="780" w:type="dxa"/>
            <w:shd w:val="clear" w:color="auto" w:fill="auto"/>
            <w:noWrap/>
            <w:vAlign w:val="bottom"/>
            <w:hideMark/>
          </w:tcPr>
          <w:p w14:paraId="1AC3587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18</w:t>
            </w:r>
          </w:p>
        </w:tc>
        <w:tc>
          <w:tcPr>
            <w:tcW w:w="779" w:type="dxa"/>
            <w:shd w:val="clear" w:color="auto" w:fill="auto"/>
            <w:noWrap/>
            <w:vAlign w:val="bottom"/>
            <w:hideMark/>
          </w:tcPr>
          <w:p w14:paraId="5324A08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13</w:t>
            </w:r>
          </w:p>
        </w:tc>
        <w:tc>
          <w:tcPr>
            <w:tcW w:w="780" w:type="dxa"/>
            <w:shd w:val="clear" w:color="auto" w:fill="auto"/>
            <w:noWrap/>
            <w:vAlign w:val="bottom"/>
            <w:hideMark/>
          </w:tcPr>
          <w:p w14:paraId="3F2EF45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18</w:t>
            </w:r>
          </w:p>
        </w:tc>
      </w:tr>
      <w:tr w:rsidR="00333AFD" w:rsidRPr="00333AFD" w14:paraId="32B0273F" w14:textId="77777777" w:rsidTr="006A1449">
        <w:trPr>
          <w:trHeight w:val="240"/>
        </w:trPr>
        <w:tc>
          <w:tcPr>
            <w:tcW w:w="2127" w:type="dxa"/>
            <w:vMerge w:val="restart"/>
            <w:shd w:val="clear" w:color="auto" w:fill="auto"/>
            <w:noWrap/>
            <w:hideMark/>
          </w:tcPr>
          <w:p w14:paraId="47BBC875"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Tribunal del Trabajo</w:t>
            </w:r>
          </w:p>
        </w:tc>
        <w:tc>
          <w:tcPr>
            <w:tcW w:w="1701" w:type="dxa"/>
            <w:shd w:val="clear" w:color="auto" w:fill="auto"/>
            <w:noWrap/>
            <w:hideMark/>
          </w:tcPr>
          <w:p w14:paraId="0A061570"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Juez Superior</w:t>
            </w:r>
          </w:p>
        </w:tc>
        <w:tc>
          <w:tcPr>
            <w:tcW w:w="779" w:type="dxa"/>
            <w:shd w:val="clear" w:color="auto" w:fill="auto"/>
            <w:noWrap/>
            <w:vAlign w:val="bottom"/>
            <w:hideMark/>
          </w:tcPr>
          <w:p w14:paraId="2671108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80" w:type="dxa"/>
            <w:shd w:val="clear" w:color="auto" w:fill="auto"/>
            <w:noWrap/>
            <w:vAlign w:val="bottom"/>
            <w:hideMark/>
          </w:tcPr>
          <w:p w14:paraId="5A92DBC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79" w:type="dxa"/>
            <w:shd w:val="clear" w:color="auto" w:fill="auto"/>
            <w:noWrap/>
            <w:vAlign w:val="bottom"/>
            <w:hideMark/>
          </w:tcPr>
          <w:p w14:paraId="4F068D54"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80" w:type="dxa"/>
            <w:shd w:val="clear" w:color="auto" w:fill="auto"/>
            <w:noWrap/>
            <w:vAlign w:val="bottom"/>
            <w:hideMark/>
          </w:tcPr>
          <w:p w14:paraId="4968AB2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c>
          <w:tcPr>
            <w:tcW w:w="779" w:type="dxa"/>
            <w:shd w:val="clear" w:color="auto" w:fill="auto"/>
            <w:noWrap/>
            <w:vAlign w:val="bottom"/>
            <w:hideMark/>
          </w:tcPr>
          <w:p w14:paraId="4F7AD6A0"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w:t>
            </w:r>
          </w:p>
        </w:tc>
        <w:tc>
          <w:tcPr>
            <w:tcW w:w="780" w:type="dxa"/>
            <w:shd w:val="clear" w:color="auto" w:fill="auto"/>
            <w:noWrap/>
            <w:vAlign w:val="bottom"/>
            <w:hideMark/>
          </w:tcPr>
          <w:p w14:paraId="3688A1B3"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0</w:t>
            </w:r>
          </w:p>
        </w:tc>
      </w:tr>
      <w:tr w:rsidR="00333AFD" w:rsidRPr="00333AFD" w14:paraId="4447F1A3" w14:textId="77777777" w:rsidTr="006A1449">
        <w:trPr>
          <w:trHeight w:val="240"/>
        </w:trPr>
        <w:tc>
          <w:tcPr>
            <w:tcW w:w="2127" w:type="dxa"/>
            <w:vMerge/>
            <w:shd w:val="clear" w:color="auto" w:fill="auto"/>
            <w:hideMark/>
          </w:tcPr>
          <w:p w14:paraId="2ADE5FD9"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noWrap/>
            <w:hideMark/>
          </w:tcPr>
          <w:p w14:paraId="300FD802"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Jueces</w:t>
            </w:r>
          </w:p>
        </w:tc>
        <w:tc>
          <w:tcPr>
            <w:tcW w:w="779" w:type="dxa"/>
            <w:shd w:val="clear" w:color="auto" w:fill="auto"/>
            <w:noWrap/>
            <w:vAlign w:val="bottom"/>
            <w:hideMark/>
          </w:tcPr>
          <w:p w14:paraId="6ADE85D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10</w:t>
            </w:r>
          </w:p>
        </w:tc>
        <w:tc>
          <w:tcPr>
            <w:tcW w:w="780" w:type="dxa"/>
            <w:shd w:val="clear" w:color="auto" w:fill="auto"/>
            <w:noWrap/>
            <w:vAlign w:val="bottom"/>
            <w:hideMark/>
          </w:tcPr>
          <w:p w14:paraId="75C15D06"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5</w:t>
            </w:r>
          </w:p>
        </w:tc>
        <w:tc>
          <w:tcPr>
            <w:tcW w:w="779" w:type="dxa"/>
            <w:shd w:val="clear" w:color="auto" w:fill="auto"/>
            <w:noWrap/>
            <w:vAlign w:val="bottom"/>
            <w:hideMark/>
          </w:tcPr>
          <w:p w14:paraId="161A99C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10</w:t>
            </w:r>
          </w:p>
        </w:tc>
        <w:tc>
          <w:tcPr>
            <w:tcW w:w="780" w:type="dxa"/>
            <w:shd w:val="clear" w:color="auto" w:fill="auto"/>
            <w:noWrap/>
            <w:vAlign w:val="bottom"/>
            <w:hideMark/>
          </w:tcPr>
          <w:p w14:paraId="158B3999"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c>
          <w:tcPr>
            <w:tcW w:w="779" w:type="dxa"/>
            <w:shd w:val="clear" w:color="auto" w:fill="auto"/>
            <w:noWrap/>
            <w:vAlign w:val="bottom"/>
            <w:hideMark/>
          </w:tcPr>
          <w:p w14:paraId="192D5A2E"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10</w:t>
            </w:r>
          </w:p>
        </w:tc>
        <w:tc>
          <w:tcPr>
            <w:tcW w:w="780" w:type="dxa"/>
            <w:shd w:val="clear" w:color="auto" w:fill="auto"/>
            <w:noWrap/>
            <w:vAlign w:val="bottom"/>
            <w:hideMark/>
          </w:tcPr>
          <w:p w14:paraId="7BE96801"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4</w:t>
            </w:r>
          </w:p>
        </w:tc>
      </w:tr>
      <w:tr w:rsidR="00333AFD" w:rsidRPr="00333AFD" w14:paraId="4BA25C9F" w14:textId="77777777" w:rsidTr="006A1449">
        <w:trPr>
          <w:trHeight w:val="240"/>
        </w:trPr>
        <w:tc>
          <w:tcPr>
            <w:tcW w:w="2127" w:type="dxa"/>
            <w:tcBorders>
              <w:bottom w:val="single" w:sz="12" w:space="0" w:color="auto"/>
            </w:tcBorders>
            <w:shd w:val="clear" w:color="auto" w:fill="auto"/>
            <w:noWrap/>
            <w:hideMark/>
          </w:tcPr>
          <w:p w14:paraId="170DDD0C"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Departamento de Jueces de Primera Instancia</w:t>
            </w:r>
          </w:p>
        </w:tc>
        <w:tc>
          <w:tcPr>
            <w:tcW w:w="1701" w:type="dxa"/>
            <w:tcBorders>
              <w:bottom w:val="single" w:sz="12" w:space="0" w:color="auto"/>
            </w:tcBorders>
            <w:shd w:val="clear" w:color="auto" w:fill="auto"/>
            <w:noWrap/>
            <w:hideMark/>
          </w:tcPr>
          <w:p w14:paraId="09E5DF3E" w14:textId="77777777" w:rsidR="00333AFD" w:rsidRPr="00333AFD" w:rsidRDefault="00333AFD" w:rsidP="006A1449">
            <w:pPr>
              <w:pStyle w:val="SingleTxtG"/>
              <w:tabs>
                <w:tab w:val="clear" w:pos="1701"/>
                <w:tab w:val="clear" w:pos="2268"/>
                <w:tab w:val="clear" w:pos="2835"/>
              </w:tabs>
              <w:spacing w:before="40" w:after="40" w:line="220" w:lineRule="exact"/>
              <w:ind w:left="85" w:right="0"/>
              <w:jc w:val="left"/>
              <w:rPr>
                <w:sz w:val="18"/>
              </w:rPr>
            </w:pPr>
            <w:r w:rsidRPr="00333AFD">
              <w:rPr>
                <w:sz w:val="18"/>
              </w:rPr>
              <w:t>Jueces</w:t>
            </w:r>
          </w:p>
        </w:tc>
        <w:tc>
          <w:tcPr>
            <w:tcW w:w="779" w:type="dxa"/>
            <w:tcBorders>
              <w:bottom w:val="single" w:sz="12" w:space="0" w:color="auto"/>
            </w:tcBorders>
            <w:shd w:val="clear" w:color="auto" w:fill="auto"/>
            <w:noWrap/>
            <w:vAlign w:val="bottom"/>
            <w:hideMark/>
          </w:tcPr>
          <w:p w14:paraId="52B204BF"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92</w:t>
            </w:r>
          </w:p>
        </w:tc>
        <w:tc>
          <w:tcPr>
            <w:tcW w:w="780" w:type="dxa"/>
            <w:tcBorders>
              <w:bottom w:val="single" w:sz="12" w:space="0" w:color="auto"/>
            </w:tcBorders>
            <w:shd w:val="clear" w:color="auto" w:fill="auto"/>
            <w:noWrap/>
            <w:vAlign w:val="bottom"/>
            <w:hideMark/>
          </w:tcPr>
          <w:p w14:paraId="126CE835"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115</w:t>
            </w:r>
          </w:p>
        </w:tc>
        <w:tc>
          <w:tcPr>
            <w:tcW w:w="779" w:type="dxa"/>
            <w:tcBorders>
              <w:bottom w:val="single" w:sz="12" w:space="0" w:color="auto"/>
            </w:tcBorders>
            <w:shd w:val="clear" w:color="auto" w:fill="auto"/>
            <w:noWrap/>
            <w:vAlign w:val="bottom"/>
            <w:hideMark/>
          </w:tcPr>
          <w:p w14:paraId="77150467"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92</w:t>
            </w:r>
          </w:p>
        </w:tc>
        <w:tc>
          <w:tcPr>
            <w:tcW w:w="780" w:type="dxa"/>
            <w:tcBorders>
              <w:bottom w:val="single" w:sz="12" w:space="0" w:color="auto"/>
            </w:tcBorders>
            <w:shd w:val="clear" w:color="auto" w:fill="auto"/>
            <w:noWrap/>
            <w:vAlign w:val="bottom"/>
            <w:hideMark/>
          </w:tcPr>
          <w:p w14:paraId="7C56EABC"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115</w:t>
            </w:r>
          </w:p>
        </w:tc>
        <w:tc>
          <w:tcPr>
            <w:tcW w:w="779" w:type="dxa"/>
            <w:tcBorders>
              <w:bottom w:val="single" w:sz="12" w:space="0" w:color="auto"/>
            </w:tcBorders>
            <w:shd w:val="clear" w:color="auto" w:fill="auto"/>
            <w:noWrap/>
            <w:vAlign w:val="bottom"/>
            <w:hideMark/>
          </w:tcPr>
          <w:p w14:paraId="2D78304D"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98</w:t>
            </w:r>
          </w:p>
        </w:tc>
        <w:tc>
          <w:tcPr>
            <w:tcW w:w="780" w:type="dxa"/>
            <w:tcBorders>
              <w:bottom w:val="single" w:sz="12" w:space="0" w:color="auto"/>
            </w:tcBorders>
            <w:shd w:val="clear" w:color="auto" w:fill="auto"/>
            <w:noWrap/>
            <w:vAlign w:val="bottom"/>
            <w:hideMark/>
          </w:tcPr>
          <w:p w14:paraId="76E1B324" w14:textId="77777777" w:rsidR="00333AFD" w:rsidRPr="00333AFD" w:rsidRDefault="00333AFD" w:rsidP="006A1449">
            <w:pPr>
              <w:pStyle w:val="SingleTxtG"/>
              <w:tabs>
                <w:tab w:val="clear" w:pos="1701"/>
                <w:tab w:val="clear" w:pos="2268"/>
                <w:tab w:val="clear" w:pos="2835"/>
              </w:tabs>
              <w:spacing w:before="40" w:after="40" w:line="220" w:lineRule="exact"/>
              <w:ind w:left="28" w:right="28"/>
              <w:jc w:val="right"/>
              <w:rPr>
                <w:sz w:val="18"/>
              </w:rPr>
            </w:pPr>
            <w:r w:rsidRPr="00333AFD">
              <w:rPr>
                <w:sz w:val="18"/>
              </w:rPr>
              <w:t>112</w:t>
            </w:r>
          </w:p>
        </w:tc>
      </w:tr>
    </w:tbl>
    <w:p w14:paraId="2EC81302" w14:textId="77777777" w:rsidR="00333AFD" w:rsidRPr="00333AFD" w:rsidRDefault="00333AFD" w:rsidP="006A1449">
      <w:pPr>
        <w:pStyle w:val="SingleTxtG"/>
        <w:spacing w:before="120" w:after="240"/>
        <w:ind w:firstLine="170"/>
        <w:jc w:val="left"/>
        <w:rPr>
          <w:sz w:val="18"/>
          <w:szCs w:val="18"/>
        </w:rPr>
      </w:pPr>
      <w:r w:rsidRPr="00333AFD">
        <w:rPr>
          <w:i/>
          <w:iCs/>
          <w:sz w:val="18"/>
          <w:szCs w:val="18"/>
        </w:rPr>
        <w:t>Fuente:</w:t>
      </w:r>
      <w:r w:rsidRPr="00333AFD">
        <w:rPr>
          <w:sz w:val="18"/>
          <w:szCs w:val="18"/>
        </w:rPr>
        <w:t xml:space="preserve"> ZIMSTAT, </w:t>
      </w:r>
      <w:r w:rsidRPr="00333AFD">
        <w:rPr>
          <w:i/>
          <w:iCs/>
          <w:sz w:val="18"/>
          <w:szCs w:val="18"/>
        </w:rPr>
        <w:t>Zimbabwe Women and Men Report</w:t>
      </w:r>
      <w:r w:rsidRPr="00333AFD">
        <w:rPr>
          <w:sz w:val="18"/>
          <w:szCs w:val="18"/>
        </w:rPr>
        <w:t>, 2016.</w:t>
      </w:r>
    </w:p>
    <w:p w14:paraId="7F88F268" w14:textId="13BFC485" w:rsidR="00333AFD" w:rsidRPr="00333AFD" w:rsidRDefault="00333AFD" w:rsidP="00333AFD">
      <w:pPr>
        <w:pStyle w:val="H23G"/>
      </w:pPr>
      <w:r w:rsidRPr="00333AFD">
        <w:rPr>
          <w:b w:val="0"/>
          <w:bCs/>
        </w:rPr>
        <w:tab/>
      </w:r>
      <w:r w:rsidRPr="00333AFD">
        <w:rPr>
          <w:b w:val="0"/>
          <w:bCs/>
        </w:rPr>
        <w:tab/>
        <w:t>Cuadro 19</w:t>
      </w:r>
      <w:r w:rsidRPr="00333AFD">
        <w:rPr>
          <w:b w:val="0"/>
          <w:bCs/>
        </w:rPr>
        <w:br/>
      </w:r>
      <w:r w:rsidRPr="00333AFD">
        <w:t>Mujeres en puestos de liderazgo de la administración pública, 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53"/>
        <w:gridCol w:w="679"/>
        <w:gridCol w:w="776"/>
        <w:gridCol w:w="776"/>
        <w:gridCol w:w="886"/>
      </w:tblGrid>
      <w:tr w:rsidR="00333AFD" w:rsidRPr="00333AFD" w14:paraId="38A4A3D9" w14:textId="77777777" w:rsidTr="00333AFD">
        <w:trPr>
          <w:trHeight w:val="240"/>
          <w:tblHeader/>
        </w:trPr>
        <w:tc>
          <w:tcPr>
            <w:tcW w:w="4253" w:type="dxa"/>
            <w:tcBorders>
              <w:top w:val="single" w:sz="4" w:space="0" w:color="auto"/>
              <w:bottom w:val="single" w:sz="12" w:space="0" w:color="auto"/>
            </w:tcBorders>
            <w:shd w:val="clear" w:color="auto" w:fill="auto"/>
            <w:vAlign w:val="bottom"/>
          </w:tcPr>
          <w:p w14:paraId="43C879C4" w14:textId="77777777" w:rsidR="00333AFD" w:rsidRPr="00333AFD" w:rsidRDefault="00333AFD" w:rsidP="00333AFD">
            <w:pPr>
              <w:pStyle w:val="SingleTxtG"/>
              <w:tabs>
                <w:tab w:val="clear" w:pos="1701"/>
                <w:tab w:val="clear" w:pos="2268"/>
                <w:tab w:val="clear" w:pos="2835"/>
              </w:tabs>
              <w:spacing w:before="80" w:after="80" w:line="200" w:lineRule="exact"/>
              <w:ind w:left="0" w:right="0"/>
              <w:jc w:val="left"/>
              <w:rPr>
                <w:i/>
                <w:sz w:val="16"/>
              </w:rPr>
            </w:pPr>
            <w:r w:rsidRPr="00333AFD">
              <w:rPr>
                <w:i/>
                <w:iCs/>
                <w:sz w:val="16"/>
              </w:rPr>
              <w:t>Puesto</w:t>
            </w:r>
          </w:p>
        </w:tc>
        <w:tc>
          <w:tcPr>
            <w:tcW w:w="679" w:type="dxa"/>
            <w:tcBorders>
              <w:top w:val="single" w:sz="4" w:space="0" w:color="auto"/>
              <w:bottom w:val="single" w:sz="12" w:space="0" w:color="auto"/>
            </w:tcBorders>
            <w:shd w:val="clear" w:color="auto" w:fill="auto"/>
            <w:vAlign w:val="bottom"/>
          </w:tcPr>
          <w:p w14:paraId="7CF422F3" w14:textId="77777777" w:rsidR="00333AFD" w:rsidRPr="00333AFD" w:rsidRDefault="00333AFD" w:rsidP="006A1449">
            <w:pPr>
              <w:pStyle w:val="SingleTxtG"/>
              <w:tabs>
                <w:tab w:val="clear" w:pos="1701"/>
                <w:tab w:val="clear" w:pos="2268"/>
                <w:tab w:val="clear" w:pos="2835"/>
              </w:tabs>
              <w:spacing w:before="80" w:after="80" w:line="200" w:lineRule="exact"/>
              <w:ind w:left="57" w:right="28"/>
              <w:jc w:val="right"/>
              <w:rPr>
                <w:i/>
                <w:sz w:val="16"/>
              </w:rPr>
            </w:pPr>
            <w:r w:rsidRPr="00333AFD">
              <w:rPr>
                <w:i/>
                <w:iCs/>
                <w:sz w:val="16"/>
              </w:rPr>
              <w:t>Mujeres</w:t>
            </w:r>
          </w:p>
        </w:tc>
        <w:tc>
          <w:tcPr>
            <w:tcW w:w="776" w:type="dxa"/>
            <w:tcBorders>
              <w:top w:val="single" w:sz="4" w:space="0" w:color="auto"/>
              <w:bottom w:val="single" w:sz="12" w:space="0" w:color="auto"/>
            </w:tcBorders>
            <w:shd w:val="clear" w:color="auto" w:fill="auto"/>
            <w:vAlign w:val="bottom"/>
          </w:tcPr>
          <w:p w14:paraId="3CEDC0CF" w14:textId="77777777" w:rsidR="00333AFD" w:rsidRPr="00333AFD" w:rsidRDefault="00333AFD" w:rsidP="006A1449">
            <w:pPr>
              <w:pStyle w:val="SingleTxtG"/>
              <w:tabs>
                <w:tab w:val="clear" w:pos="1701"/>
                <w:tab w:val="clear" w:pos="2268"/>
                <w:tab w:val="clear" w:pos="2835"/>
              </w:tabs>
              <w:spacing w:before="80" w:after="80" w:line="200" w:lineRule="exact"/>
              <w:ind w:left="57" w:right="28"/>
              <w:jc w:val="right"/>
              <w:rPr>
                <w:i/>
                <w:sz w:val="16"/>
              </w:rPr>
            </w:pPr>
            <w:r w:rsidRPr="00333AFD">
              <w:rPr>
                <w:i/>
                <w:iCs/>
                <w:sz w:val="16"/>
              </w:rPr>
              <w:t>Hombres</w:t>
            </w:r>
          </w:p>
        </w:tc>
        <w:tc>
          <w:tcPr>
            <w:tcW w:w="776" w:type="dxa"/>
            <w:tcBorders>
              <w:top w:val="single" w:sz="4" w:space="0" w:color="auto"/>
              <w:bottom w:val="single" w:sz="12" w:space="0" w:color="auto"/>
            </w:tcBorders>
            <w:shd w:val="clear" w:color="auto" w:fill="auto"/>
            <w:vAlign w:val="bottom"/>
          </w:tcPr>
          <w:p w14:paraId="080A9AD9" w14:textId="77777777" w:rsidR="00333AFD" w:rsidRPr="00333AFD" w:rsidRDefault="00333AFD" w:rsidP="006A1449">
            <w:pPr>
              <w:pStyle w:val="SingleTxtG"/>
              <w:tabs>
                <w:tab w:val="clear" w:pos="1701"/>
                <w:tab w:val="clear" w:pos="2268"/>
                <w:tab w:val="clear" w:pos="2835"/>
              </w:tabs>
              <w:spacing w:before="80" w:after="80" w:line="200" w:lineRule="exact"/>
              <w:ind w:left="57" w:right="28"/>
              <w:jc w:val="right"/>
              <w:rPr>
                <w:i/>
                <w:sz w:val="16"/>
              </w:rPr>
            </w:pPr>
            <w:r w:rsidRPr="00333AFD">
              <w:rPr>
                <w:i/>
                <w:iCs/>
                <w:sz w:val="16"/>
              </w:rPr>
              <w:t>Total</w:t>
            </w:r>
          </w:p>
        </w:tc>
        <w:tc>
          <w:tcPr>
            <w:tcW w:w="886" w:type="dxa"/>
            <w:tcBorders>
              <w:top w:val="single" w:sz="4" w:space="0" w:color="auto"/>
              <w:bottom w:val="single" w:sz="12" w:space="0" w:color="auto"/>
            </w:tcBorders>
            <w:shd w:val="clear" w:color="auto" w:fill="auto"/>
            <w:vAlign w:val="bottom"/>
          </w:tcPr>
          <w:p w14:paraId="19E31B8D" w14:textId="16CC3110" w:rsidR="00333AFD" w:rsidRPr="00333AFD" w:rsidRDefault="00B151B8" w:rsidP="006A1449">
            <w:pPr>
              <w:pStyle w:val="SingleTxtG"/>
              <w:tabs>
                <w:tab w:val="clear" w:pos="1701"/>
                <w:tab w:val="clear" w:pos="2268"/>
                <w:tab w:val="clear" w:pos="2835"/>
              </w:tabs>
              <w:spacing w:before="80" w:after="80" w:line="200" w:lineRule="exact"/>
              <w:ind w:left="57" w:right="28"/>
              <w:jc w:val="right"/>
              <w:rPr>
                <w:i/>
                <w:sz w:val="16"/>
              </w:rPr>
            </w:pPr>
            <w:r>
              <w:rPr>
                <w:i/>
                <w:sz w:val="16"/>
              </w:rPr>
              <w:t>Porcentaje</w:t>
            </w:r>
          </w:p>
        </w:tc>
      </w:tr>
      <w:tr w:rsidR="00333AFD" w:rsidRPr="00333AFD" w14:paraId="5D9A718B" w14:textId="77777777" w:rsidTr="00333AFD">
        <w:trPr>
          <w:trHeight w:val="240"/>
        </w:trPr>
        <w:tc>
          <w:tcPr>
            <w:tcW w:w="4253" w:type="dxa"/>
            <w:shd w:val="clear" w:color="auto" w:fill="auto"/>
          </w:tcPr>
          <w:p w14:paraId="68953202"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bCs/>
                <w:sz w:val="18"/>
              </w:rPr>
            </w:pPr>
            <w:r w:rsidRPr="00333AFD">
              <w:rPr>
                <w:sz w:val="18"/>
              </w:rPr>
              <w:t>Jefes de Ministerios (Secretarios Permanentes)</w:t>
            </w:r>
          </w:p>
        </w:tc>
        <w:tc>
          <w:tcPr>
            <w:tcW w:w="679" w:type="dxa"/>
            <w:shd w:val="clear" w:color="auto" w:fill="auto"/>
            <w:vAlign w:val="bottom"/>
          </w:tcPr>
          <w:p w14:paraId="3EAC6B77"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11</w:t>
            </w:r>
          </w:p>
        </w:tc>
        <w:tc>
          <w:tcPr>
            <w:tcW w:w="776" w:type="dxa"/>
            <w:shd w:val="clear" w:color="auto" w:fill="auto"/>
            <w:vAlign w:val="bottom"/>
          </w:tcPr>
          <w:p w14:paraId="77A38DEB"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26</w:t>
            </w:r>
          </w:p>
        </w:tc>
        <w:tc>
          <w:tcPr>
            <w:tcW w:w="776" w:type="dxa"/>
            <w:shd w:val="clear" w:color="auto" w:fill="auto"/>
            <w:vAlign w:val="bottom"/>
          </w:tcPr>
          <w:p w14:paraId="58885A78"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37</w:t>
            </w:r>
          </w:p>
        </w:tc>
        <w:tc>
          <w:tcPr>
            <w:tcW w:w="886" w:type="dxa"/>
            <w:shd w:val="clear" w:color="auto" w:fill="auto"/>
            <w:vAlign w:val="bottom"/>
          </w:tcPr>
          <w:p w14:paraId="02038F3B" w14:textId="2F164212"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29,7</w:t>
            </w:r>
          </w:p>
        </w:tc>
      </w:tr>
      <w:tr w:rsidR="00333AFD" w:rsidRPr="00333AFD" w14:paraId="0AC8F0AC" w14:textId="77777777" w:rsidTr="00333AFD">
        <w:trPr>
          <w:trHeight w:val="240"/>
        </w:trPr>
        <w:tc>
          <w:tcPr>
            <w:tcW w:w="4253" w:type="dxa"/>
            <w:shd w:val="clear" w:color="auto" w:fill="auto"/>
          </w:tcPr>
          <w:p w14:paraId="0902DAA9"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bCs/>
                <w:sz w:val="18"/>
              </w:rPr>
            </w:pPr>
            <w:r w:rsidRPr="00333AFD">
              <w:rPr>
                <w:sz w:val="18"/>
              </w:rPr>
              <w:t>Directores Principales</w:t>
            </w:r>
          </w:p>
        </w:tc>
        <w:tc>
          <w:tcPr>
            <w:tcW w:w="679" w:type="dxa"/>
            <w:shd w:val="clear" w:color="auto" w:fill="auto"/>
            <w:vAlign w:val="bottom"/>
          </w:tcPr>
          <w:p w14:paraId="4D8B44DC"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12</w:t>
            </w:r>
          </w:p>
        </w:tc>
        <w:tc>
          <w:tcPr>
            <w:tcW w:w="776" w:type="dxa"/>
            <w:shd w:val="clear" w:color="auto" w:fill="auto"/>
            <w:vAlign w:val="bottom"/>
          </w:tcPr>
          <w:p w14:paraId="72DD7FFD"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46</w:t>
            </w:r>
          </w:p>
        </w:tc>
        <w:tc>
          <w:tcPr>
            <w:tcW w:w="776" w:type="dxa"/>
            <w:shd w:val="clear" w:color="auto" w:fill="auto"/>
            <w:vAlign w:val="bottom"/>
          </w:tcPr>
          <w:p w14:paraId="36840578"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58</w:t>
            </w:r>
          </w:p>
        </w:tc>
        <w:tc>
          <w:tcPr>
            <w:tcW w:w="886" w:type="dxa"/>
            <w:shd w:val="clear" w:color="auto" w:fill="auto"/>
            <w:vAlign w:val="bottom"/>
          </w:tcPr>
          <w:p w14:paraId="01D2B07A" w14:textId="61E2BE3F"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20,6</w:t>
            </w:r>
          </w:p>
        </w:tc>
      </w:tr>
      <w:tr w:rsidR="00333AFD" w:rsidRPr="00333AFD" w14:paraId="6B1A267D" w14:textId="77777777" w:rsidTr="00333AFD">
        <w:trPr>
          <w:trHeight w:val="240"/>
        </w:trPr>
        <w:tc>
          <w:tcPr>
            <w:tcW w:w="4253" w:type="dxa"/>
            <w:shd w:val="clear" w:color="auto" w:fill="auto"/>
          </w:tcPr>
          <w:p w14:paraId="59C59A60"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bCs/>
                <w:sz w:val="18"/>
              </w:rPr>
            </w:pPr>
            <w:r w:rsidRPr="00333AFD">
              <w:rPr>
                <w:sz w:val="18"/>
              </w:rPr>
              <w:t>Directores</w:t>
            </w:r>
          </w:p>
        </w:tc>
        <w:tc>
          <w:tcPr>
            <w:tcW w:w="679" w:type="dxa"/>
            <w:shd w:val="clear" w:color="auto" w:fill="auto"/>
            <w:vAlign w:val="bottom"/>
          </w:tcPr>
          <w:p w14:paraId="0CC045F0"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72</w:t>
            </w:r>
          </w:p>
        </w:tc>
        <w:tc>
          <w:tcPr>
            <w:tcW w:w="776" w:type="dxa"/>
            <w:shd w:val="clear" w:color="auto" w:fill="auto"/>
            <w:vAlign w:val="bottom"/>
          </w:tcPr>
          <w:p w14:paraId="4747B00D"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190</w:t>
            </w:r>
          </w:p>
        </w:tc>
        <w:tc>
          <w:tcPr>
            <w:tcW w:w="776" w:type="dxa"/>
            <w:shd w:val="clear" w:color="auto" w:fill="auto"/>
            <w:vAlign w:val="bottom"/>
          </w:tcPr>
          <w:p w14:paraId="2439AE7A"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262</w:t>
            </w:r>
          </w:p>
        </w:tc>
        <w:tc>
          <w:tcPr>
            <w:tcW w:w="886" w:type="dxa"/>
            <w:shd w:val="clear" w:color="auto" w:fill="auto"/>
            <w:vAlign w:val="bottom"/>
          </w:tcPr>
          <w:p w14:paraId="53E74A4C" w14:textId="48A3F20A"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27,4</w:t>
            </w:r>
          </w:p>
        </w:tc>
      </w:tr>
      <w:tr w:rsidR="00333AFD" w:rsidRPr="00333AFD" w14:paraId="074B1900" w14:textId="77777777" w:rsidTr="00333AFD">
        <w:trPr>
          <w:trHeight w:val="240"/>
        </w:trPr>
        <w:tc>
          <w:tcPr>
            <w:tcW w:w="4253" w:type="dxa"/>
            <w:shd w:val="clear" w:color="auto" w:fill="auto"/>
          </w:tcPr>
          <w:p w14:paraId="6543844A"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Adjuntos</w:t>
            </w:r>
          </w:p>
        </w:tc>
        <w:tc>
          <w:tcPr>
            <w:tcW w:w="679" w:type="dxa"/>
            <w:shd w:val="clear" w:color="auto" w:fill="auto"/>
            <w:vAlign w:val="bottom"/>
          </w:tcPr>
          <w:p w14:paraId="6A3706E3"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151</w:t>
            </w:r>
          </w:p>
        </w:tc>
        <w:tc>
          <w:tcPr>
            <w:tcW w:w="776" w:type="dxa"/>
            <w:shd w:val="clear" w:color="auto" w:fill="auto"/>
            <w:vAlign w:val="bottom"/>
          </w:tcPr>
          <w:p w14:paraId="5C1023E8"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442</w:t>
            </w:r>
          </w:p>
        </w:tc>
        <w:tc>
          <w:tcPr>
            <w:tcW w:w="776" w:type="dxa"/>
            <w:shd w:val="clear" w:color="auto" w:fill="auto"/>
            <w:vAlign w:val="bottom"/>
          </w:tcPr>
          <w:p w14:paraId="723E5544"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593</w:t>
            </w:r>
          </w:p>
        </w:tc>
        <w:tc>
          <w:tcPr>
            <w:tcW w:w="886" w:type="dxa"/>
            <w:shd w:val="clear" w:color="auto" w:fill="auto"/>
            <w:vAlign w:val="bottom"/>
          </w:tcPr>
          <w:p w14:paraId="5C5A17AC" w14:textId="2FA9793E"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25,4</w:t>
            </w:r>
          </w:p>
        </w:tc>
      </w:tr>
      <w:tr w:rsidR="00333AFD" w:rsidRPr="00333AFD" w14:paraId="68914084" w14:textId="77777777" w:rsidTr="00333AFD">
        <w:trPr>
          <w:trHeight w:val="240"/>
        </w:trPr>
        <w:tc>
          <w:tcPr>
            <w:tcW w:w="4253" w:type="dxa"/>
            <w:shd w:val="clear" w:color="auto" w:fill="auto"/>
          </w:tcPr>
          <w:p w14:paraId="670ABD9C"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Consejeros (de autoridades locales)</w:t>
            </w:r>
          </w:p>
        </w:tc>
        <w:tc>
          <w:tcPr>
            <w:tcW w:w="679" w:type="dxa"/>
            <w:shd w:val="clear" w:color="auto" w:fill="auto"/>
            <w:vAlign w:val="bottom"/>
          </w:tcPr>
          <w:p w14:paraId="2218F4BF"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313</w:t>
            </w:r>
          </w:p>
        </w:tc>
        <w:tc>
          <w:tcPr>
            <w:tcW w:w="776" w:type="dxa"/>
            <w:shd w:val="clear" w:color="auto" w:fill="auto"/>
            <w:vAlign w:val="bottom"/>
          </w:tcPr>
          <w:p w14:paraId="32720C85"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1 649</w:t>
            </w:r>
          </w:p>
        </w:tc>
        <w:tc>
          <w:tcPr>
            <w:tcW w:w="776" w:type="dxa"/>
            <w:shd w:val="clear" w:color="auto" w:fill="auto"/>
            <w:vAlign w:val="bottom"/>
          </w:tcPr>
          <w:p w14:paraId="5C570895"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1 962</w:t>
            </w:r>
          </w:p>
        </w:tc>
        <w:tc>
          <w:tcPr>
            <w:tcW w:w="886" w:type="dxa"/>
            <w:shd w:val="clear" w:color="auto" w:fill="auto"/>
            <w:vAlign w:val="bottom"/>
          </w:tcPr>
          <w:p w14:paraId="11F113CC" w14:textId="0D9DAE0E"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15,9</w:t>
            </w:r>
          </w:p>
        </w:tc>
      </w:tr>
      <w:tr w:rsidR="00333AFD" w:rsidRPr="00333AFD" w14:paraId="6BB7F771" w14:textId="77777777" w:rsidTr="00333AFD">
        <w:trPr>
          <w:trHeight w:val="240"/>
        </w:trPr>
        <w:tc>
          <w:tcPr>
            <w:tcW w:w="4253" w:type="dxa"/>
            <w:shd w:val="clear" w:color="auto" w:fill="auto"/>
          </w:tcPr>
          <w:p w14:paraId="2764E5C4"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Juntas de Administración de Empresas Paraestatales o Estatales</w:t>
            </w:r>
          </w:p>
        </w:tc>
        <w:tc>
          <w:tcPr>
            <w:tcW w:w="679" w:type="dxa"/>
            <w:shd w:val="clear" w:color="auto" w:fill="auto"/>
            <w:vAlign w:val="bottom"/>
          </w:tcPr>
          <w:p w14:paraId="64CF5390"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29</w:t>
            </w:r>
          </w:p>
        </w:tc>
        <w:tc>
          <w:tcPr>
            <w:tcW w:w="776" w:type="dxa"/>
            <w:shd w:val="clear" w:color="auto" w:fill="auto"/>
            <w:vAlign w:val="bottom"/>
          </w:tcPr>
          <w:p w14:paraId="00C5A078"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71</w:t>
            </w:r>
          </w:p>
        </w:tc>
        <w:tc>
          <w:tcPr>
            <w:tcW w:w="776" w:type="dxa"/>
            <w:shd w:val="clear" w:color="auto" w:fill="auto"/>
            <w:vAlign w:val="bottom"/>
          </w:tcPr>
          <w:p w14:paraId="38A9D750"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100</w:t>
            </w:r>
          </w:p>
        </w:tc>
        <w:tc>
          <w:tcPr>
            <w:tcW w:w="886" w:type="dxa"/>
            <w:shd w:val="clear" w:color="auto" w:fill="auto"/>
            <w:vAlign w:val="bottom"/>
          </w:tcPr>
          <w:p w14:paraId="66B5E8FC" w14:textId="0E16BF9A"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29</w:t>
            </w:r>
          </w:p>
        </w:tc>
      </w:tr>
      <w:tr w:rsidR="00333AFD" w:rsidRPr="00333AFD" w14:paraId="10C47B61" w14:textId="77777777" w:rsidTr="00333AFD">
        <w:trPr>
          <w:trHeight w:val="240"/>
        </w:trPr>
        <w:tc>
          <w:tcPr>
            <w:tcW w:w="4253" w:type="dxa"/>
            <w:shd w:val="clear" w:color="auto" w:fill="auto"/>
          </w:tcPr>
          <w:p w14:paraId="0B9C9979"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Ejecutivos de Empresas Paraestatales o Estatales</w:t>
            </w:r>
          </w:p>
        </w:tc>
        <w:tc>
          <w:tcPr>
            <w:tcW w:w="679" w:type="dxa"/>
            <w:shd w:val="clear" w:color="auto" w:fill="auto"/>
            <w:vAlign w:val="bottom"/>
          </w:tcPr>
          <w:p w14:paraId="11B86E55"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23</w:t>
            </w:r>
          </w:p>
        </w:tc>
        <w:tc>
          <w:tcPr>
            <w:tcW w:w="776" w:type="dxa"/>
            <w:shd w:val="clear" w:color="auto" w:fill="auto"/>
            <w:vAlign w:val="bottom"/>
          </w:tcPr>
          <w:p w14:paraId="6B6D6F45"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77</w:t>
            </w:r>
          </w:p>
        </w:tc>
        <w:tc>
          <w:tcPr>
            <w:tcW w:w="776" w:type="dxa"/>
            <w:shd w:val="clear" w:color="auto" w:fill="auto"/>
            <w:vAlign w:val="bottom"/>
          </w:tcPr>
          <w:p w14:paraId="60529357"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100</w:t>
            </w:r>
          </w:p>
        </w:tc>
        <w:tc>
          <w:tcPr>
            <w:tcW w:w="886" w:type="dxa"/>
            <w:shd w:val="clear" w:color="auto" w:fill="auto"/>
            <w:vAlign w:val="bottom"/>
          </w:tcPr>
          <w:p w14:paraId="5AEB5263" w14:textId="209C98E5"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23</w:t>
            </w:r>
          </w:p>
        </w:tc>
      </w:tr>
      <w:tr w:rsidR="00333AFD" w:rsidRPr="00333AFD" w14:paraId="7C6EBCB0" w14:textId="77777777" w:rsidTr="00333AFD">
        <w:trPr>
          <w:trHeight w:val="240"/>
        </w:trPr>
        <w:tc>
          <w:tcPr>
            <w:tcW w:w="4253" w:type="dxa"/>
            <w:shd w:val="clear" w:color="auto" w:fill="auto"/>
          </w:tcPr>
          <w:p w14:paraId="5CBE02CA"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Vicerrectores de universidades estatales</w:t>
            </w:r>
          </w:p>
        </w:tc>
        <w:tc>
          <w:tcPr>
            <w:tcW w:w="679" w:type="dxa"/>
            <w:shd w:val="clear" w:color="auto" w:fill="auto"/>
            <w:vAlign w:val="bottom"/>
          </w:tcPr>
          <w:p w14:paraId="007DF553"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3</w:t>
            </w:r>
          </w:p>
        </w:tc>
        <w:tc>
          <w:tcPr>
            <w:tcW w:w="776" w:type="dxa"/>
            <w:shd w:val="clear" w:color="auto" w:fill="auto"/>
            <w:vAlign w:val="bottom"/>
          </w:tcPr>
          <w:p w14:paraId="7B3920E1"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8</w:t>
            </w:r>
          </w:p>
        </w:tc>
        <w:tc>
          <w:tcPr>
            <w:tcW w:w="776" w:type="dxa"/>
            <w:shd w:val="clear" w:color="auto" w:fill="auto"/>
            <w:vAlign w:val="bottom"/>
          </w:tcPr>
          <w:p w14:paraId="59AF4CA0"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11</w:t>
            </w:r>
          </w:p>
        </w:tc>
        <w:tc>
          <w:tcPr>
            <w:tcW w:w="886" w:type="dxa"/>
            <w:shd w:val="clear" w:color="auto" w:fill="auto"/>
            <w:vAlign w:val="bottom"/>
          </w:tcPr>
          <w:p w14:paraId="351B894A" w14:textId="166E2D3E"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27</w:t>
            </w:r>
          </w:p>
        </w:tc>
      </w:tr>
      <w:tr w:rsidR="00333AFD" w:rsidRPr="00333AFD" w14:paraId="5890BD0B" w14:textId="77777777" w:rsidTr="00333AFD">
        <w:trPr>
          <w:trHeight w:val="240"/>
        </w:trPr>
        <w:tc>
          <w:tcPr>
            <w:tcW w:w="4253" w:type="dxa"/>
            <w:shd w:val="clear" w:color="auto" w:fill="auto"/>
          </w:tcPr>
          <w:p w14:paraId="3F499FDA"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de escuelas superiores de magisterio públicas</w:t>
            </w:r>
          </w:p>
        </w:tc>
        <w:tc>
          <w:tcPr>
            <w:tcW w:w="679" w:type="dxa"/>
            <w:shd w:val="clear" w:color="auto" w:fill="auto"/>
            <w:vAlign w:val="bottom"/>
          </w:tcPr>
          <w:p w14:paraId="0686480A"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8</w:t>
            </w:r>
          </w:p>
        </w:tc>
        <w:tc>
          <w:tcPr>
            <w:tcW w:w="776" w:type="dxa"/>
            <w:shd w:val="clear" w:color="auto" w:fill="auto"/>
            <w:vAlign w:val="bottom"/>
          </w:tcPr>
          <w:p w14:paraId="688652F0"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6</w:t>
            </w:r>
          </w:p>
        </w:tc>
        <w:tc>
          <w:tcPr>
            <w:tcW w:w="776" w:type="dxa"/>
            <w:shd w:val="clear" w:color="auto" w:fill="auto"/>
            <w:vAlign w:val="bottom"/>
          </w:tcPr>
          <w:p w14:paraId="0428C0F2"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14</w:t>
            </w:r>
          </w:p>
        </w:tc>
        <w:tc>
          <w:tcPr>
            <w:tcW w:w="886" w:type="dxa"/>
            <w:shd w:val="clear" w:color="auto" w:fill="auto"/>
            <w:vAlign w:val="bottom"/>
          </w:tcPr>
          <w:p w14:paraId="2A7EABC7" w14:textId="3DD71CE5"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57</w:t>
            </w:r>
          </w:p>
        </w:tc>
      </w:tr>
      <w:tr w:rsidR="00333AFD" w:rsidRPr="00333AFD" w14:paraId="37E1D9E7" w14:textId="77777777" w:rsidTr="00333AFD">
        <w:trPr>
          <w:trHeight w:val="240"/>
        </w:trPr>
        <w:tc>
          <w:tcPr>
            <w:tcW w:w="4253" w:type="dxa"/>
            <w:shd w:val="clear" w:color="auto" w:fill="auto"/>
          </w:tcPr>
          <w:p w14:paraId="43B14156"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de escuelas agrícolas públicas</w:t>
            </w:r>
          </w:p>
        </w:tc>
        <w:tc>
          <w:tcPr>
            <w:tcW w:w="679" w:type="dxa"/>
            <w:shd w:val="clear" w:color="auto" w:fill="auto"/>
            <w:vAlign w:val="bottom"/>
          </w:tcPr>
          <w:p w14:paraId="02246121"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w:t>
            </w:r>
          </w:p>
        </w:tc>
        <w:tc>
          <w:tcPr>
            <w:tcW w:w="776" w:type="dxa"/>
            <w:shd w:val="clear" w:color="auto" w:fill="auto"/>
            <w:vAlign w:val="bottom"/>
          </w:tcPr>
          <w:p w14:paraId="48AEDD25"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6</w:t>
            </w:r>
          </w:p>
        </w:tc>
        <w:tc>
          <w:tcPr>
            <w:tcW w:w="776" w:type="dxa"/>
            <w:shd w:val="clear" w:color="auto" w:fill="auto"/>
            <w:vAlign w:val="bottom"/>
          </w:tcPr>
          <w:p w14:paraId="7766AA15"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8</w:t>
            </w:r>
          </w:p>
        </w:tc>
        <w:tc>
          <w:tcPr>
            <w:tcW w:w="886" w:type="dxa"/>
            <w:shd w:val="clear" w:color="auto" w:fill="auto"/>
            <w:vAlign w:val="bottom"/>
          </w:tcPr>
          <w:p w14:paraId="3897F013" w14:textId="3C77275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25</w:t>
            </w:r>
          </w:p>
        </w:tc>
      </w:tr>
      <w:tr w:rsidR="00333AFD" w:rsidRPr="00333AFD" w14:paraId="258E4AC7" w14:textId="77777777" w:rsidTr="00333AFD">
        <w:trPr>
          <w:trHeight w:val="240"/>
        </w:trPr>
        <w:tc>
          <w:tcPr>
            <w:tcW w:w="4253" w:type="dxa"/>
            <w:shd w:val="clear" w:color="auto" w:fill="auto"/>
          </w:tcPr>
          <w:p w14:paraId="6E7133F4"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de escuelas politécnicas públicas</w:t>
            </w:r>
          </w:p>
        </w:tc>
        <w:tc>
          <w:tcPr>
            <w:tcW w:w="679" w:type="dxa"/>
            <w:shd w:val="clear" w:color="auto" w:fill="auto"/>
            <w:vAlign w:val="bottom"/>
          </w:tcPr>
          <w:p w14:paraId="07E30AF6"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w:t>
            </w:r>
          </w:p>
        </w:tc>
        <w:tc>
          <w:tcPr>
            <w:tcW w:w="776" w:type="dxa"/>
            <w:shd w:val="clear" w:color="auto" w:fill="auto"/>
            <w:vAlign w:val="bottom"/>
          </w:tcPr>
          <w:p w14:paraId="2C282176"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6</w:t>
            </w:r>
          </w:p>
        </w:tc>
        <w:tc>
          <w:tcPr>
            <w:tcW w:w="776" w:type="dxa"/>
            <w:shd w:val="clear" w:color="auto" w:fill="auto"/>
            <w:vAlign w:val="bottom"/>
          </w:tcPr>
          <w:p w14:paraId="1A987826"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8</w:t>
            </w:r>
          </w:p>
        </w:tc>
        <w:tc>
          <w:tcPr>
            <w:tcW w:w="886" w:type="dxa"/>
            <w:shd w:val="clear" w:color="auto" w:fill="auto"/>
            <w:vAlign w:val="bottom"/>
          </w:tcPr>
          <w:p w14:paraId="6645F9D5" w14:textId="524E6E0E"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25</w:t>
            </w:r>
          </w:p>
        </w:tc>
      </w:tr>
      <w:tr w:rsidR="00333AFD" w:rsidRPr="00333AFD" w14:paraId="060619DA" w14:textId="77777777" w:rsidTr="00333AFD">
        <w:trPr>
          <w:trHeight w:val="240"/>
        </w:trPr>
        <w:tc>
          <w:tcPr>
            <w:tcW w:w="4253" w:type="dxa"/>
            <w:shd w:val="clear" w:color="auto" w:fill="auto"/>
          </w:tcPr>
          <w:p w14:paraId="5ED78B6F"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de escuelas primarias públicas</w:t>
            </w:r>
          </w:p>
        </w:tc>
        <w:tc>
          <w:tcPr>
            <w:tcW w:w="679" w:type="dxa"/>
            <w:shd w:val="clear" w:color="auto" w:fill="auto"/>
            <w:vAlign w:val="bottom"/>
          </w:tcPr>
          <w:p w14:paraId="0E0D04AF"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776</w:t>
            </w:r>
          </w:p>
        </w:tc>
        <w:tc>
          <w:tcPr>
            <w:tcW w:w="776" w:type="dxa"/>
            <w:shd w:val="clear" w:color="auto" w:fill="auto"/>
            <w:vAlign w:val="bottom"/>
          </w:tcPr>
          <w:p w14:paraId="24795B82"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2 168</w:t>
            </w:r>
          </w:p>
        </w:tc>
        <w:tc>
          <w:tcPr>
            <w:tcW w:w="776" w:type="dxa"/>
            <w:shd w:val="clear" w:color="auto" w:fill="auto"/>
            <w:vAlign w:val="bottom"/>
          </w:tcPr>
          <w:p w14:paraId="5EB84AF7"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2 944</w:t>
            </w:r>
          </w:p>
        </w:tc>
        <w:tc>
          <w:tcPr>
            <w:tcW w:w="886" w:type="dxa"/>
            <w:shd w:val="clear" w:color="auto" w:fill="auto"/>
            <w:vAlign w:val="bottom"/>
          </w:tcPr>
          <w:p w14:paraId="5F20BD2C" w14:textId="3FF0024C"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26</w:t>
            </w:r>
          </w:p>
        </w:tc>
      </w:tr>
      <w:tr w:rsidR="00333AFD" w:rsidRPr="00333AFD" w14:paraId="0BC854D9" w14:textId="77777777" w:rsidTr="00333AFD">
        <w:trPr>
          <w:trHeight w:val="240"/>
        </w:trPr>
        <w:tc>
          <w:tcPr>
            <w:tcW w:w="4253" w:type="dxa"/>
            <w:shd w:val="clear" w:color="auto" w:fill="auto"/>
          </w:tcPr>
          <w:p w14:paraId="331A8402"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Directores de escuelas secundarias públicas</w:t>
            </w:r>
          </w:p>
        </w:tc>
        <w:tc>
          <w:tcPr>
            <w:tcW w:w="679" w:type="dxa"/>
            <w:shd w:val="clear" w:color="auto" w:fill="auto"/>
            <w:vAlign w:val="bottom"/>
          </w:tcPr>
          <w:p w14:paraId="1B4702F7"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416</w:t>
            </w:r>
          </w:p>
        </w:tc>
        <w:tc>
          <w:tcPr>
            <w:tcW w:w="776" w:type="dxa"/>
            <w:shd w:val="clear" w:color="auto" w:fill="auto"/>
            <w:vAlign w:val="bottom"/>
          </w:tcPr>
          <w:p w14:paraId="0E498717"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1 940</w:t>
            </w:r>
          </w:p>
        </w:tc>
        <w:tc>
          <w:tcPr>
            <w:tcW w:w="776" w:type="dxa"/>
            <w:shd w:val="clear" w:color="auto" w:fill="auto"/>
            <w:vAlign w:val="bottom"/>
          </w:tcPr>
          <w:p w14:paraId="35D02A2A"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2 356</w:t>
            </w:r>
          </w:p>
        </w:tc>
        <w:tc>
          <w:tcPr>
            <w:tcW w:w="886" w:type="dxa"/>
            <w:shd w:val="clear" w:color="auto" w:fill="auto"/>
            <w:vAlign w:val="bottom"/>
          </w:tcPr>
          <w:p w14:paraId="0DEE5890" w14:textId="6D72F921" w:rsidR="00333AFD" w:rsidRPr="00333AFD" w:rsidRDefault="00333AFD" w:rsidP="006A1449">
            <w:pPr>
              <w:pStyle w:val="SingleTxtG"/>
              <w:tabs>
                <w:tab w:val="clear" w:pos="1701"/>
                <w:tab w:val="clear" w:pos="2268"/>
                <w:tab w:val="clear" w:pos="2835"/>
              </w:tabs>
              <w:spacing w:before="40" w:after="40" w:line="220" w:lineRule="exact"/>
              <w:ind w:left="57" w:right="28"/>
              <w:jc w:val="right"/>
              <w:rPr>
                <w:sz w:val="18"/>
              </w:rPr>
            </w:pPr>
            <w:r w:rsidRPr="00333AFD">
              <w:rPr>
                <w:sz w:val="18"/>
              </w:rPr>
              <w:t>17,6</w:t>
            </w:r>
          </w:p>
        </w:tc>
      </w:tr>
      <w:tr w:rsidR="00333AFD" w:rsidRPr="00333AFD" w14:paraId="3F60C6AC" w14:textId="77777777" w:rsidTr="00333AFD">
        <w:trPr>
          <w:trHeight w:val="240"/>
        </w:trPr>
        <w:tc>
          <w:tcPr>
            <w:tcW w:w="4253" w:type="dxa"/>
            <w:shd w:val="clear" w:color="auto" w:fill="auto"/>
          </w:tcPr>
          <w:p w14:paraId="1F6BB5B7"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Embajadores</w:t>
            </w:r>
          </w:p>
        </w:tc>
        <w:tc>
          <w:tcPr>
            <w:tcW w:w="679" w:type="dxa"/>
            <w:shd w:val="clear" w:color="auto" w:fill="auto"/>
            <w:vAlign w:val="bottom"/>
          </w:tcPr>
          <w:p w14:paraId="0226FFC1"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10</w:t>
            </w:r>
          </w:p>
        </w:tc>
        <w:tc>
          <w:tcPr>
            <w:tcW w:w="776" w:type="dxa"/>
            <w:shd w:val="clear" w:color="auto" w:fill="auto"/>
            <w:vAlign w:val="bottom"/>
          </w:tcPr>
          <w:p w14:paraId="2D2E5386"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36</w:t>
            </w:r>
          </w:p>
        </w:tc>
        <w:tc>
          <w:tcPr>
            <w:tcW w:w="776" w:type="dxa"/>
            <w:shd w:val="clear" w:color="auto" w:fill="auto"/>
            <w:vAlign w:val="bottom"/>
          </w:tcPr>
          <w:p w14:paraId="65470F4D"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46</w:t>
            </w:r>
          </w:p>
        </w:tc>
        <w:tc>
          <w:tcPr>
            <w:tcW w:w="886" w:type="dxa"/>
            <w:shd w:val="clear" w:color="auto" w:fill="auto"/>
            <w:vAlign w:val="bottom"/>
          </w:tcPr>
          <w:p w14:paraId="7222E2B9" w14:textId="31BF5EA3"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21,7</w:t>
            </w:r>
          </w:p>
        </w:tc>
      </w:tr>
      <w:tr w:rsidR="00333AFD" w:rsidRPr="00333AFD" w14:paraId="1638A627" w14:textId="77777777" w:rsidTr="00333AFD">
        <w:trPr>
          <w:trHeight w:val="240"/>
        </w:trPr>
        <w:tc>
          <w:tcPr>
            <w:tcW w:w="4253" w:type="dxa"/>
            <w:tcBorders>
              <w:bottom w:val="single" w:sz="12" w:space="0" w:color="auto"/>
            </w:tcBorders>
            <w:shd w:val="clear" w:color="auto" w:fill="auto"/>
          </w:tcPr>
          <w:p w14:paraId="7EB28AE0" w14:textId="77777777" w:rsidR="00333AFD" w:rsidRPr="00333AFD" w:rsidRDefault="00333AFD" w:rsidP="00333AFD">
            <w:pPr>
              <w:pStyle w:val="SingleTxtG"/>
              <w:tabs>
                <w:tab w:val="clear" w:pos="1701"/>
                <w:tab w:val="clear" w:pos="2268"/>
                <w:tab w:val="clear" w:pos="2835"/>
              </w:tabs>
              <w:spacing w:before="40" w:after="40" w:line="220" w:lineRule="exact"/>
              <w:ind w:left="0" w:right="0"/>
              <w:jc w:val="left"/>
              <w:rPr>
                <w:sz w:val="18"/>
              </w:rPr>
            </w:pPr>
            <w:r w:rsidRPr="00333AFD">
              <w:rPr>
                <w:sz w:val="18"/>
              </w:rPr>
              <w:t>Comisionados en la función pública</w:t>
            </w:r>
          </w:p>
        </w:tc>
        <w:tc>
          <w:tcPr>
            <w:tcW w:w="679" w:type="dxa"/>
            <w:tcBorders>
              <w:bottom w:val="single" w:sz="12" w:space="0" w:color="auto"/>
            </w:tcBorders>
            <w:shd w:val="clear" w:color="auto" w:fill="auto"/>
            <w:vAlign w:val="bottom"/>
          </w:tcPr>
          <w:p w14:paraId="22869DC6"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26</w:t>
            </w:r>
          </w:p>
        </w:tc>
        <w:tc>
          <w:tcPr>
            <w:tcW w:w="776" w:type="dxa"/>
            <w:tcBorders>
              <w:bottom w:val="single" w:sz="12" w:space="0" w:color="auto"/>
            </w:tcBorders>
            <w:shd w:val="clear" w:color="auto" w:fill="auto"/>
            <w:vAlign w:val="bottom"/>
          </w:tcPr>
          <w:p w14:paraId="215F8C13"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34</w:t>
            </w:r>
          </w:p>
        </w:tc>
        <w:tc>
          <w:tcPr>
            <w:tcW w:w="776" w:type="dxa"/>
            <w:tcBorders>
              <w:bottom w:val="single" w:sz="12" w:space="0" w:color="auto"/>
            </w:tcBorders>
            <w:shd w:val="clear" w:color="auto" w:fill="auto"/>
            <w:vAlign w:val="bottom"/>
          </w:tcPr>
          <w:p w14:paraId="698D71E4" w14:textId="77777777"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60</w:t>
            </w:r>
          </w:p>
        </w:tc>
        <w:tc>
          <w:tcPr>
            <w:tcW w:w="886" w:type="dxa"/>
            <w:tcBorders>
              <w:bottom w:val="single" w:sz="12" w:space="0" w:color="auto"/>
            </w:tcBorders>
            <w:shd w:val="clear" w:color="auto" w:fill="auto"/>
            <w:vAlign w:val="bottom"/>
          </w:tcPr>
          <w:p w14:paraId="7257327C" w14:textId="77356180" w:rsidR="00333AFD" w:rsidRPr="00333AFD" w:rsidRDefault="00333AFD" w:rsidP="006A1449">
            <w:pPr>
              <w:pStyle w:val="SingleTxtG"/>
              <w:tabs>
                <w:tab w:val="clear" w:pos="1701"/>
                <w:tab w:val="clear" w:pos="2268"/>
                <w:tab w:val="clear" w:pos="2835"/>
              </w:tabs>
              <w:spacing w:before="40" w:after="40" w:line="220" w:lineRule="exact"/>
              <w:ind w:left="57" w:right="28"/>
              <w:jc w:val="right"/>
              <w:rPr>
                <w:bCs/>
                <w:sz w:val="18"/>
              </w:rPr>
            </w:pPr>
            <w:r w:rsidRPr="00333AFD">
              <w:rPr>
                <w:sz w:val="18"/>
              </w:rPr>
              <w:t>43,3</w:t>
            </w:r>
          </w:p>
        </w:tc>
      </w:tr>
    </w:tbl>
    <w:p w14:paraId="164AD740" w14:textId="77777777" w:rsidR="00333AFD" w:rsidRPr="00333AFD" w:rsidRDefault="00333AFD" w:rsidP="00B151B8">
      <w:pPr>
        <w:pStyle w:val="SingleTxtG"/>
        <w:spacing w:before="120" w:after="240"/>
        <w:ind w:firstLine="170"/>
        <w:rPr>
          <w:sz w:val="18"/>
          <w:szCs w:val="18"/>
        </w:rPr>
      </w:pPr>
      <w:r w:rsidRPr="00333AFD">
        <w:rPr>
          <w:i/>
          <w:iCs/>
          <w:sz w:val="18"/>
          <w:szCs w:val="18"/>
        </w:rPr>
        <w:t xml:space="preserve">Fuente: </w:t>
      </w:r>
      <w:r w:rsidRPr="00333AFD">
        <w:rPr>
          <w:sz w:val="18"/>
          <w:szCs w:val="18"/>
        </w:rPr>
        <w:t>Comisión de la Administración Pública, 2017.</w:t>
      </w:r>
    </w:p>
    <w:p w14:paraId="503064C0" w14:textId="77777777" w:rsidR="00333AFD" w:rsidRPr="00333AFD" w:rsidRDefault="00333AFD" w:rsidP="00333AFD">
      <w:pPr>
        <w:pStyle w:val="SingleTxtG"/>
      </w:pPr>
      <w:r w:rsidRPr="00333AFD">
        <w:t>164.</w:t>
      </w:r>
      <w:r w:rsidRPr="00333AFD">
        <w:tab/>
        <w:t>De conformidad con el artículo 124 1) b) de la Constitución, en un esfuerzo por lograr la igualdad de género en el Parlamento, el Gobierno estableció una medida temporal por un período de diez años que permite que 60 mujeres sean parlamentarias designadas por un sistema de representación proporcional. El sistema se inició en 2013 y finaliza en 2023. Es de esperar que para entonces se habrá alcanzado la igualdad de género en el Parlamento.</w:t>
      </w:r>
    </w:p>
    <w:p w14:paraId="6B9603EC" w14:textId="19B403AC" w:rsidR="00333AFD" w:rsidRPr="00333AFD" w:rsidRDefault="00333AFD" w:rsidP="00333AFD">
      <w:pPr>
        <w:pStyle w:val="H23G"/>
      </w:pPr>
      <w:bookmarkStart w:id="75" w:name="_Toc87853345"/>
      <w:r>
        <w:tab/>
      </w:r>
      <w:r w:rsidRPr="00333AFD">
        <w:tab/>
        <w:t>Discapacidad</w:t>
      </w:r>
      <w:bookmarkEnd w:id="75"/>
    </w:p>
    <w:p w14:paraId="75215D55" w14:textId="77777777" w:rsidR="00333AFD" w:rsidRPr="00333AFD" w:rsidRDefault="00333AFD" w:rsidP="00333AFD">
      <w:pPr>
        <w:pStyle w:val="SingleTxtG"/>
      </w:pPr>
      <w:r w:rsidRPr="00333AFD">
        <w:t>165.</w:t>
      </w:r>
      <w:r w:rsidRPr="00333AFD">
        <w:tab/>
        <w:t xml:space="preserve">Los artículos 22 y 83 de la Constitución contemplan los derechos de las personas con discapacidad. La no discriminación por motivos de discapacidad está garantizada constitucionalmente a través de la obligación que tiene el Estado de elaborar programas </w:t>
      </w:r>
      <w:r w:rsidRPr="00333AFD">
        <w:lastRenderedPageBreak/>
        <w:t>inclusivos que prevean requisitos específicos destinados a mejorar la calidad de vida de las personas con cualquier tipo de discapacidad.</w:t>
      </w:r>
    </w:p>
    <w:p w14:paraId="1C067599" w14:textId="77777777" w:rsidR="00333AFD" w:rsidRPr="00333AFD" w:rsidRDefault="00333AFD" w:rsidP="00333AFD">
      <w:pPr>
        <w:pStyle w:val="SingleTxtG"/>
      </w:pPr>
      <w:r w:rsidRPr="00333AFD">
        <w:t>166.</w:t>
      </w:r>
      <w:r w:rsidRPr="00333AFD">
        <w:tab/>
        <w:t>La Ley relativa a las Personas con Discapacidad [capítulo 17:01] prohíbe y sanciona la discriminación de las personas con discapacidad. Además, el artículo 120 de la Constitución y el artículo 45 a) de la Ley Electoral [capítulo 2:13] establecen el Colegio Electoral como medida para garantizar la representación de las personas con discapacidad en el Parlamento.</w:t>
      </w:r>
    </w:p>
    <w:p w14:paraId="3EDA41D4" w14:textId="4A61818E" w:rsidR="00333AFD" w:rsidRPr="00333AFD" w:rsidRDefault="00333AFD" w:rsidP="00333AFD">
      <w:pPr>
        <w:pStyle w:val="H23G"/>
      </w:pPr>
      <w:bookmarkStart w:id="76" w:name="_Toc87853346"/>
      <w:r>
        <w:tab/>
      </w:r>
      <w:r w:rsidRPr="00333AFD">
        <w:tab/>
        <w:t>Medidas administrativas</w:t>
      </w:r>
      <w:bookmarkEnd w:id="76"/>
    </w:p>
    <w:p w14:paraId="561C3449" w14:textId="77777777" w:rsidR="00333AFD" w:rsidRPr="00333AFD" w:rsidRDefault="00333AFD" w:rsidP="00333AFD">
      <w:pPr>
        <w:pStyle w:val="SingleTxtG"/>
      </w:pPr>
      <w:r w:rsidRPr="00333AFD">
        <w:t>167.</w:t>
      </w:r>
      <w:r w:rsidRPr="00333AFD">
        <w:tab/>
        <w:t xml:space="preserve">El Gobierno ha adoptado varias políticas y medidas específicas que abordan las cuestiones de la discriminación, como la Política Nacional de Género y la Política Nacional de Discapacidad. </w:t>
      </w:r>
    </w:p>
    <w:p w14:paraId="130EBF4C" w14:textId="77777777" w:rsidR="00333AFD" w:rsidRPr="00333AFD" w:rsidRDefault="00333AFD" w:rsidP="00333AFD">
      <w:pPr>
        <w:pStyle w:val="SingleTxtG"/>
      </w:pPr>
      <w:r w:rsidRPr="00333AFD">
        <w:t>168.</w:t>
      </w:r>
      <w:r w:rsidRPr="00333AFD">
        <w:tab/>
        <w:t>A continuación se describen otras medidas administrativas que promueven la no discriminación.</w:t>
      </w:r>
    </w:p>
    <w:p w14:paraId="37CD73DE" w14:textId="77777777" w:rsidR="00333AFD" w:rsidRPr="00333AFD" w:rsidRDefault="00333AFD" w:rsidP="00333AFD">
      <w:pPr>
        <w:pStyle w:val="SingleTxtG"/>
      </w:pPr>
      <w:r w:rsidRPr="00333AFD">
        <w:t>169.</w:t>
      </w:r>
      <w:r w:rsidRPr="00333AFD">
        <w:tab/>
        <w:t>La impresión y difusión de la Constitución en todos los idiomas reconocidos en el artículo 6 de la Constitución.</w:t>
      </w:r>
    </w:p>
    <w:p w14:paraId="5FE2DA65" w14:textId="77777777" w:rsidR="00333AFD" w:rsidRPr="00333AFD" w:rsidRDefault="00333AFD" w:rsidP="00333AFD">
      <w:pPr>
        <w:pStyle w:val="SingleTxtG"/>
      </w:pPr>
      <w:r w:rsidRPr="00333AFD">
        <w:t>170.</w:t>
      </w:r>
      <w:r w:rsidRPr="00333AFD">
        <w:tab/>
        <w:t>La enseñanza y el aprendizaje, en las escuelas primarias, de los distintos idiomas oficialmente reconocidos en la Constitución.</w:t>
      </w:r>
    </w:p>
    <w:p w14:paraId="1CE1513A" w14:textId="77777777" w:rsidR="00333AFD" w:rsidRPr="00333AFD" w:rsidRDefault="00333AFD" w:rsidP="00333AFD">
      <w:pPr>
        <w:pStyle w:val="SingleTxtG"/>
      </w:pPr>
      <w:r w:rsidRPr="00333AFD">
        <w:t>171.</w:t>
      </w:r>
      <w:r w:rsidRPr="00333AFD">
        <w:tab/>
        <w:t>La creación de comisiones independientes como la Comisión de Derechos Humanos de Zimbabwe, la Comisión de Género de Zimbabwe, la Comisión Electoral de Zimbabwe, la Comisión de Medios de Comunicación de Zimbabwe y la Comisión Nacional para la Paz y la Reconciliación.</w:t>
      </w:r>
    </w:p>
    <w:p w14:paraId="0AF5CD34" w14:textId="77777777" w:rsidR="00333AFD" w:rsidRPr="00333AFD" w:rsidRDefault="00333AFD" w:rsidP="00333AFD">
      <w:pPr>
        <w:pStyle w:val="SingleTxtG"/>
      </w:pPr>
      <w:r w:rsidRPr="00333AFD">
        <w:t>172.</w:t>
      </w:r>
      <w:r w:rsidRPr="00333AFD">
        <w:tab/>
        <w:t>En sus observaciones finales, la Comisión formuló una recomendación para que Zimbabwe llevara a cabo una revisión exhaustiva de la aplicación de las leyes estatutarias y consuetudinarias en el país, con miras a garantizar la existencia de salvaguardias adecuadas para proteger los derechos humanos de las mujeres y las niñas frente a las prácticas discriminatorias y asegurar una administración de justicia imparcial. La Constitución ofrece una amplia Carta de Derechos que aborda adecuadamente los derechos de las mujeres y los niños. A diferencia de la anterior Constitución de Lancaster House, la actual Constitución establece claramente en el artículo 80 3) que todas las leyes y costumbres y prácticas culturales que infrinjan los derechos de las mujeres son nulas en lo que se refiere a la infracción. Además, el Gobierno ha emprendido un proceso de armonización de todas las leyes a la Constitución con objeto de hacer plenamente efectivos los derechos y libertades garantizados por la Constitución.</w:t>
      </w:r>
    </w:p>
    <w:p w14:paraId="12CE0109" w14:textId="77777777" w:rsidR="00333AFD" w:rsidRPr="00333AFD" w:rsidRDefault="00333AFD" w:rsidP="00333AFD">
      <w:pPr>
        <w:pStyle w:val="SingleTxtG"/>
      </w:pPr>
      <w:r w:rsidRPr="00333AFD">
        <w:t>173.</w:t>
      </w:r>
      <w:r w:rsidRPr="00333AFD">
        <w:tab/>
        <w:t xml:space="preserve">El Gobierno tiene el mandato, en virtud del artículo 7 de la Constitución, de promover la sensibilización pública acerca de las disposiciones constitucionales y de derechos humanos; esto se aplica a las cuestiones de la igualdad de género y el empoderamiento de las mujeres, incluidas medidas especiales de carácter temporal. </w:t>
      </w:r>
    </w:p>
    <w:p w14:paraId="040A7224" w14:textId="33F7F43C" w:rsidR="00333AFD" w:rsidRPr="00333AFD" w:rsidRDefault="00333AFD" w:rsidP="00333AFD">
      <w:pPr>
        <w:pStyle w:val="H23G"/>
      </w:pPr>
      <w:bookmarkStart w:id="77" w:name="_Toc87853347"/>
      <w:r>
        <w:tab/>
      </w:r>
      <w:r w:rsidRPr="00333AFD">
        <w:tab/>
        <w:t>Medidas correctivas</w:t>
      </w:r>
      <w:bookmarkEnd w:id="77"/>
    </w:p>
    <w:p w14:paraId="1FC98794" w14:textId="77777777" w:rsidR="00333AFD" w:rsidRPr="00333AFD" w:rsidRDefault="00333AFD" w:rsidP="00333AFD">
      <w:pPr>
        <w:pStyle w:val="SingleTxtG"/>
      </w:pPr>
      <w:r w:rsidRPr="00333AFD">
        <w:t>174.</w:t>
      </w:r>
      <w:r w:rsidRPr="00333AFD">
        <w:tab/>
        <w:t>En Zimbabwe, las víctimas de vulneraciones de los derechos humanos tienen derecho a solicitar reparación ante el poder judicial a todos los niveles.</w:t>
      </w:r>
    </w:p>
    <w:p w14:paraId="1162EA99" w14:textId="77777777" w:rsidR="00333AFD" w:rsidRPr="00333AFD" w:rsidRDefault="00333AFD" w:rsidP="00333AFD">
      <w:pPr>
        <w:pStyle w:val="SingleTxtG"/>
      </w:pPr>
      <w:r w:rsidRPr="00333AFD">
        <w:t>175.</w:t>
      </w:r>
      <w:r w:rsidRPr="00333AFD">
        <w:tab/>
        <w:t>Además, las víctimas pueden recurrir a la vías civil y penal para hacer valer sus derechos.</w:t>
      </w:r>
    </w:p>
    <w:p w14:paraId="1ACE9B0B" w14:textId="77777777" w:rsidR="00333AFD" w:rsidRPr="00333AFD" w:rsidRDefault="00333AFD" w:rsidP="00333AFD">
      <w:pPr>
        <w:pStyle w:val="SingleTxtG"/>
      </w:pPr>
      <w:r w:rsidRPr="00333AFD">
        <w:t>176.</w:t>
      </w:r>
      <w:r w:rsidRPr="00333AFD">
        <w:tab/>
        <w:t>La Constitución garantiza a las víctimas una indemnización por los daños debidos a la vulneración de sus derechos y el tribunal tiene la facultad de cuantificar los daños.</w:t>
      </w:r>
    </w:p>
    <w:p w14:paraId="031EB5F7" w14:textId="77777777" w:rsidR="00333AFD" w:rsidRPr="00333AFD" w:rsidRDefault="00333AFD" w:rsidP="00333AFD">
      <w:pPr>
        <w:pStyle w:val="SingleTxtG"/>
      </w:pPr>
      <w:r w:rsidRPr="00333AFD">
        <w:t>177.</w:t>
      </w:r>
      <w:r w:rsidRPr="00333AFD">
        <w:tab/>
        <w:t>Además, cuando los recursos internos no son suficientes y eficaces, la víctima tiene derecho a acudir a los tribunales regionales e internacionales para hacer valer sus derechos, especialmente cuando estos han sido vulnerados por el Estado.</w:t>
      </w:r>
    </w:p>
    <w:p w14:paraId="7F3F5CDC" w14:textId="135B632A" w:rsidR="00A011C7" w:rsidRPr="00333AFD" w:rsidRDefault="00333AFD" w:rsidP="00333AFD">
      <w:pPr>
        <w:pStyle w:val="SingleTxtG"/>
        <w:suppressAutoHyphens/>
        <w:spacing w:before="240" w:after="0"/>
        <w:jc w:val="center"/>
        <w:rPr>
          <w:u w:val="single"/>
        </w:rPr>
      </w:pPr>
      <w:r>
        <w:rPr>
          <w:u w:val="single"/>
        </w:rPr>
        <w:tab/>
      </w:r>
      <w:r>
        <w:rPr>
          <w:u w:val="single"/>
        </w:rPr>
        <w:tab/>
      </w:r>
      <w:r>
        <w:rPr>
          <w:u w:val="single"/>
        </w:rPr>
        <w:tab/>
      </w:r>
    </w:p>
    <w:sectPr w:rsidR="00A011C7" w:rsidRPr="00333AFD" w:rsidSect="00A011C7">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A135D" w14:textId="77777777" w:rsidR="00D70346" w:rsidRPr="00AC76E8" w:rsidRDefault="00D70346" w:rsidP="00AC76E8">
      <w:pPr>
        <w:pStyle w:val="Piedepgina"/>
      </w:pPr>
    </w:p>
  </w:endnote>
  <w:endnote w:type="continuationSeparator" w:id="0">
    <w:p w14:paraId="42F347C0" w14:textId="77777777" w:rsidR="00D70346" w:rsidRPr="00AC76E8" w:rsidRDefault="00D70346"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58B8" w14:textId="1B3A4EFB" w:rsidR="00A011C7" w:rsidRPr="00A011C7" w:rsidRDefault="00A011C7" w:rsidP="00A011C7">
    <w:pPr>
      <w:pStyle w:val="Piedepgina"/>
      <w:tabs>
        <w:tab w:val="right" w:pos="9638"/>
      </w:tabs>
    </w:pPr>
    <w:r w:rsidRPr="00A011C7">
      <w:rPr>
        <w:b/>
        <w:sz w:val="18"/>
      </w:rPr>
      <w:fldChar w:fldCharType="begin"/>
    </w:r>
    <w:r w:rsidRPr="00A011C7">
      <w:rPr>
        <w:b/>
        <w:sz w:val="18"/>
      </w:rPr>
      <w:instrText xml:space="preserve"> PAGE  \* MERGEFORMAT </w:instrText>
    </w:r>
    <w:r w:rsidRPr="00A011C7">
      <w:rPr>
        <w:b/>
        <w:sz w:val="18"/>
      </w:rPr>
      <w:fldChar w:fldCharType="separate"/>
    </w:r>
    <w:r w:rsidRPr="00A011C7">
      <w:rPr>
        <w:b/>
        <w:noProof/>
        <w:sz w:val="18"/>
      </w:rPr>
      <w:t>2</w:t>
    </w:r>
    <w:r w:rsidRPr="00A011C7">
      <w:rPr>
        <w:b/>
        <w:sz w:val="18"/>
      </w:rPr>
      <w:fldChar w:fldCharType="end"/>
    </w:r>
    <w:r>
      <w:rPr>
        <w:b/>
        <w:sz w:val="18"/>
      </w:rPr>
      <w:tab/>
    </w:r>
    <w:r>
      <w:t>GE.22-01814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DF0E7" w14:textId="555000B5" w:rsidR="00A011C7" w:rsidRPr="00A011C7" w:rsidRDefault="00A011C7" w:rsidP="00A011C7">
    <w:pPr>
      <w:pStyle w:val="Piedepgina"/>
      <w:tabs>
        <w:tab w:val="right" w:pos="9638"/>
      </w:tabs>
      <w:rPr>
        <w:b/>
        <w:sz w:val="18"/>
      </w:rPr>
    </w:pPr>
    <w:r>
      <w:t>GE.22-01814</w:t>
    </w:r>
    <w:r>
      <w:tab/>
    </w:r>
    <w:r w:rsidRPr="00A011C7">
      <w:rPr>
        <w:b/>
        <w:sz w:val="18"/>
      </w:rPr>
      <w:fldChar w:fldCharType="begin"/>
    </w:r>
    <w:r w:rsidRPr="00A011C7">
      <w:rPr>
        <w:b/>
        <w:sz w:val="18"/>
      </w:rPr>
      <w:instrText xml:space="preserve"> PAGE  \* MERGEFORMAT </w:instrText>
    </w:r>
    <w:r w:rsidRPr="00A011C7">
      <w:rPr>
        <w:b/>
        <w:sz w:val="18"/>
      </w:rPr>
      <w:fldChar w:fldCharType="separate"/>
    </w:r>
    <w:r w:rsidRPr="00A011C7">
      <w:rPr>
        <w:b/>
        <w:noProof/>
        <w:sz w:val="18"/>
      </w:rPr>
      <w:t>3</w:t>
    </w:r>
    <w:r w:rsidRPr="00A011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E1E06" w14:textId="55A44D37" w:rsidR="00666938" w:rsidRPr="00A011C7" w:rsidRDefault="00A011C7" w:rsidP="00A011C7">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5994772E" wp14:editId="0B68A6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22-01814  (S)</w:t>
    </w:r>
    <w:r>
      <w:rPr>
        <w:noProof/>
        <w:sz w:val="20"/>
      </w:rPr>
      <w:drawing>
        <wp:anchor distT="0" distB="0" distL="114300" distR="114300" simplePos="0" relativeHeight="251658752" behindDoc="0" locked="0" layoutInCell="1" allowOverlap="1" wp14:anchorId="53B8AB51" wp14:editId="369DD8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110522    0</w:t>
    </w:r>
    <w:r w:rsidR="00403451">
      <w:rPr>
        <w:sz w:val="20"/>
      </w:rPr>
      <w:t>3</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4B185" w14:textId="77777777" w:rsidR="00D70346" w:rsidRPr="001075E9" w:rsidRDefault="00D70346" w:rsidP="001075E9">
      <w:pPr>
        <w:tabs>
          <w:tab w:val="right" w:pos="2155"/>
        </w:tabs>
        <w:spacing w:after="80" w:line="240" w:lineRule="auto"/>
        <w:ind w:left="680"/>
        <w:rPr>
          <w:u w:val="single"/>
        </w:rPr>
      </w:pPr>
      <w:r>
        <w:rPr>
          <w:u w:val="single"/>
        </w:rPr>
        <w:tab/>
      </w:r>
    </w:p>
  </w:footnote>
  <w:footnote w:type="continuationSeparator" w:id="0">
    <w:p w14:paraId="21171A43" w14:textId="77777777" w:rsidR="00D70346" w:rsidRDefault="00D70346" w:rsidP="00AC76E8">
      <w:pPr>
        <w:tabs>
          <w:tab w:val="right" w:pos="2155"/>
        </w:tabs>
        <w:spacing w:after="80" w:line="240" w:lineRule="auto"/>
        <w:ind w:left="680"/>
        <w:rPr>
          <w:u w:val="single"/>
        </w:rPr>
      </w:pPr>
      <w:r>
        <w:rPr>
          <w:u w:val="single"/>
        </w:rPr>
        <w:tab/>
      </w:r>
    </w:p>
  </w:footnote>
  <w:footnote w:id="1">
    <w:p w14:paraId="26828796" w14:textId="3F9B9A80" w:rsidR="00333AFD" w:rsidRPr="00333AFD" w:rsidRDefault="00333AFD" w:rsidP="006A1449">
      <w:pPr>
        <w:pStyle w:val="Textonotapie"/>
        <w:rPr>
          <w:sz w:val="20"/>
        </w:rPr>
      </w:pPr>
      <w:r>
        <w:tab/>
      </w:r>
      <w:r w:rsidRPr="00333AFD">
        <w:rPr>
          <w:rStyle w:val="Refdenotaalpie"/>
          <w:sz w:val="20"/>
          <w:vertAlign w:val="baseline"/>
        </w:rPr>
        <w:t>*</w:t>
      </w:r>
      <w:r w:rsidRPr="00333AFD">
        <w:rPr>
          <w:rStyle w:val="Refdenotaalpie"/>
          <w:vertAlign w:val="baseline"/>
        </w:rPr>
        <w:tab/>
      </w:r>
      <w:r w:rsidRPr="00333AFD">
        <w:t>La versión original del presente documento no fue objeto de revisión editorial oficial.</w:t>
      </w:r>
    </w:p>
  </w:footnote>
  <w:footnote w:id="2">
    <w:p w14:paraId="681B16C4"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164 de la Enmienda de la Constitución de Zimbabwe (núm. 20) de 2013.</w:t>
      </w:r>
    </w:p>
  </w:footnote>
  <w:footnote w:id="3">
    <w:p w14:paraId="72453A30"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85 3) y 4) de la Enmienda de la Constitución de Zimbabwe (núm. 20) de 2013.</w:t>
      </w:r>
    </w:p>
  </w:footnote>
  <w:footnote w:id="4">
    <w:p w14:paraId="64D62D3C"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85 1) a) de la Enmienda de la Constitución de Zimbabwe (núm. 20) de 2013.</w:t>
      </w:r>
    </w:p>
  </w:footnote>
  <w:footnote w:id="5">
    <w:p w14:paraId="079242EC"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85 1) b) de la Enmienda de la Constitución de Zimbabwe (núm. 20) de 2013.</w:t>
      </w:r>
    </w:p>
  </w:footnote>
  <w:footnote w:id="6">
    <w:p w14:paraId="111E0F56"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85 1) c) de la Enmienda de la Constitución de Zimbabwe (núm. 20) de 2013.</w:t>
      </w:r>
    </w:p>
  </w:footnote>
  <w:footnote w:id="7">
    <w:p w14:paraId="493F012D"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85 1) e) de la Enmienda de la Constitución de Zimbabwe (núm. 20) de 2013.</w:t>
      </w:r>
    </w:p>
  </w:footnote>
  <w:footnote w:id="8">
    <w:p w14:paraId="111CF843" w14:textId="77777777" w:rsidR="00333AFD" w:rsidRPr="0046348F" w:rsidRDefault="00333AFD" w:rsidP="006A1449">
      <w:pPr>
        <w:pStyle w:val="Textonotapie"/>
      </w:pPr>
      <w:r w:rsidRPr="0046348F">
        <w:tab/>
      </w:r>
      <w:r w:rsidRPr="006A1449">
        <w:rPr>
          <w:rStyle w:val="Refdenotaalpie"/>
        </w:rPr>
        <w:footnoteRef/>
      </w:r>
      <w:r w:rsidRPr="0046348F">
        <w:t xml:space="preserve"> </w:t>
      </w:r>
      <w:r w:rsidRPr="0046348F">
        <w:tab/>
        <w:t>Art. 85 1) d) de la Enmienda de la Constitución de Zimbabwe (núm. 20)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D20B8" w14:textId="28E6ACA9" w:rsidR="00A011C7" w:rsidRPr="00A011C7" w:rsidRDefault="001B23A7">
    <w:pPr>
      <w:pStyle w:val="Encabezado"/>
    </w:pPr>
    <w:fldSimple w:instr=" TITLE  \* MERGEFORMAT ">
      <w:r w:rsidR="00A011C7">
        <w:t>HRI/CORE/ZWE/2021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1945F" w14:textId="36F89E23" w:rsidR="00A011C7" w:rsidRPr="00A011C7" w:rsidRDefault="001B23A7" w:rsidP="00A011C7">
    <w:pPr>
      <w:pStyle w:val="Encabezado"/>
      <w:jc w:val="right"/>
    </w:pPr>
    <w:fldSimple w:instr=" TITLE  \* MERGEFORMAT ">
      <w:r w:rsidR="00A011C7">
        <w:t>HRI/CORE/ZWE/2021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921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46"/>
    <w:rsid w:val="00000A64"/>
    <w:rsid w:val="00004624"/>
    <w:rsid w:val="00033EE1"/>
    <w:rsid w:val="000872D5"/>
    <w:rsid w:val="000B57E7"/>
    <w:rsid w:val="000F09DF"/>
    <w:rsid w:val="000F61B2"/>
    <w:rsid w:val="001075E9"/>
    <w:rsid w:val="001256EA"/>
    <w:rsid w:val="00131DCB"/>
    <w:rsid w:val="001560AB"/>
    <w:rsid w:val="001611AC"/>
    <w:rsid w:val="0017589D"/>
    <w:rsid w:val="00180183"/>
    <w:rsid w:val="00181AFB"/>
    <w:rsid w:val="0018649F"/>
    <w:rsid w:val="00196389"/>
    <w:rsid w:val="001B23A7"/>
    <w:rsid w:val="001C7A89"/>
    <w:rsid w:val="001D2F95"/>
    <w:rsid w:val="001D4B0C"/>
    <w:rsid w:val="001E2419"/>
    <w:rsid w:val="001E5646"/>
    <w:rsid w:val="00216A31"/>
    <w:rsid w:val="002A2EFC"/>
    <w:rsid w:val="002B0F41"/>
    <w:rsid w:val="002B7A3D"/>
    <w:rsid w:val="002C0E18"/>
    <w:rsid w:val="002D5AAC"/>
    <w:rsid w:val="00301299"/>
    <w:rsid w:val="00302D2B"/>
    <w:rsid w:val="00322004"/>
    <w:rsid w:val="00333AFD"/>
    <w:rsid w:val="003402C2"/>
    <w:rsid w:val="00360929"/>
    <w:rsid w:val="0036600C"/>
    <w:rsid w:val="00381C24"/>
    <w:rsid w:val="003958D0"/>
    <w:rsid w:val="003B00E5"/>
    <w:rsid w:val="003B7727"/>
    <w:rsid w:val="003D4091"/>
    <w:rsid w:val="003F7DB7"/>
    <w:rsid w:val="00403451"/>
    <w:rsid w:val="00406289"/>
    <w:rsid w:val="00414A16"/>
    <w:rsid w:val="00427F10"/>
    <w:rsid w:val="00454E07"/>
    <w:rsid w:val="0046258C"/>
    <w:rsid w:val="00465412"/>
    <w:rsid w:val="004705A5"/>
    <w:rsid w:val="004B1EF3"/>
    <w:rsid w:val="004C662A"/>
    <w:rsid w:val="004D3D0B"/>
    <w:rsid w:val="004D45DB"/>
    <w:rsid w:val="004E0BD7"/>
    <w:rsid w:val="0050108D"/>
    <w:rsid w:val="00501F38"/>
    <w:rsid w:val="00515B0A"/>
    <w:rsid w:val="00522544"/>
    <w:rsid w:val="005262A0"/>
    <w:rsid w:val="005332CE"/>
    <w:rsid w:val="00557AA7"/>
    <w:rsid w:val="00557D86"/>
    <w:rsid w:val="00572E19"/>
    <w:rsid w:val="005A1AA8"/>
    <w:rsid w:val="005C43E4"/>
    <w:rsid w:val="005F0B42"/>
    <w:rsid w:val="00666938"/>
    <w:rsid w:val="00675EBC"/>
    <w:rsid w:val="0068173A"/>
    <w:rsid w:val="0069426E"/>
    <w:rsid w:val="00697477"/>
    <w:rsid w:val="006A1449"/>
    <w:rsid w:val="006C1EF8"/>
    <w:rsid w:val="006E69AB"/>
    <w:rsid w:val="006F3217"/>
    <w:rsid w:val="006F35EE"/>
    <w:rsid w:val="007021FF"/>
    <w:rsid w:val="007358B2"/>
    <w:rsid w:val="00757357"/>
    <w:rsid w:val="00764249"/>
    <w:rsid w:val="007972A8"/>
    <w:rsid w:val="007D586E"/>
    <w:rsid w:val="00810014"/>
    <w:rsid w:val="00810EA1"/>
    <w:rsid w:val="0082699E"/>
    <w:rsid w:val="0083471E"/>
    <w:rsid w:val="00834B71"/>
    <w:rsid w:val="00845E41"/>
    <w:rsid w:val="008504FF"/>
    <w:rsid w:val="00853903"/>
    <w:rsid w:val="00856CCB"/>
    <w:rsid w:val="0086445C"/>
    <w:rsid w:val="00896C0D"/>
    <w:rsid w:val="008A08D7"/>
    <w:rsid w:val="008C1073"/>
    <w:rsid w:val="00901CD5"/>
    <w:rsid w:val="00906890"/>
    <w:rsid w:val="00932CF7"/>
    <w:rsid w:val="00943077"/>
    <w:rsid w:val="00951972"/>
    <w:rsid w:val="0095700F"/>
    <w:rsid w:val="0096216B"/>
    <w:rsid w:val="0098298A"/>
    <w:rsid w:val="00991740"/>
    <w:rsid w:val="00996BF2"/>
    <w:rsid w:val="00A011C7"/>
    <w:rsid w:val="00A327E1"/>
    <w:rsid w:val="00A917B3"/>
    <w:rsid w:val="00AB4B51"/>
    <w:rsid w:val="00AC76E8"/>
    <w:rsid w:val="00AF1A95"/>
    <w:rsid w:val="00B10CC7"/>
    <w:rsid w:val="00B151B8"/>
    <w:rsid w:val="00B16ECC"/>
    <w:rsid w:val="00B31513"/>
    <w:rsid w:val="00B43F85"/>
    <w:rsid w:val="00B460DE"/>
    <w:rsid w:val="00B51196"/>
    <w:rsid w:val="00B62458"/>
    <w:rsid w:val="00BA56B6"/>
    <w:rsid w:val="00BA5766"/>
    <w:rsid w:val="00BB6203"/>
    <w:rsid w:val="00BD33EE"/>
    <w:rsid w:val="00C057D5"/>
    <w:rsid w:val="00C167B2"/>
    <w:rsid w:val="00C21A88"/>
    <w:rsid w:val="00C41792"/>
    <w:rsid w:val="00C57E42"/>
    <w:rsid w:val="00C60F0C"/>
    <w:rsid w:val="00C805C9"/>
    <w:rsid w:val="00CA1679"/>
    <w:rsid w:val="00CA21F6"/>
    <w:rsid w:val="00CA619A"/>
    <w:rsid w:val="00CB60D5"/>
    <w:rsid w:val="00D05606"/>
    <w:rsid w:val="00D33D63"/>
    <w:rsid w:val="00D4001E"/>
    <w:rsid w:val="00D63E71"/>
    <w:rsid w:val="00D649DC"/>
    <w:rsid w:val="00D676BF"/>
    <w:rsid w:val="00D70346"/>
    <w:rsid w:val="00D90138"/>
    <w:rsid w:val="00DB6076"/>
    <w:rsid w:val="00DC036C"/>
    <w:rsid w:val="00DD0CC9"/>
    <w:rsid w:val="00E17493"/>
    <w:rsid w:val="00E2391B"/>
    <w:rsid w:val="00E43413"/>
    <w:rsid w:val="00E60314"/>
    <w:rsid w:val="00E73F76"/>
    <w:rsid w:val="00E82EC3"/>
    <w:rsid w:val="00EA4B2C"/>
    <w:rsid w:val="00EC2B77"/>
    <w:rsid w:val="00ED0A76"/>
    <w:rsid w:val="00ED76C3"/>
    <w:rsid w:val="00EF1360"/>
    <w:rsid w:val="00EF3220"/>
    <w:rsid w:val="00F16A3B"/>
    <w:rsid w:val="00F2520F"/>
    <w:rsid w:val="00F35AF3"/>
    <w:rsid w:val="00F432C8"/>
    <w:rsid w:val="00F7746E"/>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79A90D69"/>
  <w15:docId w15:val="{FABB378C-8E01-4965-90A4-8F0FF75E5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333AFD"/>
    <w:rPr>
      <w:rFonts w:cs="Arial"/>
      <w:bCs/>
      <w:iCs/>
      <w:szCs w:val="28"/>
      <w:lang w:val="es-ES" w:eastAsia="es-ES"/>
    </w:rPr>
  </w:style>
  <w:style w:type="character" w:customStyle="1" w:styleId="Ttulo3Car">
    <w:name w:val="Título 3 Car"/>
    <w:basedOn w:val="Fuentedeprrafopredeter"/>
    <w:link w:val="Ttulo3"/>
    <w:semiHidden/>
    <w:rsid w:val="00333AFD"/>
    <w:rPr>
      <w:rFonts w:ascii="Arial" w:hAnsi="Arial" w:cs="Arial"/>
      <w:b/>
      <w:bCs/>
      <w:sz w:val="26"/>
      <w:szCs w:val="26"/>
      <w:lang w:val="es-ES" w:eastAsia="es-ES"/>
    </w:rPr>
  </w:style>
  <w:style w:type="character" w:customStyle="1" w:styleId="Ttulo4Car">
    <w:name w:val="Título 4 Car"/>
    <w:basedOn w:val="Fuentedeprrafopredeter"/>
    <w:link w:val="Ttulo4"/>
    <w:semiHidden/>
    <w:rsid w:val="00333AFD"/>
    <w:rPr>
      <w:b/>
      <w:bCs/>
      <w:sz w:val="28"/>
      <w:szCs w:val="28"/>
      <w:lang w:val="es-ES" w:eastAsia="es-ES"/>
    </w:rPr>
  </w:style>
  <w:style w:type="character" w:customStyle="1" w:styleId="Ttulo5Car">
    <w:name w:val="Título 5 Car"/>
    <w:basedOn w:val="Fuentedeprrafopredeter"/>
    <w:link w:val="Ttulo5"/>
    <w:semiHidden/>
    <w:rsid w:val="00333AFD"/>
    <w:rPr>
      <w:b/>
      <w:bCs/>
      <w:i/>
      <w:iCs/>
      <w:sz w:val="26"/>
      <w:szCs w:val="26"/>
      <w:lang w:val="es-ES" w:eastAsia="es-ES"/>
    </w:rPr>
  </w:style>
  <w:style w:type="character" w:customStyle="1" w:styleId="Ttulo6Car">
    <w:name w:val="Título 6 Car"/>
    <w:basedOn w:val="Fuentedeprrafopredeter"/>
    <w:link w:val="Ttulo6"/>
    <w:semiHidden/>
    <w:rsid w:val="00333AFD"/>
    <w:rPr>
      <w:b/>
      <w:bCs/>
      <w:sz w:val="22"/>
      <w:szCs w:val="22"/>
      <w:lang w:val="es-ES" w:eastAsia="es-ES"/>
    </w:rPr>
  </w:style>
  <w:style w:type="character" w:customStyle="1" w:styleId="Ttulo7Car">
    <w:name w:val="Título 7 Car"/>
    <w:basedOn w:val="Fuentedeprrafopredeter"/>
    <w:link w:val="Ttulo7"/>
    <w:semiHidden/>
    <w:rsid w:val="00333AFD"/>
    <w:rPr>
      <w:sz w:val="24"/>
      <w:szCs w:val="24"/>
      <w:lang w:val="es-ES" w:eastAsia="es-ES"/>
    </w:rPr>
  </w:style>
  <w:style w:type="character" w:customStyle="1" w:styleId="Ttulo8Car">
    <w:name w:val="Título 8 Car"/>
    <w:basedOn w:val="Fuentedeprrafopredeter"/>
    <w:link w:val="Ttulo8"/>
    <w:semiHidden/>
    <w:rsid w:val="00333AFD"/>
    <w:rPr>
      <w:i/>
      <w:iCs/>
      <w:sz w:val="24"/>
      <w:szCs w:val="24"/>
      <w:lang w:val="es-ES" w:eastAsia="es-ES"/>
    </w:rPr>
  </w:style>
  <w:style w:type="character" w:customStyle="1" w:styleId="Ttulo9Car">
    <w:name w:val="Título 9 Car"/>
    <w:basedOn w:val="Fuentedeprrafopredeter"/>
    <w:link w:val="Ttulo9"/>
    <w:semiHidden/>
    <w:rsid w:val="00333AFD"/>
    <w:rPr>
      <w:rFonts w:ascii="Arial" w:hAnsi="Arial" w:cs="Arial"/>
      <w:sz w:val="22"/>
      <w:szCs w:val="22"/>
      <w:lang w:val="es-ES" w:eastAsia="es-ES"/>
    </w:rPr>
  </w:style>
  <w:style w:type="character" w:styleId="Refdecomentario">
    <w:name w:val="annotation reference"/>
    <w:basedOn w:val="Fuentedeprrafopredeter"/>
    <w:semiHidden/>
    <w:rsid w:val="00333AFD"/>
    <w:rPr>
      <w:sz w:val="6"/>
    </w:rPr>
  </w:style>
  <w:style w:type="paragraph" w:styleId="Textocomentario">
    <w:name w:val="annotation text"/>
    <w:basedOn w:val="Normal"/>
    <w:link w:val="TextocomentarioCar"/>
    <w:semiHidden/>
    <w:rsid w:val="00333AFD"/>
    <w:pPr>
      <w:suppressAutoHyphens/>
    </w:pPr>
    <w:rPr>
      <w:lang w:val="en-GB" w:eastAsia="en-US"/>
    </w:rPr>
  </w:style>
  <w:style w:type="character" w:customStyle="1" w:styleId="TextocomentarioCar">
    <w:name w:val="Texto comentario Car"/>
    <w:basedOn w:val="Fuentedeprrafopredeter"/>
    <w:link w:val="Textocomentario"/>
    <w:semiHidden/>
    <w:rsid w:val="00333AFD"/>
    <w:rPr>
      <w:lang w:val="en-GB" w:eastAsia="en-US"/>
    </w:rPr>
  </w:style>
  <w:style w:type="paragraph" w:styleId="Asuntodelcomentario">
    <w:name w:val="annotation subject"/>
    <w:basedOn w:val="Textocomentario"/>
    <w:next w:val="Textocomentario"/>
    <w:link w:val="AsuntodelcomentarioCar"/>
    <w:semiHidden/>
    <w:unhideWhenUsed/>
    <w:rsid w:val="00333AFD"/>
    <w:pPr>
      <w:spacing w:line="240" w:lineRule="auto"/>
    </w:pPr>
    <w:rPr>
      <w:b/>
      <w:bCs/>
    </w:rPr>
  </w:style>
  <w:style w:type="character" w:customStyle="1" w:styleId="AsuntodelcomentarioCar">
    <w:name w:val="Asunto del comentario Car"/>
    <w:basedOn w:val="TextocomentarioCar"/>
    <w:link w:val="Asuntodelcomentario"/>
    <w:semiHidden/>
    <w:rsid w:val="00333AFD"/>
    <w:rPr>
      <w:b/>
      <w:bCs/>
      <w:lang w:val="en-GB" w:eastAsia="en-US"/>
    </w:rPr>
  </w:style>
  <w:style w:type="character" w:styleId="Mencinsinresolver">
    <w:name w:val="Unresolved Mention"/>
    <w:basedOn w:val="Fuentedeprrafopredeter"/>
    <w:uiPriority w:val="99"/>
    <w:semiHidden/>
    <w:unhideWhenUsed/>
    <w:rsid w:val="00333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8FEA2-69DE-41B6-9EC0-5EA36CE59331}" type="doc">
      <dgm:prSet loTypeId="urn:microsoft.com/office/officeart/2005/8/layout/orgChart1" loCatId="hierarchy" qsTypeId="urn:microsoft.com/office/officeart/2005/8/quickstyle/simple5" qsCatId="simple" csTypeId="urn:microsoft.com/office/officeart/2005/8/colors/accent6_3" csCatId="accent6" phldr="1"/>
      <dgm:spPr/>
      <dgm:t>
        <a:bodyPr/>
        <a:lstStyle/>
        <a:p>
          <a:endParaRPr lang="en-ZW"/>
        </a:p>
      </dgm:t>
    </dgm:pt>
    <dgm:pt modelId="{BF2371FD-60D5-4AEA-A3F4-F3B5A8E5E803}">
      <dgm:prSet phldrT="[Text]"/>
      <dgm:spPr>
        <a:xfrm>
          <a:off x="1944165" y="0"/>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President His Excellency </a:t>
          </a:r>
        </a:p>
      </dgm:t>
    </dgm:pt>
    <dgm:pt modelId="{E979A77B-4BE1-4679-B009-3FCCA3A0C759}" type="parTrans" cxnId="{41279C3D-FD05-4315-8C46-D5AC9E151121}">
      <dgm:prSet/>
      <dgm:spPr/>
      <dgm:t>
        <a:bodyPr/>
        <a:lstStyle/>
        <a:p>
          <a:pPr algn="ctr"/>
          <a:endParaRPr lang="en-ZW"/>
        </a:p>
      </dgm:t>
    </dgm:pt>
    <dgm:pt modelId="{DA372263-70EF-487A-81D9-64E4C47B98FC}" type="sibTrans" cxnId="{41279C3D-FD05-4315-8C46-D5AC9E151121}">
      <dgm:prSet/>
      <dgm:spPr/>
      <dgm:t>
        <a:bodyPr/>
        <a:lstStyle/>
        <a:p>
          <a:pPr algn="ctr"/>
          <a:endParaRPr lang="en-ZW"/>
        </a:p>
      </dgm:t>
    </dgm:pt>
    <dgm:pt modelId="{EDBA9375-C539-45C8-9107-BDE2A9BEFF27}" type="asst">
      <dgm:prSet phldrT="[Text]"/>
      <dgm:spPr>
        <a:xfrm>
          <a:off x="778340"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F6F53856-4680-44A4-B63D-2C26B3B77CC0}" type="parTrans" cxnId="{ECB8D562-AFD9-4E87-B9CF-3AF11B4D7A54}">
      <dgm:prSet/>
      <dgm:spPr>
        <a:xfrm>
          <a:off x="2616833" y="919246"/>
          <a:ext cx="246578" cy="847641"/>
        </a:xfrm>
      </dgm:spPr>
      <dgm:t>
        <a:bodyPr/>
        <a:lstStyle/>
        <a:p>
          <a:pPr algn="ctr"/>
          <a:endParaRPr lang="en-ZW"/>
        </a:p>
      </dgm:t>
    </dgm:pt>
    <dgm:pt modelId="{B091EA14-5602-4F8F-98DA-8EBFD3F8A40C}" type="sibTrans" cxnId="{ECB8D562-AFD9-4E87-B9CF-3AF11B4D7A54}">
      <dgm:prSet/>
      <dgm:spPr/>
      <dgm:t>
        <a:bodyPr/>
        <a:lstStyle/>
        <a:p>
          <a:pPr algn="ctr"/>
          <a:endParaRPr lang="en-ZW"/>
        </a:p>
      </dgm:t>
    </dgm:pt>
    <dgm:pt modelId="{45970961-C524-4150-91DF-A554095C99CC}">
      <dgm:prSet phldrT="[Text]"/>
      <dgm:spPr>
        <a:xfrm>
          <a:off x="1890628" y="261259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Cabinet </a:t>
          </a:r>
        </a:p>
        <a:p>
          <a:pPr algn="ctr"/>
          <a:r>
            <a:rPr lang="en-ZW">
              <a:latin typeface="Calibri"/>
              <a:ea typeface="+mn-ea"/>
              <a:cs typeface="+mn-cs"/>
            </a:rPr>
            <a:t>Honorable Ministers </a:t>
          </a:r>
        </a:p>
      </dgm:t>
    </dgm:pt>
    <dgm:pt modelId="{FBDABFC4-8F48-4B68-91F8-B5F9AADD084E}" type="parTrans" cxnId="{31A53E77-193F-471F-8DB3-FE3832FAB7BB}">
      <dgm:prSet/>
      <dgm:spPr>
        <a:xfrm>
          <a:off x="2764155" y="919246"/>
          <a:ext cx="91440" cy="1693347"/>
        </a:xfrm>
      </dgm:spPr>
      <dgm:t>
        <a:bodyPr/>
        <a:lstStyle/>
        <a:p>
          <a:pPr algn="ctr"/>
          <a:endParaRPr lang="en-ZW"/>
        </a:p>
      </dgm:t>
    </dgm:pt>
    <dgm:pt modelId="{19C159DB-1FE1-4AD4-9EA4-662954D9558F}" type="sibTrans" cxnId="{31A53E77-193F-471F-8DB3-FE3832FAB7BB}">
      <dgm:prSet/>
      <dgm:spPr/>
      <dgm:t>
        <a:bodyPr/>
        <a:lstStyle/>
        <a:p>
          <a:pPr algn="ctr"/>
          <a:endParaRPr lang="en-ZW"/>
        </a:p>
      </dgm:t>
    </dgm:pt>
    <dgm:pt modelId="{EF6FF51D-95B8-4F48-8299-0B10C35399E5}" type="asst">
      <dgm:prSet/>
      <dgm:spPr>
        <a:xfrm>
          <a:off x="3002916"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43C2196C-89F0-4ED7-8964-97F9DFF8F590}" type="parTrans" cxnId="{91852872-59F3-4431-BA9C-8A8A28958091}">
      <dgm:prSet/>
      <dgm:spPr>
        <a:xfrm>
          <a:off x="2863411" y="919246"/>
          <a:ext cx="139504" cy="847641"/>
        </a:xfrm>
      </dgm:spPr>
      <dgm:t>
        <a:bodyPr/>
        <a:lstStyle/>
        <a:p>
          <a:pPr algn="ctr"/>
          <a:endParaRPr lang="en-ZW"/>
        </a:p>
      </dgm:t>
    </dgm:pt>
    <dgm:pt modelId="{4A2AE0C7-1E07-4D76-AAB2-4C331760C369}" type="sibTrans" cxnId="{91852872-59F3-4431-BA9C-8A8A28958091}">
      <dgm:prSet/>
      <dgm:spPr/>
      <dgm:t>
        <a:bodyPr/>
        <a:lstStyle/>
        <a:p>
          <a:pPr algn="ctr"/>
          <a:endParaRPr lang="en-ZW"/>
        </a:p>
      </dgm:t>
    </dgm:pt>
    <dgm:pt modelId="{56451E10-5193-4387-8EEE-36572C5F25BB}" type="pres">
      <dgm:prSet presAssocID="{2CC8FEA2-69DE-41B6-9EC0-5EA36CE59331}" presName="hierChild1" presStyleCnt="0">
        <dgm:presLayoutVars>
          <dgm:orgChart val="1"/>
          <dgm:chPref val="1"/>
          <dgm:dir/>
          <dgm:animOne val="branch"/>
          <dgm:animLvl val="lvl"/>
          <dgm:resizeHandles/>
        </dgm:presLayoutVars>
      </dgm:prSet>
      <dgm:spPr/>
    </dgm:pt>
    <dgm:pt modelId="{5CB60247-EA10-43F7-BD43-6942E0F9A917}" type="pres">
      <dgm:prSet presAssocID="{BF2371FD-60D5-4AEA-A3F4-F3B5A8E5E803}" presName="hierRoot1" presStyleCnt="0">
        <dgm:presLayoutVars>
          <dgm:hierBranch val="init"/>
        </dgm:presLayoutVars>
      </dgm:prSet>
      <dgm:spPr/>
    </dgm:pt>
    <dgm:pt modelId="{17A17C7A-7EFF-432B-82F5-23C18681B869}" type="pres">
      <dgm:prSet presAssocID="{BF2371FD-60D5-4AEA-A3F4-F3B5A8E5E803}" presName="rootComposite1" presStyleCnt="0"/>
      <dgm:spPr/>
    </dgm:pt>
    <dgm:pt modelId="{DB41A620-BEA9-4182-AAF4-BCD610753FDD}" type="pres">
      <dgm:prSet presAssocID="{BF2371FD-60D5-4AEA-A3F4-F3B5A8E5E803}" presName="rootText1" presStyleLbl="node0" presStyleIdx="0" presStyleCnt="1" custLinFactNeighborX="2912" custLinFactNeighborY="-48807">
        <dgm:presLayoutVars>
          <dgm:chPref val="3"/>
        </dgm:presLayoutVars>
      </dgm:prSet>
      <dgm:spPr/>
    </dgm:pt>
    <dgm:pt modelId="{D827E7E4-DCDB-4F8D-9D34-3566BAA9DD5E}" type="pres">
      <dgm:prSet presAssocID="{BF2371FD-60D5-4AEA-A3F4-F3B5A8E5E803}" presName="rootConnector1" presStyleLbl="node1" presStyleIdx="0" presStyleCnt="0"/>
      <dgm:spPr/>
    </dgm:pt>
    <dgm:pt modelId="{841D005E-1978-4C97-A06F-E05F7027AAC8}" type="pres">
      <dgm:prSet presAssocID="{BF2371FD-60D5-4AEA-A3F4-F3B5A8E5E803}" presName="hierChild2" presStyleCnt="0"/>
      <dgm:spPr/>
    </dgm:pt>
    <dgm:pt modelId="{EAF4A684-F4BD-44DA-9662-186F7079AD93}" type="pres">
      <dgm:prSet presAssocID="{FBDABFC4-8F48-4B68-91F8-B5F9AADD084E}" presName="Name37" presStyleLbl="parChTrans1D2" presStyleIdx="0" presStyleCnt="3"/>
      <dgm:spPr/>
    </dgm:pt>
    <dgm:pt modelId="{4FD22024-EFB2-4F76-8134-D481666B6A7D}" type="pres">
      <dgm:prSet presAssocID="{45970961-C524-4150-91DF-A554095C99CC}" presName="hierRoot2" presStyleCnt="0">
        <dgm:presLayoutVars>
          <dgm:hierBranch val="init"/>
        </dgm:presLayoutVars>
      </dgm:prSet>
      <dgm:spPr/>
    </dgm:pt>
    <dgm:pt modelId="{642D5657-416D-4492-8363-6B90CD817221}" type="pres">
      <dgm:prSet presAssocID="{45970961-C524-4150-91DF-A554095C99CC}" presName="rootComposite" presStyleCnt="0"/>
      <dgm:spPr/>
    </dgm:pt>
    <dgm:pt modelId="{BEE7CD0A-84A4-4B52-9A5A-C69839671E75}" type="pres">
      <dgm:prSet presAssocID="{45970961-C524-4150-91DF-A554095C99CC}" presName="rootText" presStyleLbl="node2" presStyleIdx="0" presStyleCnt="1" custLinFactNeighborX="2761" custLinFactNeighborY="170">
        <dgm:presLayoutVars>
          <dgm:chPref val="3"/>
        </dgm:presLayoutVars>
      </dgm:prSet>
      <dgm:spPr/>
    </dgm:pt>
    <dgm:pt modelId="{402476AA-F776-4A3E-8E30-06F77640E32F}" type="pres">
      <dgm:prSet presAssocID="{45970961-C524-4150-91DF-A554095C99CC}" presName="rootConnector" presStyleLbl="node2" presStyleIdx="0" presStyleCnt="1"/>
      <dgm:spPr/>
    </dgm:pt>
    <dgm:pt modelId="{5BC48733-DD5A-46EE-8AC2-7BD94DC23E7B}" type="pres">
      <dgm:prSet presAssocID="{45970961-C524-4150-91DF-A554095C99CC}" presName="hierChild4" presStyleCnt="0"/>
      <dgm:spPr/>
    </dgm:pt>
    <dgm:pt modelId="{5D68C465-A60B-49B5-9769-74B29EC9EA83}" type="pres">
      <dgm:prSet presAssocID="{45970961-C524-4150-91DF-A554095C99CC}" presName="hierChild5" presStyleCnt="0"/>
      <dgm:spPr/>
    </dgm:pt>
    <dgm:pt modelId="{5B4183EA-EFA6-4A70-BA93-091772C939C8}" type="pres">
      <dgm:prSet presAssocID="{BF2371FD-60D5-4AEA-A3F4-F3B5A8E5E803}" presName="hierChild3" presStyleCnt="0"/>
      <dgm:spPr/>
    </dgm:pt>
    <dgm:pt modelId="{94D9D8D5-5228-4CEA-BA44-59658ADD1A01}" type="pres">
      <dgm:prSet presAssocID="{F6F53856-4680-44A4-B63D-2C26B3B77CC0}" presName="Name111" presStyleLbl="parChTrans1D2" presStyleIdx="1" presStyleCnt="3"/>
      <dgm:spPr/>
    </dgm:pt>
    <dgm:pt modelId="{30499B6F-44C7-4509-A090-5A5167B8ECA3}" type="pres">
      <dgm:prSet presAssocID="{EDBA9375-C539-45C8-9107-BDE2A9BEFF27}" presName="hierRoot3" presStyleCnt="0">
        <dgm:presLayoutVars>
          <dgm:hierBranch val="init"/>
        </dgm:presLayoutVars>
      </dgm:prSet>
      <dgm:spPr/>
    </dgm:pt>
    <dgm:pt modelId="{2A9AA0B7-B1D5-44AF-9CA1-2209E9FEDBB5}" type="pres">
      <dgm:prSet presAssocID="{EDBA9375-C539-45C8-9107-BDE2A9BEFF27}" presName="rootComposite3" presStyleCnt="0"/>
      <dgm:spPr/>
    </dgm:pt>
    <dgm:pt modelId="{C90987AD-F26F-43E8-851B-662A56AED9FF}" type="pres">
      <dgm:prSet presAssocID="{EDBA9375-C539-45C8-9107-BDE2A9BEFF27}" presName="rootText3" presStyleLbl="asst1" presStyleIdx="0" presStyleCnt="2">
        <dgm:presLayoutVars>
          <dgm:chPref val="3"/>
        </dgm:presLayoutVars>
      </dgm:prSet>
      <dgm:spPr/>
    </dgm:pt>
    <dgm:pt modelId="{93036522-2B04-4CA7-A8B4-2D071490A7DC}" type="pres">
      <dgm:prSet presAssocID="{EDBA9375-C539-45C8-9107-BDE2A9BEFF27}" presName="rootConnector3" presStyleLbl="asst1" presStyleIdx="0" presStyleCnt="2"/>
      <dgm:spPr/>
    </dgm:pt>
    <dgm:pt modelId="{BCB8A247-BA9F-47F9-A0E0-5D66FA6ECD28}" type="pres">
      <dgm:prSet presAssocID="{EDBA9375-C539-45C8-9107-BDE2A9BEFF27}" presName="hierChild6" presStyleCnt="0"/>
      <dgm:spPr/>
    </dgm:pt>
    <dgm:pt modelId="{EFBD70CD-059F-43A7-8093-5DA51FF11A12}" type="pres">
      <dgm:prSet presAssocID="{EDBA9375-C539-45C8-9107-BDE2A9BEFF27}" presName="hierChild7" presStyleCnt="0"/>
      <dgm:spPr/>
    </dgm:pt>
    <dgm:pt modelId="{59FA4D28-1989-405D-B89A-9F59DCF70542}" type="pres">
      <dgm:prSet presAssocID="{43C2196C-89F0-4ED7-8964-97F9DFF8F590}" presName="Name111" presStyleLbl="parChTrans1D2" presStyleIdx="2" presStyleCnt="3"/>
      <dgm:spPr/>
    </dgm:pt>
    <dgm:pt modelId="{3F3D606B-E2C0-49E6-BF44-9E9142A396AE}" type="pres">
      <dgm:prSet presAssocID="{EF6FF51D-95B8-4F48-8299-0B10C35399E5}" presName="hierRoot3" presStyleCnt="0">
        <dgm:presLayoutVars>
          <dgm:hierBranch val="init"/>
        </dgm:presLayoutVars>
      </dgm:prSet>
      <dgm:spPr/>
    </dgm:pt>
    <dgm:pt modelId="{C93AF229-E6F9-40E9-8A37-4F86593392ED}" type="pres">
      <dgm:prSet presAssocID="{EF6FF51D-95B8-4F48-8299-0B10C35399E5}" presName="rootComposite3" presStyleCnt="0"/>
      <dgm:spPr/>
    </dgm:pt>
    <dgm:pt modelId="{DE063ED3-3B58-4914-8A78-322D9D760DF5}" type="pres">
      <dgm:prSet presAssocID="{EF6FF51D-95B8-4F48-8299-0B10C35399E5}" presName="rootText3" presStyleLbl="asst1" presStyleIdx="1" presStyleCnt="2">
        <dgm:presLayoutVars>
          <dgm:chPref val="3"/>
        </dgm:presLayoutVars>
      </dgm:prSet>
      <dgm:spPr/>
    </dgm:pt>
    <dgm:pt modelId="{04031F5F-654A-4574-917E-C7C8E4F2277A}" type="pres">
      <dgm:prSet presAssocID="{EF6FF51D-95B8-4F48-8299-0B10C35399E5}" presName="rootConnector3" presStyleLbl="asst1" presStyleIdx="1" presStyleCnt="2"/>
      <dgm:spPr/>
    </dgm:pt>
    <dgm:pt modelId="{CE93DABF-76EB-4B07-BEB1-CDEA968816AF}" type="pres">
      <dgm:prSet presAssocID="{EF6FF51D-95B8-4F48-8299-0B10C35399E5}" presName="hierChild6" presStyleCnt="0"/>
      <dgm:spPr/>
    </dgm:pt>
    <dgm:pt modelId="{39714F66-F62B-4728-9CA5-2240661EA30A}" type="pres">
      <dgm:prSet presAssocID="{EF6FF51D-95B8-4F48-8299-0B10C35399E5}" presName="hierChild7" presStyleCnt="0"/>
      <dgm:spPr/>
    </dgm:pt>
  </dgm:ptLst>
  <dgm:cxnLst>
    <dgm:cxn modelId="{39D92904-F214-4203-8837-5E347B63B648}" type="presOf" srcId="{FBDABFC4-8F48-4B68-91F8-B5F9AADD084E}" destId="{EAF4A684-F4BD-44DA-9662-186F7079AD93}" srcOrd="0" destOrd="0" presId="urn:microsoft.com/office/officeart/2005/8/layout/orgChart1"/>
    <dgm:cxn modelId="{5B02632F-560D-4605-AC54-8D929A65B86C}" type="presOf" srcId="{43C2196C-89F0-4ED7-8964-97F9DFF8F590}" destId="{59FA4D28-1989-405D-B89A-9F59DCF70542}" srcOrd="0" destOrd="0" presId="urn:microsoft.com/office/officeart/2005/8/layout/orgChart1"/>
    <dgm:cxn modelId="{488B6833-C5E9-411E-8352-A79BBD1ACF23}" type="presOf" srcId="{F6F53856-4680-44A4-B63D-2C26B3B77CC0}" destId="{94D9D8D5-5228-4CEA-BA44-59658ADD1A01}" srcOrd="0" destOrd="0" presId="urn:microsoft.com/office/officeart/2005/8/layout/orgChart1"/>
    <dgm:cxn modelId="{41279C3D-FD05-4315-8C46-D5AC9E151121}" srcId="{2CC8FEA2-69DE-41B6-9EC0-5EA36CE59331}" destId="{BF2371FD-60D5-4AEA-A3F4-F3B5A8E5E803}" srcOrd="0" destOrd="0" parTransId="{E979A77B-4BE1-4679-B009-3FCCA3A0C759}" sibTransId="{DA372263-70EF-487A-81D9-64E4C47B98FC}"/>
    <dgm:cxn modelId="{ECB8D562-AFD9-4E87-B9CF-3AF11B4D7A54}" srcId="{BF2371FD-60D5-4AEA-A3F4-F3B5A8E5E803}" destId="{EDBA9375-C539-45C8-9107-BDE2A9BEFF27}" srcOrd="0" destOrd="0" parTransId="{F6F53856-4680-44A4-B63D-2C26B3B77CC0}" sibTransId="{B091EA14-5602-4F8F-98DA-8EBFD3F8A40C}"/>
    <dgm:cxn modelId="{2E30CD44-D3E1-4A32-AD62-2B715225DE65}" type="presOf" srcId="{45970961-C524-4150-91DF-A554095C99CC}" destId="{402476AA-F776-4A3E-8E30-06F77640E32F}" srcOrd="1" destOrd="0" presId="urn:microsoft.com/office/officeart/2005/8/layout/orgChart1"/>
    <dgm:cxn modelId="{2735B54F-C0F7-4CF4-90BA-913019710803}" type="presOf" srcId="{EF6FF51D-95B8-4F48-8299-0B10C35399E5}" destId="{04031F5F-654A-4574-917E-C7C8E4F2277A}" srcOrd="1" destOrd="0" presId="urn:microsoft.com/office/officeart/2005/8/layout/orgChart1"/>
    <dgm:cxn modelId="{E924A571-15FE-42B8-8C23-49D489015366}" type="presOf" srcId="{EDBA9375-C539-45C8-9107-BDE2A9BEFF27}" destId="{C90987AD-F26F-43E8-851B-662A56AED9FF}" srcOrd="0" destOrd="0" presId="urn:microsoft.com/office/officeart/2005/8/layout/orgChart1"/>
    <dgm:cxn modelId="{91852872-59F3-4431-BA9C-8A8A28958091}" srcId="{BF2371FD-60D5-4AEA-A3F4-F3B5A8E5E803}" destId="{EF6FF51D-95B8-4F48-8299-0B10C35399E5}" srcOrd="1" destOrd="0" parTransId="{43C2196C-89F0-4ED7-8964-97F9DFF8F590}" sibTransId="{4A2AE0C7-1E07-4D76-AAB2-4C331760C369}"/>
    <dgm:cxn modelId="{31A53E77-193F-471F-8DB3-FE3832FAB7BB}" srcId="{BF2371FD-60D5-4AEA-A3F4-F3B5A8E5E803}" destId="{45970961-C524-4150-91DF-A554095C99CC}" srcOrd="2" destOrd="0" parTransId="{FBDABFC4-8F48-4B68-91F8-B5F9AADD084E}" sibTransId="{19C159DB-1FE1-4AD4-9EA4-662954D9558F}"/>
    <dgm:cxn modelId="{41962E7E-EE10-466B-9C26-E3EB31A0E104}" type="presOf" srcId="{EF6FF51D-95B8-4F48-8299-0B10C35399E5}" destId="{DE063ED3-3B58-4914-8A78-322D9D760DF5}" srcOrd="0" destOrd="0" presId="urn:microsoft.com/office/officeart/2005/8/layout/orgChart1"/>
    <dgm:cxn modelId="{D15FDAAA-8F8E-4E56-B083-7533719190CF}" type="presOf" srcId="{2CC8FEA2-69DE-41B6-9EC0-5EA36CE59331}" destId="{56451E10-5193-4387-8EEE-36572C5F25BB}" srcOrd="0" destOrd="0" presId="urn:microsoft.com/office/officeart/2005/8/layout/orgChart1"/>
    <dgm:cxn modelId="{AFE17EB8-1121-43EB-A28D-D6EB0A5907ED}" type="presOf" srcId="{BF2371FD-60D5-4AEA-A3F4-F3B5A8E5E803}" destId="{DB41A620-BEA9-4182-AAF4-BCD610753FDD}" srcOrd="0" destOrd="0" presId="urn:microsoft.com/office/officeart/2005/8/layout/orgChart1"/>
    <dgm:cxn modelId="{443045BA-7FB8-427E-8989-BDF8F9D229B5}" type="presOf" srcId="{45970961-C524-4150-91DF-A554095C99CC}" destId="{BEE7CD0A-84A4-4B52-9A5A-C69839671E75}" srcOrd="0" destOrd="0" presId="urn:microsoft.com/office/officeart/2005/8/layout/orgChart1"/>
    <dgm:cxn modelId="{DD243BDB-9EAE-4D31-9CFE-AF2986CBD8C8}" type="presOf" srcId="{EDBA9375-C539-45C8-9107-BDE2A9BEFF27}" destId="{93036522-2B04-4CA7-A8B4-2D071490A7DC}" srcOrd="1" destOrd="0" presId="urn:microsoft.com/office/officeart/2005/8/layout/orgChart1"/>
    <dgm:cxn modelId="{1FB84AFB-98CF-4B16-AE28-7247C30A165F}" type="presOf" srcId="{BF2371FD-60D5-4AEA-A3F4-F3B5A8E5E803}" destId="{D827E7E4-DCDB-4F8D-9D34-3566BAA9DD5E}" srcOrd="1" destOrd="0" presId="urn:microsoft.com/office/officeart/2005/8/layout/orgChart1"/>
    <dgm:cxn modelId="{29F1B2F5-CD90-458A-89ED-5F4D7D4EA1FA}" type="presParOf" srcId="{56451E10-5193-4387-8EEE-36572C5F25BB}" destId="{5CB60247-EA10-43F7-BD43-6942E0F9A917}" srcOrd="0" destOrd="0" presId="urn:microsoft.com/office/officeart/2005/8/layout/orgChart1"/>
    <dgm:cxn modelId="{68ED2215-F8AD-41C1-AD65-EA70527E114B}" type="presParOf" srcId="{5CB60247-EA10-43F7-BD43-6942E0F9A917}" destId="{17A17C7A-7EFF-432B-82F5-23C18681B869}" srcOrd="0" destOrd="0" presId="urn:microsoft.com/office/officeart/2005/8/layout/orgChart1"/>
    <dgm:cxn modelId="{3622C17A-B2DB-4BCC-B4B9-6D4590484B5F}" type="presParOf" srcId="{17A17C7A-7EFF-432B-82F5-23C18681B869}" destId="{DB41A620-BEA9-4182-AAF4-BCD610753FDD}" srcOrd="0" destOrd="0" presId="urn:microsoft.com/office/officeart/2005/8/layout/orgChart1"/>
    <dgm:cxn modelId="{E2DC8665-22C5-4385-B6F3-8056DA88A87B}" type="presParOf" srcId="{17A17C7A-7EFF-432B-82F5-23C18681B869}" destId="{D827E7E4-DCDB-4F8D-9D34-3566BAA9DD5E}" srcOrd="1" destOrd="0" presId="urn:microsoft.com/office/officeart/2005/8/layout/orgChart1"/>
    <dgm:cxn modelId="{DAF34271-2141-44D8-9DB9-EE60A05FC47E}" type="presParOf" srcId="{5CB60247-EA10-43F7-BD43-6942E0F9A917}" destId="{841D005E-1978-4C97-A06F-E05F7027AAC8}" srcOrd="1" destOrd="0" presId="urn:microsoft.com/office/officeart/2005/8/layout/orgChart1"/>
    <dgm:cxn modelId="{C77E23AE-9100-4DFB-BFA4-14D3B9648892}" type="presParOf" srcId="{841D005E-1978-4C97-A06F-E05F7027AAC8}" destId="{EAF4A684-F4BD-44DA-9662-186F7079AD93}" srcOrd="0" destOrd="0" presId="urn:microsoft.com/office/officeart/2005/8/layout/orgChart1"/>
    <dgm:cxn modelId="{FC5EE73C-6697-4F08-AAC8-1297EB69EEF6}" type="presParOf" srcId="{841D005E-1978-4C97-A06F-E05F7027AAC8}" destId="{4FD22024-EFB2-4F76-8134-D481666B6A7D}" srcOrd="1" destOrd="0" presId="urn:microsoft.com/office/officeart/2005/8/layout/orgChart1"/>
    <dgm:cxn modelId="{A15AB27B-38D6-4A65-B131-A1D40749E7C0}" type="presParOf" srcId="{4FD22024-EFB2-4F76-8134-D481666B6A7D}" destId="{642D5657-416D-4492-8363-6B90CD817221}" srcOrd="0" destOrd="0" presId="urn:microsoft.com/office/officeart/2005/8/layout/orgChart1"/>
    <dgm:cxn modelId="{5DBCD2B1-914D-4C46-BC2B-EDF6A4517823}" type="presParOf" srcId="{642D5657-416D-4492-8363-6B90CD817221}" destId="{BEE7CD0A-84A4-4B52-9A5A-C69839671E75}" srcOrd="0" destOrd="0" presId="urn:microsoft.com/office/officeart/2005/8/layout/orgChart1"/>
    <dgm:cxn modelId="{7F11E771-4819-4636-ADA5-07D3839F62EC}" type="presParOf" srcId="{642D5657-416D-4492-8363-6B90CD817221}" destId="{402476AA-F776-4A3E-8E30-06F77640E32F}" srcOrd="1" destOrd="0" presId="urn:microsoft.com/office/officeart/2005/8/layout/orgChart1"/>
    <dgm:cxn modelId="{0D6B7C47-9C73-4B40-88B4-F72B307658B5}" type="presParOf" srcId="{4FD22024-EFB2-4F76-8134-D481666B6A7D}" destId="{5BC48733-DD5A-46EE-8AC2-7BD94DC23E7B}" srcOrd="1" destOrd="0" presId="urn:microsoft.com/office/officeart/2005/8/layout/orgChart1"/>
    <dgm:cxn modelId="{B354841F-1C92-4F85-80A1-774ED4ADFF5E}" type="presParOf" srcId="{4FD22024-EFB2-4F76-8134-D481666B6A7D}" destId="{5D68C465-A60B-49B5-9769-74B29EC9EA83}" srcOrd="2" destOrd="0" presId="urn:microsoft.com/office/officeart/2005/8/layout/orgChart1"/>
    <dgm:cxn modelId="{9960A04B-1D8A-48B2-86DB-20C398D9EFFA}" type="presParOf" srcId="{5CB60247-EA10-43F7-BD43-6942E0F9A917}" destId="{5B4183EA-EFA6-4A70-BA93-091772C939C8}" srcOrd="2" destOrd="0" presId="urn:microsoft.com/office/officeart/2005/8/layout/orgChart1"/>
    <dgm:cxn modelId="{4BA97DDD-216E-4265-89CD-9855FD0CB14D}" type="presParOf" srcId="{5B4183EA-EFA6-4A70-BA93-091772C939C8}" destId="{94D9D8D5-5228-4CEA-BA44-59658ADD1A01}" srcOrd="0" destOrd="0" presId="urn:microsoft.com/office/officeart/2005/8/layout/orgChart1"/>
    <dgm:cxn modelId="{289BA417-D269-42F8-9295-741451F30E56}" type="presParOf" srcId="{5B4183EA-EFA6-4A70-BA93-091772C939C8}" destId="{30499B6F-44C7-4509-A090-5A5167B8ECA3}" srcOrd="1" destOrd="0" presId="urn:microsoft.com/office/officeart/2005/8/layout/orgChart1"/>
    <dgm:cxn modelId="{AC64736F-68A8-4454-AB9F-5886C0FEFA80}" type="presParOf" srcId="{30499B6F-44C7-4509-A090-5A5167B8ECA3}" destId="{2A9AA0B7-B1D5-44AF-9CA1-2209E9FEDBB5}" srcOrd="0" destOrd="0" presId="urn:microsoft.com/office/officeart/2005/8/layout/orgChart1"/>
    <dgm:cxn modelId="{EFF9CB30-909A-4A6D-B526-98AD697971D1}" type="presParOf" srcId="{2A9AA0B7-B1D5-44AF-9CA1-2209E9FEDBB5}" destId="{C90987AD-F26F-43E8-851B-662A56AED9FF}" srcOrd="0" destOrd="0" presId="urn:microsoft.com/office/officeart/2005/8/layout/orgChart1"/>
    <dgm:cxn modelId="{D3CDEC60-C699-4495-9D9D-1ED3ECF7D55D}" type="presParOf" srcId="{2A9AA0B7-B1D5-44AF-9CA1-2209E9FEDBB5}" destId="{93036522-2B04-4CA7-A8B4-2D071490A7DC}" srcOrd="1" destOrd="0" presId="urn:microsoft.com/office/officeart/2005/8/layout/orgChart1"/>
    <dgm:cxn modelId="{C3B2C5E0-64BE-4E4D-BEE5-32BE2C4B7869}" type="presParOf" srcId="{30499B6F-44C7-4509-A090-5A5167B8ECA3}" destId="{BCB8A247-BA9F-47F9-A0E0-5D66FA6ECD28}" srcOrd="1" destOrd="0" presId="urn:microsoft.com/office/officeart/2005/8/layout/orgChart1"/>
    <dgm:cxn modelId="{4F3FAF3E-2969-4792-B979-9BD5482A559D}" type="presParOf" srcId="{30499B6F-44C7-4509-A090-5A5167B8ECA3}" destId="{EFBD70CD-059F-43A7-8093-5DA51FF11A12}" srcOrd="2" destOrd="0" presId="urn:microsoft.com/office/officeart/2005/8/layout/orgChart1"/>
    <dgm:cxn modelId="{F4FC437C-0372-46EE-94B8-4D60A7F2BD4B}" type="presParOf" srcId="{5B4183EA-EFA6-4A70-BA93-091772C939C8}" destId="{59FA4D28-1989-405D-B89A-9F59DCF70542}" srcOrd="2" destOrd="0" presId="urn:microsoft.com/office/officeart/2005/8/layout/orgChart1"/>
    <dgm:cxn modelId="{ADB42656-23BD-4533-B7DB-CF2050F7076E}" type="presParOf" srcId="{5B4183EA-EFA6-4A70-BA93-091772C939C8}" destId="{3F3D606B-E2C0-49E6-BF44-9E9142A396AE}" srcOrd="3" destOrd="0" presId="urn:microsoft.com/office/officeart/2005/8/layout/orgChart1"/>
    <dgm:cxn modelId="{3F749B30-EF4C-42E8-B7DF-33951FAA23C3}" type="presParOf" srcId="{3F3D606B-E2C0-49E6-BF44-9E9142A396AE}" destId="{C93AF229-E6F9-40E9-8A37-4F86593392ED}" srcOrd="0" destOrd="0" presId="urn:microsoft.com/office/officeart/2005/8/layout/orgChart1"/>
    <dgm:cxn modelId="{7AF0A5CD-D376-4057-B6B1-03772C2C700B}" type="presParOf" srcId="{C93AF229-E6F9-40E9-8A37-4F86593392ED}" destId="{DE063ED3-3B58-4914-8A78-322D9D760DF5}" srcOrd="0" destOrd="0" presId="urn:microsoft.com/office/officeart/2005/8/layout/orgChart1"/>
    <dgm:cxn modelId="{4E352158-4770-4EC5-8255-6A6C7BB37551}" type="presParOf" srcId="{C93AF229-E6F9-40E9-8A37-4F86593392ED}" destId="{04031F5F-654A-4574-917E-C7C8E4F2277A}" srcOrd="1" destOrd="0" presId="urn:microsoft.com/office/officeart/2005/8/layout/orgChart1"/>
    <dgm:cxn modelId="{793B658E-EBD1-40D0-ABB2-7368BFA88295}" type="presParOf" srcId="{3F3D606B-E2C0-49E6-BF44-9E9142A396AE}" destId="{CE93DABF-76EB-4B07-BEB1-CDEA968816AF}" srcOrd="1" destOrd="0" presId="urn:microsoft.com/office/officeart/2005/8/layout/orgChart1"/>
    <dgm:cxn modelId="{0AD57E18-8475-444F-BED4-3487C14A77D4}" type="presParOf" srcId="{3F3D606B-E2C0-49E6-BF44-9E9142A396AE}" destId="{39714F66-F62B-4728-9CA5-2240661EA30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FA4D28-1989-405D-B89A-9F59DCF70542}">
      <dsp:nvSpPr>
        <dsp:cNvPr id="0" name=""/>
        <dsp:cNvSpPr/>
      </dsp:nvSpPr>
      <dsp:spPr>
        <a:xfrm>
          <a:off x="2382189" y="803923"/>
          <a:ext cx="122003" cy="741809"/>
        </a:xfrm>
        <a:custGeom>
          <a:avLst/>
          <a:gdLst/>
          <a:ahLst/>
          <a:cxnLst/>
          <a:rect l="0" t="0" r="0" b="0"/>
          <a:pathLst>
            <a:path>
              <a:moveTo>
                <a:pt x="0" y="0"/>
              </a:moveTo>
              <a:lnTo>
                <a:pt x="0" y="741809"/>
              </a:lnTo>
              <a:lnTo>
                <a:pt x="122003" y="74180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D9D8D5-5228-4CEA-BA44-59658ADD1A01}">
      <dsp:nvSpPr>
        <dsp:cNvPr id="0" name=""/>
        <dsp:cNvSpPr/>
      </dsp:nvSpPr>
      <dsp:spPr>
        <a:xfrm>
          <a:off x="2166545" y="803923"/>
          <a:ext cx="215644" cy="741809"/>
        </a:xfrm>
        <a:custGeom>
          <a:avLst/>
          <a:gdLst/>
          <a:ahLst/>
          <a:cxnLst/>
          <a:rect l="0" t="0" r="0" b="0"/>
          <a:pathLst>
            <a:path>
              <a:moveTo>
                <a:pt x="215644" y="0"/>
              </a:moveTo>
              <a:lnTo>
                <a:pt x="215644" y="741809"/>
              </a:lnTo>
              <a:lnTo>
                <a:pt x="0" y="74180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F4A684-F4BD-44DA-9662-186F7079AD93}">
      <dsp:nvSpPr>
        <dsp:cNvPr id="0" name=""/>
        <dsp:cNvSpPr/>
      </dsp:nvSpPr>
      <dsp:spPr>
        <a:xfrm>
          <a:off x="2334041" y="803923"/>
          <a:ext cx="91440" cy="1482785"/>
        </a:xfrm>
        <a:custGeom>
          <a:avLst/>
          <a:gdLst/>
          <a:ahLst/>
          <a:cxnLst/>
          <a:rect l="0" t="0" r="0" b="0"/>
          <a:pathLst>
            <a:path>
              <a:moveTo>
                <a:pt x="48147" y="0"/>
              </a:moveTo>
              <a:lnTo>
                <a:pt x="48147" y="1313961"/>
              </a:lnTo>
              <a:lnTo>
                <a:pt x="45720" y="1313961"/>
              </a:lnTo>
              <a:lnTo>
                <a:pt x="45720" y="1482785"/>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1A620-BEA9-4182-AAF4-BCD610753FDD}">
      <dsp:nvSpPr>
        <dsp:cNvPr id="0" name=""/>
        <dsp:cNvSpPr/>
      </dsp:nvSpPr>
      <dsp:spPr>
        <a:xfrm>
          <a:off x="1578266" y="0"/>
          <a:ext cx="1607846" cy="803923"/>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ZW" sz="1600" kern="1200">
              <a:latin typeface="Calibri"/>
              <a:ea typeface="+mn-ea"/>
              <a:cs typeface="+mn-cs"/>
            </a:rPr>
            <a:t>President His Excellency </a:t>
          </a:r>
        </a:p>
      </dsp:txBody>
      <dsp:txXfrm>
        <a:off x="1578266" y="0"/>
        <a:ext cx="1607846" cy="803923"/>
      </dsp:txXfrm>
    </dsp:sp>
    <dsp:sp modelId="{BEE7CD0A-84A4-4B52-9A5A-C69839671E75}">
      <dsp:nvSpPr>
        <dsp:cNvPr id="0" name=""/>
        <dsp:cNvSpPr/>
      </dsp:nvSpPr>
      <dsp:spPr>
        <a:xfrm>
          <a:off x="1575838" y="2286709"/>
          <a:ext cx="1607846" cy="803923"/>
        </a:xfrm>
        <a:prstGeom prst="rect">
          <a:avLst/>
        </a:prstGeom>
        <a:gradFill rotWithShape="0">
          <a:gsLst>
            <a:gs pos="0">
              <a:schemeClr val="accent6">
                <a:tint val="99000"/>
                <a:hueOff val="0"/>
                <a:satOff val="0"/>
                <a:lumOff val="0"/>
                <a:alphaOff val="0"/>
                <a:shade val="51000"/>
                <a:satMod val="130000"/>
              </a:schemeClr>
            </a:gs>
            <a:gs pos="80000">
              <a:schemeClr val="accent6">
                <a:tint val="99000"/>
                <a:hueOff val="0"/>
                <a:satOff val="0"/>
                <a:lumOff val="0"/>
                <a:alphaOff val="0"/>
                <a:shade val="93000"/>
                <a:satMod val="130000"/>
              </a:schemeClr>
            </a:gs>
            <a:gs pos="100000">
              <a:schemeClr val="accent6">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ZW" sz="1600" kern="1200">
              <a:latin typeface="Calibri"/>
              <a:ea typeface="+mn-ea"/>
              <a:cs typeface="+mn-cs"/>
            </a:rPr>
            <a:t>Cabinet </a:t>
          </a:r>
        </a:p>
        <a:p>
          <a:pPr marL="0" lvl="0" indent="0" algn="ctr" defTabSz="711200">
            <a:lnSpc>
              <a:spcPct val="90000"/>
            </a:lnSpc>
            <a:spcBef>
              <a:spcPct val="0"/>
            </a:spcBef>
            <a:spcAft>
              <a:spcPct val="35000"/>
            </a:spcAft>
            <a:buNone/>
          </a:pPr>
          <a:r>
            <a:rPr lang="en-ZW" sz="1600" kern="1200">
              <a:latin typeface="Calibri"/>
              <a:ea typeface="+mn-ea"/>
              <a:cs typeface="+mn-cs"/>
            </a:rPr>
            <a:t>Honorable Ministers </a:t>
          </a:r>
        </a:p>
      </dsp:txBody>
      <dsp:txXfrm>
        <a:off x="1575838" y="2286709"/>
        <a:ext cx="1607846" cy="803923"/>
      </dsp:txXfrm>
    </dsp:sp>
    <dsp:sp modelId="{C90987AD-F26F-43E8-851B-662A56AED9FF}">
      <dsp:nvSpPr>
        <dsp:cNvPr id="0" name=""/>
        <dsp:cNvSpPr/>
      </dsp:nvSpPr>
      <dsp:spPr>
        <a:xfrm>
          <a:off x="558698" y="1143771"/>
          <a:ext cx="1607846" cy="803923"/>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ZW" sz="1600" kern="1200">
              <a:latin typeface="Calibri"/>
              <a:ea typeface="+mn-ea"/>
              <a:cs typeface="+mn-cs"/>
            </a:rPr>
            <a:t>Vice President </a:t>
          </a:r>
        </a:p>
      </dsp:txBody>
      <dsp:txXfrm>
        <a:off x="558698" y="1143771"/>
        <a:ext cx="1607846" cy="803923"/>
      </dsp:txXfrm>
    </dsp:sp>
    <dsp:sp modelId="{DE063ED3-3B58-4914-8A78-322D9D760DF5}">
      <dsp:nvSpPr>
        <dsp:cNvPr id="0" name=""/>
        <dsp:cNvSpPr/>
      </dsp:nvSpPr>
      <dsp:spPr>
        <a:xfrm>
          <a:off x="2504192" y="1143771"/>
          <a:ext cx="1607846" cy="803923"/>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ZW" sz="1600" kern="1200">
              <a:latin typeface="Calibri"/>
              <a:ea typeface="+mn-ea"/>
              <a:cs typeface="+mn-cs"/>
            </a:rPr>
            <a:t>Vice president </a:t>
          </a:r>
        </a:p>
      </dsp:txBody>
      <dsp:txXfrm>
        <a:off x="2504192" y="1143771"/>
        <a:ext cx="1607846" cy="80392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53</Pages>
  <Words>22807</Words>
  <Characters>120741</Characters>
  <Application>Microsoft Office Word</Application>
  <DocSecurity>0</DocSecurity>
  <Lines>3747</Lines>
  <Paragraphs>1912</Paragraphs>
  <ScaleCrop>false</ScaleCrop>
  <HeadingPairs>
    <vt:vector size="2" baseType="variant">
      <vt:variant>
        <vt:lpstr>Título</vt:lpstr>
      </vt:variant>
      <vt:variant>
        <vt:i4>1</vt:i4>
      </vt:variant>
    </vt:vector>
  </HeadingPairs>
  <TitlesOfParts>
    <vt:vector size="1" baseType="lpstr">
      <vt:lpstr>HRI/CORE/ZWE/2021</vt:lpstr>
    </vt:vector>
  </TitlesOfParts>
  <Company/>
  <LinksUpToDate>false</LinksUpToDate>
  <CharactersWithSpaces>142174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HRI/CORE/ZWE/2021</dc:title>
  <dc:subject/>
  <dc:creator>Angel ANGEL-MORENO-TORRES</dc:creator>
  <cp:keywords/>
  <dc:description/>
  <cp:lastModifiedBy>Angel Moreno Torres</cp:lastModifiedBy>
  <cp:revision>2</cp:revision>
  <dcterms:created xsi:type="dcterms:W3CDTF">2022-06-03T07:27:00Z</dcterms:created>
  <dcterms:modified xsi:type="dcterms:W3CDTF">2022-06-03T07:27:00Z</dcterms:modified>
</cp:coreProperties>
</file>