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560348A" w14:textId="77777777" w:rsidTr="00FB115A">
        <w:trPr>
          <w:cantSplit/>
          <w:trHeight w:hRule="exact" w:val="851"/>
        </w:trPr>
        <w:tc>
          <w:tcPr>
            <w:tcW w:w="1276" w:type="dxa"/>
            <w:tcBorders>
              <w:bottom w:val="single" w:sz="4" w:space="0" w:color="auto"/>
            </w:tcBorders>
            <w:vAlign w:val="bottom"/>
          </w:tcPr>
          <w:p w14:paraId="78A6EEA6" w14:textId="77777777" w:rsidR="00A126AC" w:rsidRPr="00244BB1" w:rsidRDefault="00A126AC" w:rsidP="00FB115A">
            <w:pPr>
              <w:spacing w:after="80"/>
              <w:rPr>
                <w:lang w:val="en-US"/>
              </w:rPr>
            </w:pPr>
          </w:p>
        </w:tc>
        <w:tc>
          <w:tcPr>
            <w:tcW w:w="2268" w:type="dxa"/>
            <w:tcBorders>
              <w:bottom w:val="single" w:sz="4" w:space="0" w:color="auto"/>
            </w:tcBorders>
            <w:vAlign w:val="bottom"/>
          </w:tcPr>
          <w:p w14:paraId="371E5D8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F7BED2" w14:textId="77777777" w:rsidR="00A126AC" w:rsidRPr="006E4EE9" w:rsidRDefault="007F2F96" w:rsidP="007F2F96">
            <w:pPr>
              <w:suppressAutoHyphens w:val="0"/>
              <w:spacing w:after="20"/>
              <w:jc w:val="right"/>
            </w:pPr>
            <w:r w:rsidRPr="007F2F96">
              <w:rPr>
                <w:sz w:val="40"/>
              </w:rPr>
              <w:t>CED</w:t>
            </w:r>
            <w:r>
              <w:t>/C/ARM/Q/AI/1</w:t>
            </w:r>
          </w:p>
        </w:tc>
      </w:tr>
      <w:tr w:rsidR="00A126AC" w14:paraId="6973BCA3" w14:textId="77777777" w:rsidTr="00FB115A">
        <w:trPr>
          <w:cantSplit/>
          <w:trHeight w:hRule="exact" w:val="2835"/>
        </w:trPr>
        <w:tc>
          <w:tcPr>
            <w:tcW w:w="1276" w:type="dxa"/>
            <w:tcBorders>
              <w:top w:val="single" w:sz="4" w:space="0" w:color="auto"/>
              <w:bottom w:val="single" w:sz="12" w:space="0" w:color="auto"/>
            </w:tcBorders>
          </w:tcPr>
          <w:p w14:paraId="26CC5917" w14:textId="77777777" w:rsidR="00A126AC" w:rsidRDefault="00A126AC" w:rsidP="00FB115A">
            <w:pPr>
              <w:spacing w:before="120"/>
              <w:jc w:val="center"/>
            </w:pPr>
            <w:r>
              <w:rPr>
                <w:noProof/>
                <w:lang w:val="fr-CH" w:eastAsia="fr-CH"/>
              </w:rPr>
              <w:drawing>
                <wp:inline distT="0" distB="0" distL="0" distR="0" wp14:anchorId="5F514D63" wp14:editId="4D12AE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82A1B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682EBEF" w14:textId="77777777" w:rsidR="00A126AC" w:rsidRDefault="007F2F96" w:rsidP="007F2F96">
            <w:pPr>
              <w:spacing w:before="240"/>
            </w:pPr>
            <w:r>
              <w:t>Distr.: General</w:t>
            </w:r>
          </w:p>
          <w:p w14:paraId="37A1EC5E" w14:textId="1E45F0EA" w:rsidR="007F2F96" w:rsidRDefault="00244BB1" w:rsidP="007F2F96">
            <w:pPr>
              <w:suppressAutoHyphens w:val="0"/>
            </w:pPr>
            <w:r>
              <w:t xml:space="preserve">15 May </w:t>
            </w:r>
            <w:r w:rsidR="007F2F96">
              <w:t>2025</w:t>
            </w:r>
          </w:p>
          <w:p w14:paraId="59F5A2FF" w14:textId="77777777" w:rsidR="007F2F96" w:rsidRDefault="007F2F96" w:rsidP="007F2F96">
            <w:pPr>
              <w:suppressAutoHyphens w:val="0"/>
            </w:pPr>
          </w:p>
          <w:p w14:paraId="357FBA37" w14:textId="77777777" w:rsidR="007F2F96" w:rsidRDefault="007F2F96" w:rsidP="007F2F96">
            <w:pPr>
              <w:suppressAutoHyphens w:val="0"/>
            </w:pPr>
            <w:r>
              <w:t>Original: English</w:t>
            </w:r>
          </w:p>
          <w:p w14:paraId="3F7AEA1A" w14:textId="00178D20" w:rsidR="00EC3582" w:rsidRDefault="00EC3582" w:rsidP="007F2F96">
            <w:pPr>
              <w:suppressAutoHyphens w:val="0"/>
            </w:pPr>
            <w:r w:rsidRPr="007A2B0C">
              <w:t>English, French and Spanish only</w:t>
            </w:r>
          </w:p>
        </w:tc>
      </w:tr>
    </w:tbl>
    <w:p w14:paraId="3FE71166" w14:textId="77777777" w:rsidR="00244BB1" w:rsidRPr="007A2B0C" w:rsidRDefault="00244BB1" w:rsidP="00244BB1">
      <w:pPr>
        <w:spacing w:before="120"/>
        <w:rPr>
          <w:b/>
          <w:sz w:val="24"/>
          <w:szCs w:val="24"/>
        </w:rPr>
      </w:pPr>
      <w:r w:rsidRPr="007A2B0C">
        <w:rPr>
          <w:b/>
          <w:sz w:val="24"/>
          <w:szCs w:val="24"/>
        </w:rPr>
        <w:t>Committee on Enforced Disappearances</w:t>
      </w:r>
    </w:p>
    <w:p w14:paraId="1E93482E" w14:textId="77777777" w:rsidR="00244BB1" w:rsidRPr="00981CCD" w:rsidRDefault="00244BB1" w:rsidP="00244BB1">
      <w:pPr>
        <w:rPr>
          <w:b/>
        </w:rPr>
      </w:pPr>
      <w:r w:rsidRPr="007A2B0C">
        <w:rPr>
          <w:b/>
        </w:rPr>
        <w:t>Twenty-</w:t>
      </w:r>
      <w:r w:rsidRPr="00981CCD">
        <w:rPr>
          <w:b/>
        </w:rPr>
        <w:t xml:space="preserve">ninth session </w:t>
      </w:r>
    </w:p>
    <w:p w14:paraId="1344C330" w14:textId="77777777" w:rsidR="00244BB1" w:rsidRPr="00981CCD" w:rsidRDefault="00244BB1" w:rsidP="00244BB1">
      <w:pPr>
        <w:rPr>
          <w:bCs/>
        </w:rPr>
      </w:pPr>
      <w:r w:rsidRPr="00981CCD">
        <w:rPr>
          <w:bCs/>
        </w:rPr>
        <w:t>Geneva, 22 September</w:t>
      </w:r>
      <w:r>
        <w:rPr>
          <w:bCs/>
        </w:rPr>
        <w:t>–</w:t>
      </w:r>
      <w:r w:rsidRPr="00981CCD">
        <w:rPr>
          <w:bCs/>
        </w:rPr>
        <w:t>3 October 2025</w:t>
      </w:r>
    </w:p>
    <w:p w14:paraId="5000BDF0" w14:textId="77777777" w:rsidR="00244BB1" w:rsidRPr="00981CCD" w:rsidRDefault="00244BB1" w:rsidP="00244BB1">
      <w:pPr>
        <w:pStyle w:val="SingleTxtG"/>
        <w:ind w:left="0"/>
        <w:jc w:val="left"/>
        <w:rPr>
          <w:b/>
          <w:bCs/>
        </w:rPr>
      </w:pPr>
      <w:r w:rsidRPr="00981CCD">
        <w:rPr>
          <w:b/>
          <w:bCs/>
        </w:rPr>
        <w:t xml:space="preserve">Lists of priority themes under article 29 (3) </w:t>
      </w:r>
      <w:r>
        <w:rPr>
          <w:b/>
          <w:bCs/>
        </w:rPr>
        <w:br/>
      </w:r>
      <w:r w:rsidRPr="00981CCD">
        <w:rPr>
          <w:b/>
          <w:bCs/>
        </w:rPr>
        <w:t>and (4) of the Convention</w:t>
      </w:r>
    </w:p>
    <w:p w14:paraId="47836E30" w14:textId="77777777" w:rsidR="00244BB1" w:rsidRPr="007A2B0C" w:rsidRDefault="00244BB1" w:rsidP="00244BB1">
      <w:pPr>
        <w:pStyle w:val="HChG"/>
      </w:pPr>
      <w:r w:rsidRPr="00981CCD">
        <w:tab/>
      </w:r>
      <w:r w:rsidRPr="00981CCD">
        <w:tab/>
      </w:r>
      <w:bookmarkStart w:id="0" w:name="_Hlk180064764"/>
      <w:r w:rsidRPr="00981CCD">
        <w:t>List of priority themes in relation to the additional</w:t>
      </w:r>
      <w:r w:rsidRPr="007A2B0C">
        <w:t xml:space="preserve"> information submitted by Armenia under article 29 (4)</w:t>
      </w:r>
      <w:r w:rsidRPr="007A2B0C">
        <w:br/>
        <w:t>of the Convention</w:t>
      </w:r>
      <w:bookmarkEnd w:id="0"/>
    </w:p>
    <w:p w14:paraId="182704A7" w14:textId="77777777" w:rsidR="00244BB1" w:rsidRPr="007A2B0C" w:rsidRDefault="00244BB1" w:rsidP="00244BB1">
      <w:pPr>
        <w:pStyle w:val="H1G"/>
      </w:pPr>
      <w:r w:rsidRPr="007A2B0C">
        <w:tab/>
      </w:r>
      <w:r w:rsidRPr="007A2B0C">
        <w:tab/>
      </w:r>
      <w:bookmarkStart w:id="1" w:name="_Hlk180065151"/>
      <w:r w:rsidRPr="007A2B0C">
        <w:t xml:space="preserve">Note by the </w:t>
      </w:r>
      <w:bookmarkEnd w:id="1"/>
      <w:r w:rsidRPr="007A2B0C">
        <w:t>Committee</w:t>
      </w:r>
    </w:p>
    <w:p w14:paraId="2BEA2CA6" w14:textId="4C6D8FC5"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 xml:space="preserve">The Committee recalls that the International Convention for the Protection of All Persons from Enforced Disappearance does not provide for periodic reports; rather, it provides for a procedure in which the Committee may request States Parties for additional information. To enable effective and efficient monitoring, and pursuant to rule 49 (1) of its rules of procedure, the Committee may request such information whenever it considers it necessary, in the light of the status of implementation of its recommendations by the </w:t>
      </w:r>
      <w:r w:rsidR="00EC3582">
        <w:t>State Party</w:t>
      </w:r>
      <w:r w:rsidRPr="00E052E5">
        <w:t xml:space="preserve"> and the evolution of the situation related to enforced disappearance in the </w:t>
      </w:r>
      <w:r w:rsidR="00EC3582">
        <w:t>State Party</w:t>
      </w:r>
      <w:r>
        <w:t>. In that regard, the examination of the additional information submitted by States Parties pursuant to article 29 (3) and (4) of the Convention covers a maximum of four priority themes identified by the Committee, and the procedure comprises four phases</w:t>
      </w:r>
      <w:r w:rsidRPr="007A2B0C">
        <w:t xml:space="preserve">: </w:t>
      </w:r>
    </w:p>
    <w:p w14:paraId="51BF95B3" w14:textId="77777777" w:rsidR="00244BB1" w:rsidRPr="007A2B0C" w:rsidRDefault="00244BB1" w:rsidP="00244BB1">
      <w:pPr>
        <w:pStyle w:val="SingleTxtG"/>
      </w:pPr>
      <w:r w:rsidRPr="007A2B0C">
        <w:tab/>
        <w:t>(a)</w:t>
      </w:r>
      <w:r w:rsidRPr="007A2B0C">
        <w:tab/>
        <w:t>Identification, by the country rapporteurs, of priority themes related to the implementation of previous concluding observations and</w:t>
      </w:r>
      <w:r>
        <w:t>/or</w:t>
      </w:r>
      <w:r w:rsidRPr="007A2B0C">
        <w:t xml:space="preserve"> to the evolution of the situation of enforced disappearance in the State </w:t>
      </w:r>
      <w:r>
        <w:t>P</w:t>
      </w:r>
      <w:r w:rsidRPr="007A2B0C">
        <w:t xml:space="preserve">arty concerned and adoption of the list of priority themes by the Committee plenary; </w:t>
      </w:r>
    </w:p>
    <w:p w14:paraId="3DDED31D" w14:textId="77777777" w:rsidR="00244BB1" w:rsidRPr="007A2B0C" w:rsidRDefault="00244BB1" w:rsidP="00244BB1">
      <w:pPr>
        <w:pStyle w:val="SingleTxtG"/>
      </w:pPr>
      <w:r w:rsidRPr="007A2B0C">
        <w:tab/>
        <w:t>(b)</w:t>
      </w:r>
      <w:r w:rsidRPr="007A2B0C">
        <w:tab/>
        <w:t xml:space="preserve">Transmission of the list of priority themes to the State </w:t>
      </w:r>
      <w:r>
        <w:t>P</w:t>
      </w:r>
      <w:r w:rsidRPr="007A2B0C">
        <w:t>arty</w:t>
      </w:r>
      <w:r>
        <w:t>;</w:t>
      </w:r>
      <w:r w:rsidRPr="007A2B0C">
        <w:t xml:space="preserve"> </w:t>
      </w:r>
      <w:r>
        <w:t>n</w:t>
      </w:r>
      <w:r w:rsidRPr="007A2B0C">
        <w:t xml:space="preserve">o written response is expected from the State </w:t>
      </w:r>
      <w:r>
        <w:t>P</w:t>
      </w:r>
      <w:r w:rsidRPr="007A2B0C">
        <w:t xml:space="preserve">arty at this stage of the procedure; </w:t>
      </w:r>
    </w:p>
    <w:p w14:paraId="2855C645" w14:textId="77777777" w:rsidR="00244BB1" w:rsidRPr="007A2B0C" w:rsidRDefault="00244BB1" w:rsidP="00244BB1">
      <w:pPr>
        <w:pStyle w:val="SingleTxtG"/>
      </w:pPr>
      <w:r w:rsidRPr="007A2B0C">
        <w:tab/>
        <w:t>(c)</w:t>
      </w:r>
      <w:r w:rsidRPr="007A2B0C">
        <w:tab/>
        <w:t xml:space="preserve">Public dialogue between the Committee and a delegation of the State </w:t>
      </w:r>
      <w:r>
        <w:t>P</w:t>
      </w:r>
      <w:r w:rsidRPr="007A2B0C">
        <w:t xml:space="preserve">arty, with active participation by the competent authorities of the State </w:t>
      </w:r>
      <w:r>
        <w:t>P</w:t>
      </w:r>
      <w:r w:rsidRPr="007A2B0C">
        <w:t>arty</w:t>
      </w:r>
      <w:r>
        <w:t>;</w:t>
      </w:r>
      <w:r w:rsidRPr="007A2B0C">
        <w:t xml:space="preserve"> </w:t>
      </w:r>
      <w:r>
        <w:t>for</w:t>
      </w:r>
      <w:r w:rsidRPr="007A2B0C">
        <w:t xml:space="preserve"> </w:t>
      </w:r>
      <w:r>
        <w:t>Armenia</w:t>
      </w:r>
      <w:r w:rsidRPr="007A2B0C">
        <w:t xml:space="preserve">, the constructive dialogue will take place during one three-hour meeting at </w:t>
      </w:r>
      <w:r>
        <w:t>a</w:t>
      </w:r>
      <w:r w:rsidRPr="007A2B0C">
        <w:t xml:space="preserve"> </w:t>
      </w:r>
      <w:r w:rsidRPr="00D61BA6">
        <w:t>forthcoming session</w:t>
      </w:r>
      <w:r w:rsidRPr="007A2B0C">
        <w:t xml:space="preserve"> of the Committee; </w:t>
      </w:r>
    </w:p>
    <w:p w14:paraId="7DA40A86" w14:textId="77777777" w:rsidR="00244BB1" w:rsidRDefault="00244BB1" w:rsidP="00244BB1">
      <w:pPr>
        <w:pStyle w:val="SingleTxtG"/>
      </w:pPr>
      <w:r w:rsidRPr="007A2B0C">
        <w:tab/>
        <w:t>(d)</w:t>
      </w:r>
      <w:r w:rsidRPr="007A2B0C">
        <w:tab/>
        <w:t>Adoption of concluding observations, in which the Committee highlights its concerns and recommendations and indicates the next steps in the procedure</w:t>
      </w:r>
      <w:r>
        <w:t>, as determined</w:t>
      </w:r>
      <w:r w:rsidRPr="007A2B0C">
        <w:t xml:space="preserve"> in the light of the measures needed to implement the recommendations and of the </w:t>
      </w:r>
      <w:r>
        <w:t>evolution</w:t>
      </w:r>
      <w:r w:rsidRPr="007A2B0C">
        <w:t xml:space="preserve"> in the situation of enforced disappearance in the State </w:t>
      </w:r>
      <w:r>
        <w:t>P</w:t>
      </w:r>
      <w:r w:rsidRPr="007A2B0C">
        <w:t>arty.</w:t>
      </w:r>
    </w:p>
    <w:p w14:paraId="19349F22"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Having considered the additional information submitted by Armenia under article 29 (4) of the Convention</w:t>
      </w:r>
      <w:r>
        <w:t>,</w:t>
      </w:r>
      <w:r w:rsidRPr="007A2B0C">
        <w:t xml:space="preserve"> </w:t>
      </w:r>
      <w:r>
        <w:t>dated</w:t>
      </w:r>
      <w:r w:rsidRPr="007A2B0C">
        <w:t xml:space="preserve"> 11 April 2022,</w:t>
      </w:r>
      <w:r w:rsidRPr="007A2B0C">
        <w:rPr>
          <w:rStyle w:val="FootnoteReference"/>
        </w:rPr>
        <w:footnoteReference w:id="1"/>
      </w:r>
      <w:r w:rsidRPr="007A2B0C">
        <w:t xml:space="preserve"> </w:t>
      </w:r>
      <w:r w:rsidRPr="00285926">
        <w:rPr>
          <w:shd w:val="clear" w:color="000000" w:fill="FFFFFF"/>
        </w:rPr>
        <w:t>and the information received from the State Party, dated 13 February 2016, on follow-up to the concluding observations,</w:t>
      </w:r>
      <w:r w:rsidRPr="007A2B0C">
        <w:rPr>
          <w:rStyle w:val="FootnoteReference"/>
          <w:shd w:val="clear" w:color="000000" w:fill="FFFFFF"/>
        </w:rPr>
        <w:footnoteReference w:id="2"/>
      </w:r>
      <w:r w:rsidRPr="00285926">
        <w:rPr>
          <w:shd w:val="clear" w:color="000000" w:fill="FFFFFF"/>
        </w:rPr>
        <w:t xml:space="preserve"> </w:t>
      </w:r>
      <w:r w:rsidRPr="007A2B0C">
        <w:t xml:space="preserve">the Committee decided to focus its next dialogue with the State </w:t>
      </w:r>
      <w:r>
        <w:t>P</w:t>
      </w:r>
      <w:r w:rsidRPr="007A2B0C">
        <w:t xml:space="preserve">arty on the list of priority </w:t>
      </w:r>
      <w:r w:rsidRPr="007A2B0C">
        <w:lastRenderedPageBreak/>
        <w:t>themes and related issues set out below. Th</w:t>
      </w:r>
      <w:r>
        <w:t>e</w:t>
      </w:r>
      <w:r w:rsidRPr="007A2B0C">
        <w:t xml:space="preserve"> list is not exhaustive and other issues may be raised during the dialogue. All interested persons and organizations can provide information on the issues raised, through written contributions and/or in confidential oral briefings with the Committee</w:t>
      </w:r>
      <w:r>
        <w:t xml:space="preserve"> that will take place ahead of the dialogue with the State Party.</w:t>
      </w:r>
    </w:p>
    <w:p w14:paraId="12C996EC" w14:textId="77777777" w:rsidR="00244BB1" w:rsidRPr="00EE3BDF" w:rsidRDefault="00244BB1" w:rsidP="00244BB1">
      <w:pPr>
        <w:pStyle w:val="HChG"/>
        <w:rPr>
          <w:rFonts w:eastAsia="SimSun"/>
        </w:rPr>
      </w:pPr>
      <w:r w:rsidRPr="00EE3BDF">
        <w:rPr>
          <w:rFonts w:eastAsia="SimSun"/>
          <w:lang w:eastAsia="zh-CN"/>
        </w:rPr>
        <w:tab/>
      </w:r>
      <w:r w:rsidRPr="00EE3BDF">
        <w:rPr>
          <w:rFonts w:eastAsia="SimSun"/>
        </w:rPr>
        <w:t>I.</w:t>
      </w:r>
      <w:r w:rsidRPr="00EE3BDF">
        <w:rPr>
          <w:rFonts w:eastAsia="SimSun"/>
        </w:rPr>
        <w:tab/>
        <w:t xml:space="preserve">Definition of, and legal framework on, enforced disappearance </w:t>
      </w:r>
    </w:p>
    <w:p w14:paraId="5AAF9EB8" w14:textId="2AFEF873"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The Committee notes the inclusion of enforced disappearance as a</w:t>
      </w:r>
      <w:r>
        <w:t>n</w:t>
      </w:r>
      <w:r w:rsidRPr="007A2B0C">
        <w:t xml:space="preserve"> </w:t>
      </w:r>
      <w:r>
        <w:t>autonomous</w:t>
      </w:r>
      <w:r w:rsidRPr="007A2B0C">
        <w:t xml:space="preserve"> offence in article 451 of the Penal Code</w:t>
      </w:r>
      <w:r>
        <w:t xml:space="preserve"> that came into force in 2022</w:t>
      </w:r>
      <w:r w:rsidRPr="007A2B0C">
        <w:t xml:space="preserve">. In this context, the Committee requests the State </w:t>
      </w:r>
      <w:r>
        <w:t>P</w:t>
      </w:r>
      <w:r w:rsidRPr="007A2B0C">
        <w:t xml:space="preserve">arty to provide, in the </w:t>
      </w:r>
      <w:r>
        <w:t>constructive</w:t>
      </w:r>
      <w:r w:rsidRPr="007A2B0C">
        <w:t xml:space="preserve"> dialogue, information on </w:t>
      </w:r>
      <w:r>
        <w:t>h</w:t>
      </w:r>
      <w:r w:rsidRPr="007A2B0C">
        <w:t xml:space="preserve">ow the State </w:t>
      </w:r>
      <w:r>
        <w:t>P</w:t>
      </w:r>
      <w:r w:rsidRPr="007A2B0C">
        <w:t xml:space="preserve">arty ensures that the </w:t>
      </w:r>
      <w:r>
        <w:t>punishment</w:t>
      </w:r>
      <w:r w:rsidRPr="007A2B0C">
        <w:t xml:space="preserve"> applicable (imprisonment for a term of three to seven years) is proportionate to the extreme gravity of the crime (art</w:t>
      </w:r>
      <w:r>
        <w:t>s</w:t>
      </w:r>
      <w:r w:rsidRPr="007A2B0C">
        <w:t>. 2</w:t>
      </w:r>
      <w:r>
        <w:t>–</w:t>
      </w:r>
      <w:r w:rsidRPr="007A2B0C">
        <w:t>6).</w:t>
      </w:r>
    </w:p>
    <w:p w14:paraId="1E68E185" w14:textId="77777777" w:rsidR="00244BB1"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Taking note that under article 451, the aggravating circumstances listed in the Code refer to</w:t>
      </w:r>
      <w:r w:rsidRPr="004A5A1A">
        <w:t xml:space="preserve"> disappearances </w:t>
      </w:r>
      <w:r>
        <w:t>in which the victim is</w:t>
      </w:r>
      <w:r w:rsidRPr="007A2B0C">
        <w:t xml:space="preserve"> a pregnant woman, a minor or a person in a </w:t>
      </w:r>
      <w:r>
        <w:t>“</w:t>
      </w:r>
      <w:r w:rsidRPr="007A2B0C">
        <w:t xml:space="preserve">helpless situation”, the Committee invites the State </w:t>
      </w:r>
      <w:r>
        <w:t>P</w:t>
      </w:r>
      <w:r w:rsidRPr="007A2B0C">
        <w:t xml:space="preserve">arty to specify, in the context of the dialogue, </w:t>
      </w:r>
      <w:r>
        <w:t>how</w:t>
      </w:r>
      <w:r w:rsidRPr="007A2B0C">
        <w:t xml:space="preserve"> the </w:t>
      </w:r>
      <w:r>
        <w:t>concept</w:t>
      </w:r>
      <w:r w:rsidRPr="007A2B0C">
        <w:t xml:space="preserve"> of “helpless situation” has been applied by the competent jurisdictions, and how the </w:t>
      </w:r>
      <w:r>
        <w:t xml:space="preserve">other </w:t>
      </w:r>
      <w:r w:rsidRPr="007A2B0C">
        <w:t>aggravating and mitigating circumstances</w:t>
      </w:r>
      <w:r>
        <w:t>, which were mentioned</w:t>
      </w:r>
      <w:r w:rsidRPr="007A2B0C">
        <w:t xml:space="preserve"> in the </w:t>
      </w:r>
      <w:r w:rsidRPr="008A6D34">
        <w:t xml:space="preserve">State </w:t>
      </w:r>
      <w:r>
        <w:t xml:space="preserve">Party’s </w:t>
      </w:r>
      <w:r w:rsidRPr="008A6D34">
        <w:t>additional information</w:t>
      </w:r>
      <w:r>
        <w:t>,</w:t>
      </w:r>
      <w:r w:rsidRPr="007A2B0C">
        <w:t xml:space="preserve"> are applied in practice</w:t>
      </w:r>
      <w:r>
        <w:t xml:space="preserve"> (art. 7)</w:t>
      </w:r>
      <w:r w:rsidRPr="007A2B0C">
        <w:t xml:space="preserve">. </w:t>
      </w:r>
    </w:p>
    <w:p w14:paraId="38A07BA4"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invites the State </w:t>
      </w:r>
      <w:r>
        <w:t>P</w:t>
      </w:r>
      <w:r w:rsidRPr="007A2B0C">
        <w:t xml:space="preserve">arty to provide, as part of the dialogue, information on the measures taken to ensure that, given the continuous nature of the crime, any statute of limitations applicable to </w:t>
      </w:r>
      <w:r>
        <w:t xml:space="preserve">the autonomous offence of </w:t>
      </w:r>
      <w:r w:rsidRPr="007A2B0C">
        <w:t>enforced disappearance commence</w:t>
      </w:r>
      <w:r>
        <w:t>s</w:t>
      </w:r>
      <w:r w:rsidRPr="007A2B0C">
        <w:t xml:space="preserve"> from the moment the </w:t>
      </w:r>
      <w:r>
        <w:t>disappearance</w:t>
      </w:r>
      <w:r w:rsidRPr="007A2B0C">
        <w:t xml:space="preserve"> ceases, and that existing remedies for victims are subject to appropriate statutes of limitations</w:t>
      </w:r>
      <w:r>
        <w:t xml:space="preserve"> (art. 8)</w:t>
      </w:r>
      <w:r w:rsidRPr="007A2B0C">
        <w:t>.</w:t>
      </w:r>
    </w:p>
    <w:p w14:paraId="7FB411A0"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Please d</w:t>
      </w:r>
      <w:r w:rsidRPr="007A2B0C">
        <w:t xml:space="preserve">escribe how the definition of </w:t>
      </w:r>
      <w:r>
        <w:t>“</w:t>
      </w:r>
      <w:r w:rsidRPr="007A2B0C">
        <w:t>victim</w:t>
      </w:r>
      <w:r>
        <w:t>”</w:t>
      </w:r>
      <w:r w:rsidRPr="007A2B0C">
        <w:t xml:space="preserve"> enshrined in article 3 of the </w:t>
      </w:r>
      <w:r>
        <w:t>Penal</w:t>
      </w:r>
      <w:r w:rsidRPr="007A2B0C">
        <w:t xml:space="preserve"> </w:t>
      </w:r>
      <w:r>
        <w:t>C</w:t>
      </w:r>
      <w:r w:rsidRPr="007A2B0C">
        <w:t xml:space="preserve">ode and </w:t>
      </w:r>
      <w:r>
        <w:t>the</w:t>
      </w:r>
      <w:r w:rsidRPr="007A2B0C">
        <w:t xml:space="preserve"> practical application </w:t>
      </w:r>
      <w:r>
        <w:t xml:space="preserve">of that definition </w:t>
      </w:r>
      <w:r w:rsidRPr="007A2B0C">
        <w:t xml:space="preserve">have ensured a full alignment with article 24 (1) of the Convention. With this definition in mind, </w:t>
      </w:r>
      <w:r>
        <w:t xml:space="preserve">please </w:t>
      </w:r>
      <w:r w:rsidRPr="007A2B0C">
        <w:t xml:space="preserve">specify the measures taken to guarantee </w:t>
      </w:r>
      <w:r>
        <w:t xml:space="preserve">the right of </w:t>
      </w:r>
      <w:r w:rsidRPr="007A2B0C">
        <w:t xml:space="preserve">victims to truth, justice and reparation in </w:t>
      </w:r>
      <w:r>
        <w:t>accordance</w:t>
      </w:r>
      <w:r w:rsidRPr="007A2B0C">
        <w:t xml:space="preserve"> with the Convention</w:t>
      </w:r>
      <w:r>
        <w:t xml:space="preserve"> (art. 24)</w:t>
      </w:r>
      <w:r w:rsidRPr="007A2B0C">
        <w:t xml:space="preserve">. </w:t>
      </w:r>
    </w:p>
    <w:p w14:paraId="3A15192B"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Please p</w:t>
      </w:r>
      <w:r w:rsidRPr="007A2B0C">
        <w:t xml:space="preserve">rovide information and </w:t>
      </w:r>
      <w:r>
        <w:t>specific</w:t>
      </w:r>
      <w:r w:rsidRPr="007A2B0C">
        <w:t xml:space="preserve"> examples of the practical application of the new Penal Code since its entry into force in July 2022, indicating the number of enforced disappearance cases that have been </w:t>
      </w:r>
      <w:r>
        <w:t>recorded</w:t>
      </w:r>
      <w:r w:rsidRPr="007A2B0C">
        <w:t>, th</w:t>
      </w:r>
      <w:r>
        <w:t xml:space="preserve">e number of those cases that have been </w:t>
      </w:r>
      <w:r w:rsidRPr="007A2B0C">
        <w:t>prosecuted and the outcome</w:t>
      </w:r>
      <w:r>
        <w:t>s</w:t>
      </w:r>
      <w:r w:rsidRPr="007A2B0C">
        <w:t xml:space="preserve"> of the procedure</w:t>
      </w:r>
      <w:r>
        <w:t>s (arts. 11 and 12)</w:t>
      </w:r>
      <w:r w:rsidRPr="007A2B0C">
        <w:t>.</w:t>
      </w:r>
    </w:p>
    <w:p w14:paraId="56734BC7" w14:textId="77777777" w:rsidR="00244BB1"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The Committee</w:t>
      </w:r>
      <w:r w:rsidRPr="007A2B0C">
        <w:t xml:space="preserve"> note</w:t>
      </w:r>
      <w:r>
        <w:t xml:space="preserve">s </w:t>
      </w:r>
      <w:r w:rsidRPr="007A2B0C">
        <w:t>that the process for the resolution of disappeared persons cases</w:t>
      </w:r>
      <w:r>
        <w:t>,</w:t>
      </w:r>
      <w:r w:rsidRPr="007A2B0C">
        <w:t xml:space="preserve"> </w:t>
      </w:r>
      <w:r>
        <w:t>including</w:t>
      </w:r>
      <w:r w:rsidRPr="007A2B0C">
        <w:t xml:space="preserve"> </w:t>
      </w:r>
      <w:r>
        <w:t xml:space="preserve">with regard to </w:t>
      </w:r>
      <w:r w:rsidRPr="007A2B0C">
        <w:t xml:space="preserve">the rights of families </w:t>
      </w:r>
      <w:r>
        <w:t>in such cases, is</w:t>
      </w:r>
      <w:r w:rsidRPr="007A2B0C">
        <w:t xml:space="preserve"> </w:t>
      </w:r>
      <w:r>
        <w:t>based on various provisions</w:t>
      </w:r>
      <w:r w:rsidRPr="007A2B0C">
        <w:t xml:space="preserve"> </w:t>
      </w:r>
      <w:r>
        <w:t>in the</w:t>
      </w:r>
      <w:r w:rsidRPr="007A2B0C">
        <w:t xml:space="preserve"> civil and criminal codes and criminal procedure law</w:t>
      </w:r>
      <w:r>
        <w:t>. In that regard,</w:t>
      </w:r>
      <w:r w:rsidRPr="007A2B0C">
        <w:t xml:space="preserve"> the Committee invites the State </w:t>
      </w:r>
      <w:r>
        <w:t>P</w:t>
      </w:r>
      <w:r w:rsidRPr="007A2B0C">
        <w:t xml:space="preserve">arty to provide, in the </w:t>
      </w:r>
      <w:r>
        <w:t>constructive</w:t>
      </w:r>
      <w:r w:rsidRPr="007A2B0C">
        <w:t xml:space="preserve"> dialogue, information on the current status of the project to adopt </w:t>
      </w:r>
      <w:r w:rsidRPr="0028511D">
        <w:t>an autonomous</w:t>
      </w:r>
      <w:r w:rsidRPr="007A2B0C">
        <w:t xml:space="preserve"> law on disappeared persons,</w:t>
      </w:r>
      <w:r w:rsidRPr="007A2B0C">
        <w:rPr>
          <w:rStyle w:val="FootnoteReference"/>
        </w:rPr>
        <w:footnoteReference w:id="3"/>
      </w:r>
      <w:r w:rsidRPr="007A2B0C">
        <w:t xml:space="preserve"> and the measures taken to ensure its full compliance with the Convention</w:t>
      </w:r>
      <w:r>
        <w:t xml:space="preserve"> (arts. 1–6, 8 and 24)</w:t>
      </w:r>
      <w:r w:rsidRPr="007A2B0C">
        <w:t>.</w:t>
      </w:r>
    </w:p>
    <w:p w14:paraId="202F043C"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 xml:space="preserve">With reference to paragraphs 1 and 2 of the additional information of the State Party, the Committee notes that the imprescriptible nature of the crime of enforced disappearance is implicitly recognized when it constitutes a crime against humanity, in accordance with article 5 of the Convention. Please specify the status of limitations for cases of enforced disappearance that do not fall within the category of crimes against humanity (arts. 2, 5 and 8). </w:t>
      </w:r>
    </w:p>
    <w:p w14:paraId="46C23DB3" w14:textId="77777777" w:rsidR="00244BB1" w:rsidRPr="007A2B0C" w:rsidRDefault="00244BB1" w:rsidP="00244BB1">
      <w:pPr>
        <w:pStyle w:val="HChG"/>
      </w:pPr>
      <w:r w:rsidRPr="007A2B0C">
        <w:lastRenderedPageBreak/>
        <w:tab/>
        <w:t>II.</w:t>
      </w:r>
      <w:r w:rsidRPr="007A2B0C">
        <w:tab/>
        <w:t xml:space="preserve">Registration and investigation </w:t>
      </w:r>
      <w:r w:rsidRPr="00F63CF1">
        <w:t>of present and past enforced</w:t>
      </w:r>
      <w:r w:rsidRPr="007A2B0C">
        <w:t xml:space="preserve"> disappearances</w:t>
      </w:r>
      <w:r>
        <w:t>,</w:t>
      </w:r>
      <w:r w:rsidRPr="007A2B0C">
        <w:t xml:space="preserve"> and cooperation</w:t>
      </w:r>
    </w:p>
    <w:p w14:paraId="24C5D5F1"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takes note of existing registers of disappeared persons, notably </w:t>
      </w:r>
      <w:r>
        <w:t xml:space="preserve">those </w:t>
      </w:r>
      <w:r w:rsidRPr="007A2B0C">
        <w:t>of the Investigative Committee, the Rescue Service</w:t>
      </w:r>
      <w:r>
        <w:t xml:space="preserve"> and</w:t>
      </w:r>
      <w:r w:rsidRPr="007A2B0C">
        <w:t xml:space="preserve"> the Scientific-Practical </w:t>
      </w:r>
      <w:proofErr w:type="spellStart"/>
      <w:r w:rsidRPr="007A2B0C">
        <w:t>Center</w:t>
      </w:r>
      <w:proofErr w:type="spellEnd"/>
      <w:r w:rsidRPr="007A2B0C">
        <w:t xml:space="preserve"> of Forensic Medicine. In that connection, the Committee requests the State </w:t>
      </w:r>
      <w:r>
        <w:t>P</w:t>
      </w:r>
      <w:r w:rsidRPr="007A2B0C">
        <w:t xml:space="preserve">arty to provide, in the </w:t>
      </w:r>
      <w:r>
        <w:t>constructive</w:t>
      </w:r>
      <w:r w:rsidRPr="007A2B0C">
        <w:t xml:space="preserve"> dialogue, information on: </w:t>
      </w:r>
    </w:p>
    <w:p w14:paraId="54AD5731" w14:textId="77777777" w:rsidR="00244BB1" w:rsidRPr="007A2B0C" w:rsidRDefault="00244BB1" w:rsidP="00244BB1">
      <w:pPr>
        <w:pStyle w:val="SingleTxtG"/>
      </w:pPr>
      <w:r>
        <w:tab/>
        <w:t>(a)</w:t>
      </w:r>
      <w:r>
        <w:tab/>
      </w:r>
      <w:r w:rsidRPr="007A2B0C">
        <w:t>The interconnectivity and modalities of information exchange between existing databases and registers</w:t>
      </w:r>
      <w:r>
        <w:t>, including the registers of places of deprivation of liberty</w:t>
      </w:r>
      <w:r w:rsidRPr="007A2B0C">
        <w:t>;</w:t>
      </w:r>
    </w:p>
    <w:p w14:paraId="18F6C812" w14:textId="77777777" w:rsidR="00244BB1" w:rsidRPr="007A2B0C" w:rsidRDefault="00244BB1" w:rsidP="00244BB1">
      <w:pPr>
        <w:pStyle w:val="SingleTxtG"/>
      </w:pPr>
      <w:r>
        <w:tab/>
        <w:t>(b)</w:t>
      </w:r>
      <w:r>
        <w:tab/>
      </w:r>
      <w:r w:rsidRPr="007A2B0C">
        <w:t xml:space="preserve">Existing projects to create a shared data system to </w:t>
      </w:r>
      <w:r>
        <w:t>store</w:t>
      </w:r>
      <w:r w:rsidRPr="007A2B0C">
        <w:t xml:space="preserve"> all relevant information related to disappeared persons and to the search, investigation and identification processes;</w:t>
      </w:r>
    </w:p>
    <w:p w14:paraId="4E662923" w14:textId="6F4863BB" w:rsidR="00244BB1" w:rsidRPr="007A2B0C" w:rsidRDefault="00244BB1" w:rsidP="00244BB1">
      <w:pPr>
        <w:pStyle w:val="SingleTxtG"/>
      </w:pPr>
      <w:r>
        <w:tab/>
        <w:t>(c)</w:t>
      </w:r>
      <w:r>
        <w:tab/>
      </w:r>
      <w:r w:rsidRPr="007A2B0C">
        <w:t>Mechanisms in place to guarantee the protection of personal data</w:t>
      </w:r>
      <w:r w:rsidR="00DB2601">
        <w:t>;</w:t>
      </w:r>
    </w:p>
    <w:p w14:paraId="4045124F" w14:textId="77777777" w:rsidR="00244BB1" w:rsidRPr="007A2B0C" w:rsidRDefault="00244BB1" w:rsidP="00244BB1">
      <w:pPr>
        <w:pStyle w:val="SingleTxtG"/>
      </w:pPr>
      <w:r>
        <w:tab/>
        <w:t>(d)</w:t>
      </w:r>
      <w:r>
        <w:tab/>
      </w:r>
      <w:r w:rsidRPr="007A2B0C">
        <w:t>Steps taken to facilitate the use and analysis of available data</w:t>
      </w:r>
      <w:r>
        <w:t xml:space="preserve"> (arts. 2, 3, 5, 12 and 17–19)</w:t>
      </w:r>
      <w:r w:rsidRPr="007A2B0C">
        <w:t>.</w:t>
      </w:r>
    </w:p>
    <w:p w14:paraId="34DC3E6F"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invites the State </w:t>
      </w:r>
      <w:r>
        <w:t>P</w:t>
      </w:r>
      <w:r w:rsidRPr="007A2B0C">
        <w:t xml:space="preserve">arty to describe, during the dialogue, the mechanisms that have been established </w:t>
      </w:r>
      <w:r>
        <w:t>for coordination among</w:t>
      </w:r>
      <w:r w:rsidRPr="007A2B0C">
        <w:t xml:space="preserve"> the national authorities </w:t>
      </w:r>
      <w:r>
        <w:t>having</w:t>
      </w:r>
      <w:r w:rsidRPr="007A2B0C">
        <w:t xml:space="preserve"> defined functions related to the issue of disappearance</w:t>
      </w:r>
      <w:r>
        <w:t xml:space="preserve"> (arts. 10–12)</w:t>
      </w:r>
      <w:r w:rsidRPr="007A2B0C">
        <w:t xml:space="preserve">. </w:t>
      </w:r>
    </w:p>
    <w:p w14:paraId="00540B15"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invites the State </w:t>
      </w:r>
      <w:r>
        <w:t>P</w:t>
      </w:r>
      <w:r w:rsidRPr="007A2B0C">
        <w:t>arty to provide information on the actions taken and existing plans</w:t>
      </w:r>
      <w:r>
        <w:t>:</w:t>
      </w:r>
      <w:r w:rsidRPr="007A2B0C">
        <w:t xml:space="preserve"> </w:t>
      </w:r>
      <w:r>
        <w:t xml:space="preserve">(a) </w:t>
      </w:r>
      <w:r w:rsidRPr="007A2B0C">
        <w:t>to resume search and recovery operations in Azerbaijan and ensure the full documentation of the cases</w:t>
      </w:r>
      <w:r w:rsidRPr="0013633E">
        <w:t xml:space="preserve"> </w:t>
      </w:r>
      <w:r w:rsidRPr="00F61BA6">
        <w:t xml:space="preserve">from the </w:t>
      </w:r>
      <w:r>
        <w:t>f</w:t>
      </w:r>
      <w:r w:rsidRPr="00F61BA6">
        <w:t xml:space="preserve">irst </w:t>
      </w:r>
      <w:r>
        <w:t>Nagorno-</w:t>
      </w:r>
      <w:r w:rsidRPr="00F61BA6">
        <w:t xml:space="preserve">Karabakh </w:t>
      </w:r>
      <w:r>
        <w:t>w</w:t>
      </w:r>
      <w:r w:rsidRPr="00F61BA6">
        <w:t>ar in the early 1990s</w:t>
      </w:r>
      <w:r>
        <w:t xml:space="preserve">, </w:t>
      </w:r>
      <w:r w:rsidRPr="00F61BA6">
        <w:t xml:space="preserve">from the </w:t>
      </w:r>
      <w:r>
        <w:t>s</w:t>
      </w:r>
      <w:r w:rsidRPr="00F61BA6">
        <w:t xml:space="preserve">econd </w:t>
      </w:r>
      <w:r>
        <w:t>Nagorno-</w:t>
      </w:r>
      <w:r w:rsidRPr="00F61BA6">
        <w:t xml:space="preserve">Karabakh </w:t>
      </w:r>
      <w:r>
        <w:t>w</w:t>
      </w:r>
      <w:r w:rsidRPr="00F61BA6">
        <w:t xml:space="preserve">ar in 2020 and </w:t>
      </w:r>
      <w:r>
        <w:t xml:space="preserve">from the </w:t>
      </w:r>
      <w:r w:rsidRPr="00F61BA6">
        <w:t xml:space="preserve">subsequent escalations and violence in the </w:t>
      </w:r>
      <w:r>
        <w:t xml:space="preserve">period of </w:t>
      </w:r>
      <w:r w:rsidRPr="00F61BA6">
        <w:t>2020</w:t>
      </w:r>
      <w:r>
        <w:t>–</w:t>
      </w:r>
      <w:r w:rsidRPr="00F61BA6">
        <w:t>2022</w:t>
      </w:r>
      <w:r>
        <w:t>;</w:t>
      </w:r>
      <w:r w:rsidRPr="007A2B0C">
        <w:t xml:space="preserve"> and </w:t>
      </w:r>
      <w:r>
        <w:t xml:space="preserve">(b) </w:t>
      </w:r>
      <w:r w:rsidRPr="007A2B0C">
        <w:t xml:space="preserve">to establish </w:t>
      </w:r>
      <w:r>
        <w:t xml:space="preserve">a </w:t>
      </w:r>
      <w:r w:rsidRPr="007A2B0C">
        <w:t>collaboration mechanism that would facilitate the search</w:t>
      </w:r>
      <w:r>
        <w:t xml:space="preserve"> for and</w:t>
      </w:r>
      <w:r w:rsidRPr="007A2B0C">
        <w:t xml:space="preserve"> </w:t>
      </w:r>
      <w:r>
        <w:t xml:space="preserve">the </w:t>
      </w:r>
      <w:r w:rsidRPr="007A2B0C">
        <w:t>recovery of human remains, and their identification, including through the comparison of DNA profiles from unidentified remains and family reference samples from both Armenia and Azerbaijan</w:t>
      </w:r>
      <w:r>
        <w:t xml:space="preserve"> (arts. 10–12 and 19)</w:t>
      </w:r>
      <w:r w:rsidRPr="007A2B0C">
        <w:t>.</w:t>
      </w:r>
    </w:p>
    <w:p w14:paraId="3339E78A"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Please specify the actions taken and existing plans: </w:t>
      </w:r>
    </w:p>
    <w:p w14:paraId="4F747AD7" w14:textId="77777777" w:rsidR="00244BB1" w:rsidRPr="007A2B0C" w:rsidRDefault="00244BB1" w:rsidP="00244BB1">
      <w:pPr>
        <w:pStyle w:val="SingleTxtG"/>
      </w:pPr>
      <w:r>
        <w:tab/>
        <w:t>(a)</w:t>
      </w:r>
      <w:r>
        <w:tab/>
      </w:r>
      <w:r w:rsidRPr="007A2B0C">
        <w:t xml:space="preserve">To strengthen the specialized training in forensic anthropology for Rescue </w:t>
      </w:r>
      <w:r w:rsidRPr="0028511D">
        <w:t>Service and State non-profit organization personnel, and to</w:t>
      </w:r>
      <w:r w:rsidRPr="007A2B0C">
        <w:t xml:space="preserve"> train additional specialists to perform search and recovery operations and identify human remains;</w:t>
      </w:r>
    </w:p>
    <w:p w14:paraId="42996CF0" w14:textId="77777777" w:rsidR="00244BB1" w:rsidRPr="007A2B0C" w:rsidRDefault="00244BB1" w:rsidP="00244BB1">
      <w:pPr>
        <w:pStyle w:val="SingleTxtG"/>
      </w:pPr>
      <w:r>
        <w:tab/>
        <w:t>(b)</w:t>
      </w:r>
      <w:r>
        <w:tab/>
      </w:r>
      <w:r w:rsidRPr="007A2B0C">
        <w:t xml:space="preserve">To strengthen the management of located remains and the treatment of reference samples of the families of disappeared </w:t>
      </w:r>
      <w:r>
        <w:t>persons (arts. 12 and 23)</w:t>
      </w:r>
      <w:r w:rsidRPr="007A2B0C">
        <w:t>.</w:t>
      </w:r>
    </w:p>
    <w:p w14:paraId="12F4FD12"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invites the State </w:t>
      </w:r>
      <w:r>
        <w:t>P</w:t>
      </w:r>
      <w:r w:rsidRPr="007A2B0C">
        <w:t xml:space="preserve">arty to provide information, during the dialogue, on: </w:t>
      </w:r>
    </w:p>
    <w:p w14:paraId="5B9D52C3" w14:textId="77777777" w:rsidR="00244BB1" w:rsidRPr="007A2B0C" w:rsidRDefault="00244BB1" w:rsidP="00244BB1">
      <w:pPr>
        <w:pStyle w:val="SingleTxtG"/>
      </w:pPr>
      <w:r>
        <w:tab/>
        <w:t>(a)</w:t>
      </w:r>
      <w:r>
        <w:tab/>
      </w:r>
      <w:r w:rsidRPr="007A2B0C">
        <w:t>Existing review and reconfirmation processes related to the identification of a disappeared person in case</w:t>
      </w:r>
      <w:r>
        <w:t>s in which</w:t>
      </w:r>
      <w:r w:rsidRPr="007A2B0C">
        <w:t xml:space="preserve"> the relatives have doubts related to the identification o</w:t>
      </w:r>
      <w:r>
        <w:t>f the</w:t>
      </w:r>
      <w:r w:rsidRPr="007A2B0C">
        <w:t xml:space="preserve"> remains they have received, and </w:t>
      </w:r>
      <w:r>
        <w:t xml:space="preserve">on </w:t>
      </w:r>
      <w:r w:rsidRPr="007A2B0C">
        <w:t>the practical implementation</w:t>
      </w:r>
      <w:r>
        <w:t xml:space="preserve"> of those processes</w:t>
      </w:r>
      <w:r w:rsidRPr="007A2B0C">
        <w:t>;</w:t>
      </w:r>
    </w:p>
    <w:p w14:paraId="3D7CD7A9" w14:textId="77777777" w:rsidR="00244BB1" w:rsidRPr="007A2B0C" w:rsidRDefault="00244BB1" w:rsidP="00244BB1">
      <w:pPr>
        <w:pStyle w:val="SingleTxtG"/>
      </w:pPr>
      <w:r>
        <w:tab/>
        <w:t>(b)</w:t>
      </w:r>
      <w:r>
        <w:tab/>
      </w:r>
      <w:r w:rsidRPr="007A2B0C">
        <w:t xml:space="preserve">The measures taken to promote the active participation of relatives of disappeared persons and </w:t>
      </w:r>
      <w:r>
        <w:t xml:space="preserve">members of </w:t>
      </w:r>
      <w:r w:rsidRPr="007A2B0C">
        <w:t xml:space="preserve">civil society in the search and investigation processes, specifying the mechanisms in place to guarantee such participation, </w:t>
      </w:r>
      <w:r>
        <w:t>including with regard to</w:t>
      </w:r>
      <w:r w:rsidRPr="007A2B0C">
        <w:t xml:space="preserve"> access to information; </w:t>
      </w:r>
    </w:p>
    <w:p w14:paraId="796A398B" w14:textId="77777777" w:rsidR="00244BB1" w:rsidRPr="007A2B0C" w:rsidRDefault="00244BB1" w:rsidP="00244BB1">
      <w:pPr>
        <w:pStyle w:val="SingleTxtG"/>
      </w:pPr>
      <w:r>
        <w:tab/>
        <w:t>(c)</w:t>
      </w:r>
      <w:r>
        <w:tab/>
      </w:r>
      <w:r w:rsidRPr="007A2B0C">
        <w:t>The measures taken to facilitate the reporting of a disappearance and access to social benefits for families of disappeared persons</w:t>
      </w:r>
      <w:r>
        <w:t xml:space="preserve"> (arts. 12 and 24)</w:t>
      </w:r>
      <w:r w:rsidRPr="007A2B0C">
        <w:t xml:space="preserve">.  </w:t>
      </w:r>
    </w:p>
    <w:p w14:paraId="7B2E90D0"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Information is also requested on any limitations or conditions that could be applied in relation to requests for mutual legal assistance or cooperation under the terms of articles 14, 15 and 25 (3) of the Convention</w:t>
      </w:r>
      <w:r>
        <w:t>.</w:t>
      </w:r>
      <w:r w:rsidRPr="007A2B0C">
        <w:t xml:space="preserve"> </w:t>
      </w:r>
      <w:r>
        <w:t>Please i</w:t>
      </w:r>
      <w:r w:rsidRPr="007A2B0C">
        <w:t xml:space="preserve">ndicate </w:t>
      </w:r>
      <w:r>
        <w:t>whether</w:t>
      </w:r>
      <w:r w:rsidRPr="007A2B0C">
        <w:t xml:space="preserve"> the State </w:t>
      </w:r>
      <w:r>
        <w:t>P</w:t>
      </w:r>
      <w:r w:rsidRPr="007A2B0C">
        <w:t xml:space="preserve">arty has made or received any requests for international cooperation in respect of cases of enforced disappearance since the entry into force of the Convention. If so, please </w:t>
      </w:r>
      <w:r>
        <w:t>describe</w:t>
      </w:r>
      <w:r w:rsidRPr="007A2B0C">
        <w:t xml:space="preserve"> the measures taken (arts. 13–15 and 25).</w:t>
      </w:r>
    </w:p>
    <w:p w14:paraId="44767D90" w14:textId="77777777" w:rsidR="00244BB1" w:rsidRPr="007A2B0C" w:rsidRDefault="00244BB1" w:rsidP="00244BB1">
      <w:pPr>
        <w:pStyle w:val="HChG"/>
      </w:pPr>
      <w:r>
        <w:lastRenderedPageBreak/>
        <w:tab/>
      </w:r>
      <w:r w:rsidRPr="007A2B0C">
        <w:t>III.</w:t>
      </w:r>
      <w:r>
        <w:tab/>
      </w:r>
      <w:r w:rsidRPr="007A2B0C">
        <w:t>Refoulement, expulsion and extradition</w:t>
      </w:r>
    </w:p>
    <w:p w14:paraId="10BBDCD9" w14:textId="77777777"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requests the State </w:t>
      </w:r>
      <w:r>
        <w:t>P</w:t>
      </w:r>
      <w:r w:rsidRPr="007A2B0C">
        <w:t xml:space="preserve">arty to provide, in the </w:t>
      </w:r>
      <w:r>
        <w:t>constructive</w:t>
      </w:r>
      <w:r w:rsidRPr="007A2B0C">
        <w:t xml:space="preserve"> dialogue, information on the steps taken to ensure the full compatibility of </w:t>
      </w:r>
      <w:r>
        <w:t>its</w:t>
      </w:r>
      <w:r w:rsidRPr="007A2B0C">
        <w:t xml:space="preserve"> refoulement, expulsion and extradition regimes with article 16 of the Convention, including: </w:t>
      </w:r>
    </w:p>
    <w:p w14:paraId="12143B04" w14:textId="77777777" w:rsidR="00244BB1" w:rsidRPr="007A2B0C" w:rsidRDefault="00244BB1" w:rsidP="00244BB1">
      <w:pPr>
        <w:pStyle w:val="SingleTxtG"/>
      </w:pPr>
      <w:r>
        <w:tab/>
        <w:t>(a)</w:t>
      </w:r>
      <w:r>
        <w:tab/>
      </w:r>
      <w:r w:rsidRPr="007A2B0C">
        <w:t xml:space="preserve">The criteria used to assess the risk of enforced disappearance for the person concerned; </w:t>
      </w:r>
    </w:p>
    <w:p w14:paraId="2D28B530" w14:textId="77777777" w:rsidR="00244BB1" w:rsidRPr="007A2B0C" w:rsidRDefault="00244BB1" w:rsidP="00244BB1">
      <w:pPr>
        <w:pStyle w:val="SingleTxtG"/>
      </w:pPr>
      <w:r>
        <w:tab/>
        <w:t>(b)</w:t>
      </w:r>
      <w:r>
        <w:tab/>
      </w:r>
      <w:r w:rsidRPr="007A2B0C">
        <w:t xml:space="preserve">The procedures applied and </w:t>
      </w:r>
      <w:r>
        <w:t>their</w:t>
      </w:r>
      <w:r w:rsidRPr="007A2B0C">
        <w:t xml:space="preserve"> compliance with due process principles and the right to a fair trial; </w:t>
      </w:r>
    </w:p>
    <w:p w14:paraId="0DBBB6C7" w14:textId="77777777" w:rsidR="00244BB1" w:rsidRPr="007A2B0C" w:rsidRDefault="00244BB1" w:rsidP="00244BB1">
      <w:pPr>
        <w:pStyle w:val="SingleTxtG"/>
      </w:pPr>
      <w:r>
        <w:tab/>
        <w:t>(c)</w:t>
      </w:r>
      <w:r>
        <w:tab/>
      </w:r>
      <w:r w:rsidRPr="007A2B0C">
        <w:t>Measures taken when a person presumed to have committed enforced disappearance cannot be extradited</w:t>
      </w:r>
      <w:r>
        <w:t>;</w:t>
      </w:r>
    </w:p>
    <w:p w14:paraId="755F9694" w14:textId="38FBB0D0" w:rsidR="00244BB1" w:rsidRPr="007A2B0C" w:rsidRDefault="00244BB1" w:rsidP="00244BB1">
      <w:pPr>
        <w:pStyle w:val="SingleTxtG"/>
      </w:pPr>
      <w:r>
        <w:tab/>
        <w:t>(d)</w:t>
      </w:r>
      <w:r>
        <w:tab/>
        <w:t>The s</w:t>
      </w:r>
      <w:r w:rsidRPr="007A2B0C">
        <w:t xml:space="preserve">tatus of the </w:t>
      </w:r>
      <w:r>
        <w:t>draft</w:t>
      </w:r>
      <w:r w:rsidRPr="007A2B0C">
        <w:t xml:space="preserve"> separate </w:t>
      </w:r>
      <w:r>
        <w:t>l</w:t>
      </w:r>
      <w:r w:rsidRPr="007A2B0C">
        <w:t xml:space="preserve">aw </w:t>
      </w:r>
      <w:r>
        <w:t>o</w:t>
      </w:r>
      <w:r w:rsidRPr="007A2B0C">
        <w:t xml:space="preserve">n </w:t>
      </w:r>
      <w:r>
        <w:t>m</w:t>
      </w:r>
      <w:r w:rsidRPr="007A2B0C">
        <w:t xml:space="preserve">utual </w:t>
      </w:r>
      <w:r>
        <w:t>l</w:t>
      </w:r>
      <w:r w:rsidRPr="007A2B0C">
        <w:t xml:space="preserve">egal </w:t>
      </w:r>
      <w:r>
        <w:t>a</w:t>
      </w:r>
      <w:r w:rsidRPr="007A2B0C">
        <w:t>ssistance</w:t>
      </w:r>
      <w:r>
        <w:t>,</w:t>
      </w:r>
      <w:r w:rsidRPr="007A2B0C">
        <w:t xml:space="preserve"> referred to by the State </w:t>
      </w:r>
      <w:r>
        <w:t>P</w:t>
      </w:r>
      <w:r w:rsidRPr="007A2B0C">
        <w:t xml:space="preserve">arty in the additional information, </w:t>
      </w:r>
      <w:r>
        <w:t xml:space="preserve">and on the </w:t>
      </w:r>
      <w:r w:rsidRPr="007A2B0C">
        <w:t xml:space="preserve">envisaged </w:t>
      </w:r>
      <w:r>
        <w:t>consideration of the inclusion, in the draft law, of</w:t>
      </w:r>
      <w:r w:rsidRPr="007A2B0C">
        <w:t xml:space="preserve"> the ground of enforced disappearance for non-extradition (art</w:t>
      </w:r>
      <w:r>
        <w:t>s</w:t>
      </w:r>
      <w:r w:rsidRPr="007A2B0C">
        <w:t>.</w:t>
      </w:r>
      <w:r w:rsidR="00DB2601">
        <w:t> </w:t>
      </w:r>
      <w:r>
        <w:t>13–</w:t>
      </w:r>
      <w:r w:rsidRPr="007A2B0C">
        <w:t>16).</w:t>
      </w:r>
    </w:p>
    <w:p w14:paraId="6F20A4FF" w14:textId="710BF401"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The Committee invites the State </w:t>
      </w:r>
      <w:r>
        <w:t>P</w:t>
      </w:r>
      <w:r w:rsidRPr="007A2B0C">
        <w:t xml:space="preserve">arty to provide information on extradition agreements with other States </w:t>
      </w:r>
      <w:r>
        <w:t>P</w:t>
      </w:r>
      <w:r w:rsidRPr="007A2B0C">
        <w:t>arties that may have been concluded since the entry into force of the Convention.</w:t>
      </w:r>
      <w:r>
        <w:t xml:space="preserve"> Please</w:t>
      </w:r>
      <w:r w:rsidRPr="007A2B0C">
        <w:t xml:space="preserve"> </w:t>
      </w:r>
      <w:r>
        <w:t>i</w:t>
      </w:r>
      <w:r w:rsidRPr="007A2B0C">
        <w:t xml:space="preserve">ndicate whether enforced disappearance has been included in such agreements and describe cases </w:t>
      </w:r>
      <w:r>
        <w:t>in which</w:t>
      </w:r>
      <w:r w:rsidRPr="007A2B0C">
        <w:t xml:space="preserve"> </w:t>
      </w:r>
      <w:r>
        <w:t xml:space="preserve">the </w:t>
      </w:r>
      <w:r w:rsidRPr="007A2B0C">
        <w:t xml:space="preserve">extradition </w:t>
      </w:r>
      <w:r>
        <w:t xml:space="preserve">process </w:t>
      </w:r>
      <w:r w:rsidRPr="007A2B0C">
        <w:t>has been used (art</w:t>
      </w:r>
      <w:r>
        <w:t>s</w:t>
      </w:r>
      <w:r w:rsidRPr="007A2B0C">
        <w:t>.</w:t>
      </w:r>
      <w:r>
        <w:t> </w:t>
      </w:r>
      <w:r>
        <w:t>13–</w:t>
      </w:r>
      <w:r w:rsidRPr="007A2B0C">
        <w:t xml:space="preserve">16). </w:t>
      </w:r>
    </w:p>
    <w:p w14:paraId="5545516B" w14:textId="0F4B511B" w:rsidR="007268F9" w:rsidRPr="00342AC8" w:rsidRDefault="00244BB1" w:rsidP="00244BB1">
      <w:pPr>
        <w:pStyle w:val="SingleTxtG"/>
        <w:tabs>
          <w:tab w:val="left" w:pos="2835"/>
        </w:tabs>
        <w:kinsoku w:val="0"/>
        <w:overflowPunct w:val="0"/>
        <w:autoSpaceDE w:val="0"/>
        <w:autoSpaceDN w:val="0"/>
        <w:adjustRightInd w:val="0"/>
        <w:snapToGrid w:val="0"/>
        <w:spacing w:before="240" w:after="0"/>
        <w:jc w:val="center"/>
      </w:pP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C380F" w14:textId="77777777" w:rsidR="0069524F" w:rsidRPr="00557A78" w:rsidRDefault="0069524F" w:rsidP="00557A78">
      <w:pPr>
        <w:pStyle w:val="Footer"/>
      </w:pPr>
    </w:p>
  </w:endnote>
  <w:endnote w:type="continuationSeparator" w:id="0">
    <w:p w14:paraId="3CF3414F" w14:textId="77777777" w:rsidR="0069524F" w:rsidRPr="00557A78" w:rsidRDefault="0069524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336A" w14:textId="77777777" w:rsidR="007F2F96" w:rsidRDefault="007F2F96" w:rsidP="007F2F96">
    <w:pPr>
      <w:pStyle w:val="Footer"/>
      <w:tabs>
        <w:tab w:val="right" w:pos="9638"/>
      </w:tabs>
    </w:pPr>
    <w:r w:rsidRPr="007F2F96">
      <w:rPr>
        <w:b/>
        <w:bCs/>
        <w:sz w:val="18"/>
      </w:rPr>
      <w:fldChar w:fldCharType="begin"/>
    </w:r>
    <w:r w:rsidRPr="007F2F96">
      <w:rPr>
        <w:b/>
        <w:bCs/>
        <w:sz w:val="18"/>
      </w:rPr>
      <w:instrText xml:space="preserve"> PAGE  \* MERGEFORMAT </w:instrText>
    </w:r>
    <w:r w:rsidRPr="007F2F96">
      <w:rPr>
        <w:b/>
        <w:bCs/>
        <w:sz w:val="18"/>
      </w:rPr>
      <w:fldChar w:fldCharType="separate"/>
    </w:r>
    <w:r w:rsidRPr="007F2F96">
      <w:rPr>
        <w:b/>
        <w:bCs/>
        <w:noProof/>
        <w:sz w:val="18"/>
      </w:rPr>
      <w:t>2</w:t>
    </w:r>
    <w:r w:rsidRPr="007F2F96">
      <w:rPr>
        <w:b/>
        <w:bCs/>
        <w:sz w:val="18"/>
      </w:rPr>
      <w:fldChar w:fldCharType="end"/>
    </w:r>
    <w:r>
      <w:tab/>
      <w:t>GE.25-06342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945E0" w14:textId="77777777" w:rsidR="007F2F96" w:rsidRPr="007F2F96" w:rsidRDefault="007F2F96" w:rsidP="007F2F96">
    <w:pPr>
      <w:pStyle w:val="Footer"/>
      <w:tabs>
        <w:tab w:val="right" w:pos="9638"/>
      </w:tabs>
    </w:pPr>
    <w:r>
      <w:t>GE.2506342</w:t>
    </w:r>
    <w:r>
      <w:tab/>
    </w:r>
    <w:r w:rsidRPr="007F2F96">
      <w:rPr>
        <w:b/>
        <w:bCs/>
        <w:sz w:val="18"/>
      </w:rPr>
      <w:fldChar w:fldCharType="begin"/>
    </w:r>
    <w:r w:rsidRPr="007F2F96">
      <w:rPr>
        <w:b/>
        <w:bCs/>
        <w:sz w:val="18"/>
      </w:rPr>
      <w:instrText xml:space="preserve"> PAGE  \* MERGEFORMAT </w:instrText>
    </w:r>
    <w:r w:rsidRPr="007F2F96">
      <w:rPr>
        <w:b/>
        <w:bCs/>
        <w:sz w:val="18"/>
      </w:rPr>
      <w:fldChar w:fldCharType="separate"/>
    </w:r>
    <w:r w:rsidRPr="007F2F96">
      <w:rPr>
        <w:b/>
        <w:bCs/>
        <w:noProof/>
        <w:sz w:val="18"/>
      </w:rPr>
      <w:t>3</w:t>
    </w:r>
    <w:r w:rsidRPr="007F2F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6539" w14:textId="77777777" w:rsidR="007F2F96" w:rsidRDefault="007F2F96">
    <w:pPr>
      <w:pStyle w:val="Footer"/>
      <w:rPr>
        <w:sz w:val="20"/>
      </w:rPr>
    </w:pPr>
    <w:r w:rsidRPr="0027112F">
      <w:rPr>
        <w:noProof/>
        <w:lang w:val="en-US"/>
      </w:rPr>
      <w:drawing>
        <wp:anchor distT="0" distB="0" distL="114300" distR="114300" simplePos="0" relativeHeight="251659264" behindDoc="0" locked="1" layoutInCell="1" allowOverlap="1" wp14:anchorId="0C3C00D9" wp14:editId="74F94E2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131327" w14:textId="7312A585" w:rsidR="007F2F96" w:rsidRPr="007F2F96" w:rsidRDefault="007F2F96" w:rsidP="007F2F96">
    <w:pPr>
      <w:pStyle w:val="Footer"/>
      <w:rPr>
        <w:sz w:val="20"/>
      </w:rPr>
    </w:pPr>
    <w:r>
      <w:rPr>
        <w:sz w:val="20"/>
      </w:rPr>
      <w:t>GE.25-06342  (E)</w:t>
    </w:r>
    <w:r>
      <w:rPr>
        <w:noProof/>
        <w:sz w:val="20"/>
      </w:rPr>
      <w:drawing>
        <wp:anchor distT="0" distB="0" distL="114300" distR="114300" simplePos="0" relativeHeight="251660288" behindDoc="0" locked="0" layoutInCell="1" allowOverlap="1" wp14:anchorId="1B395A9C" wp14:editId="0255DE21">
          <wp:simplePos x="0" y="0"/>
          <wp:positionH relativeFrom="margin">
            <wp:posOffset>5583555</wp:posOffset>
          </wp:positionH>
          <wp:positionV relativeFrom="margin">
            <wp:posOffset>8981440</wp:posOffset>
          </wp:positionV>
          <wp:extent cx="571500" cy="571500"/>
          <wp:effectExtent l="0" t="0" r="0" b="0"/>
          <wp:wrapNone/>
          <wp:docPr id="1150195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3531">
      <w:rPr>
        <w:sz w:val="20"/>
      </w:rPr>
      <w:t xml:space="preserve">    150525    150525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1E543" w14:textId="77777777" w:rsidR="0069524F" w:rsidRPr="00557A78" w:rsidRDefault="0069524F" w:rsidP="00557A78">
      <w:pPr>
        <w:tabs>
          <w:tab w:val="right" w:pos="2155"/>
        </w:tabs>
        <w:spacing w:after="80" w:line="240" w:lineRule="auto"/>
        <w:ind w:left="680"/>
      </w:pPr>
      <w:r>
        <w:rPr>
          <w:u w:val="single"/>
        </w:rPr>
        <w:tab/>
      </w:r>
    </w:p>
  </w:footnote>
  <w:footnote w:type="continuationSeparator" w:id="0">
    <w:p w14:paraId="20772265" w14:textId="77777777" w:rsidR="0069524F" w:rsidRPr="00557A78" w:rsidRDefault="0069524F" w:rsidP="00557A78">
      <w:pPr>
        <w:tabs>
          <w:tab w:val="right" w:pos="2155"/>
        </w:tabs>
        <w:spacing w:after="80" w:line="240" w:lineRule="auto"/>
        <w:ind w:left="680"/>
      </w:pPr>
      <w:r>
        <w:rPr>
          <w:u w:val="single"/>
        </w:rPr>
        <w:tab/>
      </w:r>
    </w:p>
  </w:footnote>
  <w:footnote w:id="1">
    <w:p w14:paraId="4BEAF294" w14:textId="43E1B2E2" w:rsidR="00244BB1" w:rsidRPr="0068381C" w:rsidRDefault="00244BB1" w:rsidP="00244BB1">
      <w:pPr>
        <w:pStyle w:val="FootnoteText"/>
      </w:pPr>
      <w:r>
        <w:tab/>
      </w:r>
      <w:r>
        <w:rPr>
          <w:rStyle w:val="FootnoteReference"/>
        </w:rPr>
        <w:footnoteRef/>
      </w:r>
      <w:r>
        <w:tab/>
      </w:r>
      <w:hyperlink r:id="rId1" w:history="1">
        <w:r w:rsidRPr="00244BB1">
          <w:rPr>
            <w:rStyle w:val="Hyperlink"/>
          </w:rPr>
          <w:t>CED/C/ARM/AI/1</w:t>
        </w:r>
      </w:hyperlink>
      <w:r w:rsidRPr="0068381C">
        <w:t>.</w:t>
      </w:r>
    </w:p>
  </w:footnote>
  <w:footnote w:id="2">
    <w:p w14:paraId="0F68E83E" w14:textId="1C6A384E" w:rsidR="00244BB1" w:rsidRPr="00546419" w:rsidRDefault="00244BB1" w:rsidP="00244BB1">
      <w:pPr>
        <w:pStyle w:val="FootnoteText"/>
      </w:pPr>
      <w:r>
        <w:rPr>
          <w:szCs w:val="18"/>
        </w:rPr>
        <w:tab/>
      </w:r>
      <w:r w:rsidRPr="0068381C">
        <w:rPr>
          <w:rStyle w:val="FootnoteReference"/>
          <w:szCs w:val="18"/>
        </w:rPr>
        <w:footnoteRef/>
      </w:r>
      <w:r>
        <w:rPr>
          <w:szCs w:val="18"/>
        </w:rPr>
        <w:tab/>
      </w:r>
      <w:hyperlink r:id="rId2" w:history="1">
        <w:r w:rsidRPr="00244BB1">
          <w:rPr>
            <w:rStyle w:val="Hyperlink"/>
            <w:szCs w:val="18"/>
          </w:rPr>
          <w:t>CED/C/ARM/CO/1/Add.1</w:t>
        </w:r>
      </w:hyperlink>
      <w:r>
        <w:rPr>
          <w:szCs w:val="18"/>
        </w:rPr>
        <w:t xml:space="preserve">. See also </w:t>
      </w:r>
      <w:hyperlink r:id="rId3" w:history="1">
        <w:r w:rsidRPr="00244BB1">
          <w:rPr>
            <w:rStyle w:val="Hyperlink"/>
          </w:rPr>
          <w:t>CED/C/ARM/CO/1</w:t>
        </w:r>
      </w:hyperlink>
      <w:r>
        <w:t>.</w:t>
      </w:r>
    </w:p>
  </w:footnote>
  <w:footnote w:id="3">
    <w:p w14:paraId="46A24925" w14:textId="77777777" w:rsidR="00244BB1" w:rsidRPr="008F6E27" w:rsidRDefault="00244BB1" w:rsidP="00244BB1">
      <w:pPr>
        <w:pStyle w:val="FootnoteText"/>
      </w:pPr>
      <w:r>
        <w:tab/>
      </w:r>
      <w:r>
        <w:rPr>
          <w:rStyle w:val="FootnoteReference"/>
        </w:rPr>
        <w:footnoteRef/>
      </w:r>
      <w:r>
        <w:tab/>
      </w:r>
      <w:r w:rsidRPr="0028511D">
        <w:t>Since 2010, there have been efforts in Armenia to create a law on missing persons. A first draft was put forward by the Human Rights Defender, the International Committee of the Red Cross and the Helsinki Citizens’ Assembly-Vanadzor. More recently, the Interagency Commission on the Issues of Prisoners of War, Hostages and Missing Persons, under the lead of the National Security Service, in coordination with the Ministry of Justice, has been developing a draft law to regulate the work related to prisoners of war, hostages and missing persons (International Commission on Missing Persons, “Accounting for the missing persons in Armenia: assessment report”, September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8D3F7" w14:textId="77777777" w:rsidR="007F2F96" w:rsidRDefault="007F2F96" w:rsidP="007F2F96">
    <w:pPr>
      <w:pStyle w:val="Header"/>
    </w:pPr>
    <w:r>
      <w:t>CED/C/ARM/Q/AI/1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C4B7" w14:textId="77777777" w:rsidR="007F2F96" w:rsidRDefault="007F2F96" w:rsidP="007F2F96">
    <w:pPr>
      <w:pStyle w:val="Header"/>
      <w:jc w:val="right"/>
    </w:pPr>
    <w:r>
      <w:t>CED/C/ARM/Q/AI/1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0360505"/>
    <w:multiLevelType w:val="hybridMultilevel"/>
    <w:tmpl w:val="61766C18"/>
    <w:lvl w:ilvl="0" w:tplc="DAA0BBF0">
      <w:start w:val="1"/>
      <w:numFmt w:val="decimal"/>
      <w:lvlText w:val="%1."/>
      <w:lvlJc w:val="left"/>
      <w:pPr>
        <w:ind w:left="4187" w:hanging="360"/>
      </w:pPr>
      <w:rPr>
        <w:b w:val="0"/>
        <w:bCs w:val="0"/>
      </w:rPr>
    </w:lvl>
    <w:lvl w:ilvl="1" w:tplc="08090019" w:tentative="1">
      <w:start w:val="1"/>
      <w:numFmt w:val="lowerLetter"/>
      <w:lvlText w:val="%2."/>
      <w:lvlJc w:val="left"/>
      <w:pPr>
        <w:ind w:left="4907" w:hanging="360"/>
      </w:pPr>
    </w:lvl>
    <w:lvl w:ilvl="2" w:tplc="0809001B" w:tentative="1">
      <w:start w:val="1"/>
      <w:numFmt w:val="lowerRoman"/>
      <w:lvlText w:val="%3."/>
      <w:lvlJc w:val="right"/>
      <w:pPr>
        <w:ind w:left="5627" w:hanging="180"/>
      </w:pPr>
    </w:lvl>
    <w:lvl w:ilvl="3" w:tplc="0809000F" w:tentative="1">
      <w:start w:val="1"/>
      <w:numFmt w:val="decimal"/>
      <w:lvlText w:val="%4."/>
      <w:lvlJc w:val="left"/>
      <w:pPr>
        <w:ind w:left="6347" w:hanging="360"/>
      </w:pPr>
    </w:lvl>
    <w:lvl w:ilvl="4" w:tplc="08090019" w:tentative="1">
      <w:start w:val="1"/>
      <w:numFmt w:val="lowerLetter"/>
      <w:lvlText w:val="%5."/>
      <w:lvlJc w:val="left"/>
      <w:pPr>
        <w:ind w:left="7067" w:hanging="360"/>
      </w:pPr>
    </w:lvl>
    <w:lvl w:ilvl="5" w:tplc="0809001B" w:tentative="1">
      <w:start w:val="1"/>
      <w:numFmt w:val="lowerRoman"/>
      <w:lvlText w:val="%6."/>
      <w:lvlJc w:val="right"/>
      <w:pPr>
        <w:ind w:left="7787" w:hanging="180"/>
      </w:pPr>
    </w:lvl>
    <w:lvl w:ilvl="6" w:tplc="0809000F" w:tentative="1">
      <w:start w:val="1"/>
      <w:numFmt w:val="decimal"/>
      <w:lvlText w:val="%7."/>
      <w:lvlJc w:val="left"/>
      <w:pPr>
        <w:ind w:left="8507" w:hanging="360"/>
      </w:pPr>
    </w:lvl>
    <w:lvl w:ilvl="7" w:tplc="08090019" w:tentative="1">
      <w:start w:val="1"/>
      <w:numFmt w:val="lowerLetter"/>
      <w:lvlText w:val="%8."/>
      <w:lvlJc w:val="left"/>
      <w:pPr>
        <w:ind w:left="9227" w:hanging="360"/>
      </w:pPr>
    </w:lvl>
    <w:lvl w:ilvl="8" w:tplc="0809001B" w:tentative="1">
      <w:start w:val="1"/>
      <w:numFmt w:val="lowerRoman"/>
      <w:lvlText w:val="%9."/>
      <w:lvlJc w:val="right"/>
      <w:pPr>
        <w:ind w:left="9947"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7"/>
  </w:num>
  <w:num w:numId="7" w16cid:durableId="2018992637">
    <w:abstractNumId w:val="1"/>
  </w:num>
  <w:num w:numId="8" w16cid:durableId="7088459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24F"/>
    <w:rsid w:val="00030C37"/>
    <w:rsid w:val="00046E92"/>
    <w:rsid w:val="00170237"/>
    <w:rsid w:val="00197791"/>
    <w:rsid w:val="001E58B6"/>
    <w:rsid w:val="00235203"/>
    <w:rsid w:val="00244BB1"/>
    <w:rsid w:val="00247E2C"/>
    <w:rsid w:val="002D6C53"/>
    <w:rsid w:val="002F5595"/>
    <w:rsid w:val="00334F6A"/>
    <w:rsid w:val="00342AC8"/>
    <w:rsid w:val="003A444F"/>
    <w:rsid w:val="003B4550"/>
    <w:rsid w:val="003F5B30"/>
    <w:rsid w:val="00461253"/>
    <w:rsid w:val="005042C2"/>
    <w:rsid w:val="00557A78"/>
    <w:rsid w:val="005F2E0B"/>
    <w:rsid w:val="00671529"/>
    <w:rsid w:val="0069524F"/>
    <w:rsid w:val="007268F9"/>
    <w:rsid w:val="007C52B0"/>
    <w:rsid w:val="007F2F96"/>
    <w:rsid w:val="008359DD"/>
    <w:rsid w:val="008C49F2"/>
    <w:rsid w:val="009411B4"/>
    <w:rsid w:val="009723F0"/>
    <w:rsid w:val="009D0139"/>
    <w:rsid w:val="009F5CDC"/>
    <w:rsid w:val="00A126AC"/>
    <w:rsid w:val="00A775CF"/>
    <w:rsid w:val="00AC6152"/>
    <w:rsid w:val="00B06045"/>
    <w:rsid w:val="00B32C53"/>
    <w:rsid w:val="00C04B66"/>
    <w:rsid w:val="00C35A27"/>
    <w:rsid w:val="00CC3531"/>
    <w:rsid w:val="00CF0089"/>
    <w:rsid w:val="00D65FAC"/>
    <w:rsid w:val="00D83274"/>
    <w:rsid w:val="00D9462F"/>
    <w:rsid w:val="00DB2601"/>
    <w:rsid w:val="00DF2F5D"/>
    <w:rsid w:val="00E02C2B"/>
    <w:rsid w:val="00E24C09"/>
    <w:rsid w:val="00E94B77"/>
    <w:rsid w:val="00EC3582"/>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E223C"/>
  <w15:docId w15:val="{DC4DBD87-E218-4D94-BCE3-087CE32C8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44BB1"/>
    <w:rPr>
      <w:color w:val="0000FF"/>
      <w:u w:val="none"/>
    </w:rPr>
  </w:style>
  <w:style w:type="character" w:styleId="FollowedHyperlink">
    <w:name w:val="FollowedHyperlink"/>
    <w:basedOn w:val="DefaultParagraphFont"/>
    <w:uiPriority w:val="99"/>
    <w:semiHidden/>
    <w:unhideWhenUsed/>
    <w:rsid w:val="00244BB1"/>
    <w:rPr>
      <w:color w:val="0000FF"/>
      <w:u w:val="single"/>
    </w:rPr>
  </w:style>
  <w:style w:type="character" w:styleId="UnresolvedMention">
    <w:name w:val="Unresolved Mention"/>
    <w:basedOn w:val="DefaultParagraphFont"/>
    <w:uiPriority w:val="99"/>
    <w:semiHidden/>
    <w:unhideWhenUsed/>
    <w:rsid w:val="00244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D/C/ARM/CO/1" TargetMode="External"/><Relationship Id="rId2" Type="http://schemas.openxmlformats.org/officeDocument/2006/relationships/hyperlink" Target="https://docs.un.org/en/CED/C/ARM/CO/1/Add.1" TargetMode="External"/><Relationship Id="rId1" Type="http://schemas.openxmlformats.org/officeDocument/2006/relationships/hyperlink" Target="https://docs.un.org/en/CED/C/ARM/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1729</Words>
  <Characters>9418</Characters>
  <Application>Microsoft Office Word</Application>
  <DocSecurity>0</DocSecurity>
  <Lines>160</Lines>
  <Paragraphs>50</Paragraphs>
  <ScaleCrop>false</ScaleCrop>
  <HeadingPairs>
    <vt:vector size="2" baseType="variant">
      <vt:variant>
        <vt:lpstr>Title</vt:lpstr>
      </vt:variant>
      <vt:variant>
        <vt:i4>1</vt:i4>
      </vt:variant>
    </vt:vector>
  </HeadingPairs>
  <TitlesOfParts>
    <vt:vector size="1" baseType="lpstr">
      <vt:lpstr>CED/C/ARM/Q/AI/1</vt:lpstr>
    </vt:vector>
  </TitlesOfParts>
  <Company>DCM</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CED/C/ARM/Q/AI/1</dc:title>
  <dc:subject>2506342</dc:subject>
  <dc:creator>AVT</dc:creator>
  <cp:keywords/>
  <dc:description/>
  <cp:lastModifiedBy>Anni Vi Tirol</cp:lastModifiedBy>
  <cp:revision>2</cp:revision>
  <dcterms:created xsi:type="dcterms:W3CDTF">2025-05-15T09:57:00Z</dcterms:created>
  <dcterms:modified xsi:type="dcterms:W3CDTF">2025-05-15T09:57:00Z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